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Default ContentType="image/png" Extension="png"/>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华文中宋" w:eastAsia="黑体"/>
          <w:b/>
          <w:color w:val="auto"/>
          <w:sz w:val="36"/>
          <w:szCs w:val="36"/>
          <w:highlight w:val="none"/>
        </w:rPr>
      </w:pPr>
    </w:p>
    <w:p>
      <w:pPr>
        <w:jc w:val="center"/>
        <w:rPr>
          <w:rFonts w:ascii="黑体" w:hAnsi="华文中宋" w:eastAsia="黑体"/>
          <w:b/>
          <w:color w:val="auto"/>
          <w:sz w:val="36"/>
          <w:szCs w:val="36"/>
          <w:highlight w:val="none"/>
        </w:rPr>
      </w:pPr>
    </w:p>
    <w:p>
      <w:pPr>
        <w:jc w:val="center"/>
        <w:rPr>
          <w:rFonts w:ascii="宋体" w:hAnsi="宋体"/>
          <w:color w:val="auto"/>
          <w:sz w:val="72"/>
          <w:szCs w:val="72"/>
          <w:highlight w:val="none"/>
        </w:rPr>
      </w:pPr>
      <w:bookmarkStart w:id="0" w:name="_Toc234382569"/>
      <w:r>
        <w:rPr>
          <w:rFonts w:hint="eastAsia" w:ascii="宋体" w:hAnsi="宋体"/>
          <w:color w:val="auto"/>
          <w:sz w:val="72"/>
          <w:szCs w:val="72"/>
          <w:highlight w:val="none"/>
        </w:rPr>
        <w:t>建安区</w:t>
      </w:r>
      <w:r>
        <w:rPr>
          <w:rFonts w:ascii="宋体" w:hAnsi="宋体"/>
          <w:color w:val="auto"/>
          <w:sz w:val="72"/>
          <w:szCs w:val="72"/>
          <w:highlight w:val="none"/>
        </w:rPr>
        <w:t>建设工程</w:t>
      </w:r>
    </w:p>
    <w:p>
      <w:pPr>
        <w:jc w:val="center"/>
        <w:rPr>
          <w:rFonts w:eastAsia="华文中宋"/>
          <w:color w:val="auto"/>
          <w:sz w:val="84"/>
          <w:szCs w:val="84"/>
          <w:highlight w:val="none"/>
        </w:rPr>
      </w:pPr>
    </w:p>
    <w:p>
      <w:pPr>
        <w:jc w:val="center"/>
        <w:rPr>
          <w:rFonts w:eastAsia="华文中宋"/>
          <w:color w:val="auto"/>
          <w:sz w:val="84"/>
          <w:szCs w:val="84"/>
          <w:highlight w:val="none"/>
        </w:rPr>
      </w:pPr>
    </w:p>
    <w:p>
      <w:pPr>
        <w:jc w:val="center"/>
        <w:rPr>
          <w:rFonts w:ascii="宋体" w:hAnsi="宋体"/>
          <w:color w:val="auto"/>
          <w:sz w:val="72"/>
          <w:szCs w:val="72"/>
          <w:highlight w:val="none"/>
        </w:rPr>
      </w:pPr>
      <w:r>
        <w:rPr>
          <w:rFonts w:ascii="宋体" w:hAnsi="宋体"/>
          <w:color w:val="auto"/>
          <w:sz w:val="72"/>
          <w:szCs w:val="72"/>
          <w:highlight w:val="none"/>
        </w:rPr>
        <w:t>招</w:t>
      </w:r>
    </w:p>
    <w:p>
      <w:pPr>
        <w:jc w:val="center"/>
        <w:rPr>
          <w:rFonts w:ascii="宋体" w:hAnsi="宋体"/>
          <w:color w:val="auto"/>
          <w:sz w:val="72"/>
          <w:szCs w:val="72"/>
          <w:highlight w:val="none"/>
        </w:rPr>
      </w:pPr>
      <w:r>
        <w:rPr>
          <w:rFonts w:ascii="宋体" w:hAnsi="宋体"/>
          <w:color w:val="auto"/>
          <w:sz w:val="72"/>
          <w:szCs w:val="72"/>
          <w:highlight w:val="none"/>
        </w:rPr>
        <w:t>标</w:t>
      </w:r>
    </w:p>
    <w:p>
      <w:pPr>
        <w:jc w:val="center"/>
        <w:rPr>
          <w:rFonts w:ascii="宋体" w:hAnsi="宋体"/>
          <w:color w:val="auto"/>
          <w:sz w:val="72"/>
          <w:szCs w:val="72"/>
          <w:highlight w:val="none"/>
        </w:rPr>
      </w:pPr>
      <w:r>
        <w:rPr>
          <w:rFonts w:ascii="宋体" w:hAnsi="宋体"/>
          <w:color w:val="auto"/>
          <w:sz w:val="72"/>
          <w:szCs w:val="72"/>
          <w:highlight w:val="none"/>
        </w:rPr>
        <w:t>文</w:t>
      </w:r>
    </w:p>
    <w:p>
      <w:pPr>
        <w:jc w:val="center"/>
        <w:rPr>
          <w:rFonts w:ascii="宋体" w:hAnsi="宋体"/>
          <w:color w:val="auto"/>
          <w:sz w:val="72"/>
          <w:szCs w:val="72"/>
          <w:highlight w:val="none"/>
        </w:rPr>
      </w:pPr>
      <w:r>
        <w:rPr>
          <w:rFonts w:ascii="宋体" w:hAnsi="宋体"/>
          <w:color w:val="auto"/>
          <w:sz w:val="72"/>
          <w:szCs w:val="72"/>
          <w:highlight w:val="none"/>
        </w:rPr>
        <w:t>件</w:t>
      </w: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spacing w:line="360" w:lineRule="auto"/>
        <w:jc w:val="left"/>
        <w:rPr>
          <w:rFonts w:ascii="宋体" w:hAnsi="宋体"/>
          <w:color w:val="auto"/>
          <w:sz w:val="36"/>
          <w:szCs w:val="36"/>
          <w:highlight w:val="none"/>
        </w:rPr>
      </w:pPr>
      <w:r>
        <w:rPr>
          <w:rFonts w:hint="eastAsia" w:ascii="宋体" w:hAnsi="宋体"/>
          <w:color w:val="auto"/>
          <w:sz w:val="36"/>
          <w:szCs w:val="36"/>
          <w:highlight w:val="none"/>
        </w:rPr>
        <w:t xml:space="preserve">      </w:t>
      </w:r>
      <w:r>
        <w:rPr>
          <w:rFonts w:ascii="宋体" w:hAnsi="宋体"/>
          <w:color w:val="auto"/>
          <w:sz w:val="36"/>
          <w:szCs w:val="36"/>
          <w:highlight w:val="none"/>
        </w:rPr>
        <w:t>项目编号：</w:t>
      </w:r>
      <w:r>
        <w:rPr>
          <w:rFonts w:hint="eastAsia" w:ascii="宋体" w:hAnsi="宋体"/>
          <w:color w:val="auto"/>
          <w:sz w:val="36"/>
          <w:szCs w:val="36"/>
          <w:highlight w:val="none"/>
          <w:lang w:eastAsia="zh-CN"/>
        </w:rPr>
        <w:t>建安建工公字〔2018〕</w:t>
      </w:r>
      <w:r>
        <w:rPr>
          <w:rFonts w:hint="eastAsia" w:ascii="宋体" w:hAnsi="宋体"/>
          <w:color w:val="auto"/>
          <w:sz w:val="36"/>
          <w:szCs w:val="36"/>
          <w:highlight w:val="none"/>
          <w:lang w:val="en-US" w:eastAsia="zh-CN"/>
        </w:rPr>
        <w:t>213</w:t>
      </w:r>
      <w:r>
        <w:rPr>
          <w:rFonts w:hint="eastAsia" w:ascii="宋体" w:hAnsi="宋体"/>
          <w:color w:val="auto"/>
          <w:sz w:val="36"/>
          <w:szCs w:val="36"/>
          <w:highlight w:val="none"/>
          <w:lang w:eastAsia="zh-CN"/>
        </w:rPr>
        <w:t>号</w:t>
      </w:r>
    </w:p>
    <w:p>
      <w:pPr>
        <w:spacing w:line="360" w:lineRule="auto"/>
        <w:jc w:val="left"/>
        <w:rPr>
          <w:rFonts w:ascii="宋体" w:hAnsi="宋体"/>
          <w:color w:val="auto"/>
          <w:sz w:val="36"/>
          <w:szCs w:val="36"/>
          <w:highlight w:val="none"/>
        </w:rPr>
      </w:pPr>
      <w:r>
        <w:rPr>
          <w:rFonts w:hint="eastAsia" w:ascii="宋体" w:hAnsi="宋体"/>
          <w:color w:val="auto"/>
          <w:sz w:val="36"/>
          <w:szCs w:val="36"/>
          <w:highlight w:val="none"/>
        </w:rPr>
        <w:t xml:space="preserve">      </w:t>
      </w:r>
      <w:r>
        <w:rPr>
          <w:rFonts w:ascii="宋体" w:hAnsi="宋体"/>
          <w:color w:val="auto"/>
          <w:sz w:val="36"/>
          <w:szCs w:val="36"/>
          <w:highlight w:val="none"/>
        </w:rPr>
        <w:t>项目名称：</w:t>
      </w:r>
      <w:r>
        <w:rPr>
          <w:rFonts w:hint="eastAsia" w:ascii="宋体" w:hAnsi="宋体"/>
          <w:color w:val="auto"/>
          <w:sz w:val="36"/>
          <w:szCs w:val="36"/>
          <w:highlight w:val="none"/>
          <w:lang w:eastAsia="zh-CN"/>
        </w:rPr>
        <w:t>韩庄西桥（位村东桥）危桥改造项目</w:t>
      </w:r>
    </w:p>
    <w:p>
      <w:pPr>
        <w:spacing w:line="360" w:lineRule="auto"/>
        <w:jc w:val="left"/>
        <w:rPr>
          <w:rFonts w:ascii="宋体" w:hAnsi="宋体"/>
          <w:color w:val="auto"/>
          <w:sz w:val="36"/>
          <w:szCs w:val="36"/>
          <w:highlight w:val="none"/>
        </w:rPr>
      </w:pPr>
      <w:r>
        <w:rPr>
          <w:rFonts w:hint="eastAsia" w:ascii="宋体" w:hAnsi="宋体"/>
          <w:color w:val="auto"/>
          <w:sz w:val="36"/>
          <w:szCs w:val="36"/>
          <w:highlight w:val="none"/>
        </w:rPr>
        <w:t xml:space="preserve">      </w:t>
      </w:r>
      <w:r>
        <w:rPr>
          <w:rFonts w:ascii="宋体" w:hAnsi="宋体"/>
          <w:color w:val="auto"/>
          <w:sz w:val="36"/>
          <w:szCs w:val="36"/>
          <w:highlight w:val="none"/>
        </w:rPr>
        <w:t>招 标 人：</w:t>
      </w:r>
      <w:r>
        <w:rPr>
          <w:rFonts w:hint="eastAsia" w:ascii="宋体" w:hAnsi="宋体"/>
          <w:color w:val="auto"/>
          <w:sz w:val="36"/>
          <w:szCs w:val="36"/>
          <w:highlight w:val="none"/>
        </w:rPr>
        <w:t>许昌市建安区交通运输局</w:t>
      </w:r>
    </w:p>
    <w:p>
      <w:pPr>
        <w:spacing w:line="360" w:lineRule="auto"/>
        <w:jc w:val="left"/>
        <w:rPr>
          <w:rFonts w:ascii="宋体" w:hAnsi="宋体"/>
          <w:color w:val="auto"/>
          <w:sz w:val="36"/>
          <w:szCs w:val="36"/>
          <w:highlight w:val="none"/>
        </w:rPr>
      </w:pPr>
      <w:r>
        <w:rPr>
          <w:rFonts w:hint="eastAsia" w:ascii="宋体" w:hAnsi="宋体"/>
          <w:color w:val="auto"/>
          <w:sz w:val="36"/>
          <w:szCs w:val="36"/>
          <w:highlight w:val="none"/>
        </w:rPr>
        <w:t xml:space="preserve">      </w:t>
      </w:r>
      <w:r>
        <w:rPr>
          <w:rFonts w:ascii="宋体" w:hAnsi="宋体"/>
          <w:color w:val="auto"/>
          <w:sz w:val="36"/>
          <w:szCs w:val="36"/>
          <w:highlight w:val="none"/>
        </w:rPr>
        <w:t>代理机构：</w:t>
      </w:r>
      <w:r>
        <w:rPr>
          <w:rFonts w:hint="eastAsia" w:ascii="宋体" w:hAnsi="宋体"/>
          <w:color w:val="auto"/>
          <w:sz w:val="36"/>
          <w:szCs w:val="36"/>
          <w:highlight w:val="none"/>
          <w:lang w:eastAsia="zh-CN"/>
        </w:rPr>
        <w:t>大成工程咨询有限公司</w:t>
      </w:r>
    </w:p>
    <w:p>
      <w:pPr>
        <w:jc w:val="center"/>
        <w:rPr>
          <w:rFonts w:ascii="宋体" w:hAnsi="宋体"/>
          <w:color w:val="auto"/>
          <w:sz w:val="24"/>
          <w:highlight w:val="none"/>
        </w:rPr>
      </w:pPr>
      <w:r>
        <w:rPr>
          <w:rFonts w:hint="eastAsia" w:ascii="宋体" w:hAnsi="宋体"/>
          <w:color w:val="auto"/>
          <w:sz w:val="36"/>
          <w:szCs w:val="36"/>
          <w:highlight w:val="none"/>
        </w:rPr>
        <w:t>二〇一</w:t>
      </w:r>
      <w:r>
        <w:rPr>
          <w:rFonts w:hint="eastAsia" w:ascii="宋体" w:hAnsi="宋体"/>
          <w:color w:val="auto"/>
          <w:sz w:val="36"/>
          <w:szCs w:val="36"/>
          <w:highlight w:val="none"/>
          <w:lang w:val="en-US" w:eastAsia="zh-CN"/>
        </w:rPr>
        <w:t>八年十二</w:t>
      </w:r>
      <w:r>
        <w:rPr>
          <w:rFonts w:hint="eastAsia" w:ascii="宋体" w:hAnsi="宋体"/>
          <w:color w:val="auto"/>
          <w:sz w:val="36"/>
          <w:szCs w:val="36"/>
          <w:highlight w:val="none"/>
        </w:rPr>
        <w:t>月</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360" w:lineRule="auto"/>
        <w:jc w:val="center"/>
        <w:rPr>
          <w:rFonts w:ascii="宋体" w:hAnsi="宋体"/>
          <w:b/>
          <w:bCs/>
          <w:color w:val="auto"/>
          <w:sz w:val="48"/>
          <w:szCs w:val="48"/>
          <w:highlight w:val="none"/>
        </w:rPr>
        <w:sectPr>
          <w:headerReference r:id="rId5" w:type="default"/>
          <w:footerReference r:id="rId6" w:type="default"/>
          <w:footnotePr>
            <w:numFmt w:val="decimalEnclosedCircleChinese"/>
            <w:numRestart w:val="eachPage"/>
          </w:footnotePr>
          <w:pgSz w:w="11907" w:h="16840"/>
          <w:pgMar w:top="1440" w:right="1304" w:bottom="1440" w:left="1304" w:header="720" w:footer="907" w:gutter="0"/>
          <w:pgNumType w:start="1"/>
          <w:cols w:space="720" w:num="1"/>
        </w:sectPr>
      </w:pPr>
    </w:p>
    <w:p>
      <w:pPr>
        <w:spacing w:line="360" w:lineRule="auto"/>
        <w:jc w:val="center"/>
        <w:rPr>
          <w:rFonts w:ascii="宋体" w:hAnsi="宋体"/>
          <w:b/>
          <w:bCs/>
          <w:color w:val="auto"/>
          <w:sz w:val="48"/>
          <w:szCs w:val="48"/>
          <w:highlight w:val="none"/>
        </w:rPr>
      </w:pPr>
      <w:r>
        <w:rPr>
          <w:rFonts w:hint="eastAsia" w:ascii="宋体" w:hAnsi="宋体"/>
          <w:b/>
          <w:bCs/>
          <w:color w:val="auto"/>
          <w:sz w:val="48"/>
          <w:szCs w:val="48"/>
          <w:highlight w:val="none"/>
        </w:rPr>
        <w:t>目  录</w:t>
      </w:r>
    </w:p>
    <w:p>
      <w:pPr>
        <w:pStyle w:val="10"/>
        <w:tabs>
          <w:tab w:val="right" w:leader="dot" w:pos="9299"/>
        </w:tabs>
        <w:spacing w:line="360" w:lineRule="auto"/>
        <w:rPr>
          <w:rFonts w:ascii="宋体" w:hAnsi="宋体" w:eastAsia="宋体" w:cs="宋体"/>
          <w:color w:val="auto"/>
          <w:sz w:val="28"/>
          <w:szCs w:val="28"/>
          <w:highlight w:val="none"/>
        </w:rPr>
      </w:pPr>
      <w:r>
        <w:rPr>
          <w:rFonts w:ascii="宋体" w:hAnsi="宋体"/>
          <w:color w:val="auto"/>
          <w:sz w:val="52"/>
          <w:szCs w:val="52"/>
          <w:highlight w:val="none"/>
        </w:rPr>
        <w:fldChar w:fldCharType="begin"/>
      </w:r>
      <w:r>
        <w:rPr>
          <w:rFonts w:ascii="宋体" w:hAnsi="宋体"/>
          <w:color w:val="auto"/>
          <w:sz w:val="52"/>
          <w:szCs w:val="52"/>
          <w:highlight w:val="none"/>
        </w:rPr>
        <w:instrText xml:space="preserve"> TOC \o "1-1" \h \z \u </w:instrText>
      </w:r>
      <w:r>
        <w:rPr>
          <w:rFonts w:ascii="宋体" w:hAnsi="宋体"/>
          <w:color w:val="auto"/>
          <w:sz w:val="52"/>
          <w:szCs w:val="52"/>
          <w:highlight w:val="none"/>
        </w:rPr>
        <w:fldChar w:fldCharType="separate"/>
      </w:r>
      <w:r>
        <w:rPr>
          <w:color w:val="auto"/>
          <w:highlight w:val="none"/>
        </w:rPr>
        <w:fldChar w:fldCharType="begin"/>
      </w:r>
      <w:r>
        <w:rPr>
          <w:color w:val="auto"/>
          <w:highlight w:val="none"/>
        </w:rPr>
        <w:instrText xml:space="preserve"> HYPERLINK \l "_Toc240" </w:instrText>
      </w:r>
      <w:r>
        <w:rPr>
          <w:color w:val="auto"/>
          <w:highlight w:val="none"/>
        </w:rPr>
        <w:fldChar w:fldCharType="separate"/>
      </w:r>
      <w:r>
        <w:rPr>
          <w:rFonts w:hint="eastAsia" w:ascii="宋体" w:hAnsi="宋体" w:eastAsia="宋体" w:cs="宋体"/>
          <w:bCs/>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0"/>
        <w:tabs>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"_Toc30837" </w:instrText>
      </w:r>
      <w:r>
        <w:rPr>
          <w:color w:val="auto"/>
          <w:highlight w:val="none"/>
        </w:rPr>
        <w:fldChar w:fldCharType="separate"/>
      </w:r>
      <w:r>
        <w:rPr>
          <w:rFonts w:hint="eastAsia" w:ascii="宋体" w:hAnsi="宋体" w:eastAsia="宋体" w:cs="宋体"/>
          <w:bCs/>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_Toc30837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0"/>
        <w:tabs>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"_Toc28210" </w:instrText>
      </w:r>
      <w:r>
        <w:rPr>
          <w:color w:val="auto"/>
          <w:highlight w:val="none"/>
        </w:rPr>
        <w:fldChar w:fldCharType="separate"/>
      </w:r>
      <w:r>
        <w:rPr>
          <w:rFonts w:hint="eastAsia" w:ascii="宋体" w:hAnsi="宋体" w:eastAsia="宋体" w:cs="宋体"/>
          <w:bCs/>
          <w:color w:val="auto"/>
          <w:sz w:val="28"/>
          <w:szCs w:val="28"/>
          <w:highlight w:val="none"/>
        </w:rPr>
        <w:t>第三章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_Toc28210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0"/>
        <w:tabs>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"_Toc13221" </w:instrText>
      </w:r>
      <w:r>
        <w:rPr>
          <w:color w:val="auto"/>
          <w:highlight w:val="none"/>
        </w:rPr>
        <w:fldChar w:fldCharType="separate"/>
      </w:r>
      <w:r>
        <w:rPr>
          <w:rFonts w:hint="eastAsia" w:ascii="宋体" w:hAnsi="宋体" w:eastAsia="宋体" w:cs="宋体"/>
          <w:color w:val="auto"/>
          <w:sz w:val="28"/>
          <w:szCs w:val="28"/>
          <w:highlight w:val="none"/>
        </w:rPr>
        <w:t>第四章 合同条款及</w:t>
      </w:r>
      <w:r>
        <w:rPr>
          <w:rFonts w:hint="eastAsia" w:ascii="宋体" w:hAnsi="宋体" w:eastAsia="宋体" w:cs="宋体"/>
          <w:color w:val="auto"/>
          <w:sz w:val="28"/>
          <w:szCs w:val="28"/>
          <w:highlight w:val="none"/>
          <w:lang w:eastAsia="zh-CN"/>
        </w:rPr>
        <w:t>参考</w:t>
      </w:r>
      <w:r>
        <w:rPr>
          <w:rFonts w:hint="eastAsia" w:ascii="宋体" w:hAnsi="宋体" w:eastAsia="宋体" w:cs="宋体"/>
          <w:color w:val="auto"/>
          <w:sz w:val="28"/>
          <w:szCs w:val="28"/>
          <w:highlight w:val="none"/>
        </w:rPr>
        <w:t>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_Toc13221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0"/>
        <w:tabs>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"_Toc5321" </w:instrText>
      </w:r>
      <w:r>
        <w:rPr>
          <w:color w:val="auto"/>
          <w:highlight w:val="none"/>
        </w:rPr>
        <w:fldChar w:fldCharType="separate"/>
      </w:r>
      <w:r>
        <w:rPr>
          <w:rFonts w:hint="eastAsia" w:ascii="宋体" w:hAnsi="宋体" w:eastAsia="宋体" w:cs="宋体"/>
          <w:color w:val="auto"/>
          <w:sz w:val="28"/>
          <w:szCs w:val="28"/>
          <w:highlight w:val="none"/>
        </w:rPr>
        <w:t>第五章 工程量清单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_Toc5321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0"/>
        <w:tabs>
          <w:tab w:val="right" w:pos="2400"/>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"_Toc20155" </w:instrText>
      </w:r>
      <w:r>
        <w:rPr>
          <w:color w:val="auto"/>
          <w:highlight w:val="none"/>
        </w:rPr>
        <w:fldChar w:fldCharType="separate"/>
      </w:r>
      <w:r>
        <w:rPr>
          <w:rFonts w:hint="eastAsia" w:ascii="宋体" w:hAnsi="宋体" w:eastAsia="宋体" w:cs="宋体"/>
          <w:bCs/>
          <w:color w:val="auto"/>
          <w:sz w:val="28"/>
          <w:szCs w:val="28"/>
          <w:highlight w:val="none"/>
        </w:rPr>
        <w:t xml:space="preserve">第六章 </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图纸（另</w:t>
      </w:r>
      <w:r>
        <w:rPr>
          <w:rFonts w:hint="eastAsia" w:ascii="宋体" w:hAnsi="宋体" w:eastAsia="宋体" w:cs="宋体"/>
          <w:bCs/>
          <w:color w:val="auto"/>
          <w:sz w:val="28"/>
          <w:szCs w:val="28"/>
          <w:highlight w:val="none"/>
          <w:lang w:eastAsia="zh-CN"/>
        </w:rPr>
        <w:t>册</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_Toc20155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0"/>
        <w:tabs>
          <w:tab w:val="right" w:pos="2400"/>
          <w:tab w:val="right" w:leader="dot" w:pos="9299"/>
        </w:tabs>
        <w:spacing w:line="360" w:lineRule="auto"/>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"_Toc18036" </w:instrText>
      </w:r>
      <w:r>
        <w:rPr>
          <w:color w:val="auto"/>
          <w:highlight w:val="none"/>
        </w:rPr>
        <w:fldChar w:fldCharType="separate"/>
      </w:r>
      <w:r>
        <w:rPr>
          <w:rFonts w:hint="eastAsia" w:ascii="宋体" w:hAnsi="宋体" w:eastAsia="宋体" w:cs="宋体"/>
          <w:bCs/>
          <w:color w:val="auto"/>
          <w:sz w:val="28"/>
          <w:szCs w:val="28"/>
          <w:highlight w:val="none"/>
        </w:rPr>
        <w:t>第七章</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 xml:space="preserve"> 技术规范（另册）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_Toc18036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0"/>
        <w:tabs>
          <w:tab w:val="right" w:pos="2400"/>
          <w:tab w:val="right" w:leader="dot" w:pos="9299"/>
        </w:tabs>
        <w:spacing w:line="360" w:lineRule="auto"/>
        <w:rPr>
          <w:highlight w:val="none"/>
        </w:rPr>
      </w:pPr>
      <w:r>
        <w:rPr>
          <w:color w:val="auto"/>
          <w:highlight w:val="none"/>
        </w:rPr>
        <w:fldChar w:fldCharType="begin"/>
      </w:r>
      <w:r>
        <w:rPr>
          <w:color w:val="auto"/>
          <w:highlight w:val="none"/>
        </w:rPr>
        <w:instrText xml:space="preserve"> HYPERLINK \l "_Toc18036" </w:instrText>
      </w:r>
      <w:r>
        <w:rPr>
          <w:color w:val="auto"/>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eastAsia="zh-CN"/>
        </w:rPr>
        <w:t>八</w:t>
      </w:r>
      <w:r>
        <w:rPr>
          <w:rFonts w:hint="eastAsia" w:ascii="宋体" w:hAnsi="宋体" w:eastAsia="宋体" w:cs="宋体"/>
          <w:bCs/>
          <w:color w:val="auto"/>
          <w:sz w:val="28"/>
          <w:szCs w:val="28"/>
          <w:highlight w:val="none"/>
        </w:rPr>
        <w:t>章</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8"/>
          <w:szCs w:val="28"/>
          <w:highlight w:val="none"/>
          <w:lang w:eastAsia="zh-CN"/>
        </w:rPr>
        <w:t>工程量清单计量规则</w:t>
      </w:r>
      <w:r>
        <w:rPr>
          <w:rFonts w:hint="eastAsia" w:ascii="宋体" w:hAnsi="宋体" w:eastAsia="宋体" w:cs="宋体"/>
          <w:bCs/>
          <w:color w:val="auto"/>
          <w:sz w:val="28"/>
          <w:szCs w:val="28"/>
          <w:highlight w:val="none"/>
        </w:rPr>
        <w:t>（另册）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05</w:t>
      </w:r>
    </w:p>
    <w:p>
      <w:pPr>
        <w:pStyle w:val="10"/>
        <w:tabs>
          <w:tab w:val="right" w:pos="2400"/>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"_Toc27978" </w:instrText>
      </w:r>
      <w:r>
        <w:rPr>
          <w:color w:val="auto"/>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eastAsia="zh-CN"/>
        </w:rPr>
        <w:t>九</w:t>
      </w:r>
      <w:r>
        <w:rPr>
          <w:rFonts w:hint="eastAsia" w:ascii="宋体" w:hAnsi="宋体" w:eastAsia="宋体" w:cs="宋体"/>
          <w:bCs/>
          <w:color w:val="auto"/>
          <w:sz w:val="28"/>
          <w:szCs w:val="28"/>
          <w:highlight w:val="none"/>
        </w:rPr>
        <w:t>章</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 xml:space="preserve">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06</w:t>
      </w:r>
    </w:p>
    <w:p>
      <w:pPr>
        <w:rPr>
          <w:rFonts w:ascii="宋体" w:hAnsi="宋体"/>
          <w:color w:val="auto"/>
          <w:sz w:val="52"/>
          <w:szCs w:val="52"/>
          <w:highlight w:val="none"/>
        </w:rPr>
      </w:pPr>
      <w:r>
        <w:rPr>
          <w:rFonts w:ascii="宋体" w:hAnsi="宋体"/>
          <w:color w:val="auto"/>
          <w:szCs w:val="52"/>
          <w:highlight w:val="none"/>
        </w:rPr>
        <w:fldChar w:fldCharType="end"/>
      </w: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jc w:val="center"/>
        <w:outlineLvl w:val="0"/>
        <w:rPr>
          <w:rFonts w:ascii="黑体" w:eastAsia="黑体"/>
          <w:bCs/>
          <w:color w:val="auto"/>
          <w:sz w:val="44"/>
          <w:szCs w:val="44"/>
          <w:highlight w:val="none"/>
        </w:rPr>
      </w:pPr>
      <w:bookmarkStart w:id="1" w:name="_Toc240"/>
    </w:p>
    <w:p>
      <w:pPr>
        <w:widowControl w:val="0"/>
        <w:wordWrap/>
        <w:adjustRightInd/>
        <w:snapToGrid/>
        <w:spacing w:line="360" w:lineRule="auto"/>
        <w:ind w:left="0" w:leftChars="0" w:right="0" w:firstLine="0" w:firstLineChars="0"/>
        <w:jc w:val="center"/>
        <w:textAlignment w:val="auto"/>
        <w:outlineLvl w:val="0"/>
        <w:rPr>
          <w:rFonts w:ascii="宋体" w:hAnsi="宋体"/>
          <w:color w:val="auto"/>
          <w:sz w:val="24"/>
          <w:highlight w:val="none"/>
        </w:rPr>
      </w:pPr>
      <w:r>
        <w:rPr>
          <w:rFonts w:hint="eastAsia" w:ascii="黑体" w:eastAsia="黑体"/>
          <w:bCs/>
          <w:color w:val="auto"/>
          <w:sz w:val="44"/>
          <w:szCs w:val="44"/>
          <w:highlight w:val="none"/>
        </w:rPr>
        <w:t>第一章  招标公告</w:t>
      </w:r>
      <w:bookmarkEnd w:id="1"/>
    </w:p>
    <w:bookmarkEnd w:id="0"/>
    <w:p>
      <w:pPr>
        <w:widowControl w:val="0"/>
        <w:wordWrap/>
        <w:adjustRightInd/>
        <w:snapToGrid/>
        <w:spacing w:line="360" w:lineRule="auto"/>
        <w:ind w:left="0" w:leftChars="0" w:right="0" w:firstLine="0" w:firstLineChars="0"/>
        <w:jc w:val="center"/>
        <w:textAlignment w:val="auto"/>
        <w:outlineLvl w:val="9"/>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建安建工公字〔2018〕</w:t>
      </w:r>
      <w:r>
        <w:rPr>
          <w:rFonts w:hint="eastAsia" w:ascii="宋体" w:hAnsi="宋体"/>
          <w:b/>
          <w:color w:val="auto"/>
          <w:sz w:val="32"/>
          <w:szCs w:val="32"/>
          <w:highlight w:val="none"/>
          <w:lang w:val="en-US" w:eastAsia="zh-CN"/>
        </w:rPr>
        <w:t>213</w:t>
      </w:r>
      <w:r>
        <w:rPr>
          <w:rFonts w:hint="eastAsia" w:ascii="宋体" w:hAnsi="宋体"/>
          <w:b/>
          <w:color w:val="auto"/>
          <w:sz w:val="32"/>
          <w:szCs w:val="32"/>
          <w:highlight w:val="none"/>
          <w:lang w:eastAsia="zh-CN"/>
        </w:rPr>
        <w:t>号</w:t>
      </w:r>
    </w:p>
    <w:p>
      <w:pPr>
        <w:widowControl w:val="0"/>
        <w:wordWrap/>
        <w:adjustRightInd/>
        <w:snapToGrid/>
        <w:spacing w:line="360" w:lineRule="auto"/>
        <w:ind w:left="0" w:leftChars="0" w:right="0" w:firstLine="0" w:firstLineChars="0"/>
        <w:jc w:val="center"/>
        <w:textAlignment w:val="auto"/>
        <w:outlineLvl w:val="9"/>
        <w:rPr>
          <w:rFonts w:ascii="宋体" w:hAnsi="宋体"/>
          <w:b/>
          <w:color w:val="auto"/>
          <w:sz w:val="32"/>
          <w:szCs w:val="32"/>
          <w:highlight w:val="none"/>
        </w:rPr>
      </w:pPr>
      <w:r>
        <w:rPr>
          <w:rFonts w:hint="eastAsia" w:ascii="宋体" w:hAnsi="宋体"/>
          <w:b/>
          <w:color w:val="auto"/>
          <w:sz w:val="32"/>
          <w:szCs w:val="32"/>
          <w:highlight w:val="none"/>
        </w:rPr>
        <w:t>许昌市建安区交通运输局</w:t>
      </w:r>
    </w:p>
    <w:p>
      <w:pPr>
        <w:widowControl w:val="0"/>
        <w:wordWrap/>
        <w:adjustRightInd/>
        <w:snapToGrid/>
        <w:spacing w:line="360" w:lineRule="auto"/>
        <w:ind w:left="0" w:leftChars="0" w:right="0" w:firstLine="0" w:firstLineChars="0"/>
        <w:jc w:val="center"/>
        <w:textAlignment w:val="auto"/>
        <w:outlineLvl w:val="9"/>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韩庄西桥（位村东桥）危桥改造项目</w:t>
      </w:r>
    </w:p>
    <w:p>
      <w:pPr>
        <w:widowControl w:val="0"/>
        <w:wordWrap/>
        <w:adjustRightInd/>
        <w:snapToGrid/>
        <w:spacing w:line="360" w:lineRule="auto"/>
        <w:ind w:left="0" w:leftChars="0" w:right="0" w:firstLine="0" w:firstLineChars="0"/>
        <w:jc w:val="center"/>
        <w:textAlignment w:val="auto"/>
        <w:outlineLvl w:val="9"/>
        <w:rPr>
          <w:rFonts w:ascii="宋体" w:hAnsi="宋体"/>
          <w:b/>
          <w:color w:val="auto"/>
          <w:sz w:val="32"/>
          <w:szCs w:val="32"/>
          <w:highlight w:val="none"/>
        </w:rPr>
      </w:pPr>
      <w:r>
        <w:rPr>
          <w:rFonts w:hint="eastAsia" w:ascii="宋体" w:hAnsi="宋体"/>
          <w:b/>
          <w:color w:val="auto"/>
          <w:sz w:val="32"/>
          <w:szCs w:val="32"/>
          <w:highlight w:val="none"/>
        </w:rPr>
        <w:t>公开招标公告</w:t>
      </w:r>
    </w:p>
    <w:p>
      <w:pPr>
        <w:widowControl w:val="0"/>
        <w:wordWrap/>
        <w:adjustRightInd/>
        <w:snapToGrid/>
        <w:spacing w:line="450" w:lineRule="exact"/>
        <w:ind w:left="0" w:leftChars="0" w:right="0"/>
        <w:textAlignment w:val="auto"/>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1、招标条件</w:t>
      </w:r>
    </w:p>
    <w:p>
      <w:pPr>
        <w:widowControl w:val="0"/>
        <w:numPr>
          <w:numId w:val="0"/>
        </w:numPr>
        <w:wordWrap/>
        <w:adjustRightInd/>
        <w:snapToGrid/>
        <w:spacing w:line="450" w:lineRule="exact"/>
        <w:ind w:right="0"/>
        <w:textAlignment w:val="auto"/>
        <w:rPr>
          <w:rFonts w:hint="eastAsia" w:ascii="宋体" w:hAnsi="宋体"/>
          <w:color w:val="auto"/>
          <w:sz w:val="24"/>
          <w:highlight w:val="none"/>
          <w:lang w:val="en-US" w:eastAsia="zh-CN"/>
        </w:rPr>
      </w:pPr>
      <w:r>
        <w:rPr>
          <w:rFonts w:hint="eastAsia" w:ascii="宋体" w:hAnsi="宋体"/>
          <w:b/>
          <w:color w:val="auto"/>
          <w:sz w:val="24"/>
          <w:highlight w:val="none"/>
          <w:lang w:val="en-US" w:eastAsia="zh-CN"/>
        </w:rPr>
        <w:t xml:space="preserve">   </w:t>
      </w:r>
      <w:r>
        <w:rPr>
          <w:rFonts w:hint="eastAsia" w:ascii="宋体" w:hAnsi="宋体"/>
          <w:color w:val="auto"/>
          <w:sz w:val="24"/>
          <w:highlight w:val="none"/>
          <w:lang w:val="en-US" w:eastAsia="zh-CN"/>
        </w:rPr>
        <w:t>本招标项目韩庄西桥（位村东桥）危桥改造项目已由许昌市建安区发展和改革委员会以建安发改审批[2018]47号批准建设，项目业主为许昌市建安区交通运输局，建设资金来自财政资金，出资比例为100%，招标人为许昌市建安区交通运输局。项目已具备招标条件，现对该项目的施工进行公开招标。</w:t>
      </w:r>
    </w:p>
    <w:p>
      <w:pPr>
        <w:widowControl w:val="0"/>
        <w:numPr>
          <w:numId w:val="0"/>
        </w:numPr>
        <w:wordWrap/>
        <w:adjustRightInd/>
        <w:snapToGrid/>
        <w:spacing w:line="450" w:lineRule="exact"/>
        <w:ind w:right="0"/>
        <w:textAlignment w:val="auto"/>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2、项目概况与招标范围</w:t>
      </w:r>
    </w:p>
    <w:p>
      <w:pPr>
        <w:widowControl w:val="0"/>
        <w:wordWrap/>
        <w:adjustRightInd/>
        <w:snapToGrid/>
        <w:spacing w:line="450" w:lineRule="exact"/>
        <w:ind w:left="0" w:leftChars="0" w:right="0"/>
        <w:textAlignment w:val="auto"/>
        <w:rPr>
          <w:rFonts w:hint="eastAsia" w:ascii="宋体" w:hAnsi="宋体"/>
          <w:color w:val="auto"/>
          <w:sz w:val="24"/>
          <w:highlight w:val="none"/>
          <w:lang w:eastAsia="zh-CN"/>
        </w:rPr>
      </w:pPr>
      <w:r>
        <w:rPr>
          <w:rFonts w:hint="eastAsia" w:ascii="宋体" w:hAnsi="宋体"/>
          <w:b/>
          <w:color w:val="auto"/>
          <w:sz w:val="24"/>
          <w:highlight w:val="none"/>
          <w:lang w:val="en-US" w:eastAsia="zh-CN"/>
        </w:rPr>
        <w:t xml:space="preserve">   </w:t>
      </w:r>
      <w:r>
        <w:rPr>
          <w:rFonts w:hint="eastAsia" w:ascii="宋体" w:hAnsi="宋体"/>
          <w:b w:val="0"/>
          <w:bCs/>
          <w:color w:val="auto"/>
          <w:sz w:val="24"/>
          <w:highlight w:val="none"/>
          <w:lang w:val="en-US" w:eastAsia="zh-CN"/>
        </w:rPr>
        <w:t>2.1建设地点：许昌市建安区五女店镇韩庄村</w:t>
      </w:r>
      <w:r>
        <w:rPr>
          <w:rFonts w:hint="eastAsia" w:ascii="宋体" w:hAnsi="宋体"/>
          <w:color w:val="auto"/>
          <w:sz w:val="24"/>
          <w:highlight w:val="none"/>
          <w:lang w:eastAsia="zh-CN"/>
        </w:rPr>
        <w:t>。</w:t>
      </w:r>
    </w:p>
    <w:p>
      <w:pPr>
        <w:widowControl w:val="0"/>
        <w:wordWrap/>
        <w:adjustRightInd/>
        <w:snapToGrid/>
        <w:spacing w:line="450" w:lineRule="exact"/>
        <w:ind w:left="0" w:leftChars="0" w:right="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2.2项目概况：该项目位于许昌市建安区五女店镇韩庄村，拆除原桥，新建5*13米先张法预应力简支空心板桥，5.5米车行道+2*0.5米护栏，桥长70.06米。</w:t>
      </w:r>
    </w:p>
    <w:p>
      <w:pPr>
        <w:widowControl w:val="0"/>
        <w:wordWrap/>
        <w:adjustRightInd/>
        <w:snapToGrid/>
        <w:spacing w:line="450" w:lineRule="exact"/>
        <w:ind w:left="0" w:leftChars="0" w:right="0" w:firstLine="240" w:firstLineChars="1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2.3招标范围：</w:t>
      </w:r>
      <w:r>
        <w:rPr>
          <w:rFonts w:hint="eastAsia" w:ascii="宋体" w:hAnsi="宋体" w:cs="宋体"/>
          <w:color w:val="auto"/>
          <w:kern w:val="0"/>
          <w:sz w:val="24"/>
          <w:highlight w:val="none"/>
          <w:shd w:val="clear" w:color="auto" w:fill="FFFFFF"/>
        </w:rPr>
        <w:t>招标文件、工程量清单、施工图、设计变更及答疑纪要</w:t>
      </w:r>
      <w:r>
        <w:rPr>
          <w:rFonts w:hint="eastAsia" w:ascii="宋体" w:hAnsi="宋体" w:cs="宋体"/>
          <w:color w:val="auto"/>
          <w:kern w:val="0"/>
          <w:sz w:val="24"/>
          <w:highlight w:val="none"/>
          <w:shd w:val="clear" w:color="auto" w:fill="FFFFFF"/>
          <w:lang w:eastAsia="zh-CN"/>
        </w:rPr>
        <w:t>（如有）</w:t>
      </w:r>
      <w:r>
        <w:rPr>
          <w:rFonts w:hint="eastAsia" w:ascii="宋体" w:hAnsi="宋体" w:cs="宋体"/>
          <w:color w:val="auto"/>
          <w:kern w:val="0"/>
          <w:sz w:val="24"/>
          <w:highlight w:val="none"/>
          <w:shd w:val="clear" w:color="auto" w:fill="FFFFFF"/>
        </w:rPr>
        <w:t>范围内的所有工程内容</w:t>
      </w:r>
      <w:r>
        <w:rPr>
          <w:rFonts w:hint="eastAsia" w:ascii="宋体" w:hAnsi="宋体" w:cs="宋体"/>
          <w:color w:val="auto"/>
          <w:kern w:val="0"/>
          <w:sz w:val="24"/>
          <w:highlight w:val="none"/>
          <w:shd w:val="clear" w:color="auto" w:fill="FFFFFF"/>
          <w:lang w:eastAsia="zh-CN"/>
        </w:rPr>
        <w:t>。</w:t>
      </w:r>
    </w:p>
    <w:p>
      <w:pPr>
        <w:widowControl w:val="0"/>
        <w:wordWrap/>
        <w:adjustRightInd/>
        <w:snapToGrid/>
        <w:spacing w:line="450" w:lineRule="exact"/>
        <w:ind w:left="0" w:leftChars="0" w:right="0" w:firstLine="240" w:firstLineChars="100"/>
        <w:textAlignment w:val="auto"/>
        <w:rPr>
          <w:rFonts w:hint="eastAsia" w:ascii="宋体" w:hAnsi="宋体"/>
          <w:color w:val="auto"/>
          <w:sz w:val="24"/>
          <w:highlight w:val="none"/>
        </w:rPr>
      </w:pPr>
      <w:r>
        <w:rPr>
          <w:rFonts w:hint="eastAsia" w:ascii="宋体" w:hAnsi="宋体"/>
          <w:color w:val="auto"/>
          <w:sz w:val="24"/>
          <w:highlight w:val="none"/>
          <w:lang w:val="en-US" w:eastAsia="zh-CN"/>
        </w:rPr>
        <w:t>2.4招标控制价：2193518.00元</w:t>
      </w:r>
      <w:r>
        <w:rPr>
          <w:rFonts w:hint="eastAsia" w:ascii="宋体" w:hAnsi="宋体"/>
          <w:color w:val="auto"/>
          <w:sz w:val="24"/>
          <w:highlight w:val="none"/>
        </w:rPr>
        <w:t>。</w:t>
      </w:r>
    </w:p>
    <w:p>
      <w:pPr>
        <w:widowControl w:val="0"/>
        <w:wordWrap/>
        <w:adjustRightInd/>
        <w:snapToGrid/>
        <w:spacing w:line="450" w:lineRule="exact"/>
        <w:ind w:left="0" w:leftChars="0" w:right="0" w:firstLine="240" w:firstLineChars="1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2.5计划工期：120日历天。</w:t>
      </w:r>
    </w:p>
    <w:p>
      <w:pPr>
        <w:widowControl w:val="0"/>
        <w:wordWrap/>
        <w:adjustRightInd/>
        <w:snapToGrid/>
        <w:spacing w:line="450" w:lineRule="exact"/>
        <w:ind w:left="0" w:leftChars="0" w:right="0" w:firstLine="240" w:firstLineChars="1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2.6质量要求：合格（符合国家现行的验收规范和标准）。</w:t>
      </w:r>
    </w:p>
    <w:p>
      <w:pPr>
        <w:widowControl w:val="0"/>
        <w:wordWrap/>
        <w:adjustRightInd/>
        <w:snapToGrid/>
        <w:spacing w:line="450" w:lineRule="exact"/>
        <w:ind w:left="0" w:leftChars="0" w:right="0" w:firstLine="240" w:firstLineChars="1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2.7不组织勘察施工现场。</w:t>
      </w:r>
    </w:p>
    <w:p>
      <w:pPr>
        <w:widowControl w:val="0"/>
        <w:wordWrap/>
        <w:adjustRightInd/>
        <w:snapToGrid/>
        <w:spacing w:line="450" w:lineRule="exact"/>
        <w:ind w:left="0" w:leftChars="0" w:right="0"/>
        <w:textAlignment w:val="auto"/>
        <w:rPr>
          <w:rFonts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、投标人资格要求</w:t>
      </w:r>
    </w:p>
    <w:p>
      <w:pPr>
        <w:widowControl w:val="0"/>
        <w:wordWrap/>
        <w:adjustRightInd/>
        <w:snapToGrid/>
        <w:spacing w:line="450" w:lineRule="exact"/>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.1须具备独立法人资格；</w:t>
      </w:r>
    </w:p>
    <w:p>
      <w:pPr>
        <w:widowControl w:val="0"/>
        <w:wordWrap/>
        <w:adjustRightInd/>
        <w:snapToGrid/>
        <w:spacing w:line="450" w:lineRule="exact"/>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.2须具备建设行政主管部门颁发的</w:t>
      </w:r>
      <w:r>
        <w:rPr>
          <w:rFonts w:hint="eastAsia" w:ascii="宋体" w:hAnsi="宋体"/>
          <w:color w:val="auto"/>
          <w:sz w:val="24"/>
          <w:highlight w:val="none"/>
          <w:lang w:eastAsia="zh-CN"/>
        </w:rPr>
        <w:t>公</w:t>
      </w:r>
      <w:r>
        <w:rPr>
          <w:rFonts w:hint="eastAsia" w:ascii="宋体" w:hAnsi="宋体"/>
          <w:color w:val="auto"/>
          <w:sz w:val="24"/>
          <w:highlight w:val="none"/>
        </w:rPr>
        <w:t>路工程施工总承包</w:t>
      </w:r>
      <w:r>
        <w:rPr>
          <w:rFonts w:hint="eastAsia" w:ascii="宋体" w:hAnsi="宋体"/>
          <w:color w:val="auto"/>
          <w:sz w:val="24"/>
          <w:highlight w:val="none"/>
          <w:lang w:eastAsia="zh-CN"/>
        </w:rPr>
        <w:t>三</w:t>
      </w:r>
      <w:r>
        <w:rPr>
          <w:rFonts w:hint="eastAsia" w:ascii="宋体" w:hAnsi="宋体"/>
          <w:color w:val="auto"/>
          <w:sz w:val="24"/>
          <w:highlight w:val="none"/>
        </w:rPr>
        <w:t>级及以上资质，并具备有效的企业安全生产许可证，在人员、设备、资金等方面具有相应的施工能力。</w:t>
      </w:r>
    </w:p>
    <w:p>
      <w:pPr>
        <w:widowControl w:val="0"/>
        <w:wordWrap/>
        <w:adjustRightInd/>
        <w:snapToGrid/>
        <w:spacing w:line="450" w:lineRule="exact"/>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.3投标人近三年内（201</w:t>
      </w:r>
      <w:r>
        <w:rPr>
          <w:rFonts w:hint="eastAsia" w:ascii="宋体" w:hAnsi="宋体"/>
          <w:color w:val="auto"/>
          <w:sz w:val="24"/>
          <w:highlight w:val="none"/>
          <w:lang w:val="en-US" w:eastAsia="zh-CN"/>
        </w:rPr>
        <w:t>5</w:t>
      </w:r>
      <w:r>
        <w:rPr>
          <w:rFonts w:hint="eastAsia" w:ascii="宋体" w:hAnsi="宋体"/>
          <w:color w:val="auto"/>
          <w:sz w:val="24"/>
          <w:highlight w:val="none"/>
        </w:rPr>
        <w:t>年1月1日起至今，以施工合同日期为准）完成两个以上（含两个）的类似项目工程。</w:t>
      </w:r>
    </w:p>
    <w:p>
      <w:pPr>
        <w:widowControl w:val="0"/>
        <w:wordWrap/>
        <w:adjustRightInd/>
        <w:snapToGrid/>
        <w:spacing w:line="450" w:lineRule="exact"/>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.4拟派建造师须具备公路工程专业二级及以上注册建造师资格，具备有效的安全生产考核合格证书，且未担任其他在施建设项目的项目经理。拟派项目总工需具备中级及以上相关专业技术职称。</w:t>
      </w:r>
    </w:p>
    <w:p>
      <w:pPr>
        <w:widowControl w:val="0"/>
        <w:wordWrap/>
        <w:adjustRightInd/>
        <w:snapToGrid/>
        <w:spacing w:line="450" w:lineRule="exact"/>
        <w:ind w:left="0" w:leftChars="0" w:right="0"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.5</w:t>
      </w:r>
      <w:r>
        <w:rPr>
          <w:rFonts w:hint="eastAsia" w:ascii="宋体" w:hAnsi="宋体"/>
          <w:color w:val="auto"/>
          <w:sz w:val="24"/>
          <w:highlight w:val="none"/>
          <w:lang w:val="en-US" w:eastAsia="zh-CN"/>
        </w:rPr>
        <w:t>与招标人存在利害关系可能影响招标公正性的单位，不得参加投标。单位负责人为同一人或存在控股、管理关系的不同单位，不得参加同一标段投标，否则，相关投标均无效。</w:t>
      </w:r>
    </w:p>
    <w:p>
      <w:pPr>
        <w:widowControl w:val="0"/>
        <w:wordWrap/>
        <w:adjustRightInd/>
        <w:snapToGrid/>
        <w:spacing w:line="450" w:lineRule="exact"/>
        <w:ind w:left="0" w:leftChars="0" w:right="0"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3.6按照最新的信用评价结果，被河南省交通运输厅或交通运输部信用等级评定为D级施工企业不得参与投标。</w:t>
      </w:r>
    </w:p>
    <w:p>
      <w:pPr>
        <w:widowControl w:val="0"/>
        <w:wordWrap/>
        <w:adjustRightInd/>
        <w:snapToGrid/>
        <w:spacing w:line="450" w:lineRule="exact"/>
        <w:ind w:left="0" w:leftChars="0" w:right="0"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en-US" w:eastAsia="zh-CN"/>
        </w:rPr>
        <w:t>7不接受“被工商行政管理机关在全国企业信用信息公示系统中列入严重违法失信企业名单；被最高人民法院在“信用中国”网站（www.creditchina.gov.cn）或各级信用信息共享平台中列入失信被执行人名单”的投标。</w:t>
      </w:r>
    </w:p>
    <w:p>
      <w:pPr>
        <w:widowControl w:val="0"/>
        <w:wordWrap/>
        <w:adjustRightInd/>
        <w:snapToGrid/>
        <w:spacing w:line="450" w:lineRule="exact"/>
        <w:ind w:left="0" w:leftChars="0" w:right="0"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3.8本次招标不接受联合体投标。</w:t>
      </w:r>
    </w:p>
    <w:p>
      <w:pPr>
        <w:widowControl w:val="0"/>
        <w:wordWrap/>
        <w:adjustRightInd/>
        <w:snapToGrid/>
        <w:spacing w:line="450" w:lineRule="exact"/>
        <w:ind w:left="0" w:leftChars="0" w:right="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4、招标文件的获取</w:t>
      </w:r>
    </w:p>
    <w:p>
      <w:pPr>
        <w:widowControl w:val="0"/>
        <w:wordWrap/>
        <w:adjustRightInd/>
        <w:snapToGrid/>
        <w:spacing w:line="450" w:lineRule="exact"/>
        <w:ind w:left="0" w:leftChars="0" w:right="0"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4.1持CA数字认证证书，登录【全国公共资源交易平台（河南省•许昌市）】“系统用户注册”入口</w:t>
      </w:r>
    </w:p>
    <w:p>
      <w:pPr>
        <w:widowControl w:val="0"/>
        <w:wordWrap/>
        <w:adjustRightInd/>
        <w:snapToGrid/>
        <w:spacing w:line="450" w:lineRule="exact"/>
        <w:ind w:left="0" w:leftChars="0" w:right="0"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（http://221.14.6.70:8088/ggzy/eps/public/RegistAllJcxx.html）进行免费注册登记（详见“常见问题解答-诚信库网上注册相关资料下载”）；</w:t>
      </w:r>
    </w:p>
    <w:p>
      <w:pPr>
        <w:widowControl w:val="0"/>
        <w:wordWrap/>
        <w:adjustRightInd/>
        <w:snapToGrid/>
        <w:spacing w:line="450" w:lineRule="exact"/>
        <w:ind w:left="0" w:leftChars="0" w:right="0"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4.2在投标截止时间前均可登录【全国公共资源交易平台（河南省•许昌市）】“投标人/供应商登录”入口（http://221.14.6.70:8088/ggzy/）自行下载招标文件等（详见“常见问题解答-交易系统操作手册”）。</w:t>
      </w:r>
    </w:p>
    <w:p>
      <w:pPr>
        <w:widowControl w:val="0"/>
        <w:wordWrap/>
        <w:adjustRightInd/>
        <w:snapToGrid/>
        <w:spacing w:line="450" w:lineRule="exact"/>
        <w:ind w:left="0" w:leftChars="0" w:right="0"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4.3招标文件的获取：投标人于投标文件递交截止时间前均可在【全国公共资源交易平台（河南省•许昌市）】自行下载。 </w:t>
      </w:r>
    </w:p>
    <w:p>
      <w:pPr>
        <w:widowControl w:val="0"/>
        <w:wordWrap/>
        <w:adjustRightInd/>
        <w:snapToGrid/>
        <w:spacing w:line="450" w:lineRule="exact"/>
        <w:ind w:left="0" w:leftChars="0" w:right="0"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4.4投标人在递交投标文件时向代理机构缴纳招标文件费用，本项目招标文件每套售价300元，售后不退。 </w:t>
      </w:r>
    </w:p>
    <w:p>
      <w:pPr>
        <w:widowControl w:val="0"/>
        <w:wordWrap/>
        <w:adjustRightInd/>
        <w:snapToGrid/>
        <w:spacing w:line="450" w:lineRule="exact"/>
        <w:ind w:right="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5、投标文件的递交及相关事宜</w:t>
      </w:r>
    </w:p>
    <w:p>
      <w:pPr>
        <w:widowControl w:val="0"/>
        <w:wordWrap/>
        <w:adjustRightInd/>
        <w:snapToGrid/>
        <w:spacing w:line="450" w:lineRule="exact"/>
        <w:ind w:left="0" w:leftChars="0" w:right="0"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5.1投标文件递交的截止时间为2019年1月14日9时30分，地点为许昌市建安区新元大道兴业大厦4楼4167室。</w:t>
      </w:r>
    </w:p>
    <w:p>
      <w:pPr>
        <w:widowControl w:val="0"/>
        <w:wordWrap/>
        <w:adjustRightInd/>
        <w:snapToGrid/>
        <w:spacing w:line="450" w:lineRule="exact"/>
        <w:ind w:left="0" w:leftChars="0" w:right="0" w:firstLine="480" w:firstLineChars="200"/>
        <w:textAlignment w:val="auto"/>
        <w:rPr>
          <w:rFonts w:hAnsi="宋体"/>
          <w:color w:val="000000"/>
          <w:sz w:val="24"/>
          <w:highlight w:val="none"/>
        </w:rPr>
      </w:pPr>
      <w:r>
        <w:rPr>
          <w:rFonts w:hint="eastAsia" w:hAnsi="宋体"/>
          <w:color w:val="000000"/>
          <w:sz w:val="24"/>
          <w:highlight w:val="none"/>
          <w:lang w:val="en-US" w:eastAsia="zh-CN"/>
        </w:rPr>
        <w:t>5.2</w:t>
      </w:r>
      <w:r>
        <w:rPr>
          <w:rFonts w:hint="eastAsia" w:hAnsi="宋体"/>
          <w:color w:val="000000"/>
          <w:sz w:val="24"/>
          <w:highlight w:val="none"/>
        </w:rPr>
        <w:t>逾期送达的或者未送达指定地点的投标文件，招标人不予受理。</w:t>
      </w:r>
    </w:p>
    <w:p>
      <w:pPr>
        <w:widowControl w:val="0"/>
        <w:wordWrap/>
        <w:adjustRightInd/>
        <w:snapToGrid/>
        <w:spacing w:line="450" w:lineRule="exact"/>
        <w:ind w:left="0" w:leftChars="0" w:right="0" w:firstLine="480" w:firstLineChars="200"/>
        <w:textAlignment w:val="auto"/>
        <w:rPr>
          <w:rFonts w:hAnsi="宋体"/>
          <w:color w:val="000000"/>
          <w:sz w:val="24"/>
          <w:highlight w:val="none"/>
        </w:rPr>
      </w:pPr>
      <w:r>
        <w:rPr>
          <w:rFonts w:hint="eastAsia" w:hAnsi="宋体"/>
          <w:color w:val="000000"/>
          <w:sz w:val="24"/>
          <w:highlight w:val="none"/>
          <w:lang w:val="en-US" w:eastAsia="zh-CN"/>
        </w:rPr>
        <w:t>5.3</w:t>
      </w:r>
      <w:r>
        <w:rPr>
          <w:rFonts w:hint="eastAsia" w:hAnsi="宋体"/>
          <w:color w:val="000000"/>
          <w:sz w:val="24"/>
          <w:highlight w:val="none"/>
        </w:rPr>
        <w:t>未通过《全国公共资源交易平台（河南省·许昌市）》下载招标文件的投标人，其投标文件不予受理。</w:t>
      </w:r>
    </w:p>
    <w:p>
      <w:pPr>
        <w:widowControl w:val="0"/>
        <w:wordWrap/>
        <w:adjustRightInd/>
        <w:snapToGrid/>
        <w:spacing w:line="450" w:lineRule="exact"/>
        <w:ind w:left="0" w:leftChars="0" w:right="0"/>
        <w:textAlignment w:val="auto"/>
        <w:rPr>
          <w:rFonts w:hAnsi="宋体"/>
          <w:b/>
          <w:color w:val="000000"/>
          <w:sz w:val="24"/>
          <w:highlight w:val="none"/>
        </w:rPr>
      </w:pPr>
      <w:r>
        <w:rPr>
          <w:rFonts w:hint="eastAsia" w:hAnsi="宋体"/>
          <w:b/>
          <w:color w:val="000000"/>
          <w:sz w:val="24"/>
          <w:highlight w:val="none"/>
          <w:lang w:val="en-US" w:eastAsia="zh-CN"/>
        </w:rPr>
        <w:t>6</w:t>
      </w:r>
      <w:r>
        <w:rPr>
          <w:rFonts w:hint="eastAsia" w:hAnsi="宋体"/>
          <w:b/>
          <w:color w:val="000000"/>
          <w:sz w:val="24"/>
          <w:highlight w:val="none"/>
        </w:rPr>
        <w:t>、发布公告的媒介</w:t>
      </w:r>
    </w:p>
    <w:p>
      <w:pPr>
        <w:widowControl w:val="0"/>
        <w:wordWrap/>
        <w:adjustRightInd/>
        <w:snapToGrid/>
        <w:spacing w:line="450" w:lineRule="exact"/>
        <w:ind w:left="0" w:leftChars="0" w:right="0" w:firstLine="480" w:firstLineChars="200"/>
        <w:textAlignment w:val="auto"/>
        <w:rPr>
          <w:rFonts w:hAnsi="宋体"/>
          <w:color w:val="000000"/>
          <w:sz w:val="24"/>
          <w:highlight w:val="none"/>
        </w:rPr>
      </w:pPr>
      <w:r>
        <w:rPr>
          <w:rFonts w:hint="eastAsia" w:hAnsi="宋体"/>
          <w:color w:val="000000"/>
          <w:sz w:val="24"/>
          <w:highlight w:val="none"/>
        </w:rPr>
        <w:t>本次招标公告在《全国公共资源交易平台（河南省·许昌市）》</w:t>
      </w:r>
      <w:r>
        <w:rPr>
          <w:rFonts w:hint="eastAsia" w:hAnsi="宋体"/>
          <w:color w:val="000000"/>
          <w:sz w:val="24"/>
          <w:highlight w:val="none"/>
          <w:lang w:eastAsia="zh-CN"/>
        </w:rPr>
        <w:t>和</w:t>
      </w:r>
      <w:r>
        <w:rPr>
          <w:rFonts w:hint="eastAsia" w:ascii="宋体" w:hAnsi="宋体"/>
          <w:sz w:val="24"/>
          <w:highlight w:val="none"/>
          <w:lang w:val="en-US" w:eastAsia="zh-CN"/>
        </w:rPr>
        <w:t>《河南省电子招标投标公共服务平台》</w:t>
      </w:r>
      <w:r>
        <w:rPr>
          <w:rFonts w:hint="eastAsia" w:hAnsi="宋体"/>
          <w:color w:val="000000"/>
          <w:sz w:val="24"/>
          <w:highlight w:val="none"/>
        </w:rPr>
        <w:t>上同时发布。</w:t>
      </w:r>
    </w:p>
    <w:p>
      <w:pPr>
        <w:widowControl w:val="0"/>
        <w:wordWrap/>
        <w:adjustRightInd/>
        <w:snapToGrid/>
        <w:spacing w:line="450" w:lineRule="exact"/>
        <w:ind w:left="0" w:leftChars="0" w:right="0"/>
        <w:textAlignment w:val="auto"/>
        <w:rPr>
          <w:rFonts w:ascii="宋体" w:hAnsi="宋体"/>
          <w:b/>
          <w:color w:val="auto"/>
          <w:sz w:val="24"/>
          <w:highlight w:val="none"/>
        </w:rPr>
      </w:pPr>
      <w:r>
        <w:rPr>
          <w:rFonts w:hint="eastAsia" w:ascii="宋体" w:hAnsi="宋体"/>
          <w:b/>
          <w:color w:val="auto"/>
          <w:sz w:val="24"/>
          <w:highlight w:val="none"/>
          <w:lang w:val="en-US" w:eastAsia="zh-CN"/>
        </w:rPr>
        <w:t>7</w:t>
      </w:r>
      <w:r>
        <w:rPr>
          <w:rFonts w:hint="eastAsia" w:ascii="宋体" w:hAnsi="宋体"/>
          <w:b/>
          <w:color w:val="auto"/>
          <w:sz w:val="24"/>
          <w:highlight w:val="none"/>
        </w:rPr>
        <w:t>、联系方式</w:t>
      </w:r>
    </w:p>
    <w:p>
      <w:pPr>
        <w:widowControl w:val="0"/>
        <w:wordWrap/>
        <w:adjustRightInd/>
        <w:snapToGrid/>
        <w:spacing w:line="450" w:lineRule="exact"/>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rPr>
        <w:t>招  标  人：许昌市建安区交通运输局</w:t>
      </w:r>
    </w:p>
    <w:p>
      <w:pPr>
        <w:widowControl w:val="0"/>
        <w:wordWrap/>
        <w:adjustRightInd/>
        <w:snapToGrid/>
        <w:spacing w:line="450" w:lineRule="exact"/>
        <w:ind w:left="0" w:leftChars="0" w:right="0"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项目负责人：</w:t>
      </w:r>
      <w:r>
        <w:rPr>
          <w:rFonts w:hint="eastAsia" w:ascii="宋体" w:hAnsi="宋体"/>
          <w:color w:val="auto"/>
          <w:sz w:val="24"/>
          <w:highlight w:val="none"/>
          <w:lang w:eastAsia="zh-CN"/>
        </w:rPr>
        <w:t>张彦</w:t>
      </w:r>
    </w:p>
    <w:p>
      <w:pPr>
        <w:widowControl w:val="0"/>
        <w:wordWrap/>
        <w:adjustRightInd/>
        <w:snapToGrid/>
        <w:spacing w:line="450" w:lineRule="exact"/>
        <w:ind w:left="0" w:leftChars="0" w:right="0" w:firstLine="480" w:firstLineChars="200"/>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15664207717</w:t>
      </w:r>
    </w:p>
    <w:p>
      <w:pPr>
        <w:widowControl w:val="0"/>
        <w:wordWrap/>
        <w:adjustRightInd/>
        <w:snapToGrid/>
        <w:spacing w:line="450" w:lineRule="exact"/>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rPr>
        <w:t>代 理 机 构：</w:t>
      </w:r>
      <w:r>
        <w:rPr>
          <w:rFonts w:hint="eastAsia" w:ascii="宋体" w:hAnsi="宋体"/>
          <w:color w:val="auto"/>
          <w:sz w:val="24"/>
          <w:highlight w:val="none"/>
          <w:lang w:eastAsia="zh-CN"/>
        </w:rPr>
        <w:t>大成工程咨询有限公司</w:t>
      </w:r>
    </w:p>
    <w:p>
      <w:pPr>
        <w:widowControl w:val="0"/>
        <w:wordWrap/>
        <w:adjustRightInd/>
        <w:snapToGrid/>
        <w:spacing w:line="450" w:lineRule="exact"/>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rPr>
        <w:t>项目负责人：</w:t>
      </w:r>
      <w:r>
        <w:rPr>
          <w:rFonts w:hint="eastAsia" w:ascii="宋体" w:hAnsi="宋体"/>
          <w:color w:val="auto"/>
          <w:sz w:val="24"/>
          <w:highlight w:val="none"/>
          <w:lang w:eastAsia="zh-CN"/>
        </w:rPr>
        <w:t>申林</w:t>
      </w:r>
    </w:p>
    <w:p>
      <w:pPr>
        <w:widowControl w:val="0"/>
        <w:wordWrap/>
        <w:adjustRightInd/>
        <w:snapToGrid/>
        <w:spacing w:line="450" w:lineRule="exact"/>
        <w:ind w:left="0" w:leftChars="0" w:right="0" w:firstLine="480" w:firstLineChars="200"/>
        <w:textAlignment w:val="auto"/>
        <w:rPr>
          <w:rFonts w:ascii="宋体" w:hAnsi="宋体"/>
          <w:color w:val="auto"/>
          <w:sz w:val="52"/>
          <w:szCs w:val="52"/>
          <w:highlight w:val="none"/>
        </w:rPr>
      </w:pPr>
      <w:r>
        <w:rPr>
          <w:rFonts w:hint="eastAsia" w:ascii="宋体" w:hAnsi="宋体"/>
          <w:color w:val="auto"/>
          <w:sz w:val="24"/>
          <w:highlight w:val="none"/>
        </w:rPr>
        <w:t>电    话：</w:t>
      </w:r>
      <w:r>
        <w:rPr>
          <w:rFonts w:hint="eastAsia" w:ascii="宋体" w:hAnsi="宋体"/>
          <w:color w:val="auto"/>
          <w:sz w:val="24"/>
          <w:highlight w:val="none"/>
          <w:lang w:val="en-US" w:eastAsia="zh-CN"/>
        </w:rPr>
        <w:t>0374-8096678</w:t>
      </w:r>
      <w:r>
        <w:rPr>
          <w:rFonts w:hint="eastAsia" w:ascii="宋体" w:hAnsi="宋体"/>
          <w:color w:val="auto"/>
          <w:sz w:val="24"/>
          <w:highlight w:val="none"/>
        </w:rPr>
        <w:t> </w:t>
      </w:r>
    </w:p>
    <w:p>
      <w:pPr>
        <w:widowControl w:val="0"/>
        <w:wordWrap/>
        <w:adjustRightInd/>
        <w:snapToGrid/>
        <w:spacing w:line="450" w:lineRule="exact"/>
        <w:ind w:left="0" w:leftChars="0" w:right="0" w:firstLine="480" w:firstLineChars="200"/>
        <w:jc w:val="right"/>
        <w:textAlignment w:val="auto"/>
        <w:rPr>
          <w:rFonts w:hint="eastAsia" w:ascii="宋体" w:hAnsi="宋体"/>
          <w:color w:val="auto"/>
          <w:sz w:val="24"/>
          <w:highlight w:val="none"/>
          <w:lang w:val="en-US" w:eastAsia="zh-CN"/>
        </w:rPr>
      </w:pPr>
      <w:bookmarkStart w:id="2" w:name="_Toc30837"/>
      <w:r>
        <w:rPr>
          <w:rFonts w:hint="eastAsia" w:ascii="宋体" w:hAnsi="宋体"/>
          <w:color w:val="auto"/>
          <w:sz w:val="24"/>
          <w:highlight w:val="none"/>
          <w:lang w:val="en-US" w:eastAsia="zh-CN"/>
        </w:rPr>
        <w:t>许昌市建安区交通运输局</w:t>
      </w:r>
    </w:p>
    <w:p>
      <w:pPr>
        <w:widowControl w:val="0"/>
        <w:wordWrap/>
        <w:adjustRightInd/>
        <w:snapToGrid/>
        <w:spacing w:line="450" w:lineRule="exact"/>
        <w:ind w:left="0" w:leftChars="0" w:right="0"/>
        <w:jc w:val="center"/>
        <w:textAlignment w:val="auto"/>
        <w:outlineLvl w:val="0"/>
        <w:rPr>
          <w:rFonts w:hint="eastAsia" w:ascii="黑体" w:eastAsia="黑体"/>
          <w:bCs/>
          <w:color w:val="auto"/>
          <w:sz w:val="44"/>
          <w:szCs w:val="44"/>
          <w:highlight w:val="none"/>
        </w:rPr>
      </w:pPr>
      <w:r>
        <w:rPr>
          <w:rFonts w:hint="eastAsia" w:ascii="宋体" w:hAnsi="宋体"/>
          <w:color w:val="auto"/>
          <w:sz w:val="24"/>
          <w:highlight w:val="none"/>
          <w:lang w:val="en-US" w:eastAsia="zh-CN"/>
        </w:rPr>
        <w:t xml:space="preserve">                                                          2018年12月17日</w:t>
      </w: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pStyle w:val="2"/>
        <w:rPr>
          <w:rFonts w:hint="eastAsia" w:ascii="黑体" w:eastAsia="黑体"/>
          <w:bCs/>
          <w:color w:val="auto"/>
          <w:sz w:val="44"/>
          <w:szCs w:val="44"/>
          <w:highlight w:val="none"/>
        </w:rPr>
      </w:pPr>
    </w:p>
    <w:p>
      <w:pPr>
        <w:pStyle w:val="2"/>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both"/>
        <w:outlineLvl w:val="0"/>
        <w:rPr>
          <w:rFonts w:hint="eastAsia" w:ascii="黑体" w:eastAsia="黑体"/>
          <w:bCs/>
          <w:color w:val="auto"/>
          <w:sz w:val="44"/>
          <w:szCs w:val="44"/>
          <w:highlight w:val="none"/>
        </w:rPr>
      </w:pPr>
    </w:p>
    <w:p>
      <w:pPr>
        <w:jc w:val="both"/>
        <w:outlineLvl w:val="0"/>
        <w:rPr>
          <w:rFonts w:hint="eastAsia" w:ascii="黑体" w:eastAsia="黑体"/>
          <w:bCs/>
          <w:color w:val="auto"/>
          <w:sz w:val="44"/>
          <w:szCs w:val="44"/>
          <w:highlight w:val="none"/>
        </w:rPr>
      </w:pPr>
    </w:p>
    <w:p>
      <w:pPr>
        <w:jc w:val="center"/>
        <w:outlineLvl w:val="0"/>
        <w:rPr>
          <w:rFonts w:ascii="宋体" w:hAnsi="宋体"/>
          <w:color w:val="auto"/>
          <w:sz w:val="44"/>
          <w:szCs w:val="44"/>
          <w:highlight w:val="none"/>
        </w:rPr>
      </w:pPr>
      <w:r>
        <w:rPr>
          <w:rFonts w:hint="eastAsia" w:ascii="黑体" w:eastAsia="黑体"/>
          <w:bCs/>
          <w:color w:val="auto"/>
          <w:sz w:val="44"/>
          <w:szCs w:val="44"/>
          <w:highlight w:val="none"/>
        </w:rPr>
        <w:t>第二章  投标人须知</w:t>
      </w:r>
      <w:bookmarkEnd w:id="2"/>
    </w:p>
    <w:p>
      <w:pPr>
        <w:spacing w:line="360" w:lineRule="auto"/>
        <w:jc w:val="center"/>
        <w:rPr>
          <w:rFonts w:ascii="宋体" w:hAnsi="宋体"/>
          <w:b/>
          <w:color w:val="auto"/>
          <w:sz w:val="24"/>
          <w:highlight w:val="none"/>
        </w:rPr>
      </w:pPr>
      <w:bookmarkStart w:id="3" w:name="_Toc234382587"/>
      <w:r>
        <w:rPr>
          <w:rFonts w:hint="eastAsia" w:ascii="黑体" w:eastAsia="黑体"/>
          <w:color w:val="auto"/>
          <w:sz w:val="30"/>
          <w:szCs w:val="30"/>
          <w:highlight w:val="none"/>
        </w:rPr>
        <w:t>投标人须知前附表</w:t>
      </w:r>
      <w:bookmarkEnd w:id="3"/>
      <w:bookmarkStart w:id="4" w:name="_Hlt111980600"/>
      <w:bookmarkEnd w:id="4"/>
    </w:p>
    <w:tbl>
      <w:tblPr>
        <w:tblpPr w:leftFromText="180" w:rightFromText="180" w:vertAnchor="text" w:horzAnchor="page" w:tblpX="1466" w:tblpY="643"/>
        <w:tblOverlap w:val="never"/>
        <w:tblW w:w="90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084"/>
        <w:gridCol w:w="5798"/>
        <w:gridCol w:w="7"/>
      </w:tblGrid>
      <w:tr>
        <w:trPr>
          <w:trHeight w:val="90" w:hRule="atLeast"/>
        </w:trPr>
        <w:tc>
          <w:tcPr>
            <w:tcW w:w="1202" w:type="dxa"/>
            <w:vAlign w:val="top"/>
          </w:tcPr>
          <w:p>
            <w:pPr>
              <w:spacing w:before="0" w:beforeAutospacing="0" w:after="0" w:afterAutospacing="0" w:line="360" w:lineRule="auto"/>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条款号</w:t>
            </w:r>
          </w:p>
        </w:tc>
        <w:tc>
          <w:tcPr>
            <w:tcW w:w="2084" w:type="dxa"/>
            <w:vAlign w:val="center"/>
          </w:tcPr>
          <w:p>
            <w:pPr>
              <w:spacing w:before="0" w:beforeAutospacing="0" w:after="0" w:afterAutospacing="0" w:line="360" w:lineRule="auto"/>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条 款 名 称</w:t>
            </w:r>
          </w:p>
        </w:tc>
        <w:tc>
          <w:tcPr>
            <w:tcW w:w="5805" w:type="dxa"/>
            <w:gridSpan w:val="2"/>
            <w:vAlign w:val="center"/>
          </w:tcPr>
          <w:p>
            <w:pPr>
              <w:spacing w:before="0" w:beforeAutospacing="0" w:after="0" w:afterAutospacing="0" w:line="360" w:lineRule="auto"/>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编 列 内 容</w:t>
            </w:r>
          </w:p>
        </w:tc>
      </w:tr>
      <w:tr>
        <w:trPr>
          <w:trHeight w:val="992" w:hRule="atLeast"/>
        </w:trPr>
        <w:tc>
          <w:tcPr>
            <w:tcW w:w="1202"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1.1.</w:t>
            </w:r>
            <w:r>
              <w:rPr>
                <w:rFonts w:hint="eastAsia" w:ascii="宋体" w:hAnsi="宋体" w:cs="Calibri"/>
                <w:color w:val="auto"/>
                <w:kern w:val="2"/>
                <w:sz w:val="24"/>
                <w:szCs w:val="22"/>
                <w:highlight w:val="none"/>
                <w:lang w:val="en-US" w:eastAsia="zh-CN"/>
              </w:rPr>
              <w:t>2</w:t>
            </w:r>
          </w:p>
        </w:tc>
        <w:tc>
          <w:tcPr>
            <w:tcW w:w="2084"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招标人</w:t>
            </w:r>
          </w:p>
        </w:tc>
        <w:tc>
          <w:tcPr>
            <w:tcW w:w="5805" w:type="dxa"/>
            <w:gridSpan w:val="2"/>
            <w:tcBorders>
              <w:bottom w:val="single" w:color="auto" w:sz="4" w:space="0"/>
            </w:tcBorders>
            <w:vAlign w:val="center"/>
          </w:tcPr>
          <w:p>
            <w:pPr>
              <w:tabs>
                <w:tab w:val="left" w:pos="4536"/>
              </w:tabs>
              <w:spacing w:before="0" w:beforeAutospacing="0" w:after="0" w:afterAutospacing="0" w:line="500" w:lineRule="exact"/>
              <w:ind w:left="0" w:right="0"/>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名 称：许昌市建安区交通运输局</w:t>
            </w:r>
          </w:p>
          <w:p>
            <w:pPr>
              <w:tabs>
                <w:tab w:val="left" w:pos="4536"/>
              </w:tabs>
              <w:spacing w:before="0" w:beforeAutospacing="0" w:after="0" w:afterAutospacing="0" w:line="500" w:lineRule="exact"/>
              <w:ind w:left="0" w:right="0"/>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地 址：许昌市建安区新元大道</w:t>
            </w:r>
          </w:p>
          <w:p>
            <w:pPr>
              <w:tabs>
                <w:tab w:val="left" w:pos="4536"/>
              </w:tabs>
              <w:spacing w:before="0" w:beforeAutospacing="0" w:after="0" w:afterAutospacing="0" w:line="500" w:lineRule="exact"/>
              <w:ind w:left="0" w:right="0"/>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联系人：张彦</w:t>
            </w:r>
          </w:p>
          <w:p>
            <w:pPr>
              <w:tabs>
                <w:tab w:val="left" w:pos="4536"/>
              </w:tabs>
              <w:spacing w:before="0" w:beforeAutospacing="0" w:after="0" w:afterAutospacing="0" w:line="500" w:lineRule="exact"/>
              <w:ind w:left="0" w:right="0"/>
              <w:rPr>
                <w:rFonts w:hint="eastAsia" w:ascii="宋体" w:hAnsi="宋体" w:eastAsia="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电  话：15664207717</w:t>
            </w:r>
          </w:p>
        </w:tc>
      </w:tr>
      <w:tr>
        <w:trPr>
          <w:trHeight w:val="1683" w:hRule="atLeast"/>
        </w:trPr>
        <w:tc>
          <w:tcPr>
            <w:tcW w:w="1202"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1.1.</w:t>
            </w:r>
            <w:r>
              <w:rPr>
                <w:rFonts w:hint="eastAsia" w:ascii="宋体" w:hAnsi="宋体" w:cs="Calibri"/>
                <w:color w:val="auto"/>
                <w:kern w:val="2"/>
                <w:sz w:val="24"/>
                <w:szCs w:val="22"/>
                <w:highlight w:val="none"/>
                <w:lang w:val="en-US" w:eastAsia="zh-CN"/>
              </w:rPr>
              <w:t>3</w:t>
            </w:r>
          </w:p>
        </w:tc>
        <w:tc>
          <w:tcPr>
            <w:tcW w:w="2084"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招标代理机构</w:t>
            </w:r>
          </w:p>
        </w:tc>
        <w:tc>
          <w:tcPr>
            <w:tcW w:w="5805" w:type="dxa"/>
            <w:gridSpan w:val="2"/>
            <w:tcBorders>
              <w:bottom w:val="single" w:color="auto" w:sz="4" w:space="0"/>
            </w:tcBorders>
            <w:vAlign w:val="center"/>
          </w:tcPr>
          <w:p>
            <w:pPr>
              <w:tabs>
                <w:tab w:val="left" w:pos="4536"/>
              </w:tabs>
              <w:spacing w:before="0" w:beforeAutospacing="0" w:after="0" w:afterAutospacing="0" w:line="500" w:lineRule="exact"/>
              <w:ind w:left="0" w:right="0"/>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rPr>
              <w:t>名 称：</w:t>
            </w:r>
            <w:r>
              <w:rPr>
                <w:rFonts w:hint="eastAsia" w:ascii="宋体" w:hAnsi="宋体" w:cs="Calibri"/>
                <w:color w:val="auto"/>
                <w:kern w:val="2"/>
                <w:sz w:val="24"/>
                <w:szCs w:val="22"/>
                <w:highlight w:val="none"/>
                <w:lang w:eastAsia="zh-CN"/>
              </w:rPr>
              <w:t>大成工程咨询有限公司</w:t>
            </w:r>
          </w:p>
          <w:p>
            <w:pPr>
              <w:tabs>
                <w:tab w:val="left" w:pos="4536"/>
              </w:tabs>
              <w:spacing w:before="0" w:beforeAutospacing="0" w:after="0" w:afterAutospacing="0" w:line="500" w:lineRule="exact"/>
              <w:ind w:left="0" w:right="0"/>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rPr>
              <w:t>联系人：</w:t>
            </w:r>
            <w:r>
              <w:rPr>
                <w:rFonts w:hint="eastAsia" w:ascii="宋体" w:hAnsi="宋体" w:cs="Calibri"/>
                <w:color w:val="auto"/>
                <w:kern w:val="2"/>
                <w:sz w:val="24"/>
                <w:szCs w:val="22"/>
                <w:highlight w:val="none"/>
                <w:lang w:eastAsia="zh-CN"/>
              </w:rPr>
              <w:t>申林</w:t>
            </w:r>
          </w:p>
          <w:p>
            <w:pPr>
              <w:tabs>
                <w:tab w:val="left" w:pos="4536"/>
              </w:tabs>
              <w:spacing w:before="0" w:beforeAutospacing="0" w:after="0" w:afterAutospacing="0" w:line="500" w:lineRule="exact"/>
              <w:ind w:left="0" w:right="0"/>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电</w:t>
            </w:r>
            <w:r>
              <w:rPr>
                <w:rFonts w:hint="eastAsia" w:ascii="宋体" w:hAnsi="宋体" w:cs="Calibri"/>
                <w:color w:val="auto"/>
                <w:kern w:val="2"/>
                <w:sz w:val="24"/>
                <w:szCs w:val="22"/>
                <w:highlight w:val="none"/>
                <w:lang w:val="en-US" w:eastAsia="zh-CN"/>
              </w:rPr>
              <w:t xml:space="preserve">  </w:t>
            </w:r>
            <w:r>
              <w:rPr>
                <w:rFonts w:hint="eastAsia" w:ascii="宋体" w:hAnsi="宋体" w:cs="Calibri"/>
                <w:color w:val="auto"/>
                <w:kern w:val="2"/>
                <w:sz w:val="24"/>
                <w:szCs w:val="22"/>
                <w:highlight w:val="none"/>
              </w:rPr>
              <w:t>话：0374-8096678 </w:t>
            </w:r>
          </w:p>
        </w:tc>
      </w:tr>
      <w:tr>
        <w:trPr>
          <w:trHeight w:val="605" w:hRule="exact"/>
        </w:trPr>
        <w:tc>
          <w:tcPr>
            <w:tcW w:w="1202"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1.1.</w:t>
            </w:r>
            <w:r>
              <w:rPr>
                <w:rFonts w:hint="eastAsia" w:ascii="宋体" w:hAnsi="宋体" w:cs="Calibri"/>
                <w:color w:val="auto"/>
                <w:kern w:val="2"/>
                <w:sz w:val="24"/>
                <w:szCs w:val="22"/>
                <w:highlight w:val="none"/>
                <w:lang w:val="en-US" w:eastAsia="zh-CN"/>
              </w:rPr>
              <w:t>4</w:t>
            </w:r>
          </w:p>
        </w:tc>
        <w:tc>
          <w:tcPr>
            <w:tcW w:w="2084" w:type="dxa"/>
            <w:tcBorders>
              <w:right w:val="single" w:color="auto" w:sz="4" w:space="0"/>
            </w:tcBorders>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lang w:eastAsia="zh-CN"/>
              </w:rPr>
              <w:t>招标</w:t>
            </w:r>
            <w:r>
              <w:rPr>
                <w:rFonts w:hint="eastAsia" w:ascii="宋体" w:hAnsi="宋体" w:cs="Calibri"/>
                <w:color w:val="auto"/>
                <w:kern w:val="2"/>
                <w:sz w:val="24"/>
                <w:szCs w:val="22"/>
                <w:highlight w:val="none"/>
              </w:rPr>
              <w:t>项目名称</w:t>
            </w:r>
          </w:p>
        </w:tc>
        <w:tc>
          <w:tcPr>
            <w:tcW w:w="5805" w:type="dxa"/>
            <w:gridSpan w:val="2"/>
            <w:tcBorders>
              <w:left w:val="single" w:color="auto" w:sz="4" w:space="0"/>
              <w:right w:val="single" w:color="auto" w:sz="4" w:space="0"/>
            </w:tcBorders>
            <w:vAlign w:val="center"/>
          </w:tcPr>
          <w:p>
            <w:pPr>
              <w:tabs>
                <w:tab w:val="right" w:leader="dot" w:pos="8295"/>
              </w:tabs>
              <w:spacing w:before="0" w:beforeAutospacing="0" w:after="0" w:afterAutospacing="0" w:line="500" w:lineRule="exact"/>
              <w:ind w:left="0" w:right="0"/>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韩庄西桥（位村东桥）危桥改造项目</w:t>
            </w:r>
          </w:p>
        </w:tc>
      </w:tr>
      <w:tr>
        <w:trPr>
          <w:trHeight w:val="510" w:hRule="exact"/>
        </w:trPr>
        <w:tc>
          <w:tcPr>
            <w:tcW w:w="1202"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1.1.</w:t>
            </w:r>
            <w:r>
              <w:rPr>
                <w:rFonts w:hint="eastAsia" w:ascii="宋体" w:hAnsi="宋体" w:cs="Calibri"/>
                <w:color w:val="auto"/>
                <w:kern w:val="2"/>
                <w:sz w:val="24"/>
                <w:szCs w:val="22"/>
                <w:highlight w:val="none"/>
                <w:lang w:val="en-US" w:eastAsia="zh-CN"/>
              </w:rPr>
              <w:t>5</w:t>
            </w:r>
          </w:p>
        </w:tc>
        <w:tc>
          <w:tcPr>
            <w:tcW w:w="2084" w:type="dxa"/>
            <w:tcBorders>
              <w:right w:val="single" w:color="auto" w:sz="4" w:space="0"/>
            </w:tcBorders>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建设地点</w:t>
            </w:r>
          </w:p>
        </w:tc>
        <w:tc>
          <w:tcPr>
            <w:tcW w:w="5805" w:type="dxa"/>
            <w:gridSpan w:val="2"/>
            <w:tcBorders>
              <w:left w:val="single" w:color="auto" w:sz="4" w:space="0"/>
              <w:right w:val="single" w:color="auto" w:sz="4" w:space="0"/>
            </w:tcBorders>
            <w:vAlign w:val="center"/>
          </w:tcPr>
          <w:p>
            <w:pPr>
              <w:spacing w:before="0" w:beforeAutospacing="0" w:after="0" w:afterAutospacing="0" w:line="500" w:lineRule="exact"/>
              <w:ind w:left="0" w:right="0"/>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lang w:val="en-US" w:eastAsia="zh-CN"/>
              </w:rPr>
              <w:t>许昌市建安区五女店镇韩庄村</w:t>
            </w:r>
          </w:p>
        </w:tc>
      </w:tr>
      <w:tr>
        <w:trPr>
          <w:trHeight w:val="510" w:hRule="exact"/>
        </w:trPr>
        <w:tc>
          <w:tcPr>
            <w:tcW w:w="1202"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w:t>
            </w:r>
            <w:r>
              <w:rPr>
                <w:rFonts w:hint="eastAsia" w:ascii="宋体" w:hAnsi="宋体" w:cs="Calibri"/>
                <w:color w:val="auto"/>
                <w:kern w:val="2"/>
                <w:sz w:val="24"/>
                <w:szCs w:val="22"/>
                <w:highlight w:val="none"/>
                <w:lang w:val="en-US" w:eastAsia="zh-CN"/>
              </w:rPr>
              <w:t>2.1</w:t>
            </w:r>
          </w:p>
        </w:tc>
        <w:tc>
          <w:tcPr>
            <w:tcW w:w="2084" w:type="dxa"/>
            <w:tcBorders>
              <w:right w:val="single" w:color="auto" w:sz="4" w:space="0"/>
            </w:tcBorders>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资金来源</w:t>
            </w:r>
            <w:r>
              <w:rPr>
                <w:rFonts w:hint="eastAsia" w:ascii="宋体" w:hAnsi="宋体" w:cs="Calibri"/>
                <w:color w:val="auto"/>
                <w:kern w:val="2"/>
                <w:sz w:val="24"/>
                <w:szCs w:val="22"/>
                <w:highlight w:val="none"/>
                <w:lang w:eastAsia="zh-CN"/>
              </w:rPr>
              <w:t>及比例</w:t>
            </w:r>
          </w:p>
        </w:tc>
        <w:tc>
          <w:tcPr>
            <w:tcW w:w="5805" w:type="dxa"/>
            <w:gridSpan w:val="2"/>
            <w:tcBorders>
              <w:left w:val="single" w:color="auto" w:sz="4" w:space="0"/>
              <w:bottom w:val="single" w:color="auto" w:sz="4" w:space="0"/>
              <w:right w:val="single" w:color="auto" w:sz="4" w:space="0"/>
            </w:tcBorders>
            <w:vAlign w:val="center"/>
          </w:tcPr>
          <w:p>
            <w:pPr>
              <w:spacing w:before="0" w:beforeAutospacing="0" w:after="0" w:afterAutospacing="0" w:line="500" w:lineRule="exact"/>
              <w:ind w:left="0" w:right="0"/>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财政投资</w:t>
            </w:r>
            <w:r>
              <w:rPr>
                <w:rFonts w:hint="eastAsia" w:ascii="宋体" w:hAnsi="宋体" w:cs="Calibri"/>
                <w:bCs/>
                <w:color w:val="auto"/>
                <w:kern w:val="2"/>
                <w:sz w:val="24"/>
                <w:szCs w:val="22"/>
                <w:highlight w:val="none"/>
              </w:rPr>
              <w:t>100%</w:t>
            </w:r>
          </w:p>
        </w:tc>
      </w:tr>
      <w:tr>
        <w:trPr>
          <w:trHeight w:val="510" w:hRule="exact"/>
        </w:trPr>
        <w:tc>
          <w:tcPr>
            <w:tcW w:w="1202"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1.2.2</w:t>
            </w:r>
          </w:p>
        </w:tc>
        <w:tc>
          <w:tcPr>
            <w:tcW w:w="2084"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资金落实情况</w:t>
            </w:r>
          </w:p>
        </w:tc>
        <w:tc>
          <w:tcPr>
            <w:tcW w:w="5805" w:type="dxa"/>
            <w:gridSpan w:val="2"/>
            <w:tcBorders>
              <w:top w:val="single" w:color="auto" w:sz="4" w:space="0"/>
            </w:tcBorders>
            <w:vAlign w:val="center"/>
          </w:tcPr>
          <w:p>
            <w:pPr>
              <w:spacing w:before="0" w:beforeAutospacing="0" w:after="0" w:afterAutospacing="0" w:line="500" w:lineRule="exact"/>
              <w:ind w:left="0" w:right="0"/>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建设资金已落实</w:t>
            </w:r>
          </w:p>
        </w:tc>
      </w:tr>
      <w:tr>
        <w:trPr>
          <w:trHeight w:val="1128" w:hRule="exact"/>
        </w:trPr>
        <w:tc>
          <w:tcPr>
            <w:tcW w:w="1202"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1.3.1</w:t>
            </w:r>
          </w:p>
        </w:tc>
        <w:tc>
          <w:tcPr>
            <w:tcW w:w="2084"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招标范围</w:t>
            </w:r>
          </w:p>
        </w:tc>
        <w:tc>
          <w:tcPr>
            <w:tcW w:w="5805" w:type="dxa"/>
            <w:gridSpan w:val="2"/>
            <w:vAlign w:val="center"/>
          </w:tcPr>
          <w:p>
            <w:pPr>
              <w:spacing w:before="0" w:beforeAutospacing="0" w:after="0" w:afterAutospacing="0" w:line="500" w:lineRule="exact"/>
              <w:ind w:left="0" w:right="0"/>
              <w:rPr>
                <w:rFonts w:hint="default" w:ascii="宋体" w:hAnsi="宋体" w:cs="Calibri"/>
                <w:color w:val="auto"/>
                <w:kern w:val="2"/>
                <w:sz w:val="24"/>
                <w:szCs w:val="22"/>
                <w:highlight w:val="none"/>
              </w:rPr>
            </w:pPr>
            <w:r>
              <w:rPr>
                <w:rFonts w:hint="eastAsia" w:ascii="宋体" w:hAnsi="宋体" w:cs="宋体"/>
                <w:color w:val="auto"/>
                <w:kern w:val="0"/>
                <w:sz w:val="24"/>
                <w:szCs w:val="22"/>
                <w:highlight w:val="none"/>
                <w:shd w:val="clear" w:color="auto" w:fill="FFFFFF"/>
              </w:rPr>
              <w:t>招标文件、工程量清单、施工图、设计变更及答疑纪要</w:t>
            </w:r>
            <w:r>
              <w:rPr>
                <w:rFonts w:hint="eastAsia" w:ascii="宋体" w:hAnsi="宋体" w:cs="宋体"/>
                <w:color w:val="auto"/>
                <w:kern w:val="0"/>
                <w:sz w:val="24"/>
                <w:szCs w:val="22"/>
                <w:highlight w:val="none"/>
                <w:shd w:val="clear" w:color="auto" w:fill="FFFFFF"/>
                <w:lang w:eastAsia="zh-CN"/>
              </w:rPr>
              <w:t>（如有）</w:t>
            </w:r>
            <w:r>
              <w:rPr>
                <w:rFonts w:hint="eastAsia" w:ascii="宋体" w:hAnsi="宋体" w:cs="宋体"/>
                <w:color w:val="auto"/>
                <w:kern w:val="0"/>
                <w:sz w:val="24"/>
                <w:szCs w:val="22"/>
                <w:highlight w:val="none"/>
                <w:shd w:val="clear" w:color="auto" w:fill="FFFFFF"/>
              </w:rPr>
              <w:t>范围内的所有工程内容</w:t>
            </w:r>
          </w:p>
        </w:tc>
      </w:tr>
      <w:tr>
        <w:trPr>
          <w:trHeight w:val="90" w:hRule="atLeast"/>
        </w:trPr>
        <w:tc>
          <w:tcPr>
            <w:tcW w:w="1202"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1.3.2</w:t>
            </w:r>
          </w:p>
        </w:tc>
        <w:tc>
          <w:tcPr>
            <w:tcW w:w="2084"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lang w:eastAsia="zh-CN"/>
              </w:rPr>
              <w:t>计划</w:t>
            </w:r>
            <w:r>
              <w:rPr>
                <w:rFonts w:hint="eastAsia" w:ascii="宋体" w:hAnsi="宋体" w:cs="Calibri"/>
                <w:color w:val="auto"/>
                <w:kern w:val="2"/>
                <w:sz w:val="24"/>
                <w:szCs w:val="22"/>
                <w:highlight w:val="none"/>
              </w:rPr>
              <w:t>工期</w:t>
            </w:r>
          </w:p>
        </w:tc>
        <w:tc>
          <w:tcPr>
            <w:tcW w:w="5805" w:type="dxa"/>
            <w:gridSpan w:val="2"/>
            <w:vAlign w:val="center"/>
          </w:tcPr>
          <w:p>
            <w:pPr>
              <w:tabs>
                <w:tab w:val="right" w:leader="dot" w:pos="8295"/>
              </w:tabs>
              <w:spacing w:before="0" w:beforeAutospacing="0" w:after="0" w:afterAutospacing="0" w:line="500" w:lineRule="exact"/>
              <w:ind w:left="0" w:right="0"/>
              <w:jc w:val="left"/>
              <w:rPr>
                <w:rFonts w:hint="default" w:ascii="Calibri" w:hAnsi="Calibri" w:cs="Calibri"/>
                <w:color w:val="auto"/>
                <w:kern w:val="2"/>
                <w:sz w:val="24"/>
                <w:szCs w:val="22"/>
                <w:highlight w:val="none"/>
              </w:rPr>
            </w:pPr>
            <w:r>
              <w:rPr>
                <w:rFonts w:hint="eastAsia" w:ascii="Calibri" w:hAnsi="Calibri" w:cs="Calibri"/>
                <w:i w:val="0"/>
                <w:iCs w:val="0"/>
                <w:color w:val="auto"/>
                <w:kern w:val="2"/>
                <w:sz w:val="24"/>
                <w:szCs w:val="22"/>
                <w:highlight w:val="none"/>
                <w:lang w:val="en-US" w:eastAsia="zh-CN"/>
              </w:rPr>
              <w:t>120</w:t>
            </w:r>
            <w:r>
              <w:rPr>
                <w:rFonts w:hint="default" w:ascii="Calibri" w:hAnsi="Calibri" w:cs="Calibri"/>
                <w:i w:val="0"/>
                <w:iCs w:val="0"/>
                <w:color w:val="auto"/>
                <w:kern w:val="2"/>
                <w:sz w:val="24"/>
                <w:szCs w:val="22"/>
                <w:highlight w:val="none"/>
              </w:rPr>
              <w:t>日历天</w:t>
            </w:r>
          </w:p>
        </w:tc>
      </w:tr>
      <w:tr>
        <w:trPr>
          <w:trHeight w:val="90" w:hRule="atLeast"/>
        </w:trPr>
        <w:tc>
          <w:tcPr>
            <w:tcW w:w="1202"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1.3.3</w:t>
            </w:r>
          </w:p>
        </w:tc>
        <w:tc>
          <w:tcPr>
            <w:tcW w:w="2084"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质量要求</w:t>
            </w:r>
          </w:p>
        </w:tc>
        <w:tc>
          <w:tcPr>
            <w:tcW w:w="5805" w:type="dxa"/>
            <w:gridSpan w:val="2"/>
            <w:vAlign w:val="center"/>
          </w:tcPr>
          <w:p>
            <w:pPr>
              <w:tabs>
                <w:tab w:val="right" w:leader="dot" w:pos="8295"/>
              </w:tabs>
              <w:spacing w:before="0" w:beforeAutospacing="0" w:after="0" w:afterAutospacing="0" w:line="500" w:lineRule="exact"/>
              <w:ind w:left="0" w:right="0"/>
              <w:rPr>
                <w:rFonts w:hint="default" w:ascii="Calibri" w:hAnsi="Calibri" w:cs="Calibri"/>
                <w:color w:val="auto"/>
                <w:kern w:val="2"/>
                <w:sz w:val="24"/>
                <w:szCs w:val="22"/>
                <w:highlight w:val="none"/>
                <w:u w:val="single"/>
              </w:rPr>
            </w:pPr>
            <w:r>
              <w:rPr>
                <w:rFonts w:hint="eastAsia" w:ascii="Calibri" w:hAnsi="Calibri" w:eastAsia="宋体" w:cs="Times New Roman"/>
                <w:kern w:val="2"/>
                <w:sz w:val="24"/>
                <w:szCs w:val="24"/>
                <w:highlight w:val="none"/>
                <w:lang w:val="en-US" w:eastAsia="zh-CN"/>
              </w:rPr>
              <w:t>合格</w:t>
            </w:r>
            <w:r>
              <w:rPr>
                <w:rFonts w:hint="eastAsia" w:ascii="宋体" w:hAnsi="宋体" w:eastAsia="宋体" w:cs="Times New Roman"/>
                <w:kern w:val="2"/>
                <w:sz w:val="24"/>
                <w:szCs w:val="22"/>
                <w:highlight w:val="none"/>
                <w:lang w:val="en-US" w:eastAsia="zh-CN"/>
              </w:rPr>
              <w:t>（符合国家现行的验收规范和标准）</w:t>
            </w:r>
          </w:p>
        </w:tc>
      </w:tr>
      <w:tr>
        <w:trPr>
          <w:trHeight w:val="90" w:hRule="atLeast"/>
        </w:trPr>
        <w:tc>
          <w:tcPr>
            <w:tcW w:w="1202" w:type="dxa"/>
            <w:vAlign w:val="center"/>
          </w:tcPr>
          <w:p>
            <w:pPr>
              <w:spacing w:before="0" w:beforeAutospacing="0" w:after="0" w:afterAutospacing="0" w:line="500" w:lineRule="exact"/>
              <w:ind w:left="0" w:right="0"/>
              <w:jc w:val="center"/>
              <w:rPr>
                <w:rFonts w:hint="eastAsia" w:ascii="宋体" w:hAnsi="宋体" w:eastAsia="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1.3.4</w:t>
            </w:r>
          </w:p>
        </w:tc>
        <w:tc>
          <w:tcPr>
            <w:tcW w:w="2084" w:type="dxa"/>
            <w:vAlign w:val="center"/>
          </w:tcPr>
          <w:p>
            <w:pPr>
              <w:spacing w:before="0" w:beforeAutospacing="0" w:after="0" w:afterAutospacing="0" w:line="500" w:lineRule="exact"/>
              <w:ind w:left="0" w:right="0"/>
              <w:jc w:val="center"/>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安全目标</w:t>
            </w:r>
          </w:p>
        </w:tc>
        <w:tc>
          <w:tcPr>
            <w:tcW w:w="5805" w:type="dxa"/>
            <w:gridSpan w:val="2"/>
            <w:vAlign w:val="center"/>
          </w:tcPr>
          <w:p>
            <w:pPr>
              <w:tabs>
                <w:tab w:val="right" w:leader="dot" w:pos="8295"/>
              </w:tabs>
              <w:spacing w:before="0" w:beforeAutospacing="0" w:after="0" w:afterAutospacing="0" w:line="500" w:lineRule="exact"/>
              <w:ind w:left="0" w:right="0"/>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eastAsia="zh-CN"/>
              </w:rPr>
              <w:t>无重大事故，人员零伤亡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53" w:hRule="atLeast"/>
        </w:trPr>
        <w:tc>
          <w:tcPr>
            <w:tcW w:w="1202" w:type="dxa"/>
            <w:tcBorders>
              <w:top w:val="single" w:color="auto" w:sz="4" w:space="0"/>
              <w:left w:val="single" w:color="auto" w:sz="4" w:space="0"/>
            </w:tcBorders>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vertAlign w:val="superscript"/>
              </w:rPr>
            </w:pPr>
            <w:r>
              <w:rPr>
                <w:rFonts w:hint="default" w:ascii="宋体" w:hAnsi="宋体" w:cs="Calibri"/>
                <w:color w:val="auto"/>
                <w:kern w:val="2"/>
                <w:sz w:val="24"/>
                <w:szCs w:val="22"/>
                <w:highlight w:val="none"/>
              </w:rPr>
              <w:t>1.4.</w:t>
            </w:r>
            <w:r>
              <w:rPr>
                <w:rFonts w:hint="eastAsia" w:ascii="宋体" w:hAnsi="宋体" w:cs="Calibri"/>
                <w:color w:val="auto"/>
                <w:kern w:val="2"/>
                <w:sz w:val="24"/>
                <w:szCs w:val="22"/>
                <w:highlight w:val="none"/>
              </w:rPr>
              <w:t>1</w:t>
            </w:r>
            <w:r>
              <w:rPr>
                <w:rFonts w:hint="eastAsia" w:ascii="宋体" w:hAnsi="宋体" w:cs="Calibri"/>
                <w:color w:val="auto"/>
                <w:kern w:val="2"/>
                <w:sz w:val="24"/>
                <w:szCs w:val="22"/>
                <w:highlight w:val="none"/>
                <w:vertAlign w:val="superscript"/>
              </w:rPr>
              <w:t xml:space="preserve"> </w:t>
            </w:r>
          </w:p>
        </w:tc>
        <w:tc>
          <w:tcPr>
            <w:tcW w:w="2084" w:type="dxa"/>
            <w:tcBorders>
              <w:top w:val="single" w:color="auto" w:sz="4" w:space="0"/>
            </w:tcBorders>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default" w:ascii="宋体" w:hAnsi="宋体" w:cs="Calibri"/>
                <w:color w:val="auto"/>
                <w:kern w:val="2"/>
                <w:sz w:val="24"/>
                <w:szCs w:val="22"/>
                <w:highlight w:val="none"/>
              </w:rPr>
              <w:t>投标人资质条件、</w:t>
            </w:r>
          </w:p>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default" w:ascii="宋体" w:hAnsi="宋体" w:cs="Calibri"/>
                <w:color w:val="auto"/>
                <w:kern w:val="2"/>
                <w:sz w:val="24"/>
                <w:szCs w:val="22"/>
                <w:highlight w:val="none"/>
              </w:rPr>
              <w:t>能力和信誉</w:t>
            </w:r>
          </w:p>
        </w:tc>
        <w:tc>
          <w:tcPr>
            <w:tcW w:w="5805" w:type="dxa"/>
            <w:gridSpan w:val="2"/>
            <w:tcBorders>
              <w:right w:val="single" w:color="auto" w:sz="4" w:space="0"/>
            </w:tcBorders>
            <w:vAlign w:val="center"/>
          </w:tcPr>
          <w:p>
            <w:pPr>
              <w:spacing w:before="0" w:beforeAutospacing="0" w:after="0" w:afterAutospacing="0" w:line="500" w:lineRule="exact"/>
              <w:ind w:left="0" w:right="0"/>
              <w:rPr>
                <w:rFonts w:hint="default" w:ascii="宋体" w:hAnsi="宋体" w:cs="Calibri"/>
                <w:color w:val="auto"/>
                <w:kern w:val="2"/>
                <w:sz w:val="24"/>
                <w:szCs w:val="22"/>
                <w:highlight w:val="none"/>
              </w:rPr>
            </w:pPr>
            <w:r>
              <w:rPr>
                <w:rFonts w:hint="default" w:ascii="宋体" w:hAnsi="宋体" w:cs="Calibri"/>
                <w:color w:val="auto"/>
                <w:kern w:val="2"/>
                <w:sz w:val="24"/>
                <w:szCs w:val="22"/>
                <w:highlight w:val="none"/>
              </w:rPr>
              <w:t>资质条件：</w:t>
            </w:r>
            <w:r>
              <w:rPr>
                <w:rFonts w:hint="eastAsia" w:ascii="宋体" w:hAnsi="宋体" w:cs="Calibri"/>
                <w:color w:val="auto"/>
                <w:kern w:val="2"/>
                <w:sz w:val="24"/>
                <w:szCs w:val="22"/>
                <w:highlight w:val="none"/>
              </w:rPr>
              <w:t>见附录1</w:t>
            </w:r>
          </w:p>
          <w:p>
            <w:pPr>
              <w:spacing w:before="0" w:beforeAutospacing="0" w:after="0" w:afterAutospacing="0" w:line="500" w:lineRule="exact"/>
              <w:ind w:left="0" w:right="0"/>
              <w:rPr>
                <w:rFonts w:hint="default" w:ascii="宋体" w:hAnsi="宋体" w:cs="Calibri"/>
                <w:color w:val="auto"/>
                <w:kern w:val="2"/>
                <w:sz w:val="24"/>
                <w:szCs w:val="22"/>
                <w:highlight w:val="none"/>
              </w:rPr>
            </w:pPr>
            <w:r>
              <w:rPr>
                <w:rFonts w:hint="default" w:ascii="宋体" w:hAnsi="宋体" w:cs="Calibri"/>
                <w:color w:val="auto"/>
                <w:kern w:val="2"/>
                <w:sz w:val="24"/>
                <w:szCs w:val="22"/>
                <w:highlight w:val="none"/>
              </w:rPr>
              <w:t>财务要求：</w:t>
            </w:r>
            <w:r>
              <w:rPr>
                <w:rFonts w:hint="eastAsia" w:ascii="宋体" w:hAnsi="宋体" w:cs="Calibri"/>
                <w:color w:val="auto"/>
                <w:kern w:val="2"/>
                <w:sz w:val="24"/>
                <w:szCs w:val="22"/>
                <w:highlight w:val="none"/>
              </w:rPr>
              <w:t>见附录2</w:t>
            </w:r>
          </w:p>
          <w:p>
            <w:pPr>
              <w:spacing w:before="0" w:beforeAutospacing="0" w:after="0" w:afterAutospacing="0" w:line="500" w:lineRule="exact"/>
              <w:ind w:left="0" w:right="0"/>
              <w:rPr>
                <w:rFonts w:hint="default" w:ascii="宋体" w:hAnsi="宋体" w:cs="Calibri"/>
                <w:color w:val="auto"/>
                <w:kern w:val="2"/>
                <w:sz w:val="24"/>
                <w:szCs w:val="22"/>
                <w:highlight w:val="none"/>
              </w:rPr>
            </w:pPr>
            <w:r>
              <w:rPr>
                <w:rFonts w:hint="default" w:ascii="宋体" w:hAnsi="宋体" w:cs="Calibri"/>
                <w:color w:val="auto"/>
                <w:kern w:val="2"/>
                <w:sz w:val="24"/>
                <w:szCs w:val="22"/>
                <w:highlight w:val="none"/>
              </w:rPr>
              <w:t>业绩要求：</w:t>
            </w:r>
            <w:r>
              <w:rPr>
                <w:rFonts w:hint="eastAsia" w:ascii="宋体" w:hAnsi="宋体" w:cs="Calibri"/>
                <w:color w:val="auto"/>
                <w:kern w:val="2"/>
                <w:sz w:val="24"/>
                <w:szCs w:val="22"/>
                <w:highlight w:val="none"/>
              </w:rPr>
              <w:t>见附录3</w:t>
            </w:r>
          </w:p>
          <w:p>
            <w:pPr>
              <w:spacing w:before="0" w:beforeAutospacing="0" w:after="0" w:afterAutospacing="0" w:line="500" w:lineRule="exact"/>
              <w:ind w:left="0" w:right="0"/>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信誉要求：见附录4</w:t>
            </w:r>
          </w:p>
          <w:p>
            <w:pPr>
              <w:spacing w:before="0" w:beforeAutospacing="0" w:after="0" w:afterAutospacing="0" w:line="500" w:lineRule="exact"/>
              <w:ind w:left="0" w:right="0"/>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项目经理和项目总工资格：见附录5</w:t>
            </w:r>
          </w:p>
          <w:p>
            <w:pPr>
              <w:spacing w:before="0" w:beforeAutospacing="0" w:after="0" w:afterAutospacing="0" w:line="500" w:lineRule="exact"/>
              <w:ind w:left="0" w:right="0"/>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其他要求：见附录6和7</w:t>
            </w:r>
          </w:p>
        </w:tc>
      </w:tr>
      <w:tr>
        <w:trPr>
          <w:trHeight w:val="982" w:hRule="atLeast"/>
        </w:trPr>
        <w:tc>
          <w:tcPr>
            <w:tcW w:w="1202" w:type="dxa"/>
            <w:vAlign w:val="center"/>
          </w:tcPr>
          <w:p>
            <w:pPr>
              <w:spacing w:before="0" w:beforeAutospacing="0" w:after="0" w:afterAutospacing="0" w:line="500" w:lineRule="exact"/>
              <w:ind w:left="0" w:right="0"/>
              <w:jc w:val="center"/>
              <w:rPr>
                <w:rFonts w:hint="eastAsia" w:ascii="宋体" w:hAnsi="宋体" w:eastAsia="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1.4.2</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是否接受联合体投标</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不接受</w:t>
            </w:r>
          </w:p>
        </w:tc>
      </w:tr>
      <w:tr>
        <w:trPr>
          <w:trHeight w:val="90" w:hRule="atLeast"/>
        </w:trPr>
        <w:tc>
          <w:tcPr>
            <w:tcW w:w="1202" w:type="dxa"/>
            <w:vAlign w:val="center"/>
          </w:tcPr>
          <w:p>
            <w:pPr>
              <w:spacing w:before="0" w:beforeAutospacing="0" w:after="0" w:afterAutospacing="0" w:line="500" w:lineRule="exact"/>
              <w:ind w:left="0" w:right="0"/>
              <w:jc w:val="center"/>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val="en-US" w:eastAsia="zh-CN"/>
              </w:rPr>
              <w:t>1.4.3</w:t>
            </w:r>
          </w:p>
        </w:tc>
        <w:tc>
          <w:tcPr>
            <w:tcW w:w="2084" w:type="dxa"/>
            <w:vAlign w:val="center"/>
          </w:tcPr>
          <w:p>
            <w:pPr>
              <w:spacing w:before="0" w:beforeAutospacing="0" w:after="0" w:afterAutospacing="0" w:line="500" w:lineRule="exact"/>
              <w:ind w:left="0" w:right="0"/>
              <w:jc w:val="center"/>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投标人不得存在的其他关联情况</w:t>
            </w:r>
          </w:p>
        </w:tc>
        <w:tc>
          <w:tcPr>
            <w:tcW w:w="5805" w:type="dxa"/>
            <w:gridSpan w:val="2"/>
            <w:vAlign w:val="center"/>
          </w:tcPr>
          <w:p>
            <w:pPr>
              <w:spacing w:before="0" w:beforeAutospacing="0" w:after="0" w:afterAutospacing="0" w:line="500" w:lineRule="exact"/>
              <w:ind w:left="0" w:right="0"/>
              <w:rPr>
                <w:rFonts w:hint="eastAsia" w:ascii="宋体" w:hAnsi="宋体" w:eastAsia="宋体" w:cs="Calibri"/>
                <w:color w:val="auto"/>
                <w:kern w:val="2"/>
                <w:sz w:val="24"/>
                <w:szCs w:val="22"/>
                <w:highlight w:val="none"/>
                <w:lang w:eastAsia="zh-CN"/>
              </w:rPr>
            </w:pPr>
            <w:r>
              <w:rPr>
                <w:rFonts w:hint="eastAsia" w:ascii="宋体" w:hAnsi="宋体" w:eastAsia="宋体" w:cs="Times New Roman"/>
                <w:kern w:val="2"/>
                <w:sz w:val="24"/>
                <w:szCs w:val="24"/>
                <w:highlight w:val="none"/>
                <w:lang w:val="en-US" w:eastAsia="zh-CN"/>
              </w:rPr>
              <w:t>详见招标文件</w:t>
            </w:r>
          </w:p>
        </w:tc>
      </w:tr>
      <w:tr>
        <w:trPr>
          <w:trHeight w:val="9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1.4.4</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投标人不得存在的其他不良状况或不良信誉</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在“信用中国”网站</w:t>
            </w:r>
          </w:p>
          <w:p>
            <w:pPr>
              <w:spacing w:before="0" w:beforeAutospacing="0" w:after="0" w:afterAutospacing="0" w:line="500" w:lineRule="exact"/>
              <w:ind w:left="0" w:right="0"/>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（http://www.creditchina.gov.cn/）中被列入失信被执行人名单的投标人，不得参加投标。</w:t>
            </w:r>
          </w:p>
        </w:tc>
      </w:tr>
      <w:tr>
        <w:trPr>
          <w:trHeight w:val="530" w:hRule="atLeast"/>
        </w:trPr>
        <w:tc>
          <w:tcPr>
            <w:tcW w:w="1202"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1.10.1</w:t>
            </w:r>
          </w:p>
        </w:tc>
        <w:tc>
          <w:tcPr>
            <w:tcW w:w="2084" w:type="dxa"/>
            <w:vAlign w:val="center"/>
          </w:tcPr>
          <w:p>
            <w:pPr>
              <w:spacing w:before="0" w:beforeAutospacing="0" w:after="0" w:afterAutospacing="0" w:line="500" w:lineRule="exact"/>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投标预备会</w:t>
            </w:r>
          </w:p>
        </w:tc>
        <w:tc>
          <w:tcPr>
            <w:tcW w:w="5805" w:type="dxa"/>
            <w:gridSpan w:val="2"/>
            <w:vAlign w:val="center"/>
          </w:tcPr>
          <w:p>
            <w:pPr>
              <w:spacing w:before="0" w:beforeAutospacing="0" w:after="0" w:afterAutospacing="0" w:line="500" w:lineRule="exact"/>
              <w:ind w:left="0" w:right="0"/>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不召开</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eastAsia="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1.11.1</w:t>
            </w:r>
          </w:p>
        </w:tc>
        <w:tc>
          <w:tcPr>
            <w:tcW w:w="2084" w:type="dxa"/>
            <w:vAlign w:val="center"/>
          </w:tcPr>
          <w:p>
            <w:pPr>
              <w:spacing w:before="0" w:beforeAutospacing="0" w:after="0" w:afterAutospacing="0" w:line="500" w:lineRule="exact"/>
              <w:ind w:left="0" w:right="0"/>
              <w:jc w:val="center"/>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分包</w:t>
            </w:r>
          </w:p>
        </w:tc>
        <w:tc>
          <w:tcPr>
            <w:tcW w:w="5805" w:type="dxa"/>
            <w:gridSpan w:val="2"/>
            <w:vAlign w:val="center"/>
          </w:tcPr>
          <w:p>
            <w:pPr>
              <w:spacing w:before="0" w:beforeAutospacing="0" w:after="0" w:afterAutospacing="0" w:line="500" w:lineRule="exact"/>
              <w:ind w:left="0" w:right="0"/>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不允许</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2.1</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构成招标文件的其他材料</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eastAsia="zh-CN"/>
              </w:rPr>
            </w:pPr>
            <w:r>
              <w:rPr>
                <w:rFonts w:hint="eastAsia" w:ascii="宋体" w:hAnsi="宋体" w:cs="宋体"/>
                <w:color w:val="auto"/>
                <w:kern w:val="0"/>
                <w:sz w:val="24"/>
                <w:szCs w:val="22"/>
                <w:highlight w:val="none"/>
                <w:shd w:val="clear" w:color="auto" w:fill="FFFFFF"/>
              </w:rPr>
              <w:t>招标文件、工程量清单、施工图、设计变更及答疑纪要</w:t>
            </w:r>
            <w:r>
              <w:rPr>
                <w:rFonts w:hint="eastAsia" w:ascii="宋体" w:hAnsi="宋体" w:cs="宋体"/>
                <w:color w:val="auto"/>
                <w:kern w:val="0"/>
                <w:sz w:val="24"/>
                <w:szCs w:val="22"/>
                <w:highlight w:val="none"/>
                <w:shd w:val="clear" w:color="auto" w:fill="FFFFFF"/>
                <w:lang w:eastAsia="zh-CN"/>
              </w:rPr>
              <w:t>（如有）</w:t>
            </w:r>
            <w:r>
              <w:rPr>
                <w:rFonts w:hint="eastAsia" w:ascii="宋体" w:hAnsi="宋体" w:cs="宋体"/>
                <w:color w:val="auto"/>
                <w:kern w:val="0"/>
                <w:sz w:val="24"/>
                <w:szCs w:val="22"/>
                <w:highlight w:val="none"/>
                <w:shd w:val="clear" w:color="auto" w:fill="FFFFFF"/>
              </w:rPr>
              <w:t>范围内的所有工程内容</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2.2</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rPr>
              <w:t>投标截止时间</w:t>
            </w:r>
          </w:p>
        </w:tc>
        <w:tc>
          <w:tcPr>
            <w:tcW w:w="5805" w:type="dxa"/>
            <w:gridSpan w:val="2"/>
            <w:vAlign w:val="center"/>
          </w:tcPr>
          <w:p>
            <w:pPr>
              <w:spacing w:before="0" w:beforeAutospacing="0" w:after="0" w:afterAutospacing="0" w:line="500" w:lineRule="exact"/>
              <w:ind w:left="0" w:right="0"/>
              <w:rPr>
                <w:rFonts w:hint="eastAsia" w:ascii="宋体" w:hAnsi="宋体" w:cs="宋体"/>
                <w:color w:val="auto"/>
                <w:kern w:val="0"/>
                <w:sz w:val="24"/>
                <w:szCs w:val="22"/>
                <w:highlight w:val="none"/>
                <w:shd w:val="clear" w:color="auto" w:fill="FFFFFF"/>
              </w:rPr>
            </w:pPr>
            <w:r>
              <w:rPr>
                <w:rFonts w:hint="eastAsia" w:ascii="宋体" w:hAnsi="宋体" w:cs="Calibri"/>
                <w:b/>
                <w:color w:val="auto"/>
                <w:kern w:val="2"/>
                <w:sz w:val="24"/>
                <w:szCs w:val="22"/>
                <w:highlight w:val="none"/>
              </w:rPr>
              <w:t>201</w:t>
            </w:r>
            <w:r>
              <w:rPr>
                <w:rFonts w:hint="eastAsia" w:ascii="宋体" w:hAnsi="宋体" w:cs="Calibri"/>
                <w:b/>
                <w:color w:val="auto"/>
                <w:kern w:val="2"/>
                <w:sz w:val="24"/>
                <w:szCs w:val="22"/>
                <w:highlight w:val="none"/>
                <w:lang w:val="en-US" w:eastAsia="zh-CN"/>
              </w:rPr>
              <w:t>9</w:t>
            </w:r>
            <w:r>
              <w:rPr>
                <w:rFonts w:hint="eastAsia" w:ascii="宋体" w:hAnsi="宋体" w:cs="Calibri"/>
                <w:b/>
                <w:color w:val="auto"/>
                <w:kern w:val="2"/>
                <w:sz w:val="24"/>
                <w:szCs w:val="22"/>
                <w:highlight w:val="none"/>
              </w:rPr>
              <w:t>年</w:t>
            </w:r>
            <w:r>
              <w:rPr>
                <w:rFonts w:hint="eastAsia" w:ascii="宋体" w:hAnsi="宋体" w:cs="Calibri"/>
                <w:b/>
                <w:color w:val="auto"/>
                <w:kern w:val="2"/>
                <w:sz w:val="24"/>
                <w:szCs w:val="22"/>
                <w:highlight w:val="none"/>
                <w:lang w:val="en-US" w:eastAsia="zh-CN"/>
              </w:rPr>
              <w:t>1</w:t>
            </w:r>
            <w:r>
              <w:rPr>
                <w:rFonts w:hint="eastAsia" w:ascii="宋体" w:hAnsi="宋体" w:cs="Calibri"/>
                <w:b/>
                <w:color w:val="auto"/>
                <w:kern w:val="2"/>
                <w:sz w:val="24"/>
                <w:szCs w:val="22"/>
                <w:highlight w:val="none"/>
              </w:rPr>
              <w:t>月</w:t>
            </w:r>
            <w:r>
              <w:rPr>
                <w:rFonts w:hint="eastAsia" w:ascii="宋体" w:hAnsi="宋体" w:cs="Calibri"/>
                <w:b/>
                <w:color w:val="auto"/>
                <w:kern w:val="2"/>
                <w:sz w:val="24"/>
                <w:szCs w:val="22"/>
                <w:highlight w:val="none"/>
                <w:lang w:val="en-US" w:eastAsia="zh-CN"/>
              </w:rPr>
              <w:t>14</w:t>
            </w:r>
            <w:r>
              <w:rPr>
                <w:rFonts w:hint="eastAsia" w:ascii="宋体" w:hAnsi="宋体" w:cs="Calibri"/>
                <w:b/>
                <w:color w:val="auto"/>
                <w:kern w:val="2"/>
                <w:sz w:val="24"/>
                <w:szCs w:val="22"/>
                <w:highlight w:val="none"/>
              </w:rPr>
              <w:t>日</w:t>
            </w:r>
            <w:r>
              <w:rPr>
                <w:rFonts w:hint="eastAsia" w:ascii="宋体" w:hAnsi="宋体" w:cs="Calibri"/>
                <w:b/>
                <w:color w:val="auto"/>
                <w:kern w:val="2"/>
                <w:sz w:val="24"/>
                <w:szCs w:val="22"/>
                <w:highlight w:val="none"/>
                <w:lang w:val="en-US" w:eastAsia="zh-CN"/>
              </w:rPr>
              <w:t>9</w:t>
            </w:r>
            <w:r>
              <w:rPr>
                <w:rFonts w:hint="eastAsia" w:ascii="宋体" w:hAnsi="宋体" w:cs="Calibri"/>
                <w:b/>
                <w:color w:val="auto"/>
                <w:kern w:val="2"/>
                <w:sz w:val="24"/>
                <w:szCs w:val="22"/>
                <w:highlight w:val="none"/>
              </w:rPr>
              <w:t>时</w:t>
            </w:r>
            <w:r>
              <w:rPr>
                <w:rFonts w:hint="eastAsia" w:ascii="宋体" w:hAnsi="宋体" w:cs="Calibri"/>
                <w:b/>
                <w:color w:val="auto"/>
                <w:kern w:val="2"/>
                <w:sz w:val="24"/>
                <w:szCs w:val="22"/>
                <w:highlight w:val="none"/>
                <w:lang w:val="en-US" w:eastAsia="zh-CN"/>
              </w:rPr>
              <w:t>3</w:t>
            </w:r>
            <w:r>
              <w:rPr>
                <w:rFonts w:hint="eastAsia" w:ascii="宋体" w:hAnsi="宋体" w:cs="Calibri"/>
                <w:b/>
                <w:color w:val="auto"/>
                <w:kern w:val="2"/>
                <w:sz w:val="24"/>
                <w:szCs w:val="22"/>
                <w:highlight w:val="none"/>
              </w:rPr>
              <w:t>0分</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2.2.1</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rPr>
              <w:t>投标人要求澄清招标文件的截止时间</w:t>
            </w:r>
          </w:p>
        </w:tc>
        <w:tc>
          <w:tcPr>
            <w:tcW w:w="5805" w:type="dxa"/>
            <w:gridSpan w:val="2"/>
            <w:vAlign w:val="center"/>
          </w:tcPr>
          <w:p>
            <w:pPr>
              <w:spacing w:before="0" w:beforeAutospacing="0" w:after="0" w:afterAutospacing="0" w:line="500" w:lineRule="exact"/>
              <w:ind w:left="0" w:right="0"/>
              <w:rPr>
                <w:rFonts w:hint="eastAsia" w:ascii="宋体" w:hAnsi="宋体" w:cs="宋体"/>
                <w:color w:val="auto"/>
                <w:kern w:val="0"/>
                <w:sz w:val="24"/>
                <w:szCs w:val="22"/>
                <w:highlight w:val="none"/>
                <w:shd w:val="clear" w:color="auto" w:fill="FFFFFF"/>
              </w:rPr>
            </w:pPr>
            <w:r>
              <w:rPr>
                <w:rFonts w:hint="eastAsia" w:ascii="宋体" w:hAnsi="宋体" w:cs="Calibri"/>
                <w:color w:val="auto"/>
                <w:kern w:val="2"/>
                <w:sz w:val="24"/>
                <w:szCs w:val="22"/>
                <w:highlight w:val="none"/>
              </w:rPr>
              <w:t>递交投标文件截止之日10日前</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2.2.2</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招标文件澄清发出的形式</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rPr>
            </w:pPr>
            <w:r>
              <w:rPr>
                <w:rFonts w:hint="eastAsia" w:ascii="Calibri" w:hAnsi="宋体" w:cs="Calibri"/>
                <w:color w:val="000000"/>
                <w:kern w:val="2"/>
                <w:sz w:val="24"/>
                <w:szCs w:val="22"/>
                <w:highlight w:val="none"/>
                <w:lang w:eastAsia="zh-CN"/>
              </w:rPr>
              <w:t>以</w:t>
            </w:r>
            <w:r>
              <w:rPr>
                <w:rFonts w:hint="eastAsia" w:ascii="Calibri" w:hAnsi="宋体" w:cs="Calibri"/>
                <w:color w:val="000000"/>
                <w:kern w:val="2"/>
                <w:sz w:val="24"/>
                <w:szCs w:val="22"/>
                <w:highlight w:val="none"/>
              </w:rPr>
              <w:t>《全国公共资源交易平台（河南省·许昌市）》</w:t>
            </w:r>
            <w:r>
              <w:rPr>
                <w:rFonts w:hint="eastAsia" w:ascii="Calibri" w:hAnsi="宋体" w:cs="Calibri"/>
                <w:color w:val="000000"/>
                <w:kern w:val="2"/>
                <w:sz w:val="24"/>
                <w:szCs w:val="22"/>
                <w:highlight w:val="none"/>
                <w:lang w:eastAsia="zh-CN"/>
              </w:rPr>
              <w:t>上发布的为准</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2.2.3</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投标人确认收到招标文件澄清的时间</w:t>
            </w:r>
          </w:p>
        </w:tc>
        <w:tc>
          <w:tcPr>
            <w:tcW w:w="5805" w:type="dxa"/>
            <w:gridSpan w:val="2"/>
            <w:vAlign w:val="center"/>
          </w:tcPr>
          <w:p>
            <w:pPr>
              <w:spacing w:before="0" w:beforeAutospacing="0" w:after="0" w:afterAutospacing="0" w:line="500" w:lineRule="exact"/>
              <w:ind w:left="0" w:right="0"/>
              <w:rPr>
                <w:rFonts w:hint="eastAsia" w:ascii="Calibri" w:hAnsi="宋体" w:cs="Calibri"/>
                <w:color w:val="000000"/>
                <w:kern w:val="2"/>
                <w:sz w:val="24"/>
                <w:szCs w:val="22"/>
                <w:highlight w:val="none"/>
                <w:lang w:eastAsia="zh-CN"/>
              </w:rPr>
            </w:pPr>
            <w:r>
              <w:rPr>
                <w:rFonts w:hint="eastAsia" w:ascii="宋体" w:hAnsi="宋体" w:cs="Calibri"/>
                <w:color w:val="auto"/>
                <w:kern w:val="2"/>
                <w:sz w:val="24"/>
                <w:szCs w:val="22"/>
                <w:highlight w:val="none"/>
              </w:rPr>
              <w:t>收到澄清后</w:t>
            </w:r>
            <w:r>
              <w:rPr>
                <w:rFonts w:hint="eastAsia" w:ascii="宋体" w:hAnsi="宋体" w:cs="Calibri"/>
                <w:color w:val="auto"/>
                <w:kern w:val="2"/>
                <w:sz w:val="24"/>
                <w:szCs w:val="22"/>
                <w:highlight w:val="none"/>
                <w:lang w:val="en-US" w:eastAsia="zh-CN"/>
              </w:rPr>
              <w:t>24小时</w:t>
            </w:r>
            <w:r>
              <w:rPr>
                <w:rFonts w:hint="eastAsia" w:ascii="宋体" w:hAnsi="宋体" w:cs="Calibri"/>
                <w:color w:val="auto"/>
                <w:kern w:val="2"/>
                <w:sz w:val="24"/>
                <w:szCs w:val="22"/>
                <w:highlight w:val="none"/>
              </w:rPr>
              <w:t>内（以发出时间为准）</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2.3.1</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招标文件修改发出的形式</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rPr>
            </w:pPr>
            <w:r>
              <w:rPr>
                <w:rFonts w:hint="eastAsia" w:ascii="Calibri" w:hAnsi="宋体" w:cs="Calibri"/>
                <w:color w:val="000000"/>
                <w:kern w:val="2"/>
                <w:sz w:val="24"/>
                <w:szCs w:val="22"/>
                <w:highlight w:val="none"/>
                <w:lang w:eastAsia="zh-CN"/>
              </w:rPr>
              <w:t>以</w:t>
            </w:r>
            <w:r>
              <w:rPr>
                <w:rFonts w:hint="eastAsia" w:ascii="Calibri" w:hAnsi="宋体" w:cs="Calibri"/>
                <w:color w:val="000000"/>
                <w:kern w:val="2"/>
                <w:sz w:val="24"/>
                <w:szCs w:val="22"/>
                <w:highlight w:val="none"/>
              </w:rPr>
              <w:t>《全国公共资源交易平台（河南省·许昌市）》</w:t>
            </w:r>
            <w:r>
              <w:rPr>
                <w:rFonts w:hint="eastAsia" w:ascii="Calibri" w:hAnsi="宋体" w:cs="Calibri"/>
                <w:color w:val="000000"/>
                <w:kern w:val="2"/>
                <w:sz w:val="24"/>
                <w:szCs w:val="22"/>
                <w:highlight w:val="none"/>
                <w:lang w:eastAsia="zh-CN"/>
              </w:rPr>
              <w:t>上发布的为准</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rPr>
              <w:t>2.</w:t>
            </w:r>
            <w:r>
              <w:rPr>
                <w:rFonts w:hint="eastAsia" w:ascii="宋体" w:hAnsi="宋体" w:cs="Calibri"/>
                <w:color w:val="auto"/>
                <w:kern w:val="2"/>
                <w:sz w:val="24"/>
                <w:szCs w:val="22"/>
                <w:highlight w:val="none"/>
                <w:lang w:val="en-US" w:eastAsia="zh-CN"/>
              </w:rPr>
              <w:t>3.2</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rPr>
            </w:pPr>
            <w:r>
              <w:rPr>
                <w:rFonts w:hint="eastAsia" w:ascii="宋体" w:hAnsi="宋体" w:eastAsia="宋体" w:cs="Times New Roman"/>
                <w:kern w:val="2"/>
                <w:sz w:val="24"/>
                <w:szCs w:val="24"/>
                <w:highlight w:val="none"/>
                <w:lang w:val="en-US" w:eastAsia="zh-CN"/>
              </w:rPr>
              <w:t>投标人确认收到招标文件修改</w:t>
            </w:r>
          </w:p>
        </w:tc>
        <w:tc>
          <w:tcPr>
            <w:tcW w:w="5805" w:type="dxa"/>
            <w:gridSpan w:val="2"/>
            <w:vAlign w:val="center"/>
          </w:tcPr>
          <w:p>
            <w:pPr>
              <w:spacing w:before="0" w:beforeAutospacing="0" w:after="0" w:afterAutospacing="0" w:line="500" w:lineRule="exact"/>
              <w:ind w:left="0" w:right="0"/>
              <w:rPr>
                <w:rFonts w:hint="eastAsia" w:ascii="Calibri" w:hAnsi="宋体" w:cs="Calibri"/>
                <w:color w:val="000000"/>
                <w:kern w:val="2"/>
                <w:sz w:val="24"/>
                <w:szCs w:val="22"/>
                <w:highlight w:val="none"/>
                <w:lang w:eastAsia="zh-CN"/>
              </w:rPr>
            </w:pPr>
            <w:r>
              <w:rPr>
                <w:rFonts w:hint="eastAsia" w:ascii="Calibri" w:hAnsi="宋体" w:cs="Calibri"/>
                <w:color w:val="000000"/>
                <w:kern w:val="2"/>
                <w:sz w:val="24"/>
                <w:szCs w:val="22"/>
                <w:highlight w:val="none"/>
                <w:lang w:eastAsia="zh-CN"/>
              </w:rPr>
              <w:t>收到修改后</w:t>
            </w:r>
            <w:r>
              <w:rPr>
                <w:rFonts w:hint="eastAsia" w:ascii="Calibri" w:hAnsi="宋体" w:cs="Calibri"/>
                <w:color w:val="000000"/>
                <w:kern w:val="2"/>
                <w:sz w:val="24"/>
                <w:szCs w:val="22"/>
                <w:highlight w:val="none"/>
                <w:lang w:val="en-US" w:eastAsia="zh-CN"/>
              </w:rPr>
              <w:t>24</w:t>
            </w:r>
            <w:r>
              <w:rPr>
                <w:rFonts w:hint="eastAsia" w:ascii="Calibri" w:hAnsi="宋体" w:cs="Calibri"/>
                <w:color w:val="000000"/>
                <w:kern w:val="2"/>
                <w:sz w:val="24"/>
                <w:szCs w:val="22"/>
                <w:highlight w:val="none"/>
                <w:lang w:eastAsia="zh-CN"/>
              </w:rPr>
              <w:t>小时内（以发出时间为准）</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eastAsia="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3.1.1</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投标文件密封形式</w:t>
            </w:r>
          </w:p>
        </w:tc>
        <w:tc>
          <w:tcPr>
            <w:tcW w:w="5805" w:type="dxa"/>
            <w:gridSpan w:val="2"/>
            <w:vAlign w:val="center"/>
          </w:tcPr>
          <w:p>
            <w:pPr>
              <w:spacing w:before="0" w:beforeAutospacing="0" w:after="0" w:afterAutospacing="0" w:line="500" w:lineRule="exact"/>
              <w:ind w:left="0" w:right="0"/>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双信封</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3.2.1</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增值税税金的计算方法</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按</w:t>
            </w:r>
            <w:r>
              <w:rPr>
                <w:rFonts w:hint="eastAsia" w:ascii="宋体" w:hAnsi="宋体" w:cs="Calibri"/>
                <w:color w:val="auto"/>
                <w:kern w:val="2"/>
                <w:sz w:val="24"/>
                <w:szCs w:val="22"/>
                <w:highlight w:val="none"/>
                <w:lang w:val="en-US" w:eastAsia="zh-CN"/>
              </w:rPr>
              <w:t>10%计算</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3.2.3</w:t>
            </w:r>
          </w:p>
        </w:tc>
        <w:tc>
          <w:tcPr>
            <w:tcW w:w="2084" w:type="dxa"/>
            <w:vAlign w:val="center"/>
          </w:tcPr>
          <w:p>
            <w:pPr>
              <w:tabs>
                <w:tab w:val="left" w:pos="596"/>
              </w:tabs>
              <w:spacing w:before="0" w:beforeAutospacing="0" w:after="0" w:afterAutospacing="0" w:line="500" w:lineRule="exact"/>
              <w:ind w:left="0" w:right="0"/>
              <w:jc w:val="center"/>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报价方式</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总价</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3.2.6</w:t>
            </w:r>
          </w:p>
        </w:tc>
        <w:tc>
          <w:tcPr>
            <w:tcW w:w="2084" w:type="dxa"/>
            <w:vAlign w:val="center"/>
          </w:tcPr>
          <w:p>
            <w:pPr>
              <w:tabs>
                <w:tab w:val="left" w:pos="596"/>
              </w:tabs>
              <w:spacing w:before="0" w:beforeAutospacing="0" w:after="0" w:afterAutospacing="0" w:line="500" w:lineRule="exact"/>
              <w:ind w:left="0" w:right="0"/>
              <w:jc w:val="center"/>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是否接受调价函</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否</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3.2.8</w:t>
            </w:r>
          </w:p>
        </w:tc>
        <w:tc>
          <w:tcPr>
            <w:tcW w:w="2084" w:type="dxa"/>
            <w:vAlign w:val="center"/>
          </w:tcPr>
          <w:p>
            <w:pPr>
              <w:tabs>
                <w:tab w:val="left" w:pos="596"/>
              </w:tabs>
              <w:spacing w:before="0" w:beforeAutospacing="0" w:after="0" w:afterAutospacing="0" w:line="500" w:lineRule="exact"/>
              <w:ind w:left="0" w:right="0"/>
              <w:jc w:val="center"/>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最高投标限价</w:t>
            </w:r>
          </w:p>
        </w:tc>
        <w:tc>
          <w:tcPr>
            <w:tcW w:w="5805" w:type="dxa"/>
            <w:gridSpan w:val="2"/>
            <w:vAlign w:val="center"/>
          </w:tcPr>
          <w:p>
            <w:pPr>
              <w:pStyle w:val="2"/>
              <w:spacing w:before="0" w:beforeAutospacing="0" w:afterAutospacing="0"/>
              <w:ind w:left="0" w:leftChars="0" w:right="0" w:firstLine="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小写：</w:t>
            </w:r>
            <w:r>
              <w:rPr>
                <w:rFonts w:hint="eastAsia" w:ascii="宋体" w:hAnsi="宋体" w:eastAsia="宋体" w:cs="Times New Roman"/>
                <w:color w:val="auto"/>
                <w:kern w:val="2"/>
                <w:sz w:val="24"/>
                <w:szCs w:val="24"/>
                <w:highlight w:val="none"/>
                <w:lang w:val="en-US" w:eastAsia="zh-CN" w:bidi="ar-SA"/>
              </w:rPr>
              <w:t>2193518.00元</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3.2.9</w:t>
            </w:r>
          </w:p>
        </w:tc>
        <w:tc>
          <w:tcPr>
            <w:tcW w:w="2084" w:type="dxa"/>
            <w:vAlign w:val="center"/>
          </w:tcPr>
          <w:p>
            <w:pPr>
              <w:tabs>
                <w:tab w:val="left" w:pos="291"/>
                <w:tab w:val="left" w:pos="596"/>
              </w:tabs>
              <w:spacing w:before="0" w:beforeAutospacing="0" w:after="0" w:afterAutospacing="0" w:line="500" w:lineRule="exact"/>
              <w:ind w:left="0" w:right="0"/>
              <w:jc w:val="center"/>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投标报价的其他要求</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无</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3.3.1</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rPr>
              <w:t>投标有效期</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eastAsia="zh-CN"/>
              </w:rPr>
              <w:t>自投标人提交投标文件</w:t>
            </w:r>
            <w:r>
              <w:rPr>
                <w:rFonts w:hint="eastAsia" w:ascii="宋体" w:hAnsi="宋体" w:cs="Calibri"/>
                <w:color w:val="auto"/>
                <w:kern w:val="2"/>
                <w:sz w:val="24"/>
                <w:szCs w:val="22"/>
                <w:highlight w:val="none"/>
              </w:rPr>
              <w:t>截止时间起</w:t>
            </w:r>
            <w:r>
              <w:rPr>
                <w:rFonts w:hint="eastAsia" w:ascii="宋体" w:hAnsi="宋体" w:cs="Calibri"/>
                <w:color w:val="auto"/>
                <w:kern w:val="2"/>
                <w:sz w:val="24"/>
                <w:szCs w:val="22"/>
                <w:highlight w:val="none"/>
                <w:lang w:eastAsia="zh-CN"/>
              </w:rPr>
              <w:t>计算</w:t>
            </w:r>
            <w:r>
              <w:rPr>
                <w:rFonts w:hint="eastAsia" w:ascii="宋体" w:hAnsi="宋体" w:cs="Calibri"/>
                <w:color w:val="auto"/>
                <w:kern w:val="2"/>
                <w:sz w:val="24"/>
                <w:szCs w:val="22"/>
                <w:highlight w:val="none"/>
              </w:rPr>
              <w:t>60日历天</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3.4.1</w:t>
            </w:r>
          </w:p>
        </w:tc>
        <w:tc>
          <w:tcPr>
            <w:tcW w:w="2084" w:type="dxa"/>
            <w:vAlign w:val="center"/>
          </w:tcPr>
          <w:p>
            <w:pPr>
              <w:spacing w:before="0" w:beforeAutospacing="0" w:after="0" w:afterAutospacing="0" w:line="500" w:lineRule="exact"/>
              <w:ind w:left="0" w:right="0"/>
              <w:jc w:val="center"/>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投标保证金</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详见附表一</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3.4.4</w:t>
            </w:r>
          </w:p>
        </w:tc>
        <w:tc>
          <w:tcPr>
            <w:tcW w:w="2084" w:type="dxa"/>
            <w:vAlign w:val="center"/>
          </w:tcPr>
          <w:p>
            <w:pPr>
              <w:spacing w:before="0" w:beforeAutospacing="0" w:after="0" w:afterAutospacing="0" w:line="500" w:lineRule="exact"/>
              <w:ind w:left="0" w:right="0"/>
              <w:jc w:val="center"/>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其他可以不予退还投标保证金的情形</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国家法律法规规定的其他情形</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3.5</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资格审查资料的特殊要求</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无</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3.5.2</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近年财务状况的年份要求</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2015年至2017年</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3.5.3</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近年完成的类似项目情况的时</w:t>
            </w:r>
            <w:r>
              <w:rPr>
                <w:rFonts w:hint="eastAsia" w:ascii="宋体" w:hAnsi="宋体" w:cs="Calibri"/>
                <w:color w:val="auto"/>
                <w:kern w:val="2"/>
                <w:sz w:val="24"/>
                <w:szCs w:val="22"/>
                <w:highlight w:val="none"/>
                <w:lang w:eastAsia="zh-CN"/>
              </w:rPr>
              <w:t>间要求</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2015年1月1日以来</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3.6.1</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是否允许递交备选投标方案</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不允许</w:t>
            </w:r>
          </w:p>
        </w:tc>
      </w:tr>
      <w:tr>
        <w:trPr>
          <w:trHeight w:val="530" w:hRule="atLeast"/>
        </w:trPr>
        <w:tc>
          <w:tcPr>
            <w:tcW w:w="1202"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rPr>
              <w:t>3.7.3</w:t>
            </w:r>
          </w:p>
        </w:tc>
        <w:tc>
          <w:tcPr>
            <w:tcW w:w="2084"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签字或盖章要求</w:t>
            </w:r>
          </w:p>
        </w:tc>
        <w:tc>
          <w:tcPr>
            <w:tcW w:w="5805" w:type="dxa"/>
            <w:gridSpan w:val="2"/>
            <w:vAlign w:val="center"/>
          </w:tcPr>
          <w:p>
            <w:pPr>
              <w:spacing w:before="0" w:beforeAutospacing="0" w:after="0" w:afterAutospacing="0"/>
              <w:ind w:left="0" w:right="0" w:firstLine="480" w:firstLineChars="200"/>
              <w:rPr>
                <w:rFonts w:hint="eastAsia" w:ascii="宋体" w:hAnsi="宋体" w:cs="Calibri"/>
                <w:color w:val="auto"/>
                <w:kern w:val="2"/>
                <w:sz w:val="24"/>
                <w:szCs w:val="28"/>
                <w:highlight w:val="none"/>
              </w:rPr>
            </w:pPr>
            <w:r>
              <w:rPr>
                <w:rFonts w:hint="eastAsia" w:ascii="宋体" w:hAnsi="宋体" w:cs="Calibri"/>
                <w:color w:val="auto"/>
                <w:kern w:val="2"/>
                <w:sz w:val="24"/>
                <w:szCs w:val="28"/>
                <w:highlight w:val="none"/>
              </w:rPr>
              <w:t>投标文件（商务及技术文件）、（投标报价）正本应用不褪色的墨水书写或打印，并逐页加盖投标人公章和法定代表人或其委托代理人逐页亲笔签署姓名，（封面、扉页、目录和本页正文内容已由投标人的法定代表人或其委托代理人签署姓名的可不签署），不得使用签名章或其它电子制版签名。</w:t>
            </w:r>
          </w:p>
          <w:p>
            <w:pPr>
              <w:spacing w:before="0" w:beforeAutospacing="0" w:after="0" w:afterAutospacing="0"/>
              <w:ind w:left="0" w:right="0" w:firstLine="480" w:firstLineChars="200"/>
              <w:rPr>
                <w:rFonts w:hint="eastAsia" w:ascii="宋体" w:hAnsi="宋体" w:cs="Calibri"/>
                <w:color w:val="auto"/>
                <w:kern w:val="2"/>
                <w:sz w:val="24"/>
                <w:szCs w:val="28"/>
                <w:highlight w:val="none"/>
              </w:rPr>
            </w:pPr>
            <w:r>
              <w:rPr>
                <w:rFonts w:hint="eastAsia" w:ascii="宋体" w:hAnsi="宋体" w:cs="Calibri"/>
                <w:color w:val="auto"/>
                <w:kern w:val="2"/>
                <w:sz w:val="24"/>
                <w:szCs w:val="28"/>
                <w:highlight w:val="none"/>
              </w:rPr>
              <w:t>投标文件应尽量避免涂改、行间插字或删除。如果出现上述情况，改动之处应加盖单位章或由投标人的法定代表人或其授权的代理人签字确认。</w:t>
            </w:r>
          </w:p>
          <w:p>
            <w:pPr>
              <w:spacing w:before="0" w:beforeAutospacing="0" w:after="0" w:afterAutospacing="0"/>
              <w:ind w:left="0" w:right="0" w:firstLine="480" w:firstLineChars="200"/>
              <w:rPr>
                <w:rFonts w:hint="eastAsia" w:ascii="宋体" w:hAnsi="宋体" w:cs="Calibri"/>
                <w:color w:val="auto"/>
                <w:kern w:val="2"/>
                <w:sz w:val="24"/>
                <w:szCs w:val="28"/>
                <w:highlight w:val="none"/>
              </w:rPr>
            </w:pPr>
            <w:r>
              <w:rPr>
                <w:rFonts w:hint="eastAsia" w:ascii="宋体" w:hAnsi="宋体" w:cs="Calibri"/>
                <w:color w:val="auto"/>
                <w:kern w:val="2"/>
                <w:sz w:val="24"/>
                <w:szCs w:val="28"/>
                <w:highlight w:val="none"/>
              </w:rPr>
              <w:t>正本和副本的封面上应清楚地标记“正本”或“副本”的字样。当副本和正本不一致时，以正本为准。</w:t>
            </w:r>
          </w:p>
          <w:p>
            <w:pPr>
              <w:spacing w:before="0" w:beforeAutospacing="0" w:after="0" w:afterAutospacing="0"/>
              <w:ind w:left="0" w:right="0"/>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8"/>
                <w:highlight w:val="none"/>
              </w:rPr>
              <w:t>投标文件（投标报价）正本投标总报价表还须造价人员签字并加盖执业专用章。委托造价咨询单位编制的，需提供委托协议，已标价工程量清单正本投标总报价加盖咨询单位公章、资质章、造价师签字并加盖执业专用章，且证件在有效期内的。</w:t>
            </w:r>
          </w:p>
        </w:tc>
      </w:tr>
      <w:tr>
        <w:trPr>
          <w:trHeight w:val="530" w:hRule="atLeast"/>
        </w:trPr>
        <w:tc>
          <w:tcPr>
            <w:tcW w:w="1202"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3.7.4</w:t>
            </w:r>
          </w:p>
        </w:tc>
        <w:tc>
          <w:tcPr>
            <w:tcW w:w="2084" w:type="dxa"/>
            <w:vAlign w:val="center"/>
          </w:tcPr>
          <w:p>
            <w:pPr>
              <w:spacing w:before="0" w:beforeAutospacing="0" w:after="0" w:afterAutospacing="0" w:line="500" w:lineRule="exact"/>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投标文件副本份数及其他要求</w:t>
            </w:r>
          </w:p>
        </w:tc>
        <w:tc>
          <w:tcPr>
            <w:tcW w:w="5805" w:type="dxa"/>
            <w:gridSpan w:val="2"/>
            <w:vAlign w:val="center"/>
          </w:tcPr>
          <w:p>
            <w:pPr>
              <w:spacing w:before="0" w:beforeAutospacing="0" w:after="0" w:afterAutospacing="0" w:line="500" w:lineRule="exact"/>
              <w:ind w:left="0" w:right="0"/>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rPr>
              <w:t>正本1份，副本4份，</w:t>
            </w:r>
            <w:r>
              <w:rPr>
                <w:rFonts w:hint="eastAsia" w:ascii="宋体" w:hAnsi="宋体" w:cs="Calibri"/>
                <w:color w:val="auto"/>
                <w:kern w:val="2"/>
                <w:sz w:val="24"/>
                <w:szCs w:val="28"/>
                <w:highlight w:val="none"/>
              </w:rPr>
              <w:t>U盘电子版本</w:t>
            </w:r>
            <w:r>
              <w:rPr>
                <w:rFonts w:hint="eastAsia" w:ascii="宋体" w:hAnsi="宋体" w:cs="Calibri"/>
                <w:color w:val="auto"/>
                <w:kern w:val="2"/>
                <w:sz w:val="24"/>
                <w:szCs w:val="22"/>
                <w:highlight w:val="none"/>
              </w:rPr>
              <w:t>1</w:t>
            </w:r>
            <w:r>
              <w:rPr>
                <w:rFonts w:hint="eastAsia" w:ascii="宋体" w:hAnsi="宋体" w:cs="Calibri"/>
                <w:color w:val="auto"/>
                <w:kern w:val="2"/>
                <w:sz w:val="24"/>
                <w:szCs w:val="28"/>
                <w:highlight w:val="none"/>
              </w:rPr>
              <w:t>份（U盘外贴标签注明单位名称和标段，电子版本应包括投标文件全部内容及已标价的工程量清单，且保证能够有效读取）</w:t>
            </w:r>
          </w:p>
        </w:tc>
      </w:tr>
      <w:tr>
        <w:trPr>
          <w:trHeight w:val="530" w:hRule="atLeast"/>
        </w:trPr>
        <w:tc>
          <w:tcPr>
            <w:tcW w:w="1202"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rPr>
              <w:t>3.7.5</w:t>
            </w:r>
          </w:p>
        </w:tc>
        <w:tc>
          <w:tcPr>
            <w:tcW w:w="2084"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装订</w:t>
            </w:r>
            <w:r>
              <w:rPr>
                <w:rFonts w:hint="eastAsia" w:ascii="宋体" w:hAnsi="宋体" w:cs="Calibri"/>
                <w:color w:val="auto"/>
                <w:kern w:val="2"/>
                <w:sz w:val="24"/>
                <w:szCs w:val="22"/>
                <w:highlight w:val="none"/>
                <w:lang w:eastAsia="zh-CN"/>
              </w:rPr>
              <w:t>的其他</w:t>
            </w:r>
            <w:r>
              <w:rPr>
                <w:rFonts w:hint="eastAsia" w:ascii="宋体" w:hAnsi="宋体" w:cs="Calibri"/>
                <w:color w:val="auto"/>
                <w:kern w:val="2"/>
                <w:sz w:val="24"/>
                <w:szCs w:val="22"/>
                <w:highlight w:val="none"/>
              </w:rPr>
              <w:t>要求</w:t>
            </w:r>
          </w:p>
        </w:tc>
        <w:tc>
          <w:tcPr>
            <w:tcW w:w="5805" w:type="dxa"/>
            <w:gridSpan w:val="2"/>
            <w:vAlign w:val="center"/>
          </w:tcPr>
          <w:p>
            <w:pPr>
              <w:spacing w:before="0" w:beforeAutospacing="0" w:after="0" w:afterAutospacing="0" w:line="360" w:lineRule="auto"/>
              <w:ind w:left="0" w:right="0"/>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8"/>
                <w:highlight w:val="none"/>
                <w:lang w:val="en-US" w:eastAsia="zh-CN"/>
              </w:rPr>
              <w:t>胶装（商务及技术部分、投标报价和工程量清单部分分别密封胶装）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718" w:hRule="atLeast"/>
        </w:trPr>
        <w:tc>
          <w:tcPr>
            <w:tcW w:w="1202" w:type="dxa"/>
            <w:tcBorders>
              <w:left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4.1.2</w:t>
            </w:r>
          </w:p>
        </w:tc>
        <w:tc>
          <w:tcPr>
            <w:tcW w:w="2084" w:type="dxa"/>
            <w:vAlign w:val="center"/>
          </w:tcPr>
          <w:p>
            <w:pPr>
              <w:spacing w:before="0" w:beforeAutospacing="0" w:after="0" w:afterAutospacing="0"/>
              <w:ind w:left="0" w:right="0"/>
              <w:jc w:val="center"/>
              <w:rPr>
                <w:rFonts w:hint="default" w:ascii="宋体" w:hAnsi="宋体" w:cs="Calibri"/>
                <w:color w:val="auto"/>
                <w:kern w:val="2"/>
                <w:sz w:val="24"/>
                <w:szCs w:val="22"/>
                <w:highlight w:val="none"/>
                <w:lang w:val="en-US"/>
              </w:rPr>
            </w:pPr>
            <w:r>
              <w:rPr>
                <w:rFonts w:hint="eastAsia" w:ascii="宋体" w:hAnsi="宋体" w:cs="Calibri"/>
                <w:color w:val="auto"/>
                <w:kern w:val="2"/>
                <w:sz w:val="24"/>
                <w:szCs w:val="22"/>
                <w:highlight w:val="none"/>
              </w:rPr>
              <w:t>封套上</w:t>
            </w:r>
            <w:r>
              <w:rPr>
                <w:rFonts w:hint="eastAsia" w:ascii="宋体" w:hAnsi="宋体" w:cs="Calibri"/>
                <w:color w:val="auto"/>
                <w:kern w:val="2"/>
                <w:sz w:val="24"/>
                <w:szCs w:val="22"/>
                <w:highlight w:val="none"/>
                <w:lang w:eastAsia="zh-CN"/>
              </w:rPr>
              <w:t>应载明的信息</w:t>
            </w:r>
            <w:r>
              <w:rPr>
                <w:rFonts w:hint="eastAsia" w:ascii="宋体" w:hAnsi="宋体" w:cs="Calibri"/>
                <w:color w:val="auto"/>
                <w:kern w:val="2"/>
                <w:sz w:val="24"/>
                <w:szCs w:val="22"/>
                <w:highlight w:val="none"/>
                <w:lang w:val="en-US" w:eastAsia="zh-CN"/>
              </w:rPr>
              <w:t xml:space="preserve"> </w:t>
            </w:r>
          </w:p>
        </w:tc>
        <w:tc>
          <w:tcPr>
            <w:tcW w:w="5805" w:type="dxa"/>
            <w:gridSpan w:val="2"/>
            <w:tcBorders>
              <w:right w:val="single" w:color="auto" w:sz="4" w:space="0"/>
            </w:tcBorders>
            <w:vAlign w:val="center"/>
          </w:tcPr>
          <w:p>
            <w:pPr>
              <w:widowControl w:val="0"/>
              <w:spacing w:before="0" w:beforeAutospacing="0" w:after="0" w:afterAutospacing="0"/>
              <w:ind w:left="0" w:right="0"/>
              <w:jc w:val="both"/>
              <w:rPr>
                <w:rFonts w:hint="eastAsia" w:ascii="宋体" w:hAnsi="宋体" w:eastAsia="宋体" w:cs="宋体"/>
                <w:b/>
                <w:bCs w:val="0"/>
                <w:kern w:val="2"/>
                <w:sz w:val="24"/>
                <w:szCs w:val="24"/>
                <w:highlight w:val="none"/>
                <w:lang w:val="en-US"/>
              </w:rPr>
            </w:pPr>
            <w:r>
              <w:rPr>
                <w:rFonts w:hint="eastAsia" w:ascii="宋体" w:hAnsi="宋体" w:eastAsia="宋体" w:cs="宋体"/>
                <w:b/>
                <w:bCs w:val="0"/>
                <w:kern w:val="2"/>
                <w:sz w:val="24"/>
                <w:szCs w:val="24"/>
                <w:highlight w:val="none"/>
                <w:lang w:val="en-US" w:eastAsia="zh-CN"/>
              </w:rPr>
              <w:t>投标文件第一个信封（商务及技术文件）封套：</w:t>
            </w:r>
          </w:p>
          <w:p>
            <w:pPr>
              <w:widowControl w:val="0"/>
              <w:spacing w:before="0" w:beforeAutospacing="0" w:after="0" w:afterAutospacing="0"/>
              <w:ind w:left="0"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rPr>
              <w:t>招标人名称：</w:t>
            </w:r>
          </w:p>
          <w:p>
            <w:pPr>
              <w:widowControl w:val="0"/>
              <w:spacing w:before="0" w:beforeAutospacing="0" w:after="0" w:afterAutospacing="0"/>
              <w:ind w:left="0"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rPr>
              <w:t>招标人地址：</w:t>
            </w:r>
          </w:p>
          <w:p>
            <w:pPr>
              <w:widowControl w:val="0"/>
              <w:spacing w:before="0" w:beforeAutospacing="0" w:after="0" w:afterAutospacing="0"/>
              <w:ind w:left="0"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u w:val="single" w:color="000000"/>
                <w:lang w:val="en-US" w:eastAsia="zh-CN"/>
              </w:rPr>
              <w:t xml:space="preserve">          </w:t>
            </w:r>
            <w:r>
              <w:rPr>
                <w:rFonts w:hint="eastAsia" w:ascii="宋体" w:hAnsi="宋体" w:eastAsia="宋体" w:cs="宋体"/>
                <w:kern w:val="2"/>
                <w:sz w:val="24"/>
                <w:szCs w:val="24"/>
                <w:highlight w:val="none"/>
                <w:lang w:val="en-US" w:eastAsia="zh-CN"/>
              </w:rPr>
              <w:t>（项目名称）施工招标第一个信封</w:t>
            </w:r>
          </w:p>
          <w:p>
            <w:pPr>
              <w:widowControl w:val="0"/>
              <w:spacing w:before="0" w:beforeAutospacing="0" w:after="0" w:afterAutospacing="0"/>
              <w:ind w:left="0"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rPr>
              <w:t>（商务及技术文件）投标文件</w:t>
            </w:r>
          </w:p>
          <w:p>
            <w:pPr>
              <w:widowControl w:val="0"/>
              <w:spacing w:before="0" w:beforeAutospacing="0" w:after="0" w:afterAutospacing="0"/>
              <w:ind w:left="0"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rPr>
              <w:t>招标项目编号：</w:t>
            </w:r>
          </w:p>
          <w:p>
            <w:pPr>
              <w:widowControl w:val="0"/>
              <w:spacing w:before="0" w:beforeAutospacing="0" w:after="0" w:afterAutospacing="0"/>
              <w:ind w:left="0"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rPr>
              <w:t>在201</w:t>
            </w:r>
            <w:r>
              <w:rPr>
                <w:rFonts w:hint="eastAsia" w:ascii="宋体" w:hAnsi="宋体" w:cs="宋体"/>
                <w:kern w:val="2"/>
                <w:sz w:val="24"/>
                <w:szCs w:val="24"/>
                <w:highlight w:val="none"/>
                <w:lang w:val="en-US" w:eastAsia="zh-CN"/>
              </w:rPr>
              <w:t>9</w:t>
            </w:r>
            <w:r>
              <w:rPr>
                <w:rFonts w:hint="eastAsia" w:ascii="宋体" w:hAnsi="宋体" w:eastAsia="宋体" w:cs="宋体"/>
                <w:kern w:val="2"/>
                <w:sz w:val="24"/>
                <w:szCs w:val="24"/>
                <w:highlight w:val="none"/>
                <w:lang w:val="en-US" w:eastAsia="zh-CN"/>
              </w:rPr>
              <w:t>年1月</w:t>
            </w:r>
            <w:r>
              <w:rPr>
                <w:rFonts w:hint="eastAsia" w:ascii="宋体" w:hAnsi="宋体" w:cs="宋体"/>
                <w:kern w:val="2"/>
                <w:sz w:val="24"/>
                <w:szCs w:val="24"/>
                <w:highlight w:val="none"/>
                <w:lang w:val="en-US" w:eastAsia="zh-CN"/>
              </w:rPr>
              <w:t>14</w:t>
            </w:r>
            <w:r>
              <w:rPr>
                <w:rFonts w:hint="eastAsia" w:ascii="宋体" w:hAnsi="宋体" w:eastAsia="宋体" w:cs="宋体"/>
                <w:kern w:val="2"/>
                <w:sz w:val="24"/>
                <w:szCs w:val="24"/>
                <w:highlight w:val="none"/>
                <w:lang w:val="en-US" w:eastAsia="zh-CN"/>
              </w:rPr>
              <w:t>日9时30分前不得开启</w:t>
            </w:r>
          </w:p>
          <w:p>
            <w:pPr>
              <w:widowControl w:val="0"/>
              <w:spacing w:before="0" w:beforeAutospacing="0" w:after="0" w:afterAutospacing="0"/>
              <w:ind w:left="0"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rPr>
              <w:t>投标人名称：</w:t>
            </w:r>
          </w:p>
          <w:p>
            <w:pPr>
              <w:widowControl w:val="0"/>
              <w:spacing w:before="0" w:beforeAutospacing="0" w:after="0" w:afterAutospacing="0"/>
              <w:ind w:left="113" w:right="0"/>
              <w:jc w:val="both"/>
              <w:rPr>
                <w:rFonts w:hint="eastAsia" w:ascii="宋体" w:hAnsi="宋体" w:eastAsia="宋体" w:cs="宋体"/>
                <w:b/>
                <w:bCs w:val="0"/>
                <w:kern w:val="2"/>
                <w:sz w:val="24"/>
                <w:szCs w:val="24"/>
                <w:highlight w:val="none"/>
                <w:lang w:val="en-US"/>
              </w:rPr>
            </w:pPr>
            <w:r>
              <w:rPr>
                <w:rFonts w:hint="eastAsia" w:ascii="宋体" w:hAnsi="宋体" w:eastAsia="宋体" w:cs="宋体"/>
                <w:b/>
                <w:bCs w:val="0"/>
                <w:kern w:val="2"/>
                <w:sz w:val="24"/>
                <w:szCs w:val="24"/>
                <w:highlight w:val="none"/>
                <w:lang w:val="en-US" w:eastAsia="zh-CN"/>
              </w:rPr>
              <w:t>投标文件第二个信封（投标报价）封套：</w:t>
            </w:r>
          </w:p>
          <w:p>
            <w:pPr>
              <w:widowControl w:val="0"/>
              <w:spacing w:before="0" w:beforeAutospacing="0" w:after="0" w:afterAutospacing="0"/>
              <w:ind w:left="113"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rPr>
              <w:t>招标人名称：</w:t>
            </w:r>
          </w:p>
          <w:p>
            <w:pPr>
              <w:widowControl w:val="0"/>
              <w:spacing w:before="0" w:beforeAutospacing="0" w:after="0" w:afterAutospacing="0"/>
              <w:ind w:left="113"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rPr>
              <w:t>招标人地址：</w:t>
            </w:r>
          </w:p>
          <w:p>
            <w:pPr>
              <w:widowControl w:val="0"/>
              <w:spacing w:before="0" w:beforeAutospacing="0" w:after="0" w:afterAutospacing="0"/>
              <w:ind w:left="113"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lang w:val="en-US" w:eastAsia="zh-CN"/>
              </w:rPr>
              <w:t>（项目名称）施工招标第二个信封</w:t>
            </w:r>
          </w:p>
          <w:p>
            <w:pPr>
              <w:widowControl w:val="0"/>
              <w:spacing w:before="0" w:beforeAutospacing="0" w:after="0" w:afterAutospacing="0"/>
              <w:ind w:left="113"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rPr>
              <w:t>（报价文件）投标文件</w:t>
            </w:r>
          </w:p>
          <w:p>
            <w:pPr>
              <w:widowControl w:val="0"/>
              <w:spacing w:before="0" w:beforeAutospacing="0" w:after="0" w:afterAutospacing="0"/>
              <w:ind w:left="113"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rPr>
              <w:t>招标项目编号：</w:t>
            </w:r>
          </w:p>
          <w:p>
            <w:pPr>
              <w:widowControl w:val="0"/>
              <w:spacing w:before="0" w:beforeAutospacing="0" w:after="0" w:afterAutospacing="0"/>
              <w:ind w:left="113"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rPr>
              <w:t>在投标文件第二个信封（投标报价）开标前不得开启</w:t>
            </w:r>
          </w:p>
          <w:p>
            <w:pPr>
              <w:widowControl w:val="0"/>
              <w:spacing w:before="0" w:beforeAutospacing="0" w:after="0" w:afterAutospacing="0"/>
              <w:ind w:left="113" w:right="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投标人名称：</w:t>
            </w:r>
          </w:p>
          <w:p>
            <w:pPr>
              <w:widowControl w:val="0"/>
              <w:spacing w:before="0" w:beforeAutospacing="0" w:after="0" w:afterAutospacing="0"/>
              <w:ind w:left="113" w:right="0"/>
              <w:jc w:val="both"/>
              <w:rPr>
                <w:rFonts w:hint="default" w:ascii="宋体" w:hAnsi="宋体" w:cs="Calibri"/>
                <w:color w:val="auto"/>
                <w:kern w:val="2"/>
                <w:sz w:val="24"/>
                <w:szCs w:val="22"/>
                <w:highlight w:val="none"/>
              </w:rPr>
            </w:pPr>
            <w:r>
              <w:rPr>
                <w:rFonts w:hint="eastAsia" w:ascii="宋体" w:hAnsi="宋体" w:eastAsia="宋体" w:cs="Times New Roman"/>
                <w:kern w:val="2"/>
                <w:sz w:val="24"/>
                <w:szCs w:val="24"/>
                <w:highlight w:val="none"/>
                <w:lang w:val="en-US" w:eastAsia="zh-CN"/>
              </w:rPr>
              <w:t>投标人地址：</w:t>
            </w:r>
            <w:r>
              <w:rPr>
                <w:rFonts w:hint="eastAsia" w:ascii="宋体" w:hAnsi="宋体" w:cs="Calibri"/>
                <w:color w:val="auto"/>
                <w:kern w:val="2"/>
                <w:sz w:val="24"/>
                <w:szCs w:val="22"/>
                <w:highlight w:val="none"/>
                <w:u w:val="single"/>
                <w:lang w:val="en-US" w:eastAsia="zh-CN"/>
              </w:rPr>
              <w:t xml:space="preserve">  </w:t>
            </w:r>
            <w:r>
              <w:rPr>
                <w:rFonts w:hint="eastAsia" w:ascii="宋体" w:hAnsi="宋体" w:cs="Calibri"/>
                <w:color w:val="auto"/>
                <w:kern w:val="2"/>
                <w:sz w:val="24"/>
                <w:szCs w:val="22"/>
                <w:highlight w:val="none"/>
                <w:u w:val="single"/>
              </w:rPr>
              <w:t xml:space="preserve">           </w:t>
            </w:r>
          </w:p>
        </w:tc>
      </w:tr>
      <w:tr>
        <w:trPr>
          <w:trHeight w:val="755" w:hRule="atLeast"/>
        </w:trPr>
        <w:tc>
          <w:tcPr>
            <w:tcW w:w="1202" w:type="dxa"/>
            <w:vAlign w:val="center"/>
          </w:tcPr>
          <w:p>
            <w:pPr>
              <w:spacing w:before="0" w:beforeAutospacing="0" w:after="0" w:afterAutospacing="0" w:line="360" w:lineRule="auto"/>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4.2.3</w:t>
            </w:r>
          </w:p>
        </w:tc>
        <w:tc>
          <w:tcPr>
            <w:tcW w:w="2084" w:type="dxa"/>
            <w:vAlign w:val="center"/>
          </w:tcPr>
          <w:p>
            <w:pPr>
              <w:spacing w:before="0" w:beforeAutospacing="0" w:after="0" w:afterAutospacing="0" w:line="360" w:lineRule="auto"/>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是否退还投标文件</w:t>
            </w:r>
          </w:p>
        </w:tc>
        <w:tc>
          <w:tcPr>
            <w:tcW w:w="5805" w:type="dxa"/>
            <w:gridSpan w:val="2"/>
            <w:vAlign w:val="center"/>
          </w:tcPr>
          <w:p>
            <w:pPr>
              <w:spacing w:before="0" w:beforeAutospacing="0" w:after="0" w:afterAutospacing="0" w:line="360" w:lineRule="auto"/>
              <w:ind w:left="0" w:right="0"/>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否</w:t>
            </w:r>
          </w:p>
        </w:tc>
      </w:tr>
      <w:tr>
        <w:trPr>
          <w:trHeight w:val="955" w:hRule="atLeast"/>
        </w:trPr>
        <w:tc>
          <w:tcPr>
            <w:tcW w:w="1202" w:type="dxa"/>
            <w:vAlign w:val="center"/>
          </w:tcPr>
          <w:p>
            <w:pPr>
              <w:spacing w:before="0" w:beforeAutospacing="0" w:after="0" w:afterAutospacing="0" w:line="360" w:lineRule="auto"/>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5.1</w:t>
            </w:r>
          </w:p>
        </w:tc>
        <w:tc>
          <w:tcPr>
            <w:tcW w:w="2084" w:type="dxa"/>
            <w:vAlign w:val="center"/>
          </w:tcPr>
          <w:p>
            <w:pPr>
              <w:spacing w:before="0" w:beforeAutospacing="0" w:after="0" w:afterAutospacing="0" w:line="360" w:lineRule="auto"/>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开标时间和地点</w:t>
            </w:r>
          </w:p>
        </w:tc>
        <w:tc>
          <w:tcPr>
            <w:tcW w:w="5805" w:type="dxa"/>
            <w:gridSpan w:val="2"/>
            <w:vAlign w:val="center"/>
          </w:tcPr>
          <w:p>
            <w:pPr>
              <w:spacing w:before="0" w:beforeAutospacing="0" w:after="0" w:afterAutospacing="0"/>
              <w:ind w:left="113" w:right="113"/>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开标时间</w:t>
            </w:r>
            <w:r>
              <w:rPr>
                <w:rFonts w:hint="eastAsia" w:ascii="宋体" w:hAnsi="宋体" w:cs="Calibri"/>
                <w:i w:val="0"/>
                <w:iCs w:val="0"/>
                <w:color w:val="auto"/>
                <w:kern w:val="2"/>
                <w:sz w:val="24"/>
                <w:szCs w:val="22"/>
                <w:highlight w:val="none"/>
              </w:rPr>
              <w:t>：201</w:t>
            </w:r>
            <w:r>
              <w:rPr>
                <w:rFonts w:hint="eastAsia" w:ascii="宋体" w:hAnsi="宋体" w:cs="Calibri"/>
                <w:i w:val="0"/>
                <w:iCs w:val="0"/>
                <w:color w:val="auto"/>
                <w:kern w:val="2"/>
                <w:sz w:val="24"/>
                <w:szCs w:val="22"/>
                <w:highlight w:val="none"/>
                <w:lang w:val="en-US" w:eastAsia="zh-CN"/>
              </w:rPr>
              <w:t>9</w:t>
            </w:r>
            <w:r>
              <w:rPr>
                <w:rFonts w:hint="eastAsia" w:ascii="宋体" w:hAnsi="宋体" w:cs="Calibri"/>
                <w:i w:val="0"/>
                <w:iCs w:val="0"/>
                <w:color w:val="auto"/>
                <w:kern w:val="2"/>
                <w:sz w:val="24"/>
                <w:szCs w:val="22"/>
                <w:highlight w:val="none"/>
              </w:rPr>
              <w:t>年</w:t>
            </w:r>
            <w:r>
              <w:rPr>
                <w:rFonts w:hint="eastAsia" w:ascii="宋体" w:hAnsi="宋体" w:cs="Calibri"/>
                <w:i w:val="0"/>
                <w:iCs w:val="0"/>
                <w:color w:val="auto"/>
                <w:kern w:val="2"/>
                <w:sz w:val="24"/>
                <w:szCs w:val="22"/>
                <w:highlight w:val="none"/>
                <w:lang w:val="en-US" w:eastAsia="zh-CN"/>
              </w:rPr>
              <w:t>1</w:t>
            </w:r>
            <w:r>
              <w:rPr>
                <w:rFonts w:hint="eastAsia" w:ascii="宋体" w:hAnsi="宋体" w:cs="Calibri"/>
                <w:i w:val="0"/>
                <w:iCs w:val="0"/>
                <w:color w:val="auto"/>
                <w:kern w:val="2"/>
                <w:sz w:val="24"/>
                <w:szCs w:val="22"/>
                <w:highlight w:val="none"/>
              </w:rPr>
              <w:t>月</w:t>
            </w:r>
            <w:r>
              <w:rPr>
                <w:rFonts w:hint="eastAsia" w:ascii="宋体" w:hAnsi="宋体" w:cs="Calibri"/>
                <w:i w:val="0"/>
                <w:iCs w:val="0"/>
                <w:color w:val="auto"/>
                <w:kern w:val="2"/>
                <w:sz w:val="24"/>
                <w:szCs w:val="22"/>
                <w:highlight w:val="none"/>
                <w:lang w:val="en-US" w:eastAsia="zh-CN"/>
              </w:rPr>
              <w:t>14</w:t>
            </w:r>
            <w:r>
              <w:rPr>
                <w:rFonts w:hint="eastAsia" w:ascii="宋体" w:hAnsi="宋体" w:cs="Calibri"/>
                <w:i w:val="0"/>
                <w:iCs w:val="0"/>
                <w:color w:val="auto"/>
                <w:kern w:val="2"/>
                <w:sz w:val="24"/>
                <w:szCs w:val="22"/>
                <w:highlight w:val="none"/>
              </w:rPr>
              <w:t>日</w:t>
            </w:r>
            <w:r>
              <w:rPr>
                <w:rFonts w:hint="eastAsia" w:ascii="宋体" w:hAnsi="宋体" w:cs="Calibri"/>
                <w:i w:val="0"/>
                <w:iCs w:val="0"/>
                <w:color w:val="auto"/>
                <w:kern w:val="2"/>
                <w:sz w:val="24"/>
                <w:szCs w:val="22"/>
                <w:highlight w:val="none"/>
                <w:lang w:val="en-US" w:eastAsia="zh-CN"/>
              </w:rPr>
              <w:t>9</w:t>
            </w:r>
            <w:r>
              <w:rPr>
                <w:rFonts w:hint="eastAsia" w:ascii="宋体" w:hAnsi="宋体" w:cs="Calibri"/>
                <w:i w:val="0"/>
                <w:iCs w:val="0"/>
                <w:color w:val="auto"/>
                <w:kern w:val="2"/>
                <w:sz w:val="24"/>
                <w:szCs w:val="22"/>
                <w:highlight w:val="none"/>
              </w:rPr>
              <w:t>时</w:t>
            </w:r>
            <w:r>
              <w:rPr>
                <w:rFonts w:hint="eastAsia" w:ascii="宋体" w:hAnsi="宋体" w:cs="Calibri"/>
                <w:i w:val="0"/>
                <w:iCs w:val="0"/>
                <w:color w:val="auto"/>
                <w:kern w:val="2"/>
                <w:sz w:val="24"/>
                <w:szCs w:val="22"/>
                <w:highlight w:val="none"/>
                <w:lang w:val="en-US" w:eastAsia="zh-CN"/>
              </w:rPr>
              <w:t>3</w:t>
            </w:r>
            <w:r>
              <w:rPr>
                <w:rFonts w:hint="eastAsia" w:ascii="宋体" w:hAnsi="宋体" w:cs="Calibri"/>
                <w:i w:val="0"/>
                <w:iCs w:val="0"/>
                <w:color w:val="auto"/>
                <w:kern w:val="2"/>
                <w:sz w:val="24"/>
                <w:szCs w:val="22"/>
                <w:highlight w:val="none"/>
              </w:rPr>
              <w:t>0分</w:t>
            </w:r>
          </w:p>
          <w:p>
            <w:pPr>
              <w:spacing w:before="0" w:beforeAutospacing="0" w:after="0" w:afterAutospacing="0"/>
              <w:ind w:left="113" w:right="113"/>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开标地点：许昌市建安区兴业大厦4167室</w:t>
            </w:r>
          </w:p>
        </w:tc>
      </w:tr>
      <w:tr>
        <w:trPr>
          <w:trHeight w:val="1085" w:hRule="atLeast"/>
        </w:trPr>
        <w:tc>
          <w:tcPr>
            <w:tcW w:w="1202"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5.2.1</w:t>
            </w:r>
          </w:p>
        </w:tc>
        <w:tc>
          <w:tcPr>
            <w:tcW w:w="2084"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第一个信封（商务及技术文件）</w:t>
            </w:r>
            <w:r>
              <w:rPr>
                <w:rFonts w:hint="eastAsia" w:ascii="宋体" w:hAnsi="宋体" w:cs="Calibri"/>
                <w:color w:val="auto"/>
                <w:kern w:val="2"/>
                <w:sz w:val="24"/>
                <w:szCs w:val="22"/>
                <w:highlight w:val="none"/>
                <w:lang w:eastAsia="zh-CN"/>
              </w:rPr>
              <w:t>开标程序</w:t>
            </w:r>
          </w:p>
        </w:tc>
        <w:tc>
          <w:tcPr>
            <w:tcW w:w="5805" w:type="dxa"/>
            <w:gridSpan w:val="2"/>
            <w:vAlign w:val="center"/>
          </w:tcPr>
          <w:p>
            <w:pPr>
              <w:numPr>
                <w:ilvl w:val="0"/>
                <w:numId w:val="1"/>
              </w:numPr>
              <w:spacing w:before="0" w:beforeAutospacing="0" w:after="0" w:afterAutospacing="0"/>
              <w:ind w:left="113" w:right="113"/>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密封情况：检查商务及技术文件是否存在提前开启情况</w:t>
            </w:r>
          </w:p>
          <w:p>
            <w:pPr>
              <w:numPr>
                <w:ilvl w:val="0"/>
                <w:numId w:val="1"/>
              </w:numPr>
              <w:spacing w:before="0" w:beforeAutospacing="0" w:after="0" w:afterAutospacing="0"/>
              <w:ind w:left="113" w:right="113"/>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开标顺序：</w:t>
            </w:r>
            <w:r>
              <w:rPr>
                <w:rFonts w:hint="eastAsia" w:ascii="宋体" w:hAnsi="宋体" w:cs="Calibri"/>
                <w:color w:val="auto"/>
                <w:kern w:val="2"/>
                <w:sz w:val="24"/>
                <w:szCs w:val="22"/>
                <w:highlight w:val="none"/>
              </w:rPr>
              <w:t>按送达投标文件顺序的逆顺序</w:t>
            </w:r>
          </w:p>
        </w:tc>
      </w:tr>
      <w:tr>
        <w:trPr>
          <w:trHeight w:val="2031" w:hRule="atLeast"/>
        </w:trPr>
        <w:tc>
          <w:tcPr>
            <w:tcW w:w="1202" w:type="dxa"/>
            <w:vAlign w:val="center"/>
          </w:tcPr>
          <w:p>
            <w:pPr>
              <w:spacing w:before="0" w:beforeAutospacing="0" w:after="0" w:afterAutospacing="0" w:line="360" w:lineRule="auto"/>
              <w:ind w:left="0" w:right="0"/>
              <w:jc w:val="center"/>
              <w:rPr>
                <w:rFonts w:hint="eastAsia" w:ascii="宋体" w:hAnsi="宋体" w:eastAsia="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5.2.3</w:t>
            </w:r>
          </w:p>
        </w:tc>
        <w:tc>
          <w:tcPr>
            <w:tcW w:w="2084"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第</w:t>
            </w:r>
            <w:r>
              <w:rPr>
                <w:rFonts w:hint="eastAsia" w:ascii="宋体" w:hAnsi="宋体" w:cs="Calibri"/>
                <w:color w:val="auto"/>
                <w:kern w:val="2"/>
                <w:sz w:val="24"/>
                <w:szCs w:val="22"/>
                <w:highlight w:val="none"/>
                <w:lang w:eastAsia="zh-CN"/>
              </w:rPr>
              <w:t>二</w:t>
            </w:r>
            <w:r>
              <w:rPr>
                <w:rFonts w:hint="eastAsia" w:ascii="宋体" w:hAnsi="宋体" w:cs="Calibri"/>
                <w:color w:val="auto"/>
                <w:kern w:val="2"/>
                <w:sz w:val="24"/>
                <w:szCs w:val="22"/>
                <w:highlight w:val="none"/>
              </w:rPr>
              <w:t>个信封（</w:t>
            </w:r>
            <w:r>
              <w:rPr>
                <w:rFonts w:hint="eastAsia" w:ascii="宋体" w:hAnsi="宋体" w:cs="Calibri"/>
                <w:color w:val="auto"/>
                <w:kern w:val="2"/>
                <w:sz w:val="24"/>
                <w:szCs w:val="22"/>
                <w:highlight w:val="none"/>
                <w:lang w:eastAsia="zh-CN"/>
              </w:rPr>
              <w:t>报价</w:t>
            </w:r>
            <w:r>
              <w:rPr>
                <w:rFonts w:hint="eastAsia" w:ascii="宋体" w:hAnsi="宋体" w:cs="Calibri"/>
                <w:color w:val="auto"/>
                <w:kern w:val="2"/>
                <w:sz w:val="24"/>
                <w:szCs w:val="22"/>
                <w:highlight w:val="none"/>
              </w:rPr>
              <w:t>文件）</w:t>
            </w:r>
            <w:r>
              <w:rPr>
                <w:rFonts w:hint="eastAsia" w:ascii="宋体" w:hAnsi="宋体" w:cs="Calibri"/>
                <w:color w:val="auto"/>
                <w:kern w:val="2"/>
                <w:sz w:val="24"/>
                <w:szCs w:val="22"/>
                <w:highlight w:val="none"/>
                <w:lang w:eastAsia="zh-CN"/>
              </w:rPr>
              <w:t>开标程序</w:t>
            </w:r>
          </w:p>
        </w:tc>
        <w:tc>
          <w:tcPr>
            <w:tcW w:w="5805" w:type="dxa"/>
            <w:gridSpan w:val="2"/>
            <w:vAlign w:val="center"/>
          </w:tcPr>
          <w:p>
            <w:pPr>
              <w:numPr>
                <w:ilvl w:val="0"/>
                <w:numId w:val="1"/>
              </w:numPr>
              <w:spacing w:before="0" w:beforeAutospacing="0" w:after="0" w:afterAutospacing="0"/>
              <w:ind w:left="113" w:right="113"/>
              <w:rPr>
                <w:rFonts w:hint="eastAsia" w:ascii="宋体" w:hAnsi="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密封情况：检查报价文件是否存在提前开启情况</w:t>
            </w:r>
          </w:p>
          <w:p>
            <w:pPr>
              <w:spacing w:before="0" w:beforeAutospacing="0" w:after="0" w:afterAutospacing="0"/>
              <w:ind w:left="113" w:leftChars="0" w:right="113"/>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lang w:eastAsia="zh-CN"/>
              </w:rPr>
              <w:t>开标顺序：</w:t>
            </w:r>
            <w:r>
              <w:rPr>
                <w:rFonts w:hint="eastAsia" w:ascii="宋体" w:hAnsi="宋体" w:cs="Calibri"/>
                <w:color w:val="auto"/>
                <w:kern w:val="2"/>
                <w:sz w:val="24"/>
                <w:szCs w:val="22"/>
                <w:highlight w:val="none"/>
              </w:rPr>
              <w:t>按送达投标文件顺序的逆顺序</w:t>
            </w:r>
          </w:p>
        </w:tc>
      </w:tr>
      <w:tr>
        <w:trPr>
          <w:trHeight w:val="2307" w:hRule="atLeast"/>
        </w:trPr>
        <w:tc>
          <w:tcPr>
            <w:tcW w:w="1202"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rPr>
              <w:t>6.1.1</w:t>
            </w:r>
          </w:p>
        </w:tc>
        <w:tc>
          <w:tcPr>
            <w:tcW w:w="2084"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rPr>
            </w:pPr>
            <w:r>
              <w:rPr>
                <w:rFonts w:hint="eastAsia" w:ascii="Calibri" w:hAnsi="宋体" w:cs="仿宋_GB2312"/>
                <w:b/>
                <w:color w:val="auto"/>
                <w:kern w:val="2"/>
                <w:sz w:val="24"/>
                <w:szCs w:val="22"/>
                <w:highlight w:val="none"/>
              </w:rPr>
              <w:t>评标委员会的组建</w:t>
            </w:r>
          </w:p>
        </w:tc>
        <w:tc>
          <w:tcPr>
            <w:tcW w:w="5805" w:type="dxa"/>
            <w:gridSpan w:val="2"/>
            <w:vAlign w:val="center"/>
          </w:tcPr>
          <w:p>
            <w:pPr>
              <w:spacing w:before="0" w:beforeAutospacing="0" w:after="0" w:afterAutospacing="0" w:line="360" w:lineRule="auto"/>
              <w:ind w:left="0" w:right="0"/>
              <w:rPr>
                <w:rFonts w:hint="eastAsia" w:ascii="Calibri" w:hAnsi="宋体" w:cs="仿宋_GB2312"/>
                <w:b/>
                <w:color w:val="auto"/>
                <w:kern w:val="2"/>
                <w:sz w:val="24"/>
                <w:szCs w:val="22"/>
                <w:highlight w:val="none"/>
              </w:rPr>
            </w:pPr>
            <w:r>
              <w:rPr>
                <w:rFonts w:hint="eastAsia" w:ascii="Calibri" w:hAnsi="宋体" w:cs="仿宋_GB2312"/>
                <w:b/>
                <w:color w:val="auto"/>
                <w:kern w:val="2"/>
                <w:sz w:val="24"/>
                <w:szCs w:val="22"/>
                <w:highlight w:val="none"/>
              </w:rPr>
              <w:t xml:space="preserve">评标委员会构成： </w:t>
            </w:r>
            <w:r>
              <w:rPr>
                <w:rFonts w:hint="eastAsia" w:ascii="Calibri" w:hAnsi="宋体" w:cs="仿宋_GB2312"/>
                <w:b/>
                <w:color w:val="auto"/>
                <w:kern w:val="2"/>
                <w:sz w:val="24"/>
                <w:szCs w:val="22"/>
                <w:highlight w:val="none"/>
                <w:lang w:val="en-US" w:eastAsia="zh-CN"/>
              </w:rPr>
              <w:t>5</w:t>
            </w:r>
            <w:r>
              <w:rPr>
                <w:rFonts w:hint="eastAsia" w:ascii="Calibri" w:hAnsi="宋体" w:cs="仿宋_GB2312"/>
                <w:b/>
                <w:color w:val="auto"/>
                <w:kern w:val="2"/>
                <w:sz w:val="24"/>
                <w:szCs w:val="22"/>
                <w:highlight w:val="none"/>
              </w:rPr>
              <w:t xml:space="preserve">人（招标人代表 </w:t>
            </w:r>
            <w:r>
              <w:rPr>
                <w:rFonts w:hint="eastAsia" w:ascii="Calibri" w:hAnsi="宋体" w:cs="仿宋_GB2312"/>
                <w:b/>
                <w:color w:val="auto"/>
                <w:kern w:val="2"/>
                <w:sz w:val="24"/>
                <w:szCs w:val="22"/>
                <w:highlight w:val="none"/>
                <w:lang w:val="en-US" w:eastAsia="zh-CN"/>
              </w:rPr>
              <w:t>1</w:t>
            </w:r>
            <w:r>
              <w:rPr>
                <w:rFonts w:hint="eastAsia" w:ascii="Calibri" w:hAnsi="宋体" w:cs="仿宋_GB2312"/>
                <w:b/>
                <w:color w:val="auto"/>
                <w:kern w:val="2"/>
                <w:sz w:val="24"/>
                <w:szCs w:val="22"/>
                <w:highlight w:val="none"/>
              </w:rPr>
              <w:t xml:space="preserve">人，专家 </w:t>
            </w:r>
            <w:r>
              <w:rPr>
                <w:rFonts w:hint="eastAsia" w:ascii="Calibri" w:hAnsi="宋体" w:cs="仿宋_GB2312"/>
                <w:b/>
                <w:color w:val="auto"/>
                <w:kern w:val="2"/>
                <w:sz w:val="24"/>
                <w:szCs w:val="22"/>
                <w:highlight w:val="none"/>
                <w:lang w:val="en-US" w:eastAsia="zh-CN"/>
              </w:rPr>
              <w:t>4</w:t>
            </w:r>
            <w:r>
              <w:rPr>
                <w:rFonts w:hint="eastAsia" w:ascii="Calibri" w:hAnsi="宋体" w:cs="仿宋_GB2312"/>
                <w:b/>
                <w:color w:val="auto"/>
                <w:kern w:val="2"/>
                <w:sz w:val="24"/>
                <w:szCs w:val="22"/>
                <w:highlight w:val="none"/>
              </w:rPr>
              <w:t xml:space="preserve"> 人，其中注册造价工程师2人）；</w:t>
            </w:r>
          </w:p>
          <w:p>
            <w:pPr>
              <w:spacing w:before="0" w:beforeAutospacing="0" w:after="0" w:afterAutospacing="0" w:line="360" w:lineRule="auto"/>
              <w:ind w:left="0" w:right="0"/>
              <w:rPr>
                <w:rFonts w:hint="eastAsia" w:ascii="宋体" w:hAnsi="宋体" w:cs="Calibri"/>
                <w:color w:val="auto"/>
                <w:kern w:val="2"/>
                <w:sz w:val="24"/>
                <w:szCs w:val="22"/>
                <w:highlight w:val="none"/>
                <w:lang w:eastAsia="zh-CN"/>
              </w:rPr>
            </w:pPr>
            <w:r>
              <w:rPr>
                <w:rFonts w:hint="eastAsia" w:ascii="Calibri" w:hAnsi="宋体" w:cs="仿宋_GB2312"/>
                <w:b/>
                <w:color w:val="auto"/>
                <w:kern w:val="2"/>
                <w:sz w:val="24"/>
                <w:szCs w:val="22"/>
                <w:highlight w:val="none"/>
              </w:rPr>
              <w:t>评标专家确定方式：从 河南省综合评标专家库 中随机抽取</w:t>
            </w:r>
          </w:p>
        </w:tc>
      </w:tr>
      <w:tr>
        <w:trPr>
          <w:trHeight w:val="1672" w:hRule="atLeast"/>
        </w:trPr>
        <w:tc>
          <w:tcPr>
            <w:tcW w:w="1202" w:type="dxa"/>
            <w:vAlign w:val="center"/>
          </w:tcPr>
          <w:p>
            <w:pPr>
              <w:spacing w:before="0" w:beforeAutospacing="0" w:after="0" w:afterAutospacing="0" w:line="360" w:lineRule="auto"/>
              <w:ind w:left="0" w:right="0"/>
              <w:jc w:val="center"/>
              <w:rPr>
                <w:rFonts w:hint="eastAsia" w:ascii="宋体" w:hAnsi="宋体" w:eastAsia="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6.3.2</w:t>
            </w:r>
          </w:p>
        </w:tc>
        <w:tc>
          <w:tcPr>
            <w:tcW w:w="2084"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评标委员会推荐中标候选人的人数</w:t>
            </w:r>
          </w:p>
        </w:tc>
        <w:tc>
          <w:tcPr>
            <w:tcW w:w="5805" w:type="dxa"/>
            <w:gridSpan w:val="2"/>
            <w:vAlign w:val="center"/>
          </w:tcPr>
          <w:p>
            <w:pPr>
              <w:spacing w:before="0" w:beforeAutospacing="0" w:after="0" w:afterAutospacing="0" w:line="360" w:lineRule="auto"/>
              <w:ind w:left="0" w:right="0"/>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1-3名</w:t>
            </w:r>
          </w:p>
        </w:tc>
      </w:tr>
      <w:tr>
        <w:trPr>
          <w:trHeight w:val="2426" w:hRule="exact"/>
        </w:trPr>
        <w:tc>
          <w:tcPr>
            <w:tcW w:w="1202" w:type="dxa"/>
            <w:vAlign w:val="center"/>
          </w:tcPr>
          <w:p>
            <w:pPr>
              <w:spacing w:before="0" w:beforeAutospacing="0" w:after="0" w:afterAutospacing="0" w:line="360" w:lineRule="auto"/>
              <w:ind w:left="0" w:right="0"/>
              <w:jc w:val="center"/>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val="en-US" w:eastAsia="zh-CN"/>
              </w:rPr>
              <w:t>7.1</w:t>
            </w:r>
          </w:p>
        </w:tc>
        <w:tc>
          <w:tcPr>
            <w:tcW w:w="2084" w:type="dxa"/>
            <w:vAlign w:val="center"/>
          </w:tcPr>
          <w:p>
            <w:pPr>
              <w:spacing w:before="0" w:beforeAutospacing="0" w:after="0" w:afterAutospacing="0" w:line="360" w:lineRule="auto"/>
              <w:ind w:left="0" w:right="0"/>
              <w:jc w:val="center"/>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eastAsia="zh-CN"/>
              </w:rPr>
              <w:t>中标候选人公示媒介及期限</w:t>
            </w:r>
          </w:p>
        </w:tc>
        <w:tc>
          <w:tcPr>
            <w:tcW w:w="5805" w:type="dxa"/>
            <w:gridSpan w:val="2"/>
            <w:vAlign w:val="center"/>
          </w:tcPr>
          <w:p>
            <w:pPr>
              <w:spacing w:before="0" w:beforeAutospacing="0" w:after="0" w:afterAutospacing="0" w:line="360" w:lineRule="auto"/>
              <w:ind w:left="0" w:right="0"/>
              <w:rPr>
                <w:rFonts w:hint="eastAsia" w:ascii="宋体" w:hAnsi="宋体" w:cs="Calibri"/>
                <w:color w:val="auto"/>
                <w:kern w:val="2"/>
                <w:sz w:val="24"/>
                <w:szCs w:val="22"/>
                <w:highlight w:val="none"/>
              </w:rPr>
            </w:pPr>
          </w:p>
          <w:p>
            <w:pPr>
              <w:spacing w:before="0" w:beforeAutospacing="0" w:after="0" w:afterAutospacing="0" w:line="360" w:lineRule="auto"/>
              <w:ind w:left="0" w:right="0"/>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在中标通知书发出前，招标人将中标候选人的情况在</w:t>
            </w:r>
            <w:r>
              <w:rPr>
                <w:rFonts w:hint="eastAsia" w:ascii="Calibri" w:hAnsi="宋体" w:cs="Calibri"/>
                <w:color w:val="000000"/>
                <w:kern w:val="2"/>
                <w:sz w:val="24"/>
                <w:szCs w:val="22"/>
                <w:highlight w:val="none"/>
              </w:rPr>
              <w:t>《全国公共资源交易平台（河南省·许昌市）》</w:t>
            </w:r>
            <w:r>
              <w:rPr>
                <w:rFonts w:hint="eastAsia" w:ascii="Calibri" w:hAnsi="宋体" w:cs="Calibri"/>
                <w:color w:val="000000"/>
                <w:kern w:val="2"/>
                <w:sz w:val="24"/>
                <w:szCs w:val="22"/>
                <w:highlight w:val="none"/>
                <w:lang w:eastAsia="zh-CN"/>
              </w:rPr>
              <w:t>和</w:t>
            </w:r>
            <w:r>
              <w:rPr>
                <w:rFonts w:hint="eastAsia" w:ascii="宋体" w:hAnsi="宋体" w:cs="Calibri"/>
                <w:kern w:val="2"/>
                <w:sz w:val="24"/>
                <w:szCs w:val="22"/>
                <w:highlight w:val="none"/>
                <w:lang w:val="en-US" w:eastAsia="zh-CN"/>
              </w:rPr>
              <w:t>《河南省电子招标投标公共服务平台》</w:t>
            </w:r>
            <w:r>
              <w:rPr>
                <w:rFonts w:hint="eastAsia" w:ascii="宋体" w:hAnsi="宋体" w:cs="Calibri"/>
                <w:color w:val="auto"/>
                <w:kern w:val="2"/>
                <w:sz w:val="24"/>
                <w:szCs w:val="22"/>
                <w:highlight w:val="none"/>
              </w:rPr>
              <w:t>上予以公示，公示期不少于3日</w:t>
            </w:r>
            <w:r>
              <w:rPr>
                <w:rFonts w:hint="eastAsia" w:ascii="宋体" w:hAnsi="宋体" w:cs="Calibri"/>
                <w:color w:val="auto"/>
                <w:kern w:val="2"/>
                <w:sz w:val="24"/>
                <w:szCs w:val="22"/>
                <w:highlight w:val="none"/>
                <w:lang w:eastAsia="zh-CN"/>
              </w:rPr>
              <w:t>。</w:t>
            </w:r>
          </w:p>
          <w:p>
            <w:pPr>
              <w:spacing w:before="0" w:beforeAutospacing="0" w:after="0" w:afterAutospacing="0" w:line="360" w:lineRule="auto"/>
              <w:ind w:left="0" w:right="0"/>
              <w:rPr>
                <w:rFonts w:hint="eastAsia" w:ascii="宋体" w:hAnsi="宋体" w:cs="Calibri"/>
                <w:color w:val="auto"/>
                <w:kern w:val="2"/>
                <w:sz w:val="24"/>
                <w:szCs w:val="22"/>
                <w:highlight w:val="none"/>
              </w:rPr>
            </w:pPr>
          </w:p>
          <w:p>
            <w:pPr>
              <w:spacing w:before="0" w:beforeAutospacing="0" w:after="0" w:afterAutospacing="0" w:line="360" w:lineRule="auto"/>
              <w:ind w:left="0" w:right="0"/>
              <w:rPr>
                <w:rFonts w:hint="eastAsia" w:ascii="宋体" w:hAnsi="宋体" w:cs="Calibri"/>
                <w:color w:val="auto"/>
                <w:kern w:val="2"/>
                <w:sz w:val="24"/>
                <w:szCs w:val="22"/>
                <w:highlight w:val="none"/>
              </w:rPr>
            </w:pPr>
          </w:p>
        </w:tc>
      </w:tr>
      <w:tr>
        <w:trPr>
          <w:trHeight w:val="1037" w:hRule="exact"/>
        </w:trPr>
        <w:tc>
          <w:tcPr>
            <w:tcW w:w="1202" w:type="dxa"/>
            <w:vAlign w:val="center"/>
          </w:tcPr>
          <w:p>
            <w:pPr>
              <w:spacing w:before="0" w:beforeAutospacing="0" w:after="0" w:afterAutospacing="0" w:line="360" w:lineRule="auto"/>
              <w:ind w:left="0" w:right="0"/>
              <w:jc w:val="center"/>
              <w:rPr>
                <w:rFonts w:hint="eastAsia" w:ascii="宋体" w:hAnsi="宋体" w:eastAsia="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7.4</w:t>
            </w:r>
          </w:p>
        </w:tc>
        <w:tc>
          <w:tcPr>
            <w:tcW w:w="2084" w:type="dxa"/>
            <w:vAlign w:val="center"/>
          </w:tcPr>
          <w:p>
            <w:pPr>
              <w:spacing w:before="0" w:beforeAutospacing="0" w:after="0" w:afterAutospacing="0" w:line="360" w:lineRule="auto"/>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是否授权评标委员会确定中标</w:t>
            </w:r>
            <w:r>
              <w:rPr>
                <w:rFonts w:hint="eastAsia" w:ascii="宋体" w:hAnsi="宋体" w:cs="Calibri"/>
                <w:color w:val="auto"/>
                <w:kern w:val="2"/>
                <w:sz w:val="24"/>
                <w:szCs w:val="22"/>
                <w:highlight w:val="none"/>
                <w:lang w:eastAsia="zh-CN"/>
              </w:rPr>
              <w:t>人</w:t>
            </w:r>
          </w:p>
        </w:tc>
        <w:tc>
          <w:tcPr>
            <w:tcW w:w="5805" w:type="dxa"/>
            <w:gridSpan w:val="2"/>
            <w:vAlign w:val="center"/>
          </w:tcPr>
          <w:p>
            <w:pPr>
              <w:spacing w:before="0" w:beforeAutospacing="0" w:after="0" w:afterAutospacing="0" w:line="360" w:lineRule="auto"/>
              <w:ind w:left="0" w:right="0"/>
              <w:rPr>
                <w:rFonts w:hint="eastAsia" w:ascii="Calibri" w:hAnsi="宋体" w:eastAsia="宋体" w:cs="仿宋_GB2312"/>
                <w:b/>
                <w:color w:val="auto"/>
                <w:kern w:val="2"/>
                <w:sz w:val="21"/>
                <w:szCs w:val="22"/>
                <w:highlight w:val="none"/>
                <w:lang w:eastAsia="zh-CN"/>
              </w:rPr>
            </w:pPr>
            <w:r>
              <w:rPr>
                <w:rFonts w:hint="eastAsia" w:ascii="Calibri" w:hAnsi="宋体" w:cs="仿宋_GB2312"/>
                <w:b w:val="0"/>
                <w:bCs/>
                <w:color w:val="auto"/>
                <w:kern w:val="2"/>
                <w:sz w:val="21"/>
                <w:szCs w:val="22"/>
                <w:highlight w:val="none"/>
                <w:lang w:eastAsia="zh-CN"/>
              </w:rPr>
              <w:t>否</w:t>
            </w:r>
          </w:p>
        </w:tc>
      </w:tr>
      <w:tr>
        <w:trPr>
          <w:trHeight w:val="1627" w:hRule="exact"/>
        </w:trPr>
        <w:tc>
          <w:tcPr>
            <w:tcW w:w="1202"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7.5</w:t>
            </w:r>
          </w:p>
        </w:tc>
        <w:tc>
          <w:tcPr>
            <w:tcW w:w="2084"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中标通知书和中标结果通知发</w:t>
            </w:r>
            <w:r>
              <w:rPr>
                <w:rFonts w:hint="eastAsia" w:ascii="宋体" w:hAnsi="宋体" w:cs="Calibri"/>
                <w:color w:val="auto"/>
                <w:kern w:val="2"/>
                <w:sz w:val="24"/>
                <w:szCs w:val="22"/>
                <w:highlight w:val="none"/>
                <w:lang w:eastAsia="zh-CN"/>
              </w:rPr>
              <w:t>出的形式</w:t>
            </w:r>
          </w:p>
        </w:tc>
        <w:tc>
          <w:tcPr>
            <w:tcW w:w="5805" w:type="dxa"/>
            <w:gridSpan w:val="2"/>
            <w:vAlign w:val="center"/>
          </w:tcPr>
          <w:p>
            <w:pPr>
              <w:spacing w:before="0" w:beforeAutospacing="0" w:after="0" w:afterAutospacing="0" w:line="360" w:lineRule="auto"/>
              <w:ind w:left="0" w:right="0"/>
              <w:rPr>
                <w:rFonts w:hint="eastAsia" w:ascii="Calibri" w:hAnsi="宋体" w:cs="仿宋_GB2312"/>
                <w:b w:val="0"/>
                <w:bCs/>
                <w:color w:val="auto"/>
                <w:kern w:val="2"/>
                <w:sz w:val="24"/>
                <w:szCs w:val="24"/>
                <w:highlight w:val="none"/>
                <w:lang w:eastAsia="zh-CN"/>
              </w:rPr>
            </w:pPr>
            <w:r>
              <w:rPr>
                <w:rFonts w:hint="eastAsia" w:ascii="Calibri" w:hAnsi="宋体" w:cs="仿宋_GB2312"/>
                <w:b w:val="0"/>
                <w:bCs/>
                <w:color w:val="auto"/>
                <w:kern w:val="2"/>
                <w:sz w:val="24"/>
                <w:szCs w:val="24"/>
                <w:highlight w:val="none"/>
                <w:lang w:eastAsia="zh-CN"/>
              </w:rPr>
              <w:t>若公示期内无异议，期满将向第一中标候选人签发中标通知书。</w:t>
            </w:r>
          </w:p>
        </w:tc>
      </w:tr>
      <w:tr>
        <w:trPr>
          <w:trHeight w:val="1946" w:hRule="exact"/>
        </w:trPr>
        <w:tc>
          <w:tcPr>
            <w:tcW w:w="1202"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7.6</w:t>
            </w:r>
          </w:p>
        </w:tc>
        <w:tc>
          <w:tcPr>
            <w:tcW w:w="2084"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中标结果公告媒介及期限</w:t>
            </w:r>
          </w:p>
        </w:tc>
        <w:tc>
          <w:tcPr>
            <w:tcW w:w="5805" w:type="dxa"/>
            <w:gridSpan w:val="2"/>
            <w:vAlign w:val="center"/>
          </w:tcPr>
          <w:p>
            <w:pPr>
              <w:spacing w:before="0" w:beforeAutospacing="0" w:after="0" w:afterAutospacing="0" w:line="360" w:lineRule="auto"/>
              <w:ind w:left="0" w:right="0"/>
              <w:rPr>
                <w:rFonts w:hint="eastAsia" w:ascii="Calibri" w:hAnsi="宋体" w:cs="仿宋_GB2312"/>
                <w:b w:val="0"/>
                <w:bCs/>
                <w:color w:val="auto"/>
                <w:kern w:val="2"/>
                <w:sz w:val="24"/>
                <w:szCs w:val="24"/>
                <w:highlight w:val="none"/>
                <w:lang w:eastAsia="zh-CN"/>
              </w:rPr>
            </w:pPr>
            <w:r>
              <w:rPr>
                <w:rFonts w:hint="eastAsia" w:ascii="Calibri" w:hAnsi="宋体" w:cs="仿宋_GB2312"/>
                <w:b w:val="0"/>
                <w:bCs/>
                <w:color w:val="auto"/>
                <w:kern w:val="2"/>
                <w:sz w:val="24"/>
                <w:szCs w:val="24"/>
                <w:highlight w:val="none"/>
                <w:lang w:eastAsia="zh-CN"/>
              </w:rPr>
              <w:t>公告媒介：《全国公共资源交易平台（河南省·许昌市）》和《河南省电子招标投标公共服务平台》</w:t>
            </w:r>
          </w:p>
          <w:p>
            <w:pPr>
              <w:spacing w:before="0" w:beforeAutospacing="0" w:after="0" w:afterAutospacing="0" w:line="360" w:lineRule="auto"/>
              <w:ind w:left="0" w:right="0"/>
              <w:rPr>
                <w:rFonts w:hint="eastAsia" w:ascii="Calibri" w:hAnsi="宋体" w:cs="仿宋_GB2312"/>
                <w:b w:val="0"/>
                <w:bCs/>
                <w:color w:val="auto"/>
                <w:kern w:val="2"/>
                <w:sz w:val="24"/>
                <w:szCs w:val="24"/>
                <w:highlight w:val="none"/>
                <w:lang w:eastAsia="zh-CN"/>
              </w:rPr>
            </w:pPr>
            <w:r>
              <w:rPr>
                <w:rFonts w:hint="eastAsia" w:ascii="Calibri" w:hAnsi="宋体" w:cs="仿宋_GB2312"/>
                <w:b w:val="0"/>
                <w:bCs/>
                <w:color w:val="auto"/>
                <w:kern w:val="2"/>
                <w:sz w:val="24"/>
                <w:szCs w:val="24"/>
                <w:highlight w:val="none"/>
                <w:lang w:eastAsia="zh-CN"/>
              </w:rPr>
              <w:t>公告期限：</w:t>
            </w:r>
            <w:r>
              <w:rPr>
                <w:rFonts w:hint="eastAsia" w:ascii="Calibri" w:hAnsi="宋体" w:cs="仿宋_GB2312"/>
                <w:b w:val="0"/>
                <w:bCs/>
                <w:color w:val="auto"/>
                <w:kern w:val="2"/>
                <w:sz w:val="24"/>
                <w:szCs w:val="24"/>
                <w:highlight w:val="none"/>
                <w:lang w:val="en-US" w:eastAsia="zh-CN"/>
              </w:rPr>
              <w:t>1</w:t>
            </w:r>
            <w:r>
              <w:rPr>
                <w:rFonts w:hint="eastAsia" w:ascii="Calibri" w:hAnsi="宋体" w:cs="仿宋_GB2312"/>
                <w:b w:val="0"/>
                <w:bCs/>
                <w:color w:val="auto"/>
                <w:kern w:val="2"/>
                <w:sz w:val="24"/>
                <w:szCs w:val="24"/>
                <w:highlight w:val="none"/>
                <w:lang w:eastAsia="zh-CN"/>
              </w:rPr>
              <w:t>日</w:t>
            </w:r>
          </w:p>
        </w:tc>
      </w:tr>
      <w:tr>
        <w:trPr>
          <w:trHeight w:val="7058" w:hRule="exact"/>
        </w:trPr>
        <w:tc>
          <w:tcPr>
            <w:tcW w:w="1202"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lang w:val="en-US" w:eastAsia="zh-CN"/>
              </w:rPr>
            </w:pPr>
            <w:r>
              <w:rPr>
                <w:rFonts w:hint="eastAsia" w:ascii="宋体" w:hAnsi="宋体" w:cs="Calibri"/>
                <w:color w:val="auto"/>
                <w:kern w:val="2"/>
                <w:sz w:val="24"/>
                <w:szCs w:val="22"/>
                <w:highlight w:val="none"/>
                <w:lang w:val="en-US" w:eastAsia="zh-CN"/>
              </w:rPr>
              <w:t>7.7.1</w:t>
            </w:r>
          </w:p>
        </w:tc>
        <w:tc>
          <w:tcPr>
            <w:tcW w:w="208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履约</w:t>
            </w:r>
            <w:r>
              <w:rPr>
                <w:rFonts w:hint="eastAsia" w:ascii="宋体" w:hAnsi="宋体" w:cs="Calibri"/>
                <w:color w:val="auto"/>
                <w:kern w:val="2"/>
                <w:sz w:val="24"/>
                <w:szCs w:val="22"/>
                <w:highlight w:val="none"/>
                <w:lang w:eastAsia="zh-CN"/>
              </w:rPr>
              <w:t>保证金</w:t>
            </w:r>
          </w:p>
        </w:tc>
        <w:tc>
          <w:tcPr>
            <w:tcW w:w="5805" w:type="dxa"/>
            <w:gridSpan w:val="2"/>
            <w:vAlign w:val="center"/>
          </w:tcPr>
          <w:p>
            <w:pPr>
              <w:spacing w:before="0" w:beforeAutospacing="0" w:after="0" w:afterAutospacing="0" w:line="400" w:lineRule="exact"/>
              <w:ind w:left="0" w:right="0" w:firstLine="240" w:firstLineChars="100"/>
              <w:rPr>
                <w:rFonts w:hint="eastAsia" w:ascii="宋体" w:hAnsi="宋体" w:cs="Calibri"/>
                <w:color w:val="auto"/>
                <w:kern w:val="2"/>
                <w:sz w:val="24"/>
                <w:szCs w:val="22"/>
                <w:highlight w:val="none"/>
                <w:lang w:val="en-US"/>
              </w:rPr>
            </w:pPr>
            <w:r>
              <w:rPr>
                <w:rFonts w:hint="eastAsia" w:ascii="宋体" w:hAnsi="宋体" w:cs="Calibri"/>
                <w:color w:val="auto"/>
                <w:kern w:val="2"/>
                <w:sz w:val="24"/>
                <w:szCs w:val="22"/>
                <w:highlight w:val="none"/>
                <w:lang w:val="en-US" w:eastAsia="zh-CN"/>
              </w:rPr>
              <w:t xml:space="preserve">1、履约保证金提交方式 </w:t>
            </w:r>
          </w:p>
          <w:p>
            <w:pPr>
              <w:spacing w:before="0" w:beforeAutospacing="0" w:after="0" w:afterAutospacing="0" w:line="400" w:lineRule="exact"/>
              <w:ind w:left="0" w:right="0" w:firstLine="480" w:firstLineChars="200"/>
              <w:rPr>
                <w:rFonts w:hint="eastAsia" w:ascii="宋体" w:hAnsi="宋体" w:cs="Calibri"/>
                <w:color w:val="auto"/>
                <w:kern w:val="2"/>
                <w:sz w:val="24"/>
                <w:szCs w:val="22"/>
                <w:highlight w:val="none"/>
                <w:lang w:val="en-US"/>
              </w:rPr>
            </w:pPr>
            <w:r>
              <w:rPr>
                <w:rFonts w:hint="eastAsia" w:ascii="宋体" w:hAnsi="宋体" w:cs="Calibri"/>
                <w:color w:val="auto"/>
                <w:kern w:val="2"/>
                <w:sz w:val="24"/>
                <w:szCs w:val="22"/>
                <w:highlight w:val="none"/>
                <w:lang w:val="en-US" w:eastAsia="zh-CN"/>
              </w:rPr>
              <w:t xml:space="preserve">1.1以网银、银行转账支票、银行电汇方式提交。  </w:t>
            </w:r>
          </w:p>
          <w:p>
            <w:pPr>
              <w:spacing w:before="0" w:beforeAutospacing="0" w:after="0" w:afterAutospacing="0" w:line="400" w:lineRule="exact"/>
              <w:ind w:left="0" w:right="0" w:firstLine="480" w:firstLineChars="200"/>
              <w:rPr>
                <w:rFonts w:hint="eastAsia" w:ascii="宋体" w:hAnsi="宋体" w:cs="Calibri"/>
                <w:color w:val="auto"/>
                <w:kern w:val="2"/>
                <w:sz w:val="24"/>
                <w:szCs w:val="22"/>
                <w:highlight w:val="none"/>
                <w:lang w:val="en-US"/>
              </w:rPr>
            </w:pPr>
            <w:r>
              <w:rPr>
                <w:rFonts w:hint="eastAsia" w:ascii="宋体" w:hAnsi="宋体" w:cs="Calibri"/>
                <w:color w:val="auto"/>
                <w:kern w:val="2"/>
                <w:sz w:val="24"/>
                <w:szCs w:val="22"/>
                <w:highlight w:val="none"/>
                <w:lang w:val="en-US" w:eastAsia="zh-CN"/>
              </w:rPr>
              <w:t xml:space="preserve">1.2现金支票和现金不得作为履约保证金提交方式。  </w:t>
            </w:r>
          </w:p>
          <w:p>
            <w:pPr>
              <w:spacing w:before="0" w:beforeAutospacing="0" w:after="0" w:afterAutospacing="0" w:line="400" w:lineRule="exact"/>
              <w:ind w:left="0" w:right="0" w:firstLine="480" w:firstLineChars="200"/>
              <w:rPr>
                <w:rFonts w:hint="eastAsia" w:ascii="宋体" w:hAnsi="宋体" w:cs="Calibri"/>
                <w:color w:val="auto"/>
                <w:kern w:val="2"/>
                <w:sz w:val="24"/>
                <w:szCs w:val="22"/>
                <w:highlight w:val="none"/>
                <w:lang w:val="en-US"/>
              </w:rPr>
            </w:pPr>
            <w:r>
              <w:rPr>
                <w:rFonts w:hint="eastAsia" w:ascii="宋体" w:hAnsi="宋体" w:cs="Calibri"/>
                <w:color w:val="auto"/>
                <w:kern w:val="2"/>
                <w:sz w:val="24"/>
                <w:szCs w:val="22"/>
                <w:highlight w:val="none"/>
                <w:lang w:val="en-US" w:eastAsia="zh-CN"/>
              </w:rPr>
              <w:t>1.3中标人必须通过其公司账户按照规定的方式提交，其名称应与中标单位的名称一致。</w:t>
            </w:r>
          </w:p>
          <w:p>
            <w:pPr>
              <w:spacing w:before="0" w:beforeAutospacing="0" w:after="0" w:afterAutospacing="0" w:line="400" w:lineRule="exact"/>
              <w:ind w:left="0" w:right="0" w:firstLine="480" w:firstLineChars="200"/>
              <w:rPr>
                <w:rFonts w:hint="eastAsia" w:ascii="宋体" w:hAnsi="宋体" w:cs="Calibri"/>
                <w:color w:val="auto"/>
                <w:kern w:val="2"/>
                <w:sz w:val="24"/>
                <w:szCs w:val="22"/>
                <w:highlight w:val="none"/>
                <w:lang w:val="en-US"/>
              </w:rPr>
            </w:pPr>
            <w:r>
              <w:rPr>
                <w:rFonts w:hint="eastAsia" w:ascii="宋体" w:hAnsi="宋体" w:cs="Calibri"/>
                <w:color w:val="auto"/>
                <w:kern w:val="2"/>
                <w:sz w:val="24"/>
                <w:szCs w:val="22"/>
                <w:highlight w:val="none"/>
                <w:lang w:val="en-US" w:eastAsia="zh-CN"/>
              </w:rPr>
              <w:t xml:space="preserve">2、履约保证金提交比例和数额 </w:t>
            </w:r>
          </w:p>
          <w:p>
            <w:pPr>
              <w:spacing w:before="0" w:beforeAutospacing="0" w:after="0" w:afterAutospacing="0" w:line="400" w:lineRule="exact"/>
              <w:ind w:left="0" w:right="0"/>
              <w:rPr>
                <w:rFonts w:hint="eastAsia" w:ascii="宋体" w:hAnsi="宋体" w:cs="Calibri"/>
                <w:color w:val="auto"/>
                <w:kern w:val="2"/>
                <w:sz w:val="24"/>
                <w:szCs w:val="22"/>
                <w:highlight w:val="none"/>
                <w:lang w:val="en-US"/>
              </w:rPr>
            </w:pPr>
            <w:r>
              <w:rPr>
                <w:rFonts w:hint="eastAsia" w:ascii="宋体" w:hAnsi="宋体" w:cs="Calibri"/>
                <w:color w:val="auto"/>
                <w:kern w:val="2"/>
                <w:sz w:val="24"/>
                <w:szCs w:val="22"/>
                <w:highlight w:val="none"/>
                <w:lang w:val="en-US" w:eastAsia="zh-CN"/>
              </w:rPr>
              <w:t>履约保证金数额不得超过中标合同金额的10%。</w:t>
            </w:r>
          </w:p>
          <w:p>
            <w:pPr>
              <w:spacing w:before="0" w:beforeAutospacing="0" w:after="0" w:afterAutospacing="0" w:line="400" w:lineRule="exact"/>
              <w:ind w:left="0" w:right="0" w:firstLine="480" w:firstLineChars="200"/>
              <w:rPr>
                <w:rFonts w:hint="eastAsia" w:ascii="宋体" w:hAnsi="宋体" w:cs="Calibri"/>
                <w:color w:val="auto"/>
                <w:kern w:val="2"/>
                <w:sz w:val="24"/>
                <w:szCs w:val="22"/>
                <w:highlight w:val="none"/>
                <w:lang w:val="en-US"/>
              </w:rPr>
            </w:pPr>
            <w:r>
              <w:rPr>
                <w:rFonts w:hint="eastAsia" w:ascii="宋体" w:hAnsi="宋体" w:cs="Calibri"/>
                <w:color w:val="auto"/>
                <w:kern w:val="2"/>
                <w:sz w:val="24"/>
                <w:szCs w:val="22"/>
                <w:highlight w:val="none"/>
                <w:lang w:val="en-US" w:eastAsia="zh-CN"/>
              </w:rPr>
              <w:t xml:space="preserve">3、履约保证金的退还 </w:t>
            </w:r>
          </w:p>
          <w:p>
            <w:pPr>
              <w:spacing w:before="0" w:beforeAutospacing="0" w:after="0" w:afterAutospacing="0" w:line="400" w:lineRule="exact"/>
              <w:ind w:left="0" w:right="0" w:firstLine="480" w:firstLineChars="200"/>
              <w:rPr>
                <w:rFonts w:hint="eastAsia" w:ascii="宋体" w:hAnsi="宋体" w:cs="Calibri"/>
                <w:color w:val="auto"/>
                <w:kern w:val="2"/>
                <w:sz w:val="24"/>
                <w:szCs w:val="22"/>
                <w:highlight w:val="none"/>
                <w:lang w:val="en-US"/>
              </w:rPr>
            </w:pPr>
            <w:r>
              <w:rPr>
                <w:rFonts w:hint="eastAsia" w:ascii="宋体" w:hAnsi="宋体" w:cs="Calibri"/>
                <w:color w:val="auto"/>
                <w:kern w:val="2"/>
                <w:sz w:val="24"/>
                <w:szCs w:val="22"/>
                <w:highlight w:val="none"/>
                <w:lang w:val="en-US" w:eastAsia="zh-CN"/>
              </w:rPr>
              <w:t xml:space="preserve">3.1项目完工后，由招标人出具《履约保证金退还通知单》，中心财务凭《履约保证金退还通知单》在五个工作日内退还履约保证金及银行同期活期存款利息至中标人账户。  </w:t>
            </w:r>
          </w:p>
          <w:p>
            <w:pPr>
              <w:widowControl/>
              <w:spacing w:before="0" w:beforeAutospacing="0" w:after="0" w:afterAutospacing="0" w:line="400" w:lineRule="exact"/>
              <w:ind w:left="0" w:right="0" w:firstLine="480" w:firstLineChars="200"/>
              <w:jc w:val="left"/>
              <w:rPr>
                <w:rFonts w:hint="eastAsia" w:ascii="Calibri" w:hAnsi="宋体" w:cs="仿宋_GB2312"/>
                <w:b w:val="0"/>
                <w:bCs/>
                <w:color w:val="auto"/>
                <w:kern w:val="2"/>
                <w:sz w:val="24"/>
                <w:szCs w:val="24"/>
                <w:highlight w:val="none"/>
                <w:lang w:eastAsia="zh-CN"/>
              </w:rPr>
            </w:pPr>
            <w:r>
              <w:rPr>
                <w:rFonts w:hint="eastAsia" w:ascii="宋体" w:hAnsi="宋体" w:eastAsia="宋体" w:cs="宋体"/>
                <w:kern w:val="0"/>
                <w:sz w:val="24"/>
                <w:szCs w:val="20"/>
                <w:highlight w:val="none"/>
                <w:lang w:val="en-US" w:eastAsia="zh-CN"/>
              </w:rPr>
              <w:t>3.2中标人因发生质疑、投诉、举报或有关部门立案调查的，中心依据相关行政监督部门的意见暂停退还或没收其履约保证金，待行政监督部门对相关情况处置后，按照有关规定办理。</w:t>
            </w:r>
          </w:p>
          <w:p>
            <w:pPr>
              <w:pStyle w:val="2"/>
              <w:rPr>
                <w:rFonts w:hint="eastAsia" w:ascii="Calibri" w:hAnsi="宋体" w:cs="仿宋_GB2312"/>
                <w:b w:val="0"/>
                <w:bCs/>
                <w:color w:val="auto"/>
                <w:kern w:val="2"/>
                <w:sz w:val="24"/>
                <w:szCs w:val="24"/>
                <w:highlight w:val="none"/>
                <w:lang w:eastAsia="zh-CN"/>
              </w:rPr>
            </w:pPr>
          </w:p>
          <w:p>
            <w:pPr>
              <w:pStyle w:val="2"/>
              <w:rPr>
                <w:rFonts w:hint="eastAsia" w:ascii="Calibri" w:hAnsi="宋体" w:cs="仿宋_GB2312"/>
                <w:b w:val="0"/>
                <w:bCs/>
                <w:color w:val="auto"/>
                <w:kern w:val="2"/>
                <w:sz w:val="24"/>
                <w:szCs w:val="24"/>
                <w:highlight w:val="none"/>
                <w:lang w:eastAsia="zh-CN"/>
              </w:rPr>
            </w:pPr>
          </w:p>
          <w:p>
            <w:pPr>
              <w:pStyle w:val="2"/>
              <w:rPr>
                <w:rFonts w:hint="eastAsia" w:ascii="Calibri" w:hAnsi="宋体" w:cs="仿宋_GB2312"/>
                <w:b w:val="0"/>
                <w:bCs/>
                <w:color w:val="auto"/>
                <w:kern w:val="2"/>
                <w:sz w:val="24"/>
                <w:szCs w:val="24"/>
                <w:highlight w:val="none"/>
                <w:lang w:eastAsia="zh-CN"/>
              </w:rPr>
            </w:pPr>
          </w:p>
          <w:p>
            <w:pPr>
              <w:pStyle w:val="2"/>
              <w:rPr>
                <w:rFonts w:hint="eastAsia" w:ascii="Calibri" w:hAnsi="宋体" w:cs="仿宋_GB2312"/>
                <w:b w:val="0"/>
                <w:bCs/>
                <w:color w:val="auto"/>
                <w:kern w:val="2"/>
                <w:sz w:val="24"/>
                <w:szCs w:val="24"/>
                <w:highlight w:val="none"/>
                <w:lang w:eastAsia="zh-CN"/>
              </w:rPr>
            </w:pPr>
          </w:p>
          <w:p>
            <w:pPr>
              <w:pStyle w:val="2"/>
              <w:rPr>
                <w:rFonts w:hint="eastAsia" w:ascii="Calibri" w:hAnsi="宋体" w:cs="仿宋_GB2312"/>
                <w:b w:val="0"/>
                <w:bCs/>
                <w:color w:val="auto"/>
                <w:kern w:val="2"/>
                <w:sz w:val="24"/>
                <w:szCs w:val="24"/>
                <w:highlight w:val="none"/>
                <w:lang w:eastAsia="zh-CN"/>
              </w:rPr>
            </w:pPr>
          </w:p>
          <w:p>
            <w:pPr>
              <w:pStyle w:val="2"/>
              <w:rPr>
                <w:rFonts w:hint="eastAsia" w:ascii="Calibri" w:hAnsi="宋体" w:cs="仿宋_GB2312"/>
                <w:b w:val="0"/>
                <w:bCs/>
                <w:color w:val="auto"/>
                <w:kern w:val="2"/>
                <w:sz w:val="24"/>
                <w:szCs w:val="24"/>
                <w:highlight w:val="none"/>
                <w:lang w:eastAsia="zh-CN"/>
              </w:rPr>
            </w:pPr>
          </w:p>
          <w:p>
            <w:pPr>
              <w:pStyle w:val="2"/>
              <w:rPr>
                <w:rFonts w:hint="eastAsia" w:ascii="Calibri" w:hAnsi="宋体" w:cs="仿宋_GB2312"/>
                <w:b w:val="0"/>
                <w:bCs/>
                <w:color w:val="auto"/>
                <w:kern w:val="2"/>
                <w:sz w:val="24"/>
                <w:szCs w:val="24"/>
                <w:highlight w:val="none"/>
                <w:lang w:eastAsia="zh-CN"/>
              </w:rPr>
            </w:pPr>
          </w:p>
          <w:p>
            <w:pPr>
              <w:pStyle w:val="2"/>
              <w:rPr>
                <w:rFonts w:hint="eastAsia" w:ascii="Calibri" w:hAnsi="宋体" w:cs="仿宋_GB2312"/>
                <w:b w:val="0"/>
                <w:bCs/>
                <w:color w:val="auto"/>
                <w:kern w:val="2"/>
                <w:sz w:val="24"/>
                <w:szCs w:val="24"/>
                <w:highlight w:val="none"/>
                <w:lang w:eastAsia="zh-CN"/>
              </w:rPr>
            </w:pPr>
          </w:p>
          <w:p>
            <w:pPr>
              <w:pStyle w:val="2"/>
              <w:rPr>
                <w:rFonts w:hint="eastAsia" w:ascii="Calibri" w:hAnsi="宋体" w:cs="仿宋_GB2312"/>
                <w:b w:val="0"/>
                <w:bCs/>
                <w:color w:val="auto"/>
                <w:kern w:val="2"/>
                <w:sz w:val="24"/>
                <w:szCs w:val="24"/>
                <w:highlight w:val="none"/>
                <w:lang w:eastAsia="zh-CN"/>
              </w:rPr>
            </w:pPr>
          </w:p>
          <w:p>
            <w:pPr>
              <w:pStyle w:val="2"/>
              <w:rPr>
                <w:rFonts w:hint="eastAsia" w:ascii="Calibri" w:hAnsi="宋体" w:cs="仿宋_GB2312"/>
                <w:b w:val="0"/>
                <w:bCs/>
                <w:color w:val="auto"/>
                <w:kern w:val="2"/>
                <w:sz w:val="24"/>
                <w:szCs w:val="24"/>
                <w:highlight w:val="none"/>
                <w:lang w:eastAsia="zh-CN"/>
              </w:rPr>
            </w:pPr>
          </w:p>
          <w:p>
            <w:pPr>
              <w:pStyle w:val="2"/>
              <w:rPr>
                <w:rFonts w:hint="eastAsia" w:ascii="Calibri" w:hAnsi="宋体" w:cs="仿宋_GB2312"/>
                <w:b w:val="0"/>
                <w:bCs/>
                <w:color w:val="auto"/>
                <w:kern w:val="2"/>
                <w:sz w:val="24"/>
                <w:szCs w:val="24"/>
                <w:highlight w:val="none"/>
                <w:lang w:eastAsia="zh-CN"/>
              </w:rPr>
            </w:pPr>
          </w:p>
          <w:p>
            <w:pPr>
              <w:pStyle w:val="2"/>
              <w:rPr>
                <w:rFonts w:hint="eastAsia" w:ascii="Calibri" w:hAnsi="宋体" w:cs="仿宋_GB2312"/>
                <w:b w:val="0"/>
                <w:bCs/>
                <w:color w:val="auto"/>
                <w:kern w:val="2"/>
                <w:sz w:val="24"/>
                <w:szCs w:val="24"/>
                <w:highlight w:val="none"/>
                <w:lang w:eastAsia="zh-CN"/>
              </w:rPr>
            </w:pPr>
          </w:p>
          <w:p>
            <w:pPr>
              <w:pStyle w:val="2"/>
              <w:rPr>
                <w:rFonts w:hint="eastAsia" w:ascii="Calibri" w:hAnsi="宋体" w:cs="仿宋_GB2312"/>
                <w:b w:val="0"/>
                <w:bCs/>
                <w:color w:val="auto"/>
                <w:kern w:val="2"/>
                <w:sz w:val="24"/>
                <w:szCs w:val="24"/>
                <w:highlight w:val="none"/>
                <w:lang w:eastAsia="zh-CN"/>
              </w:rPr>
            </w:pPr>
          </w:p>
        </w:tc>
      </w:tr>
      <w:tr>
        <w:trPr>
          <w:trHeight w:val="592" w:hRule="exact"/>
        </w:trPr>
        <w:tc>
          <w:tcPr>
            <w:tcW w:w="9091" w:type="dxa"/>
            <w:gridSpan w:val="4"/>
            <w:vAlign w:val="center"/>
          </w:tcPr>
          <w:p>
            <w:pPr>
              <w:spacing w:before="0" w:beforeAutospacing="0" w:after="0" w:afterAutospacing="0" w:line="360" w:lineRule="auto"/>
              <w:ind w:left="0" w:right="0"/>
              <w:rPr>
                <w:rFonts w:hint="eastAsia" w:ascii="Calibri" w:hAnsi="宋体" w:cs="仿宋_GB2312"/>
                <w:b w:val="0"/>
                <w:bCs/>
                <w:color w:val="auto"/>
                <w:kern w:val="2"/>
                <w:sz w:val="24"/>
                <w:szCs w:val="24"/>
                <w:highlight w:val="none"/>
                <w:lang w:eastAsia="zh-CN"/>
              </w:rPr>
            </w:pPr>
            <w:r>
              <w:rPr>
                <w:rFonts w:hint="eastAsia" w:ascii="Calibri" w:hAnsi="宋体" w:cs="仿宋_GB2312"/>
                <w:b w:val="0"/>
                <w:bCs/>
                <w:color w:val="auto"/>
                <w:kern w:val="2"/>
                <w:sz w:val="24"/>
                <w:szCs w:val="24"/>
                <w:highlight w:val="none"/>
                <w:lang w:eastAsia="zh-CN"/>
              </w:rPr>
              <w:t>需要补充的其他内容：</w:t>
            </w:r>
          </w:p>
        </w:tc>
      </w:tr>
      <w:tr>
        <w:trPr>
          <w:trHeight w:val="2074" w:hRule="exact"/>
        </w:trPr>
        <w:tc>
          <w:tcPr>
            <w:tcW w:w="1202" w:type="dxa"/>
            <w:vAlign w:val="center"/>
          </w:tcPr>
          <w:p>
            <w:pPr>
              <w:spacing w:before="0" w:beforeAutospacing="0" w:after="0" w:afterAutospacing="0" w:line="360" w:lineRule="auto"/>
              <w:ind w:left="0" w:right="0"/>
              <w:jc w:val="center"/>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val="en-US" w:eastAsia="zh-CN"/>
              </w:rPr>
              <w:t>10.1</w:t>
            </w:r>
          </w:p>
        </w:tc>
        <w:tc>
          <w:tcPr>
            <w:tcW w:w="2084" w:type="dxa"/>
            <w:vAlign w:val="center"/>
          </w:tcPr>
          <w:p>
            <w:pPr>
              <w:spacing w:before="0" w:beforeAutospacing="0" w:after="0" w:afterAutospacing="0" w:line="360" w:lineRule="auto"/>
              <w:ind w:left="0" w:right="0"/>
              <w:jc w:val="center"/>
              <w:rPr>
                <w:rFonts w:hint="eastAsia" w:ascii="宋体" w:hAnsi="宋体" w:cs="Calibri"/>
                <w:color w:val="auto"/>
                <w:kern w:val="2"/>
                <w:sz w:val="24"/>
                <w:szCs w:val="22"/>
                <w:highlight w:val="none"/>
              </w:rPr>
            </w:pPr>
            <w:r>
              <w:rPr>
                <w:rFonts w:hint="eastAsia" w:ascii="宋体" w:hAnsi="宋体" w:cs="Calibri"/>
                <w:color w:val="auto"/>
                <w:kern w:val="2"/>
                <w:sz w:val="24"/>
                <w:szCs w:val="22"/>
                <w:highlight w:val="none"/>
              </w:rPr>
              <w:t>招标控制价</w:t>
            </w:r>
          </w:p>
        </w:tc>
        <w:tc>
          <w:tcPr>
            <w:tcW w:w="5805" w:type="dxa"/>
            <w:gridSpan w:val="2"/>
            <w:vAlign w:val="center"/>
          </w:tcPr>
          <w:p>
            <w:pPr>
              <w:spacing w:before="0" w:beforeAutospacing="0" w:after="0" w:afterAutospacing="0" w:line="360" w:lineRule="auto"/>
              <w:ind w:left="0" w:right="0"/>
              <w:rPr>
                <w:rFonts w:hint="eastAsia" w:ascii="Calibri" w:hAnsi="宋体" w:cs="仿宋_GB2312"/>
                <w:b/>
                <w:color w:val="auto"/>
                <w:kern w:val="2"/>
                <w:sz w:val="24"/>
                <w:szCs w:val="22"/>
                <w:highlight w:val="none"/>
                <w:lang w:eastAsia="zh-CN"/>
              </w:rPr>
            </w:pPr>
            <w:r>
              <w:rPr>
                <w:rFonts w:hint="eastAsia" w:ascii="宋体" w:hAnsi="宋体" w:cs="Calibri"/>
                <w:b/>
                <w:bCs/>
                <w:color w:val="auto"/>
                <w:kern w:val="2"/>
                <w:sz w:val="24"/>
                <w:szCs w:val="22"/>
                <w:highlight w:val="none"/>
              </w:rPr>
              <w:t>招标控制价：</w:t>
            </w:r>
            <w:r>
              <w:rPr>
                <w:rFonts w:hint="eastAsia" w:ascii="Calibri" w:hAnsi="宋体" w:cs="仿宋_GB2312"/>
                <w:b/>
                <w:color w:val="auto"/>
                <w:kern w:val="2"/>
                <w:sz w:val="24"/>
                <w:szCs w:val="22"/>
                <w:highlight w:val="none"/>
                <w:lang w:eastAsia="zh-CN"/>
              </w:rPr>
              <w:t>贰佰壹拾玖万叁仟伍佰壹拾捌元整</w:t>
            </w:r>
          </w:p>
          <w:p>
            <w:pPr>
              <w:spacing w:before="0" w:beforeAutospacing="0" w:after="0" w:afterAutospacing="0" w:line="360" w:lineRule="auto"/>
              <w:ind w:left="0" w:right="0"/>
              <w:rPr>
                <w:rFonts w:hint="default" w:ascii="Calibri" w:hAnsi="宋体" w:cs="仿宋_GB2312"/>
                <w:b/>
                <w:color w:val="auto"/>
                <w:kern w:val="2"/>
                <w:sz w:val="24"/>
                <w:szCs w:val="22"/>
                <w:highlight w:val="none"/>
              </w:rPr>
            </w:pPr>
            <w:r>
              <w:rPr>
                <w:rFonts w:hint="eastAsia" w:ascii="Calibri" w:hAnsi="宋体" w:cs="仿宋_GB2312"/>
                <w:b/>
                <w:color w:val="auto"/>
                <w:kern w:val="2"/>
                <w:sz w:val="24"/>
                <w:szCs w:val="22"/>
                <w:highlight w:val="none"/>
              </w:rPr>
              <w:t>（小写：2193518.00）</w:t>
            </w:r>
          </w:p>
          <w:p>
            <w:pPr>
              <w:spacing w:before="0" w:beforeAutospacing="0" w:after="0" w:afterAutospacing="0" w:line="360" w:lineRule="auto"/>
              <w:ind w:left="0" w:right="0"/>
              <w:rPr>
                <w:rFonts w:hint="eastAsia" w:ascii="Calibri" w:hAnsi="宋体" w:cs="仿宋_GB2312"/>
                <w:b/>
                <w:color w:val="auto"/>
                <w:kern w:val="2"/>
                <w:sz w:val="24"/>
                <w:szCs w:val="22"/>
                <w:highlight w:val="none"/>
              </w:rPr>
            </w:pPr>
            <w:r>
              <w:rPr>
                <w:rFonts w:hint="eastAsia" w:ascii="Calibri" w:hAnsi="宋体" w:cs="仿宋_GB2312"/>
                <w:b/>
                <w:color w:val="auto"/>
                <w:kern w:val="2"/>
                <w:sz w:val="24"/>
                <w:szCs w:val="22"/>
                <w:highlight w:val="none"/>
              </w:rPr>
              <w:t>凡投标人的投标报价超出“</w:t>
            </w:r>
            <w:r>
              <w:rPr>
                <w:rFonts w:hint="default" w:ascii="Calibri" w:hAnsi="宋体" w:cs="仿宋_GB2312"/>
                <w:b/>
                <w:color w:val="auto"/>
                <w:kern w:val="2"/>
                <w:sz w:val="24"/>
                <w:szCs w:val="22"/>
                <w:highlight w:val="none"/>
              </w:rPr>
              <w:t>招标控制价</w:t>
            </w:r>
            <w:r>
              <w:rPr>
                <w:rFonts w:hint="eastAsia" w:ascii="Calibri" w:hAnsi="宋体" w:cs="仿宋_GB2312"/>
                <w:b/>
                <w:color w:val="auto"/>
                <w:kern w:val="2"/>
                <w:sz w:val="24"/>
                <w:szCs w:val="22"/>
                <w:highlight w:val="none"/>
              </w:rPr>
              <w:t>”（不含等于“</w:t>
            </w:r>
            <w:r>
              <w:rPr>
                <w:rFonts w:hint="default" w:ascii="Calibri" w:hAnsi="宋体" w:cs="仿宋_GB2312"/>
                <w:b/>
                <w:color w:val="auto"/>
                <w:kern w:val="2"/>
                <w:sz w:val="24"/>
                <w:szCs w:val="22"/>
                <w:highlight w:val="none"/>
              </w:rPr>
              <w:t>招标控制价</w:t>
            </w:r>
            <w:r>
              <w:rPr>
                <w:rFonts w:hint="eastAsia" w:ascii="Calibri" w:hAnsi="宋体" w:cs="仿宋_GB2312"/>
                <w:b/>
                <w:color w:val="auto"/>
                <w:kern w:val="2"/>
                <w:sz w:val="24"/>
                <w:szCs w:val="22"/>
                <w:highlight w:val="none"/>
              </w:rPr>
              <w:t>”）的，该投标人的投标文件应作废标处理。</w:t>
            </w:r>
          </w:p>
        </w:tc>
      </w:tr>
      <w:tr>
        <w:trPr>
          <w:trHeight w:val="3634" w:hRule="exact"/>
        </w:trPr>
        <w:tc>
          <w:tcPr>
            <w:tcW w:w="1202" w:type="dxa"/>
            <w:vAlign w:val="center"/>
          </w:tcPr>
          <w:p>
            <w:pPr>
              <w:spacing w:before="0" w:beforeAutospacing="0" w:after="0" w:afterAutospacing="0" w:line="360" w:lineRule="auto"/>
              <w:ind w:left="0" w:right="0"/>
              <w:jc w:val="center"/>
              <w:rPr>
                <w:rFonts w:hint="eastAsia" w:ascii="宋体" w:hAnsi="宋体" w:eastAsia="宋体" w:cs="Calibri"/>
                <w:color w:val="auto"/>
                <w:kern w:val="2"/>
                <w:sz w:val="24"/>
                <w:szCs w:val="22"/>
                <w:highlight w:val="none"/>
                <w:lang w:eastAsia="zh-CN"/>
              </w:rPr>
            </w:pPr>
            <w:r>
              <w:rPr>
                <w:rFonts w:hint="eastAsia" w:ascii="宋体" w:hAnsi="宋体" w:cs="Calibri"/>
                <w:color w:val="auto"/>
                <w:kern w:val="2"/>
                <w:sz w:val="24"/>
                <w:szCs w:val="22"/>
                <w:highlight w:val="none"/>
                <w:lang w:val="en-US" w:eastAsia="zh-CN"/>
              </w:rPr>
              <w:t>10.2</w:t>
            </w:r>
          </w:p>
        </w:tc>
        <w:tc>
          <w:tcPr>
            <w:tcW w:w="2084" w:type="dxa"/>
            <w:vAlign w:val="center"/>
          </w:tcPr>
          <w:p>
            <w:pPr>
              <w:spacing w:before="0" w:beforeAutospacing="0" w:after="0" w:afterAutospacing="0"/>
              <w:ind w:left="237" w:right="0"/>
              <w:jc w:val="center"/>
              <w:rPr>
                <w:rFonts w:hint="default" w:ascii="宋体" w:hAnsi="宋体" w:cs="仿宋_GB2312"/>
                <w:color w:val="auto"/>
                <w:kern w:val="0"/>
                <w:sz w:val="24"/>
                <w:szCs w:val="22"/>
                <w:highlight w:val="none"/>
              </w:rPr>
            </w:pPr>
            <w:r>
              <w:rPr>
                <w:rFonts w:hint="eastAsia" w:ascii="宋体" w:hAnsi="宋体" w:cs="仿宋_GB2312"/>
                <w:color w:val="auto"/>
                <w:kern w:val="0"/>
                <w:sz w:val="24"/>
                <w:szCs w:val="22"/>
                <w:highlight w:val="none"/>
              </w:rPr>
              <w:t xml:space="preserve">投标文件的拒收 </w:t>
            </w:r>
          </w:p>
          <w:p>
            <w:pPr>
              <w:spacing w:before="0" w:beforeAutospacing="0" w:after="0" w:afterAutospacing="0"/>
              <w:ind w:left="0" w:right="0"/>
              <w:jc w:val="center"/>
              <w:rPr>
                <w:rFonts w:hint="default" w:ascii="宋体" w:hAnsi="宋体" w:cs="Calibri"/>
                <w:color w:val="auto"/>
                <w:kern w:val="2"/>
                <w:sz w:val="24"/>
                <w:szCs w:val="22"/>
                <w:highlight w:val="none"/>
              </w:rPr>
            </w:pPr>
          </w:p>
        </w:tc>
        <w:tc>
          <w:tcPr>
            <w:tcW w:w="5805" w:type="dxa"/>
            <w:gridSpan w:val="2"/>
            <w:vAlign w:val="center"/>
          </w:tcPr>
          <w:p>
            <w:pPr>
              <w:spacing w:before="0" w:beforeAutospacing="0" w:after="0" w:afterAutospacing="0" w:line="340" w:lineRule="exact"/>
              <w:ind w:left="0" w:right="0"/>
              <w:rPr>
                <w:rFonts w:hint="default" w:ascii="宋体" w:hAnsi="宋体" w:cs="Calibri"/>
                <w:color w:val="auto"/>
                <w:spacing w:val="2"/>
                <w:kern w:val="2"/>
                <w:sz w:val="24"/>
                <w:szCs w:val="22"/>
                <w:highlight w:val="none"/>
              </w:rPr>
            </w:pPr>
            <w:r>
              <w:rPr>
                <w:rFonts w:hint="eastAsia" w:ascii="宋体" w:hAnsi="宋体" w:cs="Calibri"/>
                <w:color w:val="auto"/>
                <w:spacing w:val="2"/>
                <w:kern w:val="2"/>
                <w:sz w:val="24"/>
                <w:szCs w:val="22"/>
                <w:highlight w:val="none"/>
              </w:rPr>
              <w:t xml:space="preserve">  1、</w:t>
            </w:r>
            <w:r>
              <w:rPr>
                <w:rFonts w:hint="eastAsia" w:ascii="Calibri" w:hAnsi="宋体" w:cs="Calibri"/>
                <w:color w:val="auto"/>
                <w:spacing w:val="2"/>
                <w:kern w:val="2"/>
                <w:sz w:val="24"/>
                <w:szCs w:val="22"/>
                <w:highlight w:val="none"/>
              </w:rPr>
              <w:t>未按招标文件规定提交投标保证金的，</w:t>
            </w:r>
            <w:r>
              <w:rPr>
                <w:rFonts w:hint="eastAsia" w:ascii="宋体" w:hAnsi="宋体" w:cs="Calibri"/>
                <w:color w:val="auto"/>
                <w:spacing w:val="2"/>
                <w:kern w:val="2"/>
                <w:sz w:val="24"/>
                <w:szCs w:val="22"/>
                <w:highlight w:val="none"/>
              </w:rPr>
              <w:t>投标文件将被拒收。</w:t>
            </w:r>
          </w:p>
          <w:p>
            <w:pPr>
              <w:spacing w:before="0" w:beforeAutospacing="0" w:after="0" w:afterAutospacing="0" w:line="340" w:lineRule="exact"/>
              <w:ind w:left="0" w:right="0"/>
              <w:rPr>
                <w:rFonts w:hint="default" w:ascii="宋体" w:hAnsi="宋体" w:cs="Calibri"/>
                <w:color w:val="auto"/>
                <w:spacing w:val="2"/>
                <w:kern w:val="2"/>
                <w:sz w:val="24"/>
                <w:szCs w:val="22"/>
                <w:highlight w:val="none"/>
              </w:rPr>
            </w:pPr>
            <w:r>
              <w:rPr>
                <w:rFonts w:hint="eastAsia" w:ascii="Calibri" w:hAnsi="宋体" w:cs="Calibri"/>
                <w:color w:val="auto"/>
                <w:spacing w:val="2"/>
                <w:kern w:val="2"/>
                <w:sz w:val="24"/>
                <w:szCs w:val="22"/>
                <w:highlight w:val="none"/>
              </w:rPr>
              <w:t xml:space="preserve">  </w:t>
            </w:r>
            <w:r>
              <w:rPr>
                <w:rFonts w:hint="eastAsia" w:ascii="宋体" w:hAnsi="宋体" w:cs="Calibri"/>
                <w:color w:val="auto"/>
                <w:spacing w:val="2"/>
                <w:kern w:val="2"/>
                <w:sz w:val="24"/>
                <w:szCs w:val="22"/>
                <w:highlight w:val="none"/>
              </w:rPr>
              <w:t>2、法定代表人</w:t>
            </w:r>
            <w:r>
              <w:rPr>
                <w:rFonts w:hint="eastAsia" w:ascii="Calibri" w:hAnsi="宋体" w:cs="Calibri"/>
                <w:color w:val="auto"/>
                <w:kern w:val="2"/>
                <w:sz w:val="24"/>
                <w:szCs w:val="22"/>
                <w:highlight w:val="none"/>
              </w:rPr>
              <w:t>或</w:t>
            </w:r>
            <w:r>
              <w:rPr>
                <w:rFonts w:hint="eastAsia" w:ascii="宋体" w:hAnsi="宋体" w:cs="Calibri"/>
                <w:color w:val="auto"/>
                <w:kern w:val="2"/>
                <w:sz w:val="24"/>
                <w:szCs w:val="22"/>
                <w:highlight w:val="none"/>
              </w:rPr>
              <w:t>其委托代理人</w:t>
            </w:r>
            <w:r>
              <w:rPr>
                <w:rFonts w:hint="eastAsia" w:ascii="Calibri" w:hAnsi="宋体" w:cs="仿宋_GB2312"/>
                <w:color w:val="auto"/>
                <w:kern w:val="2"/>
                <w:sz w:val="24"/>
                <w:szCs w:val="22"/>
                <w:highlight w:val="none"/>
              </w:rPr>
              <w:t>（持有效的授权委托书）在规定时间内未携带本人身份证到开标现场并签到的</w:t>
            </w:r>
            <w:r>
              <w:rPr>
                <w:rFonts w:hint="eastAsia" w:ascii="宋体" w:hAnsi="宋体" w:cs="Calibri"/>
                <w:color w:val="auto"/>
                <w:spacing w:val="2"/>
                <w:kern w:val="2"/>
                <w:sz w:val="24"/>
                <w:szCs w:val="22"/>
                <w:highlight w:val="none"/>
              </w:rPr>
              <w:t xml:space="preserve">，投标文件将被拒收。    </w:t>
            </w:r>
          </w:p>
          <w:p>
            <w:pPr>
              <w:spacing w:before="0" w:beforeAutospacing="0" w:after="0" w:afterAutospacing="0" w:line="340" w:lineRule="exact"/>
              <w:ind w:left="0" w:right="0"/>
              <w:rPr>
                <w:rFonts w:hint="default" w:ascii="宋体" w:hAnsi="宋体" w:cs="Calibri"/>
                <w:color w:val="auto"/>
                <w:spacing w:val="2"/>
                <w:kern w:val="2"/>
                <w:sz w:val="24"/>
                <w:szCs w:val="22"/>
                <w:highlight w:val="none"/>
              </w:rPr>
            </w:pPr>
            <w:r>
              <w:rPr>
                <w:rFonts w:hint="eastAsia" w:ascii="Calibri" w:hAnsi="宋体" w:cs="Calibri"/>
                <w:color w:val="auto"/>
                <w:spacing w:val="2"/>
                <w:kern w:val="2"/>
                <w:sz w:val="24"/>
                <w:szCs w:val="22"/>
                <w:highlight w:val="none"/>
              </w:rPr>
              <w:t xml:space="preserve">  </w:t>
            </w:r>
            <w:r>
              <w:rPr>
                <w:rFonts w:hint="eastAsia" w:ascii="宋体" w:hAnsi="宋体" w:cs="Calibri"/>
                <w:color w:val="auto"/>
                <w:spacing w:val="2"/>
                <w:kern w:val="2"/>
                <w:sz w:val="24"/>
                <w:szCs w:val="22"/>
                <w:highlight w:val="none"/>
              </w:rPr>
              <w:t>3、投标文件逾期送达或未按招标文件要求密封的，投标文件将被拒收。</w:t>
            </w:r>
          </w:p>
          <w:p>
            <w:pPr>
              <w:spacing w:before="0" w:beforeAutospacing="0" w:after="0" w:afterAutospacing="0" w:line="340" w:lineRule="exact"/>
              <w:ind w:left="0" w:right="0"/>
              <w:rPr>
                <w:rFonts w:hint="default" w:ascii="宋体" w:hAnsi="宋体" w:cs="Calibri"/>
                <w:color w:val="auto"/>
                <w:spacing w:val="2"/>
                <w:kern w:val="2"/>
                <w:sz w:val="24"/>
                <w:szCs w:val="22"/>
                <w:highlight w:val="none"/>
              </w:rPr>
            </w:pPr>
            <w:r>
              <w:rPr>
                <w:rFonts w:hint="eastAsia" w:ascii="宋体" w:hAnsi="宋体" w:cs="Calibri"/>
                <w:color w:val="auto"/>
                <w:spacing w:val="2"/>
                <w:kern w:val="2"/>
                <w:sz w:val="24"/>
                <w:szCs w:val="22"/>
                <w:highlight w:val="none"/>
              </w:rPr>
              <w:t xml:space="preserve">  4、未按规定支付招标文件费用的。</w:t>
            </w:r>
          </w:p>
          <w:p>
            <w:pPr>
              <w:spacing w:before="0" w:beforeAutospacing="0" w:after="0" w:afterAutospacing="0" w:line="340" w:lineRule="exact"/>
              <w:ind w:left="0" w:right="0"/>
              <w:rPr>
                <w:rFonts w:hint="default" w:ascii="Calibri" w:hAnsi="宋体" w:cs="仿宋_GB2312"/>
                <w:b/>
                <w:color w:val="auto"/>
                <w:kern w:val="2"/>
                <w:sz w:val="24"/>
                <w:szCs w:val="22"/>
                <w:highlight w:val="none"/>
              </w:rPr>
            </w:pPr>
            <w:r>
              <w:rPr>
                <w:rFonts w:hint="eastAsia" w:ascii="宋体" w:hAnsi="宋体" w:cs="Calibri"/>
                <w:color w:val="auto"/>
                <w:spacing w:val="2"/>
                <w:kern w:val="2"/>
                <w:sz w:val="24"/>
                <w:szCs w:val="22"/>
                <w:highlight w:val="none"/>
              </w:rPr>
              <w:t xml:space="preserve">  5、未通过</w:t>
            </w:r>
            <w:r>
              <w:rPr>
                <w:rFonts w:hint="eastAsia" w:ascii="Calibri" w:hAnsi="宋体" w:eastAsia="宋体" w:cs="仿宋_GB2312"/>
                <w:color w:val="000000"/>
                <w:kern w:val="2"/>
                <w:sz w:val="24"/>
                <w:szCs w:val="22"/>
                <w:highlight w:val="none"/>
              </w:rPr>
              <w:t>《全国公共资源交易平台（</w:t>
            </w:r>
            <w:r>
              <w:rPr>
                <w:rFonts w:hint="eastAsia" w:ascii="Calibri" w:hAnsi="宋体" w:cs="Calibri"/>
                <w:color w:val="000000"/>
                <w:kern w:val="2"/>
                <w:sz w:val="24"/>
                <w:szCs w:val="22"/>
                <w:highlight w:val="none"/>
              </w:rPr>
              <w:t>河南省·许昌市</w:t>
            </w:r>
            <w:r>
              <w:rPr>
                <w:rFonts w:hint="eastAsia" w:ascii="Calibri" w:hAnsi="宋体" w:eastAsia="宋体" w:cs="仿宋_GB2312"/>
                <w:color w:val="000000"/>
                <w:kern w:val="2"/>
                <w:sz w:val="24"/>
                <w:szCs w:val="22"/>
                <w:highlight w:val="none"/>
              </w:rPr>
              <w:t>）》</w:t>
            </w:r>
            <w:r>
              <w:rPr>
                <w:rFonts w:hint="eastAsia" w:ascii="宋体" w:hAnsi="宋体" w:cs="Calibri"/>
                <w:color w:val="auto"/>
                <w:spacing w:val="2"/>
                <w:kern w:val="2"/>
                <w:sz w:val="24"/>
                <w:szCs w:val="22"/>
                <w:highlight w:val="none"/>
              </w:rPr>
              <w:t xml:space="preserve">下载招标文件的。    </w:t>
            </w:r>
            <w:r>
              <w:rPr>
                <w:rFonts w:hint="eastAsia" w:ascii="宋体" w:hAnsi="宋体" w:cs="仿宋_GB2312"/>
                <w:color w:val="auto"/>
                <w:kern w:val="0"/>
                <w:sz w:val="24"/>
                <w:szCs w:val="22"/>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74" w:hRule="atLeast"/>
        </w:trPr>
        <w:tc>
          <w:tcPr>
            <w:tcW w:w="1202" w:type="dxa"/>
            <w:tcBorders>
              <w:left w:val="single" w:color="auto" w:sz="4" w:space="0"/>
            </w:tcBorders>
            <w:vAlign w:val="center"/>
          </w:tcPr>
          <w:p>
            <w:pPr>
              <w:spacing w:before="0" w:beforeAutospacing="0" w:after="0" w:afterAutospacing="0"/>
              <w:ind w:left="0" w:right="0"/>
              <w:jc w:val="center"/>
              <w:rPr>
                <w:rFonts w:hint="eastAsia" w:ascii="宋体" w:hAnsi="宋体" w:eastAsia="宋体" w:cs="Calibri"/>
                <w:b w:val="0"/>
                <w:bCs/>
                <w:color w:val="auto"/>
                <w:kern w:val="2"/>
                <w:sz w:val="24"/>
                <w:szCs w:val="22"/>
                <w:highlight w:val="none"/>
                <w:lang w:val="en-US" w:eastAsia="zh-CN"/>
              </w:rPr>
            </w:pPr>
            <w:r>
              <w:rPr>
                <w:rFonts w:hint="eastAsia" w:ascii="宋体" w:hAnsi="宋体" w:cs="Calibri"/>
                <w:b w:val="0"/>
                <w:bCs/>
                <w:color w:val="auto"/>
                <w:kern w:val="2"/>
                <w:sz w:val="24"/>
                <w:szCs w:val="22"/>
                <w:highlight w:val="none"/>
                <w:lang w:val="en-US" w:eastAsia="zh-CN"/>
              </w:rPr>
              <w:t>10.3</w:t>
            </w:r>
          </w:p>
        </w:tc>
        <w:tc>
          <w:tcPr>
            <w:tcW w:w="7882" w:type="dxa"/>
            <w:gridSpan w:val="2"/>
            <w:tcBorders>
              <w:right w:val="single" w:color="auto" w:sz="4" w:space="0"/>
            </w:tcBorders>
            <w:vAlign w:val="center"/>
          </w:tcPr>
          <w:p>
            <w:pPr>
              <w:spacing w:before="0" w:beforeAutospacing="0" w:after="0" w:afterAutospacing="0"/>
              <w:ind w:left="113" w:right="113"/>
              <w:rPr>
                <w:rFonts w:hint="default" w:ascii="宋体" w:hAnsi="宋体" w:cs="Calibri"/>
                <w:b w:val="0"/>
                <w:bCs/>
                <w:color w:val="auto"/>
                <w:kern w:val="2"/>
                <w:sz w:val="24"/>
                <w:szCs w:val="22"/>
                <w:highlight w:val="none"/>
              </w:rPr>
            </w:pPr>
            <w:r>
              <w:rPr>
                <w:rFonts w:hint="eastAsia" w:ascii="宋体" w:hAnsi="宋体" w:cs="Calibri"/>
                <w:b w:val="0"/>
                <w:bCs/>
                <w:color w:val="auto"/>
                <w:kern w:val="2"/>
                <w:sz w:val="24"/>
                <w:szCs w:val="22"/>
                <w:highlight w:val="none"/>
              </w:rPr>
              <w:t>按照交通运输部公告 2017 年第 51 号，采用技术评分最低标价法。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60" w:hRule="atLeast"/>
        </w:trPr>
        <w:tc>
          <w:tcPr>
            <w:tcW w:w="1202" w:type="dxa"/>
            <w:tcBorders>
              <w:left w:val="single" w:color="auto" w:sz="4" w:space="0"/>
              <w:bottom w:val="single" w:color="auto" w:sz="4" w:space="0"/>
            </w:tcBorders>
            <w:vAlign w:val="center"/>
          </w:tcPr>
          <w:p>
            <w:pPr>
              <w:spacing w:before="0" w:beforeAutospacing="0" w:after="0" w:afterAutospacing="0"/>
              <w:ind w:left="0" w:right="0"/>
              <w:jc w:val="center"/>
              <w:rPr>
                <w:rFonts w:hint="eastAsia" w:ascii="宋体" w:hAnsi="宋体" w:eastAsia="宋体" w:cs="Calibri"/>
                <w:b w:val="0"/>
                <w:bCs/>
                <w:color w:val="auto"/>
                <w:kern w:val="2"/>
                <w:sz w:val="24"/>
                <w:szCs w:val="22"/>
                <w:highlight w:val="none"/>
                <w:lang w:eastAsia="zh-CN"/>
              </w:rPr>
            </w:pPr>
            <w:r>
              <w:rPr>
                <w:rFonts w:hint="eastAsia" w:ascii="宋体" w:hAnsi="宋体" w:cs="Calibri"/>
                <w:b w:val="0"/>
                <w:bCs/>
                <w:color w:val="auto"/>
                <w:kern w:val="2"/>
                <w:sz w:val="24"/>
                <w:szCs w:val="22"/>
                <w:highlight w:val="none"/>
                <w:lang w:val="en-US" w:eastAsia="zh-CN"/>
              </w:rPr>
              <w:t>10.4</w:t>
            </w:r>
          </w:p>
        </w:tc>
        <w:tc>
          <w:tcPr>
            <w:tcW w:w="7882" w:type="dxa"/>
            <w:gridSpan w:val="2"/>
            <w:tcBorders>
              <w:bottom w:val="single" w:color="auto" w:sz="4" w:space="0"/>
              <w:right w:val="single" w:color="auto" w:sz="4" w:space="0"/>
            </w:tcBorders>
            <w:vAlign w:val="center"/>
          </w:tcPr>
          <w:p>
            <w:pPr>
              <w:spacing w:before="0" w:beforeAutospacing="0" w:after="0" w:afterAutospacing="0"/>
              <w:ind w:left="113" w:right="113"/>
              <w:rPr>
                <w:rFonts w:hint="default" w:ascii="宋体" w:hAnsi="宋体" w:cs="Calibri"/>
                <w:b w:val="0"/>
                <w:bCs/>
                <w:color w:val="auto"/>
                <w:kern w:val="2"/>
                <w:sz w:val="24"/>
                <w:szCs w:val="22"/>
                <w:highlight w:val="none"/>
              </w:rPr>
            </w:pPr>
            <w:r>
              <w:rPr>
                <w:rFonts w:hint="eastAsia" w:ascii="宋体" w:hAnsi="宋体" w:cs="Calibri"/>
                <w:b w:val="0"/>
                <w:bCs/>
                <w:color w:val="auto"/>
                <w:kern w:val="2"/>
                <w:sz w:val="24"/>
                <w:szCs w:val="22"/>
                <w:highlight w:val="none"/>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814" w:hRule="atLeast"/>
        </w:trPr>
        <w:tc>
          <w:tcPr>
            <w:tcW w:w="1202" w:type="dxa"/>
            <w:tcBorders>
              <w:left w:val="single" w:color="auto" w:sz="4" w:space="0"/>
            </w:tcBorders>
            <w:vAlign w:val="center"/>
          </w:tcPr>
          <w:p>
            <w:pPr>
              <w:spacing w:before="0" w:beforeAutospacing="0" w:after="0" w:afterAutospacing="0"/>
              <w:ind w:left="113" w:right="113"/>
              <w:jc w:val="center"/>
              <w:rPr>
                <w:rFonts w:hint="eastAsia" w:ascii="宋体" w:hAnsi="宋体" w:eastAsia="宋体" w:cs="Calibri"/>
                <w:b w:val="0"/>
                <w:bCs/>
                <w:color w:val="auto"/>
                <w:kern w:val="2"/>
                <w:sz w:val="24"/>
                <w:szCs w:val="22"/>
                <w:highlight w:val="none"/>
                <w:lang w:eastAsia="zh-CN"/>
              </w:rPr>
            </w:pPr>
            <w:r>
              <w:rPr>
                <w:rFonts w:hint="eastAsia" w:ascii="宋体" w:hAnsi="宋体" w:cs="Calibri"/>
                <w:b w:val="0"/>
                <w:bCs/>
                <w:color w:val="auto"/>
                <w:kern w:val="2"/>
                <w:sz w:val="24"/>
                <w:szCs w:val="22"/>
                <w:highlight w:val="none"/>
                <w:lang w:val="en-US" w:eastAsia="zh-CN"/>
              </w:rPr>
              <w:t>10.5</w:t>
            </w:r>
          </w:p>
        </w:tc>
        <w:tc>
          <w:tcPr>
            <w:tcW w:w="7882" w:type="dxa"/>
            <w:gridSpan w:val="2"/>
            <w:tcBorders>
              <w:right w:val="single" w:color="auto" w:sz="4" w:space="0"/>
            </w:tcBorders>
            <w:vAlign w:val="center"/>
          </w:tcPr>
          <w:p>
            <w:pPr>
              <w:spacing w:before="0" w:beforeAutospacing="0" w:after="0" w:afterAutospacing="0"/>
              <w:ind w:left="113" w:right="113"/>
              <w:rPr>
                <w:rFonts w:hint="default" w:ascii="宋体" w:hAnsi="宋体" w:cs="Calibri"/>
                <w:b w:val="0"/>
                <w:bCs/>
                <w:color w:val="auto"/>
                <w:kern w:val="2"/>
                <w:sz w:val="24"/>
                <w:szCs w:val="22"/>
                <w:highlight w:val="none"/>
              </w:rPr>
            </w:pPr>
            <w:r>
              <w:rPr>
                <w:rFonts w:hint="eastAsia" w:ascii="宋体" w:hAnsi="宋体" w:cs="Calibri"/>
                <w:b w:val="0"/>
                <w:bCs/>
                <w:color w:val="auto"/>
                <w:kern w:val="2"/>
                <w:sz w:val="24"/>
                <w:szCs w:val="22"/>
                <w:highlight w:val="none"/>
              </w:rPr>
              <w:t>投标人在投标截止时间前应随时关注</w:t>
            </w:r>
            <w:r>
              <w:rPr>
                <w:rFonts w:hint="eastAsia" w:ascii="宋体" w:hAnsi="宋体" w:cs="Calibri"/>
                <w:b w:val="0"/>
                <w:bCs/>
                <w:color w:val="auto"/>
                <w:kern w:val="2"/>
                <w:sz w:val="24"/>
                <w:szCs w:val="22"/>
                <w:highlight w:val="none"/>
                <w:lang w:eastAsia="zh-CN"/>
              </w:rPr>
              <w:t>《全国公共资源交易平台（河南省•许昌市）》</w:t>
            </w:r>
            <w:r>
              <w:rPr>
                <w:rFonts w:hint="eastAsia" w:ascii="宋体" w:hAnsi="宋体" w:cs="Calibri"/>
                <w:b w:val="0"/>
                <w:bCs/>
                <w:color w:val="auto"/>
                <w:kern w:val="2"/>
                <w:sz w:val="24"/>
                <w:szCs w:val="22"/>
                <w:highlight w:val="none"/>
              </w:rPr>
              <w:t>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36" w:hRule="atLeast"/>
        </w:trPr>
        <w:tc>
          <w:tcPr>
            <w:tcW w:w="1202" w:type="dxa"/>
            <w:tcBorders>
              <w:left w:val="single" w:color="auto" w:sz="4" w:space="0"/>
            </w:tcBorders>
            <w:vAlign w:val="center"/>
          </w:tcPr>
          <w:p>
            <w:pPr>
              <w:spacing w:before="0" w:beforeAutospacing="0" w:after="0" w:afterAutospacing="0"/>
              <w:ind w:left="113" w:right="113"/>
              <w:jc w:val="center"/>
              <w:rPr>
                <w:rFonts w:hint="eastAsia" w:ascii="宋体" w:hAnsi="宋体" w:eastAsia="宋体" w:cs="Calibri"/>
                <w:b w:val="0"/>
                <w:bCs/>
                <w:color w:val="auto"/>
                <w:kern w:val="2"/>
                <w:sz w:val="24"/>
                <w:szCs w:val="22"/>
                <w:highlight w:val="none"/>
                <w:lang w:eastAsia="zh-CN"/>
              </w:rPr>
            </w:pPr>
            <w:r>
              <w:rPr>
                <w:rFonts w:hint="eastAsia" w:ascii="宋体" w:hAnsi="宋体" w:cs="Calibri"/>
                <w:b w:val="0"/>
                <w:bCs/>
                <w:color w:val="auto"/>
                <w:kern w:val="2"/>
                <w:sz w:val="24"/>
                <w:szCs w:val="22"/>
                <w:highlight w:val="none"/>
                <w:lang w:val="en-US" w:eastAsia="zh-CN"/>
              </w:rPr>
              <w:t>10.6</w:t>
            </w:r>
          </w:p>
        </w:tc>
        <w:tc>
          <w:tcPr>
            <w:tcW w:w="7882" w:type="dxa"/>
            <w:gridSpan w:val="2"/>
            <w:tcBorders>
              <w:right w:val="single" w:color="auto" w:sz="4" w:space="0"/>
            </w:tcBorders>
            <w:vAlign w:val="center"/>
          </w:tcPr>
          <w:p>
            <w:pPr>
              <w:spacing w:before="0" w:beforeAutospacing="0" w:after="0" w:afterAutospacing="0"/>
              <w:ind w:left="113" w:right="113"/>
              <w:rPr>
                <w:rFonts w:hint="default" w:ascii="宋体" w:hAnsi="宋体" w:cs="Calibri"/>
                <w:b w:val="0"/>
                <w:bCs/>
                <w:color w:val="auto"/>
                <w:kern w:val="2"/>
                <w:sz w:val="24"/>
                <w:szCs w:val="22"/>
                <w:highlight w:val="none"/>
              </w:rPr>
            </w:pPr>
            <w:r>
              <w:rPr>
                <w:rFonts w:hint="eastAsia" w:ascii="宋体" w:hAnsi="宋体" w:cs="Calibri"/>
                <w:b w:val="0"/>
                <w:bCs/>
                <w:color w:val="auto"/>
                <w:kern w:val="2"/>
                <w:sz w:val="24"/>
                <w:szCs w:val="22"/>
                <w:highlight w:val="none"/>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0" w:hRule="atLeast"/>
        </w:trPr>
        <w:tc>
          <w:tcPr>
            <w:tcW w:w="1202" w:type="dxa"/>
            <w:tcBorders>
              <w:left w:val="single" w:color="auto" w:sz="4" w:space="0"/>
            </w:tcBorders>
            <w:vAlign w:val="center"/>
          </w:tcPr>
          <w:p>
            <w:pPr>
              <w:spacing w:before="0" w:beforeAutospacing="0" w:after="0" w:afterAutospacing="0"/>
              <w:ind w:left="113" w:right="113"/>
              <w:jc w:val="center"/>
              <w:rPr>
                <w:rFonts w:hint="eastAsia" w:ascii="宋体" w:hAnsi="宋体" w:eastAsia="宋体" w:cs="Calibri"/>
                <w:b w:val="0"/>
                <w:bCs/>
                <w:color w:val="auto"/>
                <w:kern w:val="2"/>
                <w:sz w:val="24"/>
                <w:szCs w:val="22"/>
                <w:highlight w:val="none"/>
                <w:lang w:eastAsia="zh-CN"/>
              </w:rPr>
            </w:pPr>
            <w:r>
              <w:rPr>
                <w:rFonts w:hint="eastAsia" w:ascii="宋体" w:hAnsi="宋体" w:cs="Calibri"/>
                <w:b w:val="0"/>
                <w:bCs/>
                <w:color w:val="auto"/>
                <w:kern w:val="2"/>
                <w:sz w:val="24"/>
                <w:szCs w:val="22"/>
                <w:highlight w:val="none"/>
                <w:lang w:val="en-US" w:eastAsia="zh-CN"/>
              </w:rPr>
              <w:t>10.7</w:t>
            </w:r>
          </w:p>
        </w:tc>
        <w:tc>
          <w:tcPr>
            <w:tcW w:w="7882" w:type="dxa"/>
            <w:gridSpan w:val="2"/>
            <w:tcBorders>
              <w:right w:val="single" w:color="auto" w:sz="4" w:space="0"/>
            </w:tcBorders>
            <w:vAlign w:val="center"/>
          </w:tcPr>
          <w:p>
            <w:pPr>
              <w:spacing w:before="0" w:beforeAutospacing="0" w:after="0" w:afterAutospacing="0"/>
              <w:ind w:left="113" w:right="113"/>
              <w:rPr>
                <w:rFonts w:hint="default" w:ascii="宋体" w:hAnsi="宋体" w:cs="Calibri"/>
                <w:b w:val="0"/>
                <w:bCs/>
                <w:color w:val="auto"/>
                <w:kern w:val="2"/>
                <w:sz w:val="24"/>
                <w:szCs w:val="22"/>
                <w:highlight w:val="none"/>
              </w:rPr>
            </w:pPr>
            <w:r>
              <w:rPr>
                <w:rFonts w:hint="eastAsia" w:ascii="宋体" w:hAnsi="宋体" w:cs="Calibri"/>
                <w:b w:val="0"/>
                <w:bCs/>
                <w:color w:val="auto"/>
                <w:kern w:val="2"/>
                <w:sz w:val="24"/>
                <w:szCs w:val="22"/>
                <w:highlight w:val="none"/>
              </w:rPr>
              <w:t>类似工程是指</w:t>
            </w:r>
            <w:r>
              <w:rPr>
                <w:rFonts w:hint="eastAsia" w:ascii="宋体" w:hAnsi="宋体" w:cs="Calibri"/>
                <w:b w:val="0"/>
                <w:bCs/>
                <w:color w:val="auto"/>
                <w:kern w:val="2"/>
                <w:sz w:val="24"/>
                <w:szCs w:val="22"/>
                <w:highlight w:val="none"/>
                <w:lang w:eastAsia="zh-CN"/>
              </w:rPr>
              <w:t>公路工程或桥梁</w:t>
            </w:r>
            <w:r>
              <w:rPr>
                <w:rFonts w:hint="eastAsia" w:ascii="宋体" w:hAnsi="宋体" w:cs="Calibri"/>
                <w:b w:val="0"/>
                <w:bCs/>
                <w:color w:val="auto"/>
                <w:kern w:val="2"/>
                <w:sz w:val="24"/>
                <w:szCs w:val="22"/>
                <w:highlight w:val="none"/>
              </w:rPr>
              <w:t>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0" w:hRule="atLeast"/>
        </w:trPr>
        <w:tc>
          <w:tcPr>
            <w:tcW w:w="1202" w:type="dxa"/>
            <w:tcBorders>
              <w:left w:val="single" w:color="auto" w:sz="4" w:space="0"/>
            </w:tcBorders>
            <w:vAlign w:val="center"/>
          </w:tcPr>
          <w:p>
            <w:pPr>
              <w:spacing w:before="0" w:beforeAutospacing="0" w:after="0" w:afterAutospacing="0"/>
              <w:ind w:left="113" w:right="113"/>
              <w:jc w:val="center"/>
              <w:rPr>
                <w:rFonts w:hint="eastAsia" w:ascii="宋体" w:hAnsi="宋体" w:eastAsia="宋体" w:cs="Calibri"/>
                <w:b w:val="0"/>
                <w:bCs/>
                <w:color w:val="auto"/>
                <w:kern w:val="2"/>
                <w:sz w:val="24"/>
                <w:szCs w:val="22"/>
                <w:highlight w:val="none"/>
                <w:lang w:eastAsia="zh-CN"/>
              </w:rPr>
            </w:pPr>
            <w:r>
              <w:rPr>
                <w:rFonts w:hint="eastAsia" w:ascii="宋体" w:hAnsi="宋体" w:cs="Calibri"/>
                <w:b w:val="0"/>
                <w:bCs/>
                <w:color w:val="auto"/>
                <w:kern w:val="2"/>
                <w:sz w:val="24"/>
                <w:szCs w:val="22"/>
                <w:highlight w:val="none"/>
                <w:lang w:val="en-US" w:eastAsia="zh-CN"/>
              </w:rPr>
              <w:t>10.8</w:t>
            </w:r>
          </w:p>
        </w:tc>
        <w:tc>
          <w:tcPr>
            <w:tcW w:w="7882" w:type="dxa"/>
            <w:gridSpan w:val="2"/>
            <w:tcBorders>
              <w:right w:val="single" w:color="auto" w:sz="4" w:space="0"/>
            </w:tcBorders>
            <w:vAlign w:val="center"/>
          </w:tcPr>
          <w:p>
            <w:pPr>
              <w:spacing w:before="0" w:beforeAutospacing="0" w:after="0" w:afterAutospacing="0"/>
              <w:ind w:left="113" w:right="113"/>
              <w:rPr>
                <w:rFonts w:hint="default" w:ascii="宋体" w:hAnsi="宋体" w:cs="Calibri"/>
                <w:b w:val="0"/>
                <w:bCs/>
                <w:color w:val="auto"/>
                <w:kern w:val="2"/>
                <w:sz w:val="24"/>
                <w:szCs w:val="22"/>
                <w:highlight w:val="none"/>
              </w:rPr>
            </w:pPr>
            <w:r>
              <w:rPr>
                <w:rFonts w:hint="eastAsia" w:ascii="宋体" w:hAnsi="宋体" w:cs="Calibri"/>
                <w:b w:val="0"/>
                <w:bCs/>
                <w:color w:val="auto"/>
                <w:kern w:val="2"/>
                <w:sz w:val="24"/>
                <w:szCs w:val="22"/>
                <w:highlight w:val="none"/>
              </w:rPr>
              <w:t>潜在投标人如对招标文件有异议，请在规定时间内在《全国公共资源交易平台（河南省·许昌市）》上提出，以其他方式递交的异议不予接受。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0" w:hRule="atLeast"/>
        </w:trPr>
        <w:tc>
          <w:tcPr>
            <w:tcW w:w="1202" w:type="dxa"/>
            <w:tcBorders>
              <w:left w:val="single" w:color="auto" w:sz="4" w:space="0"/>
            </w:tcBorders>
            <w:vAlign w:val="center"/>
          </w:tcPr>
          <w:p>
            <w:pPr>
              <w:spacing w:before="0" w:beforeAutospacing="0" w:after="0" w:afterAutospacing="0"/>
              <w:ind w:left="113" w:right="113"/>
              <w:jc w:val="center"/>
              <w:rPr>
                <w:rFonts w:hint="eastAsia" w:ascii="宋体" w:hAnsi="宋体" w:cs="Calibri"/>
                <w:b w:val="0"/>
                <w:bCs/>
                <w:color w:val="auto"/>
                <w:kern w:val="2"/>
                <w:sz w:val="24"/>
                <w:szCs w:val="22"/>
                <w:highlight w:val="none"/>
                <w:lang w:val="en-US" w:eastAsia="zh-CN"/>
              </w:rPr>
            </w:pPr>
            <w:r>
              <w:rPr>
                <w:rFonts w:hint="eastAsia" w:ascii="宋体" w:hAnsi="宋体" w:cs="Calibri"/>
                <w:b w:val="0"/>
                <w:bCs/>
                <w:color w:val="auto"/>
                <w:kern w:val="2"/>
                <w:sz w:val="24"/>
                <w:szCs w:val="22"/>
                <w:highlight w:val="none"/>
                <w:lang w:val="en-US" w:eastAsia="zh-CN"/>
              </w:rPr>
              <w:t>10.9</w:t>
            </w:r>
          </w:p>
        </w:tc>
        <w:tc>
          <w:tcPr>
            <w:tcW w:w="7882" w:type="dxa"/>
            <w:gridSpan w:val="2"/>
            <w:tcBorders>
              <w:right w:val="single" w:color="auto" w:sz="4" w:space="0"/>
            </w:tcBorders>
            <w:vAlign w:val="center"/>
          </w:tcPr>
          <w:p>
            <w:pPr>
              <w:spacing w:before="0" w:beforeAutospacing="0" w:after="0" w:afterAutospacing="0"/>
              <w:ind w:left="113" w:right="113"/>
              <w:rPr>
                <w:rFonts w:hint="eastAsia" w:ascii="宋体" w:hAnsi="宋体" w:cs="Calibri"/>
                <w:b w:val="0"/>
                <w:bCs/>
                <w:color w:val="auto"/>
                <w:kern w:val="2"/>
                <w:sz w:val="24"/>
                <w:szCs w:val="22"/>
                <w:highlight w:val="none"/>
              </w:rPr>
            </w:pPr>
            <w:r>
              <w:rPr>
                <w:rFonts w:hint="eastAsia" w:ascii="宋体" w:hAnsi="宋体" w:cs="Calibri"/>
                <w:b w:val="0"/>
                <w:bCs/>
                <w:color w:val="auto"/>
                <w:kern w:val="2"/>
                <w:sz w:val="24"/>
                <w:szCs w:val="22"/>
                <w:highlight w:val="none"/>
              </w:rPr>
              <w:t>中标单位须参照《国家计委〈计价格〔2002〕1980号〉》及《国家发展改革委办公厅〈发改办价格〔2003〕857号〉》之有关规定向招标代理机构交纳招标服务费。</w:t>
            </w:r>
          </w:p>
        </w:tc>
      </w:tr>
    </w:tbl>
    <w:p>
      <w:pPr>
        <w:pStyle w:val="4"/>
        <w:spacing w:before="240" w:after="240" w:line="240" w:lineRule="auto"/>
        <w:jc w:val="center"/>
        <w:rPr>
          <w:rFonts w:ascii="黑体" w:eastAsia="黑体"/>
          <w:color w:val="auto"/>
          <w:sz w:val="30"/>
          <w:szCs w:val="30"/>
          <w:highlight w:val="none"/>
          <w:vertAlign w:val="superscript"/>
        </w:rPr>
      </w:pPr>
      <w:bookmarkStart w:id="5" w:name="_Toc234382588"/>
      <w:r>
        <w:rPr>
          <w:rFonts w:hint="eastAsia" w:ascii="黑体" w:eastAsia="黑体"/>
          <w:color w:val="auto"/>
          <w:sz w:val="30"/>
          <w:szCs w:val="30"/>
          <w:highlight w:val="none"/>
        </w:rPr>
        <w:br w:type="page"/>
      </w:r>
      <w:bookmarkStart w:id="6" w:name="_Toc31404"/>
      <w:bookmarkStart w:id="7" w:name="_Toc485889001"/>
      <w:bookmarkStart w:id="8" w:name="_Toc486277862"/>
      <w:r>
        <w:rPr>
          <w:rFonts w:hint="eastAsia" w:ascii="黑体" w:eastAsia="黑体"/>
          <w:color w:val="auto"/>
          <w:sz w:val="30"/>
          <w:szCs w:val="30"/>
          <w:highlight w:val="none"/>
        </w:rPr>
        <w:t>附录1   资格审查条件(资质最低条件)</w:t>
      </w:r>
      <w:bookmarkEnd w:id="5"/>
      <w:bookmarkEnd w:id="6"/>
      <w:bookmarkEnd w:id="7"/>
      <w:bookmarkEnd w:id="8"/>
    </w:p>
    <w:tbl>
      <w:tblPr>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rPr>
          <w:trHeight w:val="643" w:hRule="atLeast"/>
          <w:jc w:val="center"/>
        </w:trPr>
        <w:tc>
          <w:tcPr>
            <w:tcW w:w="9072"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施工企业资质等级要求</w:t>
            </w:r>
          </w:p>
        </w:tc>
      </w:tr>
      <w:tr>
        <w:trPr>
          <w:trHeight w:val="643" w:hRule="atLeast"/>
          <w:jc w:val="center"/>
        </w:trPr>
        <w:tc>
          <w:tcPr>
            <w:tcW w:w="9072" w:type="dxa"/>
            <w:vAlign w:val="center"/>
          </w:tcPr>
          <w:p>
            <w:pPr>
              <w:autoSpaceDE w:val="0"/>
              <w:autoSpaceDN w:val="0"/>
              <w:adjustRightInd w:val="0"/>
              <w:snapToGrid w:val="0"/>
              <w:spacing w:before="0" w:beforeAutospacing="0" w:after="0" w:afterAutospacing="0" w:line="460" w:lineRule="exact"/>
              <w:ind w:left="0" w:right="0" w:firstLine="480" w:firstLineChars="200"/>
              <w:rPr>
                <w:rFonts w:hint="default" w:ascii="宋体" w:hAnsi="宋体" w:cs="宋体"/>
                <w:color w:val="auto"/>
                <w:kern w:val="0"/>
                <w:sz w:val="24"/>
                <w:szCs w:val="22"/>
                <w:highlight w:val="none"/>
              </w:rPr>
            </w:pPr>
            <w:r>
              <w:rPr>
                <w:rFonts w:hint="eastAsia" w:ascii="宋体" w:hAnsi="宋体" w:cs="宋体"/>
                <w:color w:val="auto"/>
                <w:kern w:val="0"/>
                <w:sz w:val="24"/>
                <w:szCs w:val="22"/>
                <w:highlight w:val="none"/>
              </w:rPr>
              <w:t>1、营业执照：具有在中华人民共和国境内注册的独立企业法人营业执照（在有效期内）。</w:t>
            </w:r>
          </w:p>
          <w:p>
            <w:pPr>
              <w:autoSpaceDE w:val="0"/>
              <w:autoSpaceDN w:val="0"/>
              <w:adjustRightInd w:val="0"/>
              <w:snapToGrid w:val="0"/>
              <w:spacing w:before="0" w:beforeAutospacing="0" w:after="0" w:afterAutospacing="0" w:line="460" w:lineRule="exact"/>
              <w:ind w:left="0" w:right="0" w:firstLine="480" w:firstLineChars="200"/>
              <w:rPr>
                <w:rFonts w:hint="default" w:ascii="宋体" w:hAnsi="宋体" w:cs="宋体"/>
                <w:color w:val="auto"/>
                <w:kern w:val="0"/>
                <w:sz w:val="24"/>
                <w:szCs w:val="22"/>
                <w:highlight w:val="none"/>
              </w:rPr>
            </w:pPr>
            <w:r>
              <w:rPr>
                <w:rFonts w:hint="eastAsia" w:ascii="宋体" w:hAnsi="宋体" w:cs="宋体"/>
                <w:color w:val="auto"/>
                <w:kern w:val="0"/>
                <w:sz w:val="24"/>
                <w:szCs w:val="22"/>
                <w:highlight w:val="none"/>
              </w:rPr>
              <w:t>2、资质要求：公路工程施工总承包</w:t>
            </w:r>
            <w:r>
              <w:rPr>
                <w:rFonts w:hint="eastAsia" w:ascii="宋体" w:hAnsi="宋体" w:cs="宋体"/>
                <w:color w:val="auto"/>
                <w:kern w:val="0"/>
                <w:sz w:val="24"/>
                <w:szCs w:val="22"/>
                <w:highlight w:val="none"/>
                <w:lang w:eastAsia="zh-CN"/>
              </w:rPr>
              <w:t>三</w:t>
            </w:r>
            <w:r>
              <w:rPr>
                <w:rFonts w:hint="eastAsia" w:ascii="宋体" w:hAnsi="宋体" w:cs="宋体"/>
                <w:color w:val="auto"/>
                <w:kern w:val="0"/>
                <w:sz w:val="24"/>
                <w:szCs w:val="22"/>
                <w:highlight w:val="none"/>
              </w:rPr>
              <w:t>级及以上资质，并具备有效的企业安全生产许可证，在人员、设备、资金等方面具有相应的施工能力。</w:t>
            </w:r>
          </w:p>
          <w:p>
            <w:pPr>
              <w:autoSpaceDE w:val="0"/>
              <w:autoSpaceDN w:val="0"/>
              <w:adjustRightInd w:val="0"/>
              <w:snapToGrid w:val="0"/>
              <w:spacing w:before="0" w:beforeAutospacing="0" w:after="0" w:afterAutospacing="0" w:line="460" w:lineRule="exact"/>
              <w:ind w:left="0" w:right="0" w:firstLine="480" w:firstLineChars="200"/>
              <w:rPr>
                <w:rFonts w:hint="default" w:ascii="宋体" w:hAnsi="宋体" w:cs="宋体"/>
                <w:color w:val="auto"/>
                <w:kern w:val="0"/>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附录2   资格审查条件(财务最低要求)</w:t>
      </w:r>
    </w:p>
    <w:tbl>
      <w:tblPr>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rPr>
          <w:trHeight w:val="643" w:hRule="atLeast"/>
          <w:jc w:val="center"/>
        </w:trPr>
        <w:tc>
          <w:tcPr>
            <w:tcW w:w="9239"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财 务 要 求</w:t>
            </w:r>
          </w:p>
        </w:tc>
      </w:tr>
      <w:tr>
        <w:trPr>
          <w:trHeight w:val="11902" w:hRule="atLeast"/>
          <w:jc w:val="center"/>
        </w:trPr>
        <w:tc>
          <w:tcPr>
            <w:tcW w:w="9239" w:type="dxa"/>
            <w:vAlign w:val="center"/>
          </w:tcPr>
          <w:p>
            <w:pPr>
              <w:spacing w:before="0" w:beforeAutospacing="0" w:after="0" w:afterAutospacing="0" w:line="480" w:lineRule="exact"/>
              <w:ind w:left="0" w:right="0" w:firstLine="480" w:firstLineChars="200"/>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投标</w:t>
            </w:r>
            <w:r>
              <w:rPr>
                <w:rFonts w:hint="eastAsia" w:ascii="宋体" w:hAnsi="宋体" w:cs="Calibri"/>
                <w:color w:val="auto"/>
                <w:kern w:val="2"/>
                <w:sz w:val="24"/>
                <w:szCs w:val="22"/>
                <w:highlight w:val="none"/>
                <w:lang w:eastAsia="zh-CN"/>
              </w:rPr>
              <w:t>人</w:t>
            </w:r>
            <w:r>
              <w:rPr>
                <w:rFonts w:hint="eastAsia" w:ascii="宋体" w:hAnsi="宋体" w:cs="Calibri"/>
                <w:color w:val="auto"/>
                <w:kern w:val="2"/>
                <w:sz w:val="24"/>
                <w:szCs w:val="22"/>
                <w:highlight w:val="none"/>
              </w:rPr>
              <w:t>应提交最近三年内（</w:t>
            </w:r>
            <w:r>
              <w:rPr>
                <w:rFonts w:hint="eastAsia" w:ascii="宋体" w:hAnsi="宋体" w:cs="仿宋_GB2312"/>
                <w:color w:val="auto"/>
                <w:kern w:val="2"/>
                <w:sz w:val="24"/>
                <w:szCs w:val="22"/>
                <w:highlight w:val="none"/>
              </w:rPr>
              <w:t>201</w:t>
            </w:r>
            <w:r>
              <w:rPr>
                <w:rFonts w:hint="eastAsia" w:ascii="宋体" w:hAnsi="宋体" w:cs="仿宋_GB2312"/>
                <w:color w:val="auto"/>
                <w:kern w:val="2"/>
                <w:sz w:val="24"/>
                <w:szCs w:val="22"/>
                <w:highlight w:val="none"/>
                <w:lang w:val="en-US" w:eastAsia="zh-CN"/>
              </w:rPr>
              <w:t>5</w:t>
            </w:r>
            <w:r>
              <w:rPr>
                <w:rFonts w:hint="eastAsia" w:ascii="宋体" w:hAnsi="宋体" w:cs="仿宋_GB2312"/>
                <w:color w:val="auto"/>
                <w:kern w:val="2"/>
                <w:sz w:val="24"/>
                <w:szCs w:val="22"/>
                <w:highlight w:val="none"/>
              </w:rPr>
              <w:t>年1月1日至201</w:t>
            </w:r>
            <w:r>
              <w:rPr>
                <w:rFonts w:hint="eastAsia" w:ascii="宋体" w:hAnsi="宋体" w:cs="仿宋_GB2312"/>
                <w:color w:val="auto"/>
                <w:kern w:val="2"/>
                <w:sz w:val="24"/>
                <w:szCs w:val="22"/>
                <w:highlight w:val="none"/>
                <w:lang w:val="en-US" w:eastAsia="zh-CN"/>
              </w:rPr>
              <w:t>7</w:t>
            </w:r>
            <w:r>
              <w:rPr>
                <w:rFonts w:hint="eastAsia" w:ascii="宋体" w:hAnsi="宋体" w:cs="仿宋_GB2312"/>
                <w:color w:val="auto"/>
                <w:kern w:val="2"/>
                <w:sz w:val="24"/>
                <w:szCs w:val="22"/>
                <w:highlight w:val="none"/>
              </w:rPr>
              <w:t>年12月31日</w:t>
            </w:r>
            <w:r>
              <w:rPr>
                <w:rFonts w:hint="eastAsia" w:ascii="宋体" w:hAnsi="宋体" w:cs="Calibri"/>
                <w:color w:val="auto"/>
                <w:kern w:val="2"/>
                <w:sz w:val="24"/>
                <w:szCs w:val="22"/>
                <w:highlight w:val="none"/>
              </w:rPr>
              <w:t>）(</w:t>
            </w:r>
            <w:r>
              <w:rPr>
                <w:rFonts w:hint="eastAsia" w:ascii="Calibri" w:hAnsi="宋体" w:cs="Calibri"/>
                <w:bCs/>
                <w:color w:val="auto"/>
                <w:kern w:val="2"/>
                <w:sz w:val="24"/>
                <w:szCs w:val="22"/>
                <w:highlight w:val="none"/>
              </w:rPr>
              <w:t>若公司成立未满三年，须提供成立当年至今的财务报告</w:t>
            </w:r>
            <w:r>
              <w:rPr>
                <w:rFonts w:hint="eastAsia" w:ascii="宋体" w:hAnsi="宋体" w:cs="Calibri"/>
                <w:color w:val="auto"/>
                <w:kern w:val="2"/>
                <w:sz w:val="24"/>
                <w:szCs w:val="22"/>
                <w:highlight w:val="none"/>
              </w:rPr>
              <w:t>)经审计的资产负债表、利润表、现金流量表</w:t>
            </w:r>
            <w:r>
              <w:rPr>
                <w:rFonts w:hint="eastAsia" w:ascii="宋体" w:hAnsi="宋体" w:cs="Calibri"/>
                <w:color w:val="auto"/>
                <w:kern w:val="2"/>
                <w:sz w:val="24"/>
                <w:szCs w:val="22"/>
                <w:highlight w:val="none"/>
                <w:lang w:eastAsia="zh-CN"/>
              </w:rPr>
              <w:t>。</w:t>
            </w:r>
            <w:r>
              <w:rPr>
                <w:rFonts w:hint="eastAsia" w:ascii="宋体" w:hAnsi="宋体" w:cs="Calibri"/>
                <w:color w:val="auto"/>
                <w:kern w:val="2"/>
                <w:sz w:val="24"/>
                <w:szCs w:val="22"/>
                <w:highlight w:val="none"/>
              </w:rPr>
              <w:t>证明</w:t>
            </w:r>
            <w:r>
              <w:rPr>
                <w:rFonts w:hint="eastAsia" w:ascii="宋体" w:hAnsi="宋体" w:cs="Calibri"/>
                <w:color w:val="auto"/>
                <w:kern w:val="2"/>
                <w:sz w:val="24"/>
                <w:szCs w:val="22"/>
                <w:highlight w:val="none"/>
                <w:lang w:val="en-US" w:eastAsia="zh-CN"/>
              </w:rPr>
              <w:t>投标人</w:t>
            </w:r>
            <w:r>
              <w:rPr>
                <w:rFonts w:hint="eastAsia" w:ascii="宋体" w:hAnsi="宋体" w:cs="Calibri"/>
                <w:color w:val="auto"/>
                <w:kern w:val="2"/>
                <w:sz w:val="24"/>
                <w:szCs w:val="22"/>
                <w:highlight w:val="none"/>
              </w:rPr>
              <w:t>的财务状况良好，财务无亏损，没有被接管、冻结、破产状态；必要时，业主将向投标</w:t>
            </w:r>
            <w:r>
              <w:rPr>
                <w:rFonts w:hint="eastAsia" w:ascii="宋体" w:hAnsi="宋体" w:cs="Calibri"/>
                <w:color w:val="auto"/>
                <w:kern w:val="2"/>
                <w:sz w:val="24"/>
                <w:szCs w:val="22"/>
                <w:highlight w:val="none"/>
                <w:lang w:val="en-US" w:eastAsia="zh-CN"/>
              </w:rPr>
              <w:t>人</w:t>
            </w:r>
            <w:r>
              <w:rPr>
                <w:rFonts w:hint="eastAsia" w:ascii="宋体" w:hAnsi="宋体" w:cs="Calibri"/>
                <w:color w:val="auto"/>
                <w:kern w:val="2"/>
                <w:sz w:val="24"/>
                <w:szCs w:val="22"/>
                <w:highlight w:val="none"/>
              </w:rPr>
              <w:t>的开户银行进行查询；</w:t>
            </w: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tc>
      </w:tr>
    </w:tbl>
    <w:p>
      <w:pPr>
        <w:rPr>
          <w:rFonts w:ascii="宋体" w:hAnsi="宋体"/>
          <w:color w:val="auto"/>
          <w:sz w:val="24"/>
          <w:highlight w:val="none"/>
        </w:rPr>
      </w:pPr>
    </w:p>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hint="eastAsia" w:ascii="黑体" w:eastAsia="黑体"/>
          <w:b/>
          <w:bCs/>
          <w:color w:val="auto"/>
          <w:kern w:val="44"/>
          <w:sz w:val="30"/>
          <w:szCs w:val="30"/>
          <w:highlight w:val="none"/>
        </w:rPr>
        <w:t>附录3   资格审查条件(业绩最低要求)</w:t>
      </w:r>
    </w:p>
    <w:tbl>
      <w:tblPr>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rPr>
          <w:trHeight w:val="643" w:hRule="atLeast"/>
          <w:jc w:val="center"/>
        </w:trPr>
        <w:tc>
          <w:tcPr>
            <w:tcW w:w="9239"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业 绩 要 求</w:t>
            </w:r>
          </w:p>
        </w:tc>
      </w:tr>
      <w:tr>
        <w:trPr>
          <w:trHeight w:val="11830" w:hRule="atLeast"/>
          <w:jc w:val="center"/>
        </w:trPr>
        <w:tc>
          <w:tcPr>
            <w:tcW w:w="9239" w:type="dxa"/>
            <w:vAlign w:val="center"/>
          </w:tcPr>
          <w:p>
            <w:pPr>
              <w:spacing w:before="0" w:beforeAutospacing="0" w:after="0" w:afterAutospacing="0" w:line="480" w:lineRule="exact"/>
              <w:ind w:left="0" w:right="0" w:firstLine="480" w:firstLineChars="200"/>
              <w:rPr>
                <w:rFonts w:hint="default" w:ascii="宋体" w:hAnsi="宋体" w:cs="Calibri"/>
                <w:color w:val="auto"/>
                <w:kern w:val="2"/>
                <w:sz w:val="24"/>
                <w:szCs w:val="22"/>
                <w:highlight w:val="none"/>
              </w:rPr>
            </w:pPr>
            <w:r>
              <w:rPr>
                <w:rFonts w:hint="default" w:ascii="宋体" w:hAnsi="宋体" w:cs="宋体"/>
                <w:color w:val="auto"/>
                <w:kern w:val="0"/>
                <w:sz w:val="24"/>
                <w:szCs w:val="22"/>
                <w:highlight w:val="none"/>
              </w:rPr>
              <w:t>投标人近三年内（2015年1月1日起至今，以施工合同日期为准）完成两个以上（含两个）的类似项目工程。</w:t>
            </w:r>
            <w:r>
              <w:rPr>
                <w:rFonts w:hint="eastAsia" w:ascii="宋体" w:hAnsi="宋体" w:cs="Calibri"/>
                <w:color w:val="auto"/>
                <w:kern w:val="2"/>
                <w:sz w:val="24"/>
                <w:szCs w:val="22"/>
                <w:highlight w:val="none"/>
              </w:rPr>
              <w:t xml:space="preserve"> </w:t>
            </w: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autoSpaceDE w:val="0"/>
              <w:autoSpaceDN w:val="0"/>
              <w:adjustRightInd w:val="0"/>
              <w:snapToGrid w:val="0"/>
              <w:spacing w:before="0" w:beforeAutospacing="0" w:after="0" w:afterAutospacing="0" w:line="460" w:lineRule="exact"/>
              <w:ind w:left="0" w:right="0" w:firstLine="480" w:firstLineChars="200"/>
              <w:rPr>
                <w:rFonts w:hint="default" w:ascii="宋体" w:hAnsi="宋体" w:cs="宋体"/>
                <w:color w:val="auto"/>
                <w:kern w:val="0"/>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附录4   资格审查条件(信誉最低要求)</w:t>
      </w:r>
    </w:p>
    <w:tbl>
      <w:tblPr>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rPr>
          <w:trHeight w:val="643" w:hRule="atLeast"/>
          <w:jc w:val="center"/>
        </w:trPr>
        <w:tc>
          <w:tcPr>
            <w:tcW w:w="9239"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信 誉 要 求</w:t>
            </w:r>
          </w:p>
        </w:tc>
      </w:tr>
      <w:tr>
        <w:trPr>
          <w:trHeight w:val="643" w:hRule="atLeast"/>
          <w:jc w:val="center"/>
        </w:trPr>
        <w:tc>
          <w:tcPr>
            <w:tcW w:w="9239" w:type="dxa"/>
            <w:vAlign w:val="center"/>
          </w:tcPr>
          <w:p>
            <w:pPr>
              <w:spacing w:before="0" w:beforeAutospacing="0" w:after="0" w:afterAutospacing="0" w:line="480" w:lineRule="exact"/>
              <w:ind w:left="0" w:right="0" w:firstLine="480" w:firstLineChars="200"/>
              <w:rPr>
                <w:rFonts w:hint="default" w:ascii="宋体" w:hAnsi="宋体" w:cs="宋体"/>
                <w:color w:val="auto"/>
                <w:kern w:val="0"/>
                <w:sz w:val="24"/>
                <w:szCs w:val="22"/>
                <w:highlight w:val="none"/>
              </w:rPr>
            </w:pPr>
            <w:r>
              <w:rPr>
                <w:rFonts w:hint="default" w:ascii="宋体" w:hAnsi="宋体" w:cs="宋体"/>
                <w:color w:val="auto"/>
                <w:kern w:val="0"/>
                <w:sz w:val="24"/>
                <w:szCs w:val="22"/>
                <w:highlight w:val="none"/>
              </w:rPr>
              <w:t>1、按照最新的信用评价结果，被河南省交通运输厅或交通运输部信用等级评定为D级施工企业不得参与投标。</w:t>
            </w:r>
          </w:p>
          <w:p>
            <w:pPr>
              <w:numPr>
                <w:ilvl w:val="0"/>
                <w:numId w:val="2"/>
              </w:numPr>
              <w:spacing w:before="0" w:beforeAutospacing="0" w:after="0" w:afterAutospacing="0" w:line="480" w:lineRule="exact"/>
              <w:ind w:left="0" w:right="0" w:firstLine="480" w:firstLineChars="200"/>
              <w:rPr>
                <w:rFonts w:hint="default" w:ascii="宋体" w:hAnsi="宋体" w:cs="宋体"/>
                <w:color w:val="auto"/>
                <w:kern w:val="0"/>
                <w:sz w:val="24"/>
                <w:szCs w:val="22"/>
                <w:highlight w:val="none"/>
              </w:rPr>
            </w:pPr>
            <w:r>
              <w:rPr>
                <w:rFonts w:hint="default" w:ascii="宋体" w:hAnsi="宋体" w:cs="宋体"/>
                <w:color w:val="auto"/>
                <w:kern w:val="0"/>
                <w:sz w:val="24"/>
                <w:szCs w:val="22"/>
                <w:highlight w:val="none"/>
              </w:rPr>
              <w:t>不接受“被工商行政管理机关在全国企业信用信息公示系统中列入严重违法失信企业名单；被最高人民法院在“信用中国”网站（www.creditchina.gov.cn）或各级信用信息共享平台中列入失信被执行人名单”的投标。</w:t>
            </w: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both"/>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p>
            <w:pPr>
              <w:spacing w:before="0" w:beforeAutospacing="0" w:after="0" w:afterAutospacing="0"/>
              <w:ind w:left="0" w:right="0"/>
              <w:jc w:val="center"/>
              <w:rPr>
                <w:rFonts w:hint="default" w:ascii="宋体" w:hAnsi="宋体" w:cs="Calibri"/>
                <w:color w:val="auto"/>
                <w:kern w:val="2"/>
                <w:sz w:val="24"/>
                <w:szCs w:val="22"/>
                <w:highlight w:val="none"/>
              </w:rPr>
            </w:pP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附录5   资格审查条件(项目经理和项目总工最低要求)</w:t>
      </w:r>
    </w:p>
    <w:tbl>
      <w:tblPr>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rPr>
          <w:trHeight w:val="803" w:hRule="exact"/>
          <w:jc w:val="center"/>
        </w:trPr>
        <w:tc>
          <w:tcPr>
            <w:tcW w:w="2235"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人  员</w:t>
            </w:r>
          </w:p>
        </w:tc>
        <w:tc>
          <w:tcPr>
            <w:tcW w:w="1984"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数  量</w:t>
            </w:r>
          </w:p>
        </w:tc>
        <w:tc>
          <w:tcPr>
            <w:tcW w:w="502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资 格 要 求</w:t>
            </w:r>
          </w:p>
        </w:tc>
      </w:tr>
      <w:tr>
        <w:trPr>
          <w:trHeight w:val="4074" w:hRule="atLeast"/>
          <w:jc w:val="center"/>
        </w:trPr>
        <w:tc>
          <w:tcPr>
            <w:tcW w:w="2235"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项目经理</w:t>
            </w:r>
          </w:p>
        </w:tc>
        <w:tc>
          <w:tcPr>
            <w:tcW w:w="1984"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w:t>
            </w:r>
          </w:p>
        </w:tc>
        <w:tc>
          <w:tcPr>
            <w:tcW w:w="5020" w:type="dxa"/>
            <w:vAlign w:val="top"/>
          </w:tcPr>
          <w:p>
            <w:pPr>
              <w:spacing w:before="0" w:beforeAutospacing="0" w:after="0" w:afterAutospacing="0"/>
              <w:ind w:left="0" w:right="0"/>
              <w:rPr>
                <w:rFonts w:hint="eastAsia" w:ascii="Calibri" w:hAnsi="Calibri" w:cs="Calibri"/>
                <w:color w:val="auto"/>
                <w:kern w:val="2"/>
                <w:sz w:val="21"/>
                <w:szCs w:val="21"/>
                <w:highlight w:val="none"/>
              </w:rPr>
            </w:pPr>
          </w:p>
          <w:p>
            <w:pPr>
              <w:spacing w:before="0" w:beforeAutospacing="0" w:after="0" w:afterAutospacing="0"/>
              <w:ind w:left="0" w:right="0"/>
              <w:rPr>
                <w:rFonts w:hint="eastAsia" w:ascii="Calibri" w:hAnsi="Calibri" w:cs="Calibri"/>
                <w:color w:val="auto"/>
                <w:kern w:val="2"/>
                <w:sz w:val="21"/>
                <w:szCs w:val="21"/>
                <w:highlight w:val="none"/>
              </w:rPr>
            </w:pPr>
          </w:p>
          <w:p>
            <w:pPr>
              <w:spacing w:before="0" w:beforeAutospacing="0" w:after="0" w:afterAutospacing="0"/>
              <w:ind w:left="0" w:right="0"/>
              <w:rPr>
                <w:rFonts w:hint="eastAsia" w:ascii="Calibri" w:hAnsi="Calibri" w:cs="Calibri"/>
                <w:color w:val="auto"/>
                <w:kern w:val="2"/>
                <w:sz w:val="21"/>
                <w:szCs w:val="21"/>
                <w:highlight w:val="none"/>
              </w:rPr>
            </w:pPr>
          </w:p>
          <w:p>
            <w:pPr>
              <w:spacing w:before="0" w:beforeAutospacing="0" w:after="0" w:afterAutospacing="0"/>
              <w:ind w:left="0" w:right="0"/>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具备公路工程专业二级及以上注册建造师资格，具备有效的安全生产考核合格证书，且未担任其他在施建设项目的项目经理</w:t>
            </w:r>
          </w:p>
        </w:tc>
      </w:tr>
      <w:tr>
        <w:trPr>
          <w:trHeight w:val="5521" w:hRule="atLeast"/>
          <w:jc w:val="center"/>
        </w:trPr>
        <w:tc>
          <w:tcPr>
            <w:tcW w:w="2235"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项目总工程师</w:t>
            </w:r>
          </w:p>
        </w:tc>
        <w:tc>
          <w:tcPr>
            <w:tcW w:w="1984"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w:t>
            </w:r>
          </w:p>
        </w:tc>
        <w:tc>
          <w:tcPr>
            <w:tcW w:w="5020" w:type="dxa"/>
            <w:vAlign w:val="top"/>
          </w:tcPr>
          <w:p>
            <w:pPr>
              <w:spacing w:before="0" w:beforeAutospacing="0" w:after="0" w:afterAutospacing="0"/>
              <w:ind w:left="0" w:right="0"/>
              <w:rPr>
                <w:rFonts w:hint="eastAsia" w:ascii="Calibri" w:hAnsi="Calibri" w:cs="Calibri"/>
                <w:color w:val="auto"/>
                <w:kern w:val="2"/>
                <w:sz w:val="21"/>
                <w:szCs w:val="21"/>
                <w:highlight w:val="none"/>
              </w:rPr>
            </w:pPr>
          </w:p>
          <w:p>
            <w:pPr>
              <w:spacing w:before="0" w:beforeAutospacing="0" w:after="0" w:afterAutospacing="0"/>
              <w:ind w:left="0" w:right="0"/>
              <w:rPr>
                <w:rFonts w:hint="eastAsia" w:ascii="Calibri" w:hAnsi="Calibri" w:cs="Calibri"/>
                <w:color w:val="auto"/>
                <w:kern w:val="2"/>
                <w:sz w:val="21"/>
                <w:szCs w:val="21"/>
                <w:highlight w:val="none"/>
              </w:rPr>
            </w:pPr>
          </w:p>
          <w:p>
            <w:pPr>
              <w:spacing w:before="0" w:beforeAutospacing="0" w:after="0" w:afterAutospacing="0"/>
              <w:ind w:left="0" w:right="0"/>
              <w:rPr>
                <w:rFonts w:hint="eastAsia" w:ascii="Calibri" w:hAnsi="Calibri" w:cs="Calibri"/>
                <w:color w:val="auto"/>
                <w:kern w:val="2"/>
                <w:sz w:val="21"/>
                <w:szCs w:val="21"/>
                <w:highlight w:val="none"/>
              </w:rPr>
            </w:pPr>
          </w:p>
          <w:p>
            <w:pPr>
              <w:spacing w:before="0" w:beforeAutospacing="0" w:after="0" w:afterAutospacing="0"/>
              <w:ind w:left="0" w:right="0"/>
              <w:rPr>
                <w:rFonts w:hint="eastAsia" w:ascii="Calibri" w:hAnsi="Calibri" w:cs="Calibri"/>
                <w:color w:val="auto"/>
                <w:kern w:val="2"/>
                <w:sz w:val="21"/>
                <w:szCs w:val="21"/>
                <w:highlight w:val="none"/>
              </w:rPr>
            </w:pPr>
          </w:p>
          <w:p>
            <w:pPr>
              <w:spacing w:before="0" w:beforeAutospacing="0" w:after="0" w:afterAutospacing="0"/>
              <w:ind w:left="0" w:right="0"/>
              <w:rPr>
                <w:rFonts w:hint="eastAsia" w:ascii="Calibri" w:hAnsi="Calibri" w:cs="Calibri"/>
                <w:color w:val="auto"/>
                <w:kern w:val="2"/>
                <w:sz w:val="21"/>
                <w:szCs w:val="21"/>
                <w:highlight w:val="none"/>
              </w:rPr>
            </w:pPr>
          </w:p>
          <w:p>
            <w:pPr>
              <w:spacing w:before="0" w:beforeAutospacing="0" w:after="0" w:afterAutospacing="0"/>
              <w:ind w:left="0" w:right="0"/>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中级及以上相关专业技术职称。</w:t>
            </w:r>
            <w:r>
              <w:rPr>
                <w:rFonts w:hint="default" w:ascii="Calibri" w:hAnsi="Calibri" w:cs="Calibri"/>
                <w:color w:val="auto"/>
                <w:kern w:val="2"/>
                <w:sz w:val="21"/>
                <w:szCs w:val="21"/>
                <w:highlight w:val="none"/>
              </w:rPr>
              <w:t xml:space="preserve"> </w:t>
            </w: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附录6  资格审查条件(其他主要管理人员和技术人员最低要求)</w:t>
      </w:r>
    </w:p>
    <w:tbl>
      <w:tblPr>
        <w:tblW w:w="930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rPr>
          <w:trHeight w:val="706" w:hRule="atLeast"/>
        </w:trPr>
        <w:tc>
          <w:tcPr>
            <w:tcW w:w="225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人  员</w:t>
            </w:r>
          </w:p>
        </w:tc>
        <w:tc>
          <w:tcPr>
            <w:tcW w:w="1997"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数  量</w:t>
            </w:r>
          </w:p>
        </w:tc>
        <w:tc>
          <w:tcPr>
            <w:tcW w:w="5053"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资 格 要 求</w:t>
            </w:r>
          </w:p>
        </w:tc>
      </w:tr>
      <w:tr>
        <w:trPr>
          <w:trHeight w:val="593"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财务负责人</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会计师，工程经验</w:t>
            </w:r>
            <w:r>
              <w:rPr>
                <w:rFonts w:hint="eastAsia" w:ascii="Calibri" w:hAnsi="Calibri" w:cs="Calibri"/>
                <w:color w:val="auto"/>
                <w:kern w:val="2"/>
                <w:sz w:val="21"/>
                <w:szCs w:val="21"/>
                <w:highlight w:val="none"/>
              </w:rPr>
              <w:t>3</w:t>
            </w:r>
            <w:r>
              <w:rPr>
                <w:rFonts w:hint="default" w:ascii="Calibri" w:hAnsi="Calibri" w:cs="Calibri"/>
                <w:color w:val="auto"/>
                <w:kern w:val="2"/>
                <w:sz w:val="21"/>
                <w:szCs w:val="21"/>
                <w:highlight w:val="none"/>
              </w:rPr>
              <w:t>年以上，从事类似工作</w:t>
            </w:r>
            <w:r>
              <w:rPr>
                <w:rFonts w:hint="eastAsia" w:ascii="Calibri" w:hAnsi="Calibri" w:cs="Calibri"/>
                <w:color w:val="auto"/>
                <w:kern w:val="2"/>
                <w:sz w:val="21"/>
                <w:szCs w:val="21"/>
                <w:highlight w:val="none"/>
              </w:rPr>
              <w:t>2</w:t>
            </w:r>
            <w:r>
              <w:rPr>
                <w:rFonts w:hint="default" w:ascii="Calibri" w:hAnsi="Calibri" w:cs="Calibri"/>
                <w:color w:val="auto"/>
                <w:kern w:val="2"/>
                <w:sz w:val="21"/>
                <w:szCs w:val="21"/>
                <w:highlight w:val="none"/>
              </w:rPr>
              <w:t>年以上。</w:t>
            </w:r>
          </w:p>
        </w:tc>
      </w:tr>
      <w:tr>
        <w:trPr>
          <w:trHeight w:val="510"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质检工程师</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工程师，工程经验</w:t>
            </w:r>
            <w:r>
              <w:rPr>
                <w:rFonts w:hint="eastAsia" w:ascii="Calibri" w:hAnsi="Calibri" w:cs="Calibri"/>
                <w:color w:val="auto"/>
                <w:kern w:val="2"/>
                <w:sz w:val="21"/>
                <w:szCs w:val="21"/>
                <w:highlight w:val="none"/>
              </w:rPr>
              <w:t>3</w:t>
            </w:r>
            <w:r>
              <w:rPr>
                <w:rFonts w:hint="default" w:ascii="Calibri" w:hAnsi="Calibri" w:cs="Calibri"/>
                <w:color w:val="auto"/>
                <w:kern w:val="2"/>
                <w:sz w:val="21"/>
                <w:szCs w:val="21"/>
                <w:highlight w:val="none"/>
              </w:rPr>
              <w:t>年以上，从事类似工程</w:t>
            </w:r>
            <w:r>
              <w:rPr>
                <w:rFonts w:hint="eastAsia" w:ascii="Calibri" w:hAnsi="Calibri" w:cs="Calibri"/>
                <w:color w:val="auto"/>
                <w:kern w:val="2"/>
                <w:sz w:val="21"/>
                <w:szCs w:val="21"/>
                <w:highlight w:val="none"/>
              </w:rPr>
              <w:t>2</w:t>
            </w:r>
            <w:r>
              <w:rPr>
                <w:rFonts w:hint="default" w:ascii="Calibri" w:hAnsi="Calibri" w:cs="Calibri"/>
                <w:color w:val="auto"/>
                <w:kern w:val="2"/>
                <w:sz w:val="21"/>
                <w:szCs w:val="21"/>
                <w:highlight w:val="none"/>
              </w:rPr>
              <w:t>年以上。</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路基</w:t>
            </w:r>
            <w:r>
              <w:rPr>
                <w:rFonts w:hint="eastAsia" w:ascii="Calibri" w:hAnsi="Calibri" w:cs="Calibri"/>
                <w:color w:val="auto"/>
                <w:kern w:val="2"/>
                <w:sz w:val="21"/>
                <w:szCs w:val="21"/>
                <w:highlight w:val="none"/>
              </w:rPr>
              <w:t>、路面</w:t>
            </w:r>
            <w:r>
              <w:rPr>
                <w:rFonts w:hint="default" w:ascii="Calibri" w:hAnsi="Calibri" w:cs="Calibri"/>
                <w:color w:val="auto"/>
                <w:kern w:val="2"/>
                <w:sz w:val="21"/>
                <w:szCs w:val="21"/>
                <w:highlight w:val="none"/>
              </w:rPr>
              <w:t>工程师</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工程师，工程经验</w:t>
            </w:r>
            <w:r>
              <w:rPr>
                <w:rFonts w:hint="eastAsia" w:ascii="Calibri" w:hAnsi="Calibri" w:cs="Calibri"/>
                <w:color w:val="auto"/>
                <w:kern w:val="2"/>
                <w:sz w:val="21"/>
                <w:szCs w:val="21"/>
                <w:highlight w:val="none"/>
              </w:rPr>
              <w:t>3</w:t>
            </w:r>
            <w:r>
              <w:rPr>
                <w:rFonts w:hint="default" w:ascii="Calibri" w:hAnsi="Calibri" w:cs="Calibri"/>
                <w:color w:val="auto"/>
                <w:kern w:val="2"/>
                <w:sz w:val="21"/>
                <w:szCs w:val="21"/>
                <w:highlight w:val="none"/>
              </w:rPr>
              <w:t>年以上，从事类似工作</w:t>
            </w:r>
            <w:r>
              <w:rPr>
                <w:rFonts w:hint="eastAsia" w:ascii="Calibri" w:hAnsi="Calibri" w:cs="Calibri"/>
                <w:color w:val="auto"/>
                <w:kern w:val="2"/>
                <w:sz w:val="21"/>
                <w:szCs w:val="21"/>
                <w:highlight w:val="none"/>
              </w:rPr>
              <w:t>2</w:t>
            </w:r>
            <w:r>
              <w:rPr>
                <w:rFonts w:hint="default" w:ascii="Calibri" w:hAnsi="Calibri" w:cs="Calibri"/>
                <w:color w:val="auto"/>
                <w:kern w:val="2"/>
                <w:sz w:val="21"/>
                <w:szCs w:val="21"/>
                <w:highlight w:val="none"/>
              </w:rPr>
              <w:t>年以上。</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测量工程师</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工程师，工程经验</w:t>
            </w:r>
            <w:r>
              <w:rPr>
                <w:rFonts w:hint="eastAsia" w:ascii="Calibri" w:hAnsi="Calibri" w:cs="Calibri"/>
                <w:color w:val="auto"/>
                <w:kern w:val="2"/>
                <w:sz w:val="21"/>
                <w:szCs w:val="21"/>
                <w:highlight w:val="none"/>
              </w:rPr>
              <w:t>3</w:t>
            </w:r>
            <w:r>
              <w:rPr>
                <w:rFonts w:hint="default" w:ascii="Calibri" w:hAnsi="Calibri" w:cs="Calibri"/>
                <w:color w:val="auto"/>
                <w:kern w:val="2"/>
                <w:sz w:val="21"/>
                <w:szCs w:val="21"/>
                <w:highlight w:val="none"/>
              </w:rPr>
              <w:t>年以上，从事类似工作</w:t>
            </w:r>
            <w:r>
              <w:rPr>
                <w:rFonts w:hint="eastAsia" w:ascii="Calibri" w:hAnsi="Calibri" w:cs="Calibri"/>
                <w:color w:val="auto"/>
                <w:kern w:val="2"/>
                <w:sz w:val="21"/>
                <w:szCs w:val="21"/>
                <w:highlight w:val="none"/>
              </w:rPr>
              <w:t>2</w:t>
            </w:r>
            <w:r>
              <w:rPr>
                <w:rFonts w:hint="default" w:ascii="Calibri" w:hAnsi="Calibri" w:cs="Calibri"/>
                <w:color w:val="auto"/>
                <w:kern w:val="2"/>
                <w:sz w:val="21"/>
                <w:szCs w:val="21"/>
                <w:highlight w:val="none"/>
              </w:rPr>
              <w:t>年以上。</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试验负责人</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工程师，工程经验</w:t>
            </w:r>
            <w:r>
              <w:rPr>
                <w:rFonts w:hint="eastAsia" w:ascii="Calibri" w:hAnsi="Calibri" w:cs="Calibri"/>
                <w:color w:val="auto"/>
                <w:kern w:val="2"/>
                <w:sz w:val="21"/>
                <w:szCs w:val="21"/>
                <w:highlight w:val="none"/>
              </w:rPr>
              <w:t>3</w:t>
            </w:r>
            <w:r>
              <w:rPr>
                <w:rFonts w:hint="default" w:ascii="Calibri" w:hAnsi="Calibri" w:cs="Calibri"/>
                <w:color w:val="auto"/>
                <w:kern w:val="2"/>
                <w:sz w:val="21"/>
                <w:szCs w:val="21"/>
                <w:highlight w:val="none"/>
              </w:rPr>
              <w:t>年以上，从事类似工作</w:t>
            </w:r>
            <w:r>
              <w:rPr>
                <w:rFonts w:hint="eastAsia" w:ascii="Calibri" w:hAnsi="Calibri" w:cs="Calibri"/>
                <w:color w:val="auto"/>
                <w:kern w:val="2"/>
                <w:sz w:val="21"/>
                <w:szCs w:val="21"/>
                <w:highlight w:val="none"/>
              </w:rPr>
              <w:t>2</w:t>
            </w:r>
            <w:r>
              <w:rPr>
                <w:rFonts w:hint="default" w:ascii="Calibri" w:hAnsi="Calibri" w:cs="Calibri"/>
                <w:color w:val="auto"/>
                <w:kern w:val="2"/>
                <w:sz w:val="21"/>
                <w:szCs w:val="21"/>
                <w:highlight w:val="none"/>
              </w:rPr>
              <w:t>年以上，具有交通运输部颁发的试验检测工程师资格证。</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机械工程师</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工程师，工程经验</w:t>
            </w:r>
            <w:r>
              <w:rPr>
                <w:rFonts w:hint="eastAsia" w:ascii="Calibri" w:hAnsi="Calibri" w:cs="Calibri"/>
                <w:color w:val="auto"/>
                <w:kern w:val="2"/>
                <w:sz w:val="21"/>
                <w:szCs w:val="21"/>
                <w:highlight w:val="none"/>
              </w:rPr>
              <w:t>3</w:t>
            </w:r>
            <w:r>
              <w:rPr>
                <w:rFonts w:hint="default" w:ascii="Calibri" w:hAnsi="Calibri" w:cs="Calibri"/>
                <w:color w:val="auto"/>
                <w:kern w:val="2"/>
                <w:sz w:val="21"/>
                <w:szCs w:val="21"/>
                <w:highlight w:val="none"/>
              </w:rPr>
              <w:t>年以上，从事类似工作</w:t>
            </w:r>
            <w:r>
              <w:rPr>
                <w:rFonts w:hint="eastAsia" w:ascii="Calibri" w:hAnsi="Calibri" w:cs="Calibri"/>
                <w:color w:val="auto"/>
                <w:kern w:val="2"/>
                <w:sz w:val="21"/>
                <w:szCs w:val="21"/>
                <w:highlight w:val="none"/>
              </w:rPr>
              <w:t>2</w:t>
            </w:r>
            <w:r>
              <w:rPr>
                <w:rFonts w:hint="default" w:ascii="Calibri" w:hAnsi="Calibri" w:cs="Calibri"/>
                <w:color w:val="auto"/>
                <w:kern w:val="2"/>
                <w:sz w:val="21"/>
                <w:szCs w:val="21"/>
                <w:highlight w:val="none"/>
              </w:rPr>
              <w:t>年以上。</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专职安全员</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从事类似工作3年以上</w:t>
            </w:r>
            <w:r>
              <w:rPr>
                <w:rFonts w:hint="default" w:ascii="Calibri" w:hAnsi="Calibri" w:cs="Calibri"/>
                <w:color w:val="auto"/>
                <w:kern w:val="2"/>
                <w:sz w:val="21"/>
                <w:szCs w:val="21"/>
                <w:highlight w:val="none"/>
                <w:lang w:val="zh-CN"/>
              </w:rPr>
              <w:t>，</w:t>
            </w:r>
            <w:r>
              <w:rPr>
                <w:rFonts w:hint="default" w:ascii="Calibri" w:hAnsi="Calibri" w:cs="Calibri"/>
                <w:color w:val="auto"/>
                <w:kern w:val="2"/>
                <w:sz w:val="21"/>
                <w:szCs w:val="21"/>
                <w:highlight w:val="none"/>
              </w:rPr>
              <w:t>具</w:t>
            </w:r>
            <w:r>
              <w:rPr>
                <w:rFonts w:hint="eastAsia" w:ascii="Calibri" w:hAnsi="Calibri" w:cs="Calibri"/>
                <w:color w:val="auto"/>
                <w:kern w:val="2"/>
                <w:sz w:val="21"/>
                <w:szCs w:val="21"/>
                <w:highlight w:val="none"/>
              </w:rPr>
              <w:t>有有效</w:t>
            </w:r>
            <w:r>
              <w:rPr>
                <w:rFonts w:hint="default" w:ascii="Calibri" w:hAnsi="Calibri" w:cs="Calibri"/>
                <w:color w:val="auto"/>
                <w:kern w:val="2"/>
                <w:sz w:val="21"/>
                <w:szCs w:val="21"/>
                <w:highlight w:val="none"/>
              </w:rPr>
              <w:t>的安全生产考核合格证。</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5053" w:type="dxa"/>
            <w:vAlign w:val="center"/>
          </w:tcPr>
          <w:p>
            <w:pPr>
              <w:spacing w:before="0" w:beforeAutospacing="0" w:after="0" w:afterAutospacing="0" w:line="400" w:lineRule="exact"/>
              <w:ind w:left="0" w:right="0"/>
              <w:jc w:val="left"/>
              <w:rPr>
                <w:rFonts w:hint="default" w:ascii="Calibri" w:hAnsi="Calibri" w:cs="Calibri"/>
                <w:color w:val="auto"/>
                <w:kern w:val="2"/>
                <w:sz w:val="21"/>
                <w:szCs w:val="21"/>
                <w:highlight w:val="none"/>
              </w:rPr>
            </w:pP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p>
        </w:tc>
      </w:tr>
      <w:tr>
        <w:trPr>
          <w:trHeight w:val="642" w:hRule="atLeast"/>
        </w:trPr>
        <w:tc>
          <w:tcPr>
            <w:tcW w:w="225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1997"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5053"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r>
      <w:tr>
        <w:trPr>
          <w:trHeight w:val="642" w:hRule="atLeast"/>
        </w:trPr>
        <w:tc>
          <w:tcPr>
            <w:tcW w:w="225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1997"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5053"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r>
    </w:tbl>
    <w:p>
      <w:pPr>
        <w:rPr>
          <w:rFonts w:ascii="宋体" w:hAnsi="宋体"/>
          <w:color w:val="auto"/>
          <w:sz w:val="24"/>
          <w:highlight w:val="none"/>
        </w:rPr>
      </w:pPr>
      <w:r>
        <w:rPr>
          <w:rFonts w:hint="eastAsia" w:ascii="宋体" w:hAnsi="宋体"/>
          <w:color w:val="auto"/>
          <w:sz w:val="24"/>
          <w:highlight w:val="none"/>
        </w:rPr>
        <w:t>只需做出承诺，不再提供相关证明原件及复印件。</w:t>
      </w:r>
    </w:p>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bookmarkStart w:id="9" w:name="_Toc234382589"/>
      <w:r>
        <w:rPr>
          <w:rFonts w:hint="eastAsia" w:ascii="黑体" w:eastAsia="黑体"/>
          <w:b/>
          <w:bCs/>
          <w:color w:val="auto"/>
          <w:kern w:val="44"/>
          <w:sz w:val="30"/>
          <w:szCs w:val="30"/>
          <w:highlight w:val="none"/>
        </w:rPr>
        <w:t>附录7   资格审查条件(关键设备最低条件)</w:t>
      </w:r>
    </w:p>
    <w:tbl>
      <w:tblPr>
        <w:tblW w:w="960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49"/>
        <w:gridCol w:w="3216"/>
        <w:gridCol w:w="1323"/>
        <w:gridCol w:w="1512"/>
      </w:tblGrid>
      <w:tr>
        <w:trPr>
          <w:trHeight w:val="628" w:hRule="atLeast"/>
        </w:trPr>
        <w:tc>
          <w:tcPr>
            <w:tcW w:w="354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设备名称</w:t>
            </w:r>
          </w:p>
        </w:tc>
        <w:tc>
          <w:tcPr>
            <w:tcW w:w="3216"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规格、功率及容量</w:t>
            </w:r>
          </w:p>
        </w:tc>
        <w:tc>
          <w:tcPr>
            <w:tcW w:w="132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单位</w:t>
            </w:r>
          </w:p>
        </w:tc>
        <w:tc>
          <w:tcPr>
            <w:tcW w:w="1512"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最低数量要求</w:t>
            </w:r>
          </w:p>
        </w:tc>
      </w:tr>
      <w:tr>
        <w:trPr>
          <w:trHeight w:val="633" w:hRule="atLeast"/>
        </w:trPr>
        <w:tc>
          <w:tcPr>
            <w:tcW w:w="3549" w:type="dxa"/>
            <w:vAlign w:val="center"/>
          </w:tcPr>
          <w:p>
            <w:pPr>
              <w:adjustRightInd w:val="0"/>
              <w:snapToGrid w:val="0"/>
              <w:spacing w:before="0" w:beforeAutospacing="0" w:after="0" w:afterAutospacing="0" w:line="360" w:lineRule="auto"/>
              <w:ind w:left="0" w:right="0"/>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水泥砼搅拌站</w:t>
            </w:r>
          </w:p>
        </w:tc>
        <w:tc>
          <w:tcPr>
            <w:tcW w:w="321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512"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r>
      <w:tr>
        <w:trPr>
          <w:trHeight w:val="633" w:hRule="atLeast"/>
        </w:trPr>
        <w:tc>
          <w:tcPr>
            <w:tcW w:w="3549" w:type="dxa"/>
            <w:vAlign w:val="center"/>
          </w:tcPr>
          <w:p>
            <w:pPr>
              <w:adjustRightInd w:val="0"/>
              <w:snapToGrid w:val="0"/>
              <w:spacing w:before="0" w:beforeAutospacing="0" w:after="0" w:afterAutospacing="0" w:line="360" w:lineRule="auto"/>
              <w:ind w:left="0" w:right="0"/>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架桥机</w:t>
            </w:r>
          </w:p>
        </w:tc>
        <w:tc>
          <w:tcPr>
            <w:tcW w:w="3216"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default"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512"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1</w:t>
            </w:r>
          </w:p>
        </w:tc>
      </w:tr>
      <w:tr>
        <w:trPr>
          <w:trHeight w:val="633" w:hRule="atLeast"/>
        </w:trPr>
        <w:tc>
          <w:tcPr>
            <w:tcW w:w="3549" w:type="dxa"/>
            <w:vAlign w:val="center"/>
          </w:tcPr>
          <w:p>
            <w:pPr>
              <w:adjustRightInd w:val="0"/>
              <w:snapToGrid w:val="0"/>
              <w:spacing w:before="0" w:beforeAutospacing="0" w:after="0" w:afterAutospacing="0" w:line="360" w:lineRule="auto"/>
              <w:ind w:left="0" w:right="0"/>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水泥砼搅拌运输车</w:t>
            </w:r>
          </w:p>
        </w:tc>
        <w:tc>
          <w:tcPr>
            <w:tcW w:w="321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台</w:t>
            </w:r>
          </w:p>
        </w:tc>
        <w:tc>
          <w:tcPr>
            <w:tcW w:w="1512"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3</w:t>
            </w:r>
          </w:p>
        </w:tc>
      </w:tr>
      <w:tr>
        <w:trPr>
          <w:trHeight w:val="633" w:hRule="atLeast"/>
        </w:trPr>
        <w:tc>
          <w:tcPr>
            <w:tcW w:w="3549" w:type="dxa"/>
            <w:vAlign w:val="center"/>
          </w:tcPr>
          <w:p>
            <w:pPr>
              <w:adjustRightInd w:val="0"/>
              <w:snapToGrid w:val="0"/>
              <w:spacing w:before="0" w:beforeAutospacing="0" w:after="0" w:afterAutospacing="0" w:line="360" w:lineRule="auto"/>
              <w:ind w:left="0" w:right="0"/>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水泥砼输送泵</w:t>
            </w:r>
          </w:p>
        </w:tc>
        <w:tc>
          <w:tcPr>
            <w:tcW w:w="321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台</w:t>
            </w:r>
          </w:p>
        </w:tc>
        <w:tc>
          <w:tcPr>
            <w:tcW w:w="1512"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r>
      <w:tr>
        <w:trPr>
          <w:trHeight w:val="633" w:hRule="atLeast"/>
        </w:trPr>
        <w:tc>
          <w:tcPr>
            <w:tcW w:w="3549" w:type="dxa"/>
            <w:vAlign w:val="center"/>
          </w:tcPr>
          <w:p>
            <w:pPr>
              <w:spacing w:before="0" w:beforeAutospacing="0" w:after="0" w:afterAutospacing="0" w:line="400" w:lineRule="exact"/>
              <w:ind w:left="0" w:right="0"/>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风镐</w:t>
            </w:r>
          </w:p>
        </w:tc>
        <w:tc>
          <w:tcPr>
            <w:tcW w:w="321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512"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4</w:t>
            </w:r>
          </w:p>
        </w:tc>
      </w:tr>
      <w:tr>
        <w:trPr>
          <w:trHeight w:val="633" w:hRule="atLeast"/>
        </w:trPr>
        <w:tc>
          <w:tcPr>
            <w:tcW w:w="3549" w:type="dxa"/>
            <w:vAlign w:val="center"/>
          </w:tcPr>
          <w:p>
            <w:pPr>
              <w:spacing w:before="0" w:beforeAutospacing="0" w:after="0" w:afterAutospacing="0" w:line="400" w:lineRule="exact"/>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水泥混凝土路面振捣设备</w:t>
            </w:r>
          </w:p>
        </w:tc>
        <w:tc>
          <w:tcPr>
            <w:tcW w:w="321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套</w:t>
            </w:r>
          </w:p>
        </w:tc>
        <w:tc>
          <w:tcPr>
            <w:tcW w:w="1512"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4</w:t>
            </w:r>
          </w:p>
        </w:tc>
      </w:tr>
      <w:tr>
        <w:trPr>
          <w:trHeight w:val="633" w:hRule="atLeast"/>
        </w:trPr>
        <w:tc>
          <w:tcPr>
            <w:tcW w:w="3549" w:type="dxa"/>
            <w:vAlign w:val="center"/>
          </w:tcPr>
          <w:p>
            <w:pPr>
              <w:adjustRightInd w:val="0"/>
              <w:snapToGrid w:val="0"/>
              <w:spacing w:before="0" w:beforeAutospacing="0" w:after="0" w:afterAutospacing="0" w:line="360" w:lineRule="auto"/>
              <w:ind w:left="0" w:right="0"/>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吊车</w:t>
            </w:r>
          </w:p>
        </w:tc>
        <w:tc>
          <w:tcPr>
            <w:tcW w:w="321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台</w:t>
            </w:r>
          </w:p>
        </w:tc>
        <w:tc>
          <w:tcPr>
            <w:tcW w:w="1512"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r>
      <w:tr>
        <w:trPr>
          <w:trHeight w:val="633" w:hRule="atLeast"/>
        </w:trPr>
        <w:tc>
          <w:tcPr>
            <w:tcW w:w="3549" w:type="dxa"/>
            <w:vAlign w:val="center"/>
          </w:tcPr>
          <w:p>
            <w:pPr>
              <w:spacing w:before="0" w:beforeAutospacing="0" w:after="0" w:afterAutospacing="0"/>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挖掘机</w:t>
            </w:r>
          </w:p>
        </w:tc>
        <w:tc>
          <w:tcPr>
            <w:tcW w:w="3216"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default"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512"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1</w:t>
            </w:r>
          </w:p>
        </w:tc>
      </w:tr>
      <w:tr>
        <w:trPr>
          <w:trHeight w:val="633" w:hRule="atLeast"/>
        </w:trPr>
        <w:tc>
          <w:tcPr>
            <w:tcW w:w="3549" w:type="dxa"/>
            <w:vAlign w:val="center"/>
          </w:tcPr>
          <w:p>
            <w:pPr>
              <w:spacing w:before="0" w:beforeAutospacing="0" w:after="0" w:afterAutospacing="0"/>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装载机</w:t>
            </w:r>
          </w:p>
        </w:tc>
        <w:tc>
          <w:tcPr>
            <w:tcW w:w="321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套</w:t>
            </w:r>
          </w:p>
        </w:tc>
        <w:tc>
          <w:tcPr>
            <w:tcW w:w="1512"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2</w:t>
            </w:r>
          </w:p>
        </w:tc>
      </w:tr>
      <w:tr>
        <w:trPr>
          <w:trHeight w:val="633" w:hRule="atLeast"/>
        </w:trPr>
        <w:tc>
          <w:tcPr>
            <w:tcW w:w="3549" w:type="dxa"/>
            <w:vAlign w:val="center"/>
          </w:tcPr>
          <w:p>
            <w:pPr>
              <w:spacing w:before="0" w:beforeAutospacing="0" w:after="0" w:afterAutospacing="0" w:line="440" w:lineRule="exact"/>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2000KN压力试验机</w:t>
            </w:r>
          </w:p>
        </w:tc>
        <w:tc>
          <w:tcPr>
            <w:tcW w:w="321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512"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r>
      <w:tr>
        <w:trPr>
          <w:trHeight w:val="633" w:hRule="atLeast"/>
        </w:trPr>
        <w:tc>
          <w:tcPr>
            <w:tcW w:w="3549" w:type="dxa"/>
            <w:vAlign w:val="center"/>
          </w:tcPr>
          <w:p>
            <w:pPr>
              <w:spacing w:before="0" w:beforeAutospacing="0" w:after="0" w:afterAutospacing="0" w:line="440" w:lineRule="exact"/>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60KN万能材料试验机</w:t>
            </w:r>
          </w:p>
        </w:tc>
        <w:tc>
          <w:tcPr>
            <w:tcW w:w="321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台</w:t>
            </w:r>
          </w:p>
        </w:tc>
        <w:tc>
          <w:tcPr>
            <w:tcW w:w="1512"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r>
      <w:tr>
        <w:trPr>
          <w:trHeight w:val="633" w:hRule="atLeast"/>
        </w:trPr>
        <w:tc>
          <w:tcPr>
            <w:tcW w:w="3549" w:type="dxa"/>
            <w:vAlign w:val="center"/>
          </w:tcPr>
          <w:p>
            <w:pPr>
              <w:spacing w:before="0" w:beforeAutospacing="0" w:after="0" w:afterAutospacing="0" w:line="440" w:lineRule="exact"/>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水泥试验设备</w:t>
            </w:r>
          </w:p>
        </w:tc>
        <w:tc>
          <w:tcPr>
            <w:tcW w:w="321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台</w:t>
            </w:r>
          </w:p>
        </w:tc>
        <w:tc>
          <w:tcPr>
            <w:tcW w:w="1512"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r>
      <w:tr>
        <w:trPr>
          <w:trHeight w:val="633" w:hRule="atLeast"/>
        </w:trPr>
        <w:tc>
          <w:tcPr>
            <w:tcW w:w="3549" w:type="dxa"/>
            <w:vAlign w:val="center"/>
          </w:tcPr>
          <w:p>
            <w:pPr>
              <w:spacing w:before="0" w:beforeAutospacing="0" w:after="0" w:afterAutospacing="0" w:line="440" w:lineRule="exact"/>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标准养护箱</w:t>
            </w:r>
          </w:p>
        </w:tc>
        <w:tc>
          <w:tcPr>
            <w:tcW w:w="321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512"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r>
      <w:tr>
        <w:trPr>
          <w:trHeight w:val="633" w:hRule="atLeast"/>
        </w:trPr>
        <w:tc>
          <w:tcPr>
            <w:tcW w:w="3549" w:type="dxa"/>
            <w:vAlign w:val="center"/>
          </w:tcPr>
          <w:p>
            <w:pPr>
              <w:spacing w:before="0" w:beforeAutospacing="0" w:after="0" w:afterAutospacing="0" w:line="440" w:lineRule="exact"/>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全站仪及附件</w:t>
            </w:r>
          </w:p>
        </w:tc>
        <w:tc>
          <w:tcPr>
            <w:tcW w:w="321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512"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r>
      <w:tr>
        <w:trPr>
          <w:trHeight w:val="633" w:hRule="atLeast"/>
        </w:trPr>
        <w:tc>
          <w:tcPr>
            <w:tcW w:w="3549" w:type="dxa"/>
            <w:vAlign w:val="center"/>
          </w:tcPr>
          <w:p>
            <w:pPr>
              <w:spacing w:before="0" w:beforeAutospacing="0" w:after="0" w:afterAutospacing="0" w:line="440" w:lineRule="exact"/>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自动安平水准仪</w:t>
            </w:r>
          </w:p>
        </w:tc>
        <w:tc>
          <w:tcPr>
            <w:tcW w:w="321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满足施工需要</w:t>
            </w:r>
          </w:p>
        </w:tc>
        <w:tc>
          <w:tcPr>
            <w:tcW w:w="1323"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台</w:t>
            </w:r>
          </w:p>
        </w:tc>
        <w:tc>
          <w:tcPr>
            <w:tcW w:w="1512"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w:t>
            </w:r>
          </w:p>
        </w:tc>
      </w:tr>
      <w:tr>
        <w:trPr>
          <w:trHeight w:val="633" w:hRule="atLeast"/>
        </w:trPr>
        <w:tc>
          <w:tcPr>
            <w:tcW w:w="3549"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p>
        </w:tc>
        <w:tc>
          <w:tcPr>
            <w:tcW w:w="3216"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p>
        </w:tc>
        <w:tc>
          <w:tcPr>
            <w:tcW w:w="1323"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p>
        </w:tc>
        <w:tc>
          <w:tcPr>
            <w:tcW w:w="1512"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42" w:hRule="atLeast"/>
        </w:trPr>
        <w:tc>
          <w:tcPr>
            <w:tcW w:w="3549"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p>
        </w:tc>
        <w:tc>
          <w:tcPr>
            <w:tcW w:w="3216"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p>
        </w:tc>
        <w:tc>
          <w:tcPr>
            <w:tcW w:w="132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512"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r>
    </w:tbl>
    <w:p>
      <w:pPr>
        <w:rPr>
          <w:rFonts w:ascii="宋体" w:hAnsi="宋体"/>
          <w:color w:val="auto"/>
          <w:sz w:val="24"/>
          <w:highlight w:val="none"/>
        </w:rPr>
      </w:pPr>
      <w:r>
        <w:rPr>
          <w:rFonts w:hint="eastAsia" w:ascii="宋体" w:hAnsi="宋体"/>
          <w:color w:val="auto"/>
          <w:sz w:val="24"/>
          <w:highlight w:val="none"/>
        </w:rPr>
        <w:t>只需做出承诺，不再提供相关证明原件及复印件。</w:t>
      </w:r>
    </w:p>
    <w:bookmarkEnd w:id="9"/>
    <w:p>
      <w:pPr>
        <w:pStyle w:val="4"/>
        <w:spacing w:beforeLines="150" w:after="480" w:line="400" w:lineRule="exact"/>
        <w:rPr>
          <w:rFonts w:ascii="宋体" w:hAnsi="宋体"/>
          <w:color w:val="auto"/>
          <w:sz w:val="24"/>
          <w:szCs w:val="24"/>
          <w:highlight w:val="none"/>
        </w:rPr>
      </w:pPr>
      <w:bookmarkStart w:id="10" w:name="_Toc485889002"/>
      <w:bookmarkStart w:id="11" w:name="_Toc486277863"/>
      <w:bookmarkStart w:id="12" w:name="_Toc2209"/>
      <w:r>
        <w:rPr>
          <w:rFonts w:ascii="宋体" w:hAnsi="宋体"/>
          <w:color w:val="auto"/>
          <w:sz w:val="24"/>
          <w:szCs w:val="24"/>
          <w:highlight w:val="none"/>
        </w:rPr>
        <w:t>1. 总则</w:t>
      </w:r>
      <w:bookmarkEnd w:id="10"/>
      <w:bookmarkEnd w:id="11"/>
      <w:bookmarkEnd w:id="12"/>
    </w:p>
    <w:p>
      <w:pPr>
        <w:pStyle w:val="4"/>
        <w:spacing w:before="0" w:after="0" w:line="400" w:lineRule="exact"/>
        <w:rPr>
          <w:rFonts w:ascii="宋体" w:hAnsi="宋体"/>
          <w:color w:val="auto"/>
          <w:sz w:val="24"/>
          <w:szCs w:val="24"/>
          <w:highlight w:val="none"/>
        </w:rPr>
      </w:pPr>
      <w:bookmarkStart w:id="13" w:name="_Toc486277864"/>
      <w:bookmarkStart w:id="14" w:name="_Toc234382590"/>
      <w:bookmarkStart w:id="15" w:name="_Toc29730"/>
      <w:bookmarkStart w:id="16" w:name="_Toc485889003"/>
      <w:r>
        <w:rPr>
          <w:rFonts w:ascii="宋体" w:hAnsi="宋体"/>
          <w:color w:val="auto"/>
          <w:sz w:val="24"/>
          <w:szCs w:val="24"/>
          <w:highlight w:val="none"/>
        </w:rPr>
        <w:t>1.1 项目概况</w:t>
      </w:r>
      <w:bookmarkEnd w:id="13"/>
      <w:bookmarkEnd w:id="14"/>
      <w:bookmarkEnd w:id="15"/>
      <w:bookmarkEnd w:id="16"/>
    </w:p>
    <w:p>
      <w:pPr>
        <w:spacing w:line="400" w:lineRule="exact"/>
        <w:ind w:firstLine="480"/>
        <w:rPr>
          <w:rFonts w:ascii="宋体" w:hAnsi="宋体"/>
          <w:color w:val="auto"/>
          <w:sz w:val="24"/>
          <w:highlight w:val="none"/>
        </w:rPr>
      </w:pPr>
      <w:bookmarkStart w:id="17" w:name="_Toc234382591"/>
      <w:r>
        <w:rPr>
          <w:rFonts w:hint="eastAsia" w:ascii="宋体" w:hAnsi="宋体"/>
          <w:color w:val="auto"/>
          <w:sz w:val="24"/>
          <w:highlight w:val="none"/>
        </w:rPr>
        <w:t>1.1.1根据《中华人民共和国招标投标法》等有关法律、法规和规章的规定，本招标项目已具备招标条件，现对本工程施工进行招标，</w:t>
      </w:r>
      <w:r>
        <w:rPr>
          <w:rFonts w:hint="eastAsia" w:ascii="宋体" w:hAnsi="宋体" w:cs="宋体"/>
          <w:color w:val="auto"/>
          <w:sz w:val="24"/>
          <w:highlight w:val="none"/>
        </w:rPr>
        <w:t>择优选定投标人。</w:t>
      </w:r>
    </w:p>
    <w:p>
      <w:pPr>
        <w:spacing w:line="400" w:lineRule="exact"/>
        <w:ind w:firstLine="480"/>
        <w:rPr>
          <w:rFonts w:ascii="宋体" w:hAnsi="宋体"/>
          <w:color w:val="auto"/>
          <w:sz w:val="24"/>
          <w:highlight w:val="none"/>
        </w:rPr>
      </w:pPr>
      <w:r>
        <w:rPr>
          <w:rFonts w:hint="eastAsia" w:ascii="宋体" w:hAnsi="宋体"/>
          <w:color w:val="auto"/>
          <w:sz w:val="24"/>
          <w:highlight w:val="none"/>
        </w:rPr>
        <w:t>1.1.2 本招标项目招标人：见投标人须知前附表。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1.1.3 本标段招标代理机构：见投标人须知前附表。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1.1.4 本招标项目名称：见投标人须知前附表。</w:t>
      </w:r>
    </w:p>
    <w:p>
      <w:pPr>
        <w:shd w:val="clear" w:color="auto" w:fill="FFFFFF"/>
        <w:spacing w:line="400" w:lineRule="atLeast"/>
        <w:ind w:firstLine="480"/>
        <w:rPr>
          <w:color w:val="auto"/>
          <w:spacing w:val="1"/>
          <w:sz w:val="24"/>
          <w:highlight w:val="none"/>
        </w:rPr>
      </w:pPr>
      <w:r>
        <w:rPr>
          <w:rFonts w:hint="eastAsia" w:ascii="宋体" w:hAnsi="宋体"/>
          <w:color w:val="auto"/>
          <w:sz w:val="24"/>
          <w:highlight w:val="none"/>
        </w:rPr>
        <w:t>1.1.5 本标段建设地点：见投标人须知前附表</w:t>
      </w:r>
      <w:r>
        <w:rPr>
          <w:rFonts w:hint="eastAsia"/>
          <w:color w:val="auto"/>
          <w:spacing w:val="1"/>
          <w:sz w:val="24"/>
          <w:highlight w:val="none"/>
        </w:rPr>
        <w:t>。</w:t>
      </w:r>
    </w:p>
    <w:p>
      <w:pPr>
        <w:pStyle w:val="4"/>
        <w:spacing w:beforeLines="150" w:after="480" w:line="400" w:lineRule="exact"/>
        <w:rPr>
          <w:rFonts w:ascii="宋体" w:hAnsi="宋体"/>
          <w:color w:val="auto"/>
          <w:sz w:val="24"/>
          <w:szCs w:val="24"/>
          <w:highlight w:val="none"/>
        </w:rPr>
      </w:pPr>
      <w:bookmarkStart w:id="18" w:name="_Toc486277865"/>
      <w:bookmarkStart w:id="19" w:name="_Toc14323"/>
      <w:bookmarkStart w:id="20" w:name="_Toc485889004"/>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资金来源和落实情况</w:t>
      </w:r>
      <w:bookmarkEnd w:id="18"/>
      <w:bookmarkEnd w:id="19"/>
      <w:bookmarkEnd w:id="20"/>
    </w:p>
    <w:bookmarkEnd w:id="17"/>
    <w:p>
      <w:pPr>
        <w:spacing w:line="400" w:lineRule="exact"/>
        <w:ind w:firstLine="480"/>
        <w:rPr>
          <w:rFonts w:ascii="宋体" w:hAnsi="宋体"/>
          <w:color w:val="auto"/>
          <w:sz w:val="24"/>
          <w:highlight w:val="none"/>
        </w:rPr>
      </w:pPr>
      <w:r>
        <w:rPr>
          <w:rFonts w:hint="eastAsia" w:ascii="宋体" w:hAnsi="宋体"/>
          <w:color w:val="auto"/>
          <w:sz w:val="24"/>
          <w:highlight w:val="none"/>
        </w:rPr>
        <w:t>1.2.1 本招标项目的资金来源：见投标人须知前附表。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1.2.2 本招标项目的出资比例：见投标人须知前附表。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1.2.3 本招标项目的资金落实情况：见投标人须知前附表。</w:t>
      </w:r>
    </w:p>
    <w:p>
      <w:pPr>
        <w:pStyle w:val="4"/>
        <w:spacing w:beforeLines="50" w:after="0" w:line="400" w:lineRule="exact"/>
        <w:rPr>
          <w:rFonts w:ascii="宋体" w:hAnsi="宋体"/>
          <w:color w:val="auto"/>
          <w:sz w:val="24"/>
          <w:szCs w:val="24"/>
          <w:highlight w:val="none"/>
        </w:rPr>
      </w:pPr>
      <w:bookmarkStart w:id="21" w:name="_Toc485889005"/>
      <w:bookmarkStart w:id="22" w:name="_Toc17973"/>
      <w:bookmarkStart w:id="23" w:name="_Toc486277866"/>
      <w:bookmarkStart w:id="24" w:name="_Toc234382592"/>
      <w:r>
        <w:rPr>
          <w:rFonts w:ascii="宋体" w:hAnsi="宋体"/>
          <w:color w:val="auto"/>
          <w:sz w:val="24"/>
          <w:szCs w:val="24"/>
          <w:highlight w:val="none"/>
        </w:rPr>
        <w:t>1.3 招标范围、计划工期和质量要求</w:t>
      </w:r>
      <w:bookmarkEnd w:id="21"/>
      <w:bookmarkEnd w:id="22"/>
      <w:bookmarkEnd w:id="23"/>
      <w:bookmarkEnd w:id="24"/>
    </w:p>
    <w:p>
      <w:pPr>
        <w:spacing w:line="400" w:lineRule="exact"/>
        <w:ind w:firstLine="480" w:firstLineChars="200"/>
        <w:rPr>
          <w:rFonts w:ascii="宋体" w:hAnsi="宋体"/>
          <w:color w:val="auto"/>
          <w:sz w:val="24"/>
          <w:highlight w:val="none"/>
        </w:rPr>
      </w:pPr>
      <w:r>
        <w:rPr>
          <w:rFonts w:ascii="宋体" w:hAnsi="宋体"/>
          <w:color w:val="auto"/>
          <w:sz w:val="24"/>
          <w:highlight w:val="none"/>
        </w:rPr>
        <w:t>1.3.1 本次招标范围：见投标人须知前附表。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1.3.2 本标段的计划工期：见投标人须知前附表。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1.3.3 本标段的质量要求：见投标人须知前附表。</w:t>
      </w:r>
    </w:p>
    <w:p>
      <w:pPr>
        <w:pStyle w:val="4"/>
        <w:spacing w:beforeLines="50" w:after="0" w:line="400" w:lineRule="exact"/>
        <w:rPr>
          <w:rFonts w:ascii="宋体" w:hAnsi="宋体"/>
          <w:color w:val="auto"/>
          <w:sz w:val="24"/>
          <w:szCs w:val="24"/>
          <w:highlight w:val="none"/>
        </w:rPr>
      </w:pPr>
      <w:bookmarkStart w:id="25" w:name="_Toc2109"/>
      <w:bookmarkStart w:id="26" w:name="_Toc486277867"/>
      <w:bookmarkStart w:id="27" w:name="_Toc485889006"/>
      <w:bookmarkStart w:id="28" w:name="_Toc234382594"/>
      <w:r>
        <w:rPr>
          <w:rFonts w:ascii="宋体" w:hAnsi="宋体"/>
          <w:color w:val="auto"/>
          <w:sz w:val="24"/>
          <w:szCs w:val="24"/>
          <w:highlight w:val="none"/>
        </w:rPr>
        <w:t>1.4 投标人资格要求（适用于未进行资格预审的）</w:t>
      </w:r>
      <w:bookmarkEnd w:id="25"/>
      <w:bookmarkEnd w:id="26"/>
      <w:bookmarkEnd w:id="27"/>
      <w:bookmarkEnd w:id="28"/>
    </w:p>
    <w:p>
      <w:pPr>
        <w:spacing w:line="400" w:lineRule="exact"/>
        <w:ind w:firstLine="480" w:firstLineChars="200"/>
        <w:rPr>
          <w:rFonts w:ascii="宋体" w:hAnsi="宋体"/>
          <w:color w:val="auto"/>
          <w:sz w:val="24"/>
          <w:highlight w:val="none"/>
        </w:rPr>
      </w:pPr>
      <w:bookmarkStart w:id="29" w:name="_Toc486277868"/>
      <w:bookmarkStart w:id="30" w:name="_Toc234382595"/>
      <w:bookmarkStart w:id="31" w:name="_Toc485889007"/>
      <w:bookmarkStart w:id="32" w:name="_Toc19946"/>
      <w:r>
        <w:rPr>
          <w:rFonts w:ascii="宋体" w:hAnsi="宋体"/>
          <w:color w:val="auto"/>
          <w:sz w:val="24"/>
          <w:highlight w:val="none"/>
        </w:rPr>
        <w:t>1.4.1 投标人应具备承担本标段施工的资质条件、能力和信誉。</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（1）资质条件：见投标人须知前附表；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（2）财务要求：见投标人须知前附表；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（3）业绩要求：见投标人须知前附表；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（4）信誉要求：见投标人须知前附表;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（5）项目经理资格：见投标人须知前附表；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（6）其他要求：见投标人须知前附表。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本次招标不</w:t>
      </w:r>
      <w:r>
        <w:rPr>
          <w:rFonts w:ascii="宋体" w:hAnsi="宋体"/>
          <w:color w:val="auto"/>
          <w:sz w:val="24"/>
          <w:highlight w:val="none"/>
        </w:rPr>
        <w:t>接受联合体</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1.4.3 投标人（包括联合体各成员）不得与本标段相关单位存在下列关联关系：</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（1）为招标人不具有独立法人资格的附属机构（单位）；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（2）与招标人存在利害关系且可能影响招标公正性；</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（3）与本标段的其他投标人同为一个单位负责人；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（4）与本标段的其他投标人存在控股、管理关系；</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（5）为本标段前期准备提供设计或咨询服务的法人或其任何附属机构（单位）；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（6）为本标段的监理人；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（7）为本标段的代建人；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（8）为本标段的招标代理机构；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（9）与本标段的监理人或代建人或招标代理机构同为一个法定代表人；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（10）与本标段的监理人或代建人或招标代理机构存在控股或参股关系</w:t>
      </w:r>
      <w:r>
        <w:rPr>
          <w:rFonts w:hint="eastAsia" w:ascii="宋体" w:hAnsi="宋体"/>
          <w:color w:val="auto"/>
          <w:sz w:val="24"/>
          <w:highlight w:val="none"/>
          <w:lang w:val="en-US" w:eastAsia="zh-CN"/>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（11）法律法规或投标人须知前附表规定的其他情形。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 xml:space="preserve">1.4.4 </w:t>
      </w:r>
      <w:r>
        <w:rPr>
          <w:rFonts w:ascii="宋体" w:hAnsi="宋体"/>
          <w:color w:val="auto"/>
          <w:sz w:val="24"/>
          <w:highlight w:val="none"/>
        </w:rPr>
        <w:t>投标人（包括联合体各成员）不得存在下列不良状况或不良信用记录：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（1）被省级及以上交通运输主管部门取消招标项目所在地的投标资格且处于有效期内；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ascii="宋体" w:hAnsi="宋体"/>
          <w:color w:val="auto"/>
          <w:sz w:val="24"/>
          <w:highlight w:val="none"/>
        </w:rPr>
        <w:t>被责令停业，暂扣或吊销执照，或吊销资质证书；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ascii="宋体" w:hAnsi="宋体"/>
          <w:color w:val="auto"/>
          <w:sz w:val="24"/>
          <w:highlight w:val="none"/>
        </w:rPr>
        <w:t>进入清算程序，或被宣告破产，或其他丧失履约能力的情形；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ascii="宋体" w:hAnsi="宋体"/>
          <w:color w:val="auto"/>
          <w:sz w:val="24"/>
          <w:highlight w:val="none"/>
        </w:rPr>
        <w:t>在国家企业信用信息公示系统（http://www.gsxt.gov.cn/）中被列入严重违法失信企业名单；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ascii="宋体" w:hAnsi="宋体"/>
          <w:color w:val="auto"/>
          <w:sz w:val="24"/>
          <w:highlight w:val="none"/>
        </w:rPr>
        <w:t>在“信用中国”网站（http://www.creditchina.gov.cn/）中被列入失信被执行人名单；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ascii="宋体" w:hAnsi="宋体"/>
          <w:color w:val="auto"/>
          <w:sz w:val="24"/>
          <w:highlight w:val="none"/>
        </w:rPr>
        <w:t>法律法规或投标人须知前附表规定的其他情形。</w:t>
      </w:r>
    </w:p>
    <w:p>
      <w:pPr>
        <w:pStyle w:val="4"/>
        <w:spacing w:beforeLines="50" w:after="0" w:line="400" w:lineRule="exact"/>
        <w:rPr>
          <w:rFonts w:ascii="宋体" w:hAnsi="宋体"/>
          <w:color w:val="auto"/>
          <w:sz w:val="24"/>
          <w:szCs w:val="24"/>
          <w:highlight w:val="none"/>
        </w:rPr>
      </w:pPr>
      <w:r>
        <w:rPr>
          <w:rFonts w:ascii="宋体" w:hAnsi="宋体"/>
          <w:color w:val="auto"/>
          <w:sz w:val="24"/>
          <w:szCs w:val="24"/>
          <w:highlight w:val="none"/>
        </w:rPr>
        <w:t>1.5 费用承担</w:t>
      </w:r>
      <w:bookmarkEnd w:id="29"/>
      <w:bookmarkEnd w:id="30"/>
      <w:bookmarkEnd w:id="31"/>
      <w:bookmarkEnd w:id="32"/>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投标人准备和参加投标活动发生的费用自理。</w:t>
      </w:r>
    </w:p>
    <w:p>
      <w:pPr>
        <w:pStyle w:val="4"/>
        <w:spacing w:beforeLines="50" w:after="0" w:line="400" w:lineRule="exact"/>
        <w:rPr>
          <w:rFonts w:ascii="宋体" w:hAnsi="宋体"/>
          <w:color w:val="auto"/>
          <w:sz w:val="24"/>
          <w:szCs w:val="24"/>
          <w:highlight w:val="none"/>
        </w:rPr>
      </w:pPr>
      <w:bookmarkStart w:id="33" w:name="_Toc486277869"/>
      <w:bookmarkStart w:id="34" w:name="_Toc485889008"/>
      <w:bookmarkStart w:id="35" w:name="_Toc234382596"/>
      <w:bookmarkStart w:id="36" w:name="_Toc8968"/>
      <w:r>
        <w:rPr>
          <w:rFonts w:ascii="宋体" w:hAnsi="宋体"/>
          <w:color w:val="auto"/>
          <w:sz w:val="24"/>
          <w:szCs w:val="24"/>
          <w:highlight w:val="none"/>
        </w:rPr>
        <w:t>1.6 保密</w:t>
      </w:r>
      <w:bookmarkEnd w:id="33"/>
      <w:bookmarkEnd w:id="34"/>
      <w:bookmarkEnd w:id="35"/>
      <w:bookmarkEnd w:id="36"/>
    </w:p>
    <w:p>
      <w:pPr>
        <w:spacing w:line="400" w:lineRule="exact"/>
        <w:ind w:firstLine="480" w:firstLineChars="200"/>
        <w:rPr>
          <w:rFonts w:ascii="宋体" w:hAnsi="宋体"/>
          <w:color w:val="auto"/>
          <w:sz w:val="24"/>
          <w:highlight w:val="none"/>
        </w:rPr>
      </w:pPr>
      <w:r>
        <w:rPr>
          <w:rFonts w:ascii="宋体" w:hAnsi="宋体"/>
          <w:color w:val="auto"/>
          <w:sz w:val="24"/>
          <w:highlight w:val="none"/>
        </w:rPr>
        <w:t>参与招标投标活动的各方应对招标文件和投标文件中的商业和技术等秘密保密，违者应对由此造成的后果承担法律责任。</w:t>
      </w:r>
    </w:p>
    <w:p>
      <w:pPr>
        <w:pStyle w:val="4"/>
        <w:spacing w:beforeLines="50" w:after="0" w:line="400" w:lineRule="exact"/>
        <w:rPr>
          <w:rFonts w:ascii="宋体" w:hAnsi="宋体"/>
          <w:color w:val="auto"/>
          <w:sz w:val="24"/>
          <w:szCs w:val="24"/>
          <w:highlight w:val="none"/>
        </w:rPr>
      </w:pPr>
      <w:bookmarkStart w:id="37" w:name="_Toc234382597"/>
      <w:bookmarkStart w:id="38" w:name="_Toc486277870"/>
      <w:bookmarkStart w:id="39" w:name="_Toc5358"/>
      <w:bookmarkStart w:id="40" w:name="_Toc485889009"/>
      <w:r>
        <w:rPr>
          <w:rFonts w:ascii="宋体" w:hAnsi="宋体"/>
          <w:color w:val="auto"/>
          <w:sz w:val="24"/>
          <w:szCs w:val="24"/>
          <w:highlight w:val="none"/>
        </w:rPr>
        <w:t>1.7 语言文字</w:t>
      </w:r>
      <w:bookmarkEnd w:id="37"/>
      <w:bookmarkEnd w:id="38"/>
      <w:bookmarkEnd w:id="39"/>
      <w:bookmarkEnd w:id="40"/>
    </w:p>
    <w:p>
      <w:pPr>
        <w:spacing w:line="400" w:lineRule="exact"/>
        <w:ind w:firstLine="480" w:firstLineChars="200"/>
        <w:rPr>
          <w:rFonts w:ascii="宋体" w:hAnsi="宋体"/>
          <w:color w:val="auto"/>
          <w:sz w:val="24"/>
          <w:highlight w:val="none"/>
        </w:rPr>
      </w:pPr>
      <w:r>
        <w:rPr>
          <w:rFonts w:ascii="宋体" w:hAnsi="宋体"/>
          <w:color w:val="auto"/>
          <w:sz w:val="24"/>
          <w:highlight w:val="none"/>
        </w:rPr>
        <w:t>除专用术语外，与招标投标有关的语言均使用中文。必要时专用术语应附有中文注释。</w:t>
      </w:r>
    </w:p>
    <w:p>
      <w:pPr>
        <w:pStyle w:val="4"/>
        <w:spacing w:beforeLines="50" w:after="0" w:line="400" w:lineRule="exact"/>
        <w:rPr>
          <w:rFonts w:ascii="宋体" w:hAnsi="宋体"/>
          <w:color w:val="auto"/>
          <w:sz w:val="24"/>
          <w:szCs w:val="24"/>
          <w:highlight w:val="none"/>
        </w:rPr>
      </w:pPr>
      <w:bookmarkStart w:id="41" w:name="_Toc234382598"/>
      <w:bookmarkStart w:id="42" w:name="_Toc485889010"/>
      <w:bookmarkStart w:id="43" w:name="_Toc105"/>
      <w:bookmarkStart w:id="44" w:name="_Toc486277871"/>
      <w:r>
        <w:rPr>
          <w:rFonts w:ascii="宋体" w:hAnsi="宋体"/>
          <w:color w:val="auto"/>
          <w:sz w:val="24"/>
          <w:szCs w:val="24"/>
          <w:highlight w:val="none"/>
        </w:rPr>
        <w:t>1.8 计量单位</w:t>
      </w:r>
      <w:bookmarkEnd w:id="41"/>
      <w:bookmarkEnd w:id="42"/>
      <w:bookmarkEnd w:id="43"/>
      <w:bookmarkEnd w:id="44"/>
    </w:p>
    <w:p>
      <w:pPr>
        <w:spacing w:line="400" w:lineRule="exact"/>
        <w:ind w:firstLine="480" w:firstLineChars="200"/>
        <w:rPr>
          <w:rFonts w:ascii="宋体" w:hAnsi="宋体"/>
          <w:color w:val="auto"/>
          <w:sz w:val="24"/>
          <w:highlight w:val="none"/>
        </w:rPr>
      </w:pPr>
      <w:r>
        <w:rPr>
          <w:rFonts w:ascii="宋体" w:hAnsi="宋体"/>
          <w:color w:val="auto"/>
          <w:sz w:val="24"/>
          <w:highlight w:val="none"/>
        </w:rPr>
        <w:t>所有计量均采用中华人民共和国法定计量单位。</w:t>
      </w:r>
    </w:p>
    <w:p>
      <w:pPr>
        <w:pStyle w:val="4"/>
        <w:spacing w:beforeLines="50" w:after="0" w:line="400" w:lineRule="exact"/>
        <w:rPr>
          <w:rFonts w:ascii="宋体" w:hAnsi="宋体"/>
          <w:color w:val="auto"/>
          <w:sz w:val="24"/>
          <w:szCs w:val="24"/>
          <w:highlight w:val="none"/>
        </w:rPr>
      </w:pPr>
      <w:bookmarkStart w:id="45" w:name="_Toc485889011"/>
      <w:bookmarkStart w:id="46" w:name="_Toc486277872"/>
      <w:bookmarkStart w:id="47" w:name="_Toc234382599"/>
      <w:bookmarkStart w:id="48" w:name="_Toc31645"/>
      <w:r>
        <w:rPr>
          <w:rFonts w:ascii="宋体" w:hAnsi="宋体"/>
          <w:color w:val="auto"/>
          <w:sz w:val="24"/>
          <w:szCs w:val="24"/>
          <w:highlight w:val="none"/>
        </w:rPr>
        <w:t>1.9 踏勘现场</w:t>
      </w:r>
      <w:bookmarkEnd w:id="45"/>
      <w:bookmarkEnd w:id="46"/>
      <w:bookmarkEnd w:id="47"/>
      <w:bookmarkEnd w:id="48"/>
    </w:p>
    <w:p>
      <w:pPr>
        <w:spacing w:line="400" w:lineRule="exact"/>
        <w:ind w:firstLine="480" w:firstLineChars="200"/>
        <w:rPr>
          <w:rFonts w:ascii="宋体" w:hAnsi="宋体"/>
          <w:color w:val="auto"/>
          <w:sz w:val="24"/>
          <w:highlight w:val="none"/>
        </w:rPr>
      </w:pPr>
      <w:r>
        <w:rPr>
          <w:rFonts w:ascii="宋体" w:hAnsi="宋体"/>
          <w:color w:val="auto"/>
          <w:sz w:val="24"/>
          <w:highlight w:val="none"/>
        </w:rPr>
        <w:t>1.9.1 投标人须知前附表规定组织踏勘现场的，招标人按投标人须知前附表规定的时间、地点组织投标人踏勘项目现场。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1.9.2 投标人踏勘现场发生的费用自理。</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1.9.3 除招标人的原因外，投标人自行负责在踏勘现场中所发生的人员伤亡和财产损失。</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1.9.4 招标人在踏勘现场中介绍的工程场地和相关的周边环境情况，供投标人在编制投标文件时参考，招标人不对投标人据此作出的判断和决策负责。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spacing w:beforeLines="50" w:after="0" w:line="400" w:lineRule="exact"/>
        <w:rPr>
          <w:rFonts w:ascii="宋体" w:hAnsi="宋体"/>
          <w:color w:val="auto"/>
          <w:sz w:val="24"/>
          <w:szCs w:val="24"/>
          <w:highlight w:val="none"/>
        </w:rPr>
      </w:pPr>
      <w:bookmarkStart w:id="49" w:name="_Toc234382600"/>
      <w:bookmarkStart w:id="50" w:name="_Toc486277873"/>
      <w:bookmarkStart w:id="51" w:name="_Toc3462"/>
      <w:bookmarkStart w:id="52" w:name="_Toc485889012"/>
      <w:r>
        <w:rPr>
          <w:rFonts w:ascii="宋体" w:hAnsi="宋体"/>
          <w:color w:val="auto"/>
          <w:sz w:val="24"/>
          <w:szCs w:val="24"/>
          <w:highlight w:val="none"/>
        </w:rPr>
        <w:t>1.10 投标预备会</w:t>
      </w:r>
      <w:bookmarkEnd w:id="49"/>
      <w:r>
        <w:rPr>
          <w:rFonts w:hint="eastAsia" w:ascii="宋体" w:hAnsi="宋体"/>
          <w:color w:val="auto"/>
          <w:sz w:val="24"/>
          <w:szCs w:val="24"/>
          <w:highlight w:val="none"/>
        </w:rPr>
        <w:t>（无）</w:t>
      </w:r>
      <w:bookmarkEnd w:id="50"/>
      <w:bookmarkEnd w:id="51"/>
      <w:bookmarkEnd w:id="52"/>
    </w:p>
    <w:p>
      <w:pPr>
        <w:pStyle w:val="4"/>
        <w:spacing w:beforeLines="50" w:after="0" w:line="400" w:lineRule="exact"/>
        <w:rPr>
          <w:rFonts w:ascii="宋体" w:hAnsi="宋体"/>
          <w:color w:val="auto"/>
          <w:sz w:val="24"/>
          <w:szCs w:val="24"/>
          <w:highlight w:val="none"/>
        </w:rPr>
      </w:pPr>
      <w:bookmarkStart w:id="53" w:name="_Toc22514"/>
      <w:bookmarkStart w:id="54" w:name="_Toc485889013"/>
      <w:bookmarkStart w:id="55" w:name="_Toc234382601"/>
      <w:bookmarkStart w:id="56" w:name="_Toc486277874"/>
      <w:r>
        <w:rPr>
          <w:rFonts w:ascii="宋体" w:hAnsi="宋体"/>
          <w:color w:val="auto"/>
          <w:sz w:val="24"/>
          <w:szCs w:val="24"/>
          <w:highlight w:val="none"/>
        </w:rPr>
        <w:t>1.11 分包</w:t>
      </w:r>
      <w:bookmarkEnd w:id="53"/>
      <w:bookmarkEnd w:id="54"/>
      <w:bookmarkEnd w:id="55"/>
      <w:bookmarkEnd w:id="56"/>
    </w:p>
    <w:p>
      <w:pPr>
        <w:spacing w:line="400" w:lineRule="exact"/>
        <w:ind w:firstLine="480" w:firstLineChars="200"/>
        <w:rPr>
          <w:rFonts w:ascii="宋体" w:hAnsi="宋体"/>
          <w:color w:val="auto"/>
          <w:sz w:val="24"/>
          <w:highlight w:val="none"/>
        </w:rPr>
      </w:pPr>
      <w:bookmarkStart w:id="57" w:name="_Toc485889014"/>
      <w:bookmarkStart w:id="58" w:name="_Toc6184"/>
      <w:bookmarkStart w:id="59" w:name="_Toc486277875"/>
      <w:bookmarkStart w:id="60" w:name="_Toc234382602"/>
      <w:r>
        <w:rPr>
          <w:rFonts w:hint="eastAsia" w:ascii="宋体" w:hAnsi="宋体"/>
          <w:color w:val="auto"/>
          <w:sz w:val="24"/>
          <w:highlight w:val="none"/>
          <w:lang w:val="en-US" w:eastAsia="zh-CN"/>
        </w:rPr>
        <w:t>1.11.1</w:t>
      </w:r>
      <w:r>
        <w:rPr>
          <w:rFonts w:hint="eastAsia" w:ascii="宋体" w:hAnsi="宋体"/>
          <w:color w:val="auto"/>
          <w:sz w:val="24"/>
          <w:highlight w:val="none"/>
        </w:rPr>
        <w:t>本</w:t>
      </w:r>
      <w:r>
        <w:rPr>
          <w:rFonts w:ascii="宋体" w:hAnsi="宋体"/>
          <w:color w:val="auto"/>
          <w:sz w:val="24"/>
          <w:highlight w:val="none"/>
        </w:rPr>
        <w:t>投标人拟在中标后将中标项目的部分非主体、非关键性工作进行分包的，应符合以下规定：</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（1）分包内容要求：允许分包的工程范围仅限于非关键性工程或适合专业化队伍施工的专项工程。招标人允许分包或不允许分包的专项工程（如有）应在投标人须知前附表中载明。</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（2）接受分包的第三人资格要求：分包人的资格能力应与其分包工程的标准和规模相适应，且具备投标人须知前附表中规定的资格条件。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（3）其他要求：投标人如有分包计划，应按第九章“投标文件格式”的要求填写</w:t>
      </w:r>
    </w:p>
    <w:p>
      <w:pPr>
        <w:spacing w:line="400" w:lineRule="exact"/>
        <w:rPr>
          <w:rFonts w:ascii="宋体" w:hAnsi="宋体"/>
          <w:color w:val="auto"/>
          <w:sz w:val="24"/>
          <w:highlight w:val="none"/>
        </w:rPr>
      </w:pPr>
      <w:r>
        <w:rPr>
          <w:rFonts w:ascii="宋体" w:hAnsi="宋体"/>
          <w:color w:val="auto"/>
          <w:sz w:val="24"/>
          <w:highlight w:val="none"/>
        </w:rPr>
        <w:t>“拟分包项目情况表”，明确拟分包的工程及规模，且投标人中标后的分包应满足合同</w:t>
      </w:r>
    </w:p>
    <w:p>
      <w:pPr>
        <w:spacing w:line="400" w:lineRule="exact"/>
        <w:rPr>
          <w:rFonts w:ascii="宋体" w:hAnsi="宋体"/>
          <w:color w:val="auto"/>
          <w:sz w:val="24"/>
          <w:highlight w:val="none"/>
        </w:rPr>
      </w:pPr>
      <w:r>
        <w:rPr>
          <w:rFonts w:ascii="宋体" w:hAnsi="宋体"/>
          <w:color w:val="auto"/>
          <w:sz w:val="24"/>
          <w:highlight w:val="none"/>
        </w:rPr>
        <w:t>条款第 4.3 款的相关要求。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1.11.2</w:t>
      </w:r>
      <w:r>
        <w:rPr>
          <w:rFonts w:ascii="宋体" w:hAnsi="宋体"/>
          <w:color w:val="auto"/>
          <w:sz w:val="24"/>
          <w:highlight w:val="none"/>
        </w:rPr>
        <w:t>中标人不得向他人转让中标项目，接受分包的人不得再次分包。中标人应就分包项目向招标人负责，接受分包的人就分包项目承担连带责任。</w:t>
      </w:r>
    </w:p>
    <w:p>
      <w:pPr>
        <w:pStyle w:val="4"/>
        <w:spacing w:beforeLines="50" w:after="0" w:line="400" w:lineRule="exact"/>
        <w:rPr>
          <w:rFonts w:ascii="宋体" w:hAnsi="宋体"/>
          <w:color w:val="auto"/>
          <w:sz w:val="24"/>
          <w:szCs w:val="24"/>
          <w:highlight w:val="none"/>
          <w:vertAlign w:val="superscript"/>
        </w:rPr>
      </w:pPr>
      <w:r>
        <w:rPr>
          <w:rFonts w:ascii="宋体" w:hAnsi="宋体"/>
          <w:color w:val="auto"/>
          <w:sz w:val="24"/>
          <w:szCs w:val="24"/>
          <w:highlight w:val="none"/>
        </w:rPr>
        <w:t xml:space="preserve">1.12 </w:t>
      </w:r>
      <w:r>
        <w:rPr>
          <w:rFonts w:hint="eastAsia" w:ascii="宋体" w:hAnsi="宋体"/>
          <w:color w:val="auto"/>
          <w:sz w:val="24"/>
          <w:szCs w:val="24"/>
          <w:highlight w:val="none"/>
          <w:lang w:eastAsia="zh-CN"/>
        </w:rPr>
        <w:t>响应和</w:t>
      </w:r>
      <w:r>
        <w:rPr>
          <w:rFonts w:ascii="宋体" w:hAnsi="宋体"/>
          <w:color w:val="auto"/>
          <w:sz w:val="24"/>
          <w:szCs w:val="24"/>
          <w:highlight w:val="none"/>
        </w:rPr>
        <w:t>偏离</w:t>
      </w:r>
      <w:bookmarkEnd w:id="57"/>
      <w:bookmarkEnd w:id="58"/>
      <w:bookmarkEnd w:id="59"/>
      <w:bookmarkEnd w:id="60"/>
    </w:p>
    <w:p>
      <w:pPr>
        <w:spacing w:line="400" w:lineRule="exact"/>
        <w:ind w:firstLine="480" w:firstLineChars="200"/>
        <w:rPr>
          <w:rFonts w:ascii="宋体" w:hAnsi="宋体"/>
          <w:color w:val="auto"/>
          <w:sz w:val="24"/>
          <w:highlight w:val="none"/>
        </w:rPr>
      </w:pPr>
      <w:bookmarkStart w:id="61" w:name="_Toc485889015"/>
      <w:bookmarkStart w:id="62" w:name="_Toc486277876"/>
      <w:bookmarkStart w:id="63" w:name="_Toc234382603"/>
      <w:bookmarkStart w:id="64" w:name="_Toc22855"/>
      <w:r>
        <w:rPr>
          <w:rFonts w:hint="eastAsia" w:ascii="宋体" w:hAnsi="宋体"/>
          <w:color w:val="auto"/>
          <w:sz w:val="24"/>
          <w:highlight w:val="none"/>
          <w:lang w:val="en-US" w:eastAsia="zh-CN"/>
        </w:rPr>
        <w:t>1.12.1</w:t>
      </w:r>
      <w:r>
        <w:rPr>
          <w:rFonts w:ascii="宋体" w:hAnsi="宋体"/>
          <w:color w:val="auto"/>
          <w:sz w:val="24"/>
          <w:highlight w:val="none"/>
        </w:rPr>
        <w:t>投标人须知前附表允许投标文件偏离招标文件某些要求的，偏离应当符合招标文件规定的偏离范围和幅度。</w:t>
      </w:r>
      <w:r>
        <w:rPr>
          <w:rFonts w:hint="eastAsia" w:ascii="宋体" w:hAnsi="宋体"/>
          <w:color w:val="auto"/>
          <w:sz w:val="24"/>
          <w:highlight w:val="none"/>
        </w:rPr>
        <w:t>偏离即偏差，偏差分重大偏差和细微偏差。</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1.12.2投标文件应对招标文件的实质性要求和条件作出满足性或更有利于招标人的响应，否则，视为投标文件存在重大偏差，投标人的投标将被否决。投标文件存在第三章“评标办法”中所列任一否决投标情形的，均属于存在重大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w:t>
      </w:r>
      <w:r>
        <w:rPr>
          <w:rFonts w:hint="eastAsia" w:ascii="宋体" w:hAnsi="宋体"/>
          <w:color w:val="auto"/>
          <w:sz w:val="24"/>
          <w:highlight w:val="none"/>
          <w:lang w:val="en-US" w:eastAsia="zh-CN"/>
        </w:rPr>
        <w:t>3</w:t>
      </w:r>
      <w:r>
        <w:rPr>
          <w:rFonts w:hint="eastAsia" w:ascii="宋体" w:hAnsi="宋体"/>
          <w:color w:val="auto"/>
          <w:sz w:val="24"/>
          <w:highlight w:val="none"/>
        </w:rPr>
        <w:t>投标文件中的下列偏差为细微偏差：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（2）施工组织设计（含关键工程技术方案）和项目管理机构不够完善。</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（3）投标文件页码不连续、采用活页夹装订、个别文字有遗漏错误等不影响投标文件实质性内容的偏差。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评标委员会对投标文件中的细微偏差按如下规定处理：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（1）对于本章第1.12.</w:t>
      </w:r>
      <w:r>
        <w:rPr>
          <w:rFonts w:hint="eastAsia" w:ascii="宋体" w:hAnsi="宋体"/>
          <w:color w:val="auto"/>
          <w:sz w:val="24"/>
          <w:highlight w:val="none"/>
          <w:lang w:val="en-US" w:eastAsia="zh-CN"/>
        </w:rPr>
        <w:t>3</w:t>
      </w:r>
      <w:r>
        <w:rPr>
          <w:rFonts w:hint="eastAsia" w:ascii="宋体" w:hAnsi="宋体"/>
          <w:color w:val="auto"/>
          <w:sz w:val="24"/>
          <w:highlight w:val="none"/>
        </w:rPr>
        <w:t>项（1）目所述的细微偏差，按照第三章“评标办法”第3.1.3项和第3.1.4项的规定予以修正并要求投标人进行澄清；</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（2）对于本章第1.12.</w:t>
      </w:r>
      <w:r>
        <w:rPr>
          <w:rFonts w:hint="eastAsia" w:ascii="宋体" w:hAnsi="宋体"/>
          <w:color w:val="auto"/>
          <w:sz w:val="24"/>
          <w:highlight w:val="none"/>
          <w:lang w:val="en-US" w:eastAsia="zh-CN"/>
        </w:rPr>
        <w:t>3</w:t>
      </w:r>
      <w:r>
        <w:rPr>
          <w:rFonts w:hint="eastAsia" w:ascii="宋体" w:hAnsi="宋体"/>
          <w:color w:val="auto"/>
          <w:sz w:val="24"/>
          <w:highlight w:val="none"/>
        </w:rPr>
        <w:t>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（3）对于本章第 1.12.3 项（3）目所述的细微偏差，可要求投标人对细微偏差进行澄清。</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1.12.5 投标人应根据招标文件的要求提供施工组织设计等内容以对招标文件作出响应。</w:t>
      </w:r>
    </w:p>
    <w:p>
      <w:pPr>
        <w:pStyle w:val="4"/>
        <w:spacing w:beforeLines="150" w:after="480" w:line="400" w:lineRule="exact"/>
        <w:rPr>
          <w:rFonts w:ascii="宋体" w:hAnsi="宋体"/>
          <w:color w:val="auto"/>
          <w:sz w:val="24"/>
          <w:szCs w:val="24"/>
          <w:highlight w:val="none"/>
        </w:rPr>
      </w:pPr>
      <w:r>
        <w:rPr>
          <w:rFonts w:ascii="宋体" w:hAnsi="宋体"/>
          <w:color w:val="auto"/>
          <w:sz w:val="24"/>
          <w:szCs w:val="24"/>
          <w:highlight w:val="none"/>
        </w:rPr>
        <w:t>2. 招标文件</w:t>
      </w:r>
      <w:bookmarkEnd w:id="61"/>
      <w:bookmarkEnd w:id="62"/>
      <w:bookmarkEnd w:id="63"/>
      <w:bookmarkEnd w:id="64"/>
    </w:p>
    <w:p>
      <w:pPr>
        <w:pStyle w:val="4"/>
        <w:spacing w:before="0" w:after="0" w:line="400" w:lineRule="exact"/>
        <w:rPr>
          <w:rFonts w:ascii="宋体" w:hAnsi="宋体"/>
          <w:color w:val="auto"/>
          <w:sz w:val="24"/>
          <w:szCs w:val="24"/>
          <w:highlight w:val="none"/>
        </w:rPr>
      </w:pPr>
      <w:bookmarkStart w:id="65" w:name="_Toc12310"/>
      <w:bookmarkStart w:id="66" w:name="_Toc485889016"/>
      <w:bookmarkStart w:id="67" w:name="_Toc486277877"/>
      <w:bookmarkStart w:id="68" w:name="_Toc234382604"/>
      <w:r>
        <w:rPr>
          <w:rFonts w:ascii="宋体" w:hAnsi="宋体"/>
          <w:color w:val="auto"/>
          <w:sz w:val="24"/>
          <w:szCs w:val="24"/>
          <w:highlight w:val="none"/>
        </w:rPr>
        <w:t>2.1 招标文件的组成</w:t>
      </w:r>
      <w:bookmarkEnd w:id="65"/>
      <w:bookmarkEnd w:id="66"/>
      <w:bookmarkEnd w:id="67"/>
      <w:bookmarkEnd w:id="68"/>
    </w:p>
    <w:p>
      <w:pPr>
        <w:spacing w:line="400" w:lineRule="exact"/>
        <w:ind w:firstLine="480" w:firstLineChars="200"/>
        <w:rPr>
          <w:rFonts w:ascii="宋体" w:hAnsi="宋体"/>
          <w:color w:val="auto"/>
          <w:sz w:val="24"/>
          <w:highlight w:val="none"/>
        </w:rPr>
      </w:pPr>
      <w:r>
        <w:rPr>
          <w:rFonts w:ascii="宋体" w:hAnsi="宋体"/>
          <w:color w:val="auto"/>
          <w:sz w:val="24"/>
          <w:highlight w:val="none"/>
        </w:rPr>
        <w:t>本招标文件包括：</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（1）招标公告；</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（2）投标人须知；</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（3）评标办法；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（4）合同条款及格式；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（5）工程量清单；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（6）图纸</w:t>
      </w:r>
      <w:r>
        <w:rPr>
          <w:rFonts w:hint="eastAsia" w:ascii="宋体" w:hAnsi="宋体"/>
          <w:color w:val="auto"/>
          <w:sz w:val="24"/>
          <w:highlight w:val="none"/>
        </w:rPr>
        <w:t>（另附）</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（7）技术</w:t>
      </w:r>
      <w:r>
        <w:rPr>
          <w:rFonts w:hint="eastAsia" w:ascii="宋体" w:hAnsi="宋体"/>
          <w:color w:val="auto"/>
          <w:sz w:val="24"/>
          <w:highlight w:val="none"/>
        </w:rPr>
        <w:t>规范</w:t>
      </w:r>
      <w:r>
        <w:rPr>
          <w:rFonts w:ascii="宋体" w:hAnsi="宋体"/>
          <w:color w:val="auto"/>
          <w:sz w:val="24"/>
          <w:highlight w:val="none"/>
        </w:rPr>
        <w:t>；</w:t>
      </w:r>
    </w:p>
    <w:p>
      <w:pPr>
        <w:spacing w:line="400" w:lineRule="exact"/>
        <w:ind w:firstLine="480" w:firstLineChars="200"/>
        <w:rPr>
          <w:rFonts w:hint="eastAsia" w:ascii="宋体" w:hAnsi="宋体"/>
          <w:color w:val="auto"/>
          <w:sz w:val="24"/>
          <w:highlight w:val="none"/>
        </w:rPr>
      </w:pPr>
      <w:bookmarkStart w:id="69" w:name="_Toc485889017"/>
      <w:bookmarkStart w:id="70" w:name="_Toc486277878"/>
      <w:bookmarkStart w:id="71" w:name="_Toc16084"/>
      <w:bookmarkStart w:id="72" w:name="_Toc234382605"/>
      <w:r>
        <w:rPr>
          <w:rFonts w:hint="eastAsia" w:ascii="宋体" w:hAnsi="宋体"/>
          <w:color w:val="auto"/>
          <w:sz w:val="24"/>
          <w:highlight w:val="none"/>
        </w:rPr>
        <w:t>（8）工程量清单计量规则；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9</w:t>
      </w:r>
      <w:r>
        <w:rPr>
          <w:rFonts w:hint="eastAsia" w:ascii="宋体" w:hAnsi="宋体"/>
          <w:color w:val="auto"/>
          <w:sz w:val="24"/>
          <w:highlight w:val="none"/>
          <w:lang w:eastAsia="zh-CN"/>
        </w:rPr>
        <w:t>）</w:t>
      </w:r>
      <w:r>
        <w:rPr>
          <w:rFonts w:ascii="宋体" w:hAnsi="宋体"/>
          <w:color w:val="auto"/>
          <w:sz w:val="24"/>
          <w:highlight w:val="none"/>
        </w:rPr>
        <w:t>投标文件格式；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10</w:t>
      </w:r>
      <w:r>
        <w:rPr>
          <w:rFonts w:ascii="宋体" w:hAnsi="宋体"/>
          <w:color w:val="auto"/>
          <w:sz w:val="24"/>
          <w:highlight w:val="none"/>
        </w:rPr>
        <w:t>）投标人须知前附表规定的其他材料。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根据本章第1.10款、第2.2款和第2.3款对招标文件所作的澄清、修改，构成招标文件的组成部分。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当招标文件、招标文件的澄清或修改等在同一内容的表述上不一致时，以最后发出的书面文件为准。</w:t>
      </w:r>
    </w:p>
    <w:p>
      <w:pPr>
        <w:pStyle w:val="4"/>
        <w:spacing w:beforeLines="50" w:after="0" w:line="400" w:lineRule="exact"/>
        <w:rPr>
          <w:rFonts w:ascii="宋体" w:hAnsi="宋体"/>
          <w:color w:val="auto"/>
          <w:sz w:val="24"/>
          <w:szCs w:val="24"/>
          <w:highlight w:val="none"/>
        </w:rPr>
      </w:pPr>
      <w:r>
        <w:rPr>
          <w:rFonts w:ascii="宋体" w:hAnsi="宋体"/>
          <w:color w:val="auto"/>
          <w:sz w:val="24"/>
          <w:szCs w:val="24"/>
          <w:highlight w:val="none"/>
        </w:rPr>
        <w:t>2.2 招标文件的澄清</w:t>
      </w:r>
      <w:bookmarkEnd w:id="69"/>
      <w:bookmarkEnd w:id="70"/>
      <w:bookmarkEnd w:id="71"/>
      <w:bookmarkEnd w:id="72"/>
    </w:p>
    <w:p>
      <w:pPr>
        <w:spacing w:line="400" w:lineRule="exact"/>
        <w:ind w:firstLine="480" w:firstLineChars="200"/>
        <w:rPr>
          <w:rFonts w:ascii="宋体" w:hAnsi="宋体" w:cs="宋体"/>
          <w:color w:val="auto"/>
          <w:kern w:val="0"/>
          <w:sz w:val="24"/>
          <w:highlight w:val="none"/>
        </w:rPr>
      </w:pPr>
      <w:bookmarkStart w:id="73" w:name="_Toc234382606"/>
      <w:bookmarkStart w:id="74" w:name="_Toc485889018"/>
      <w:bookmarkStart w:id="75" w:name="_Toc29706"/>
      <w:bookmarkStart w:id="76" w:name="_Toc486277879"/>
      <w:r>
        <w:rPr>
          <w:rFonts w:hint="eastAsia" w:ascii="宋体" w:hAnsi="宋体" w:cs="宋体"/>
          <w:color w:val="auto"/>
          <w:kern w:val="0"/>
          <w:sz w:val="24"/>
          <w:highlight w:val="none"/>
        </w:rPr>
        <w:t>2.2.1投标人应仔细阅读和检查招标文件的全部内容。如发现缺页或附件不全，</w:t>
      </w:r>
      <w:r>
        <w:rPr>
          <w:rFonts w:hint="eastAsia" w:ascii="宋体" w:hAnsi="宋体"/>
          <w:color w:val="auto"/>
          <w:sz w:val="24"/>
          <w:highlight w:val="none"/>
        </w:rPr>
        <w:t>通过</w:t>
      </w:r>
      <w:r>
        <w:rPr>
          <w:rFonts w:hint="eastAsia" w:ascii="宋体" w:hAnsi="宋体"/>
          <w:color w:val="auto"/>
          <w:sz w:val="24"/>
          <w:highlight w:val="none"/>
          <w:lang w:eastAsia="zh-CN"/>
        </w:rPr>
        <w:t>《全国公共资源交易平台（河南省•许昌市）》</w:t>
      </w:r>
      <w:r>
        <w:rPr>
          <w:rFonts w:hint="eastAsia" w:ascii="宋体" w:hAnsi="宋体"/>
          <w:color w:val="auto"/>
          <w:sz w:val="24"/>
          <w:highlight w:val="none"/>
        </w:rPr>
        <w:t>发出</w:t>
      </w:r>
      <w:r>
        <w:rPr>
          <w:rFonts w:hint="eastAsia" w:ascii="宋体" w:hAnsi="宋体" w:cs="宋体"/>
          <w:color w:val="auto"/>
          <w:kern w:val="0"/>
          <w:sz w:val="24"/>
          <w:highlight w:val="none"/>
        </w:rPr>
        <w:t>，以便补齐。如有疑问，应在投标人须知前附表规定的时间要求招标人对招标文件予以澄清。</w:t>
      </w:r>
      <w:r>
        <w:rPr>
          <w:rFonts w:hint="eastAsia" w:ascii="宋体" w:hAnsi="宋体" w:cs="宋体"/>
          <w:b/>
          <w:color w:val="auto"/>
          <w:kern w:val="0"/>
          <w:sz w:val="24"/>
          <w:highlight w:val="none"/>
        </w:rPr>
        <w:t>如未提出异议，视为全面接受</w:t>
      </w:r>
      <w:r>
        <w:rPr>
          <w:rFonts w:hint="eastAsia" w:ascii="宋体" w:hAnsi="宋体" w:cs="宋体"/>
          <w:color w:val="auto"/>
          <w:kern w:val="0"/>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2.2.2 </w:t>
      </w:r>
      <w:r>
        <w:rPr>
          <w:rFonts w:hint="eastAsia" w:ascii="宋体" w:hAnsi="宋体"/>
          <w:color w:val="auto"/>
          <w:sz w:val="24"/>
          <w:highlight w:val="none"/>
        </w:rPr>
        <w:t>招标文件的澄清将在投标人须知前附表规定的投标截止时间15</w:t>
      </w:r>
      <w:r>
        <w:rPr>
          <w:rFonts w:ascii="宋体" w:hAnsi="宋体"/>
          <w:color w:val="auto"/>
          <w:sz w:val="24"/>
          <w:highlight w:val="none"/>
        </w:rPr>
        <w:t xml:space="preserve"> </w:t>
      </w:r>
      <w:r>
        <w:rPr>
          <w:rFonts w:hint="eastAsia" w:ascii="宋体" w:hAnsi="宋体"/>
          <w:color w:val="auto"/>
          <w:sz w:val="24"/>
          <w:highlight w:val="none"/>
        </w:rPr>
        <w:t>天前通过</w:t>
      </w:r>
      <w:r>
        <w:rPr>
          <w:rFonts w:hint="eastAsia" w:ascii="宋体" w:hAnsi="宋体"/>
          <w:color w:val="auto"/>
          <w:sz w:val="24"/>
          <w:highlight w:val="none"/>
          <w:lang w:eastAsia="zh-CN"/>
        </w:rPr>
        <w:t>《全国公共资源交易平台（河南省•许昌市）》</w:t>
      </w:r>
      <w:r>
        <w:rPr>
          <w:rFonts w:hint="eastAsia" w:ascii="宋体" w:hAnsi="宋体"/>
          <w:color w:val="auto"/>
          <w:sz w:val="24"/>
          <w:highlight w:val="none"/>
        </w:rPr>
        <w:t>发出，但不指明澄清问题的来源。如果澄清发出的时间距投标截止时间不足15</w:t>
      </w:r>
      <w:r>
        <w:rPr>
          <w:rFonts w:ascii="宋体" w:hAnsi="宋体"/>
          <w:color w:val="auto"/>
          <w:sz w:val="24"/>
          <w:highlight w:val="none"/>
        </w:rPr>
        <w:t xml:space="preserve"> </w:t>
      </w:r>
      <w:r>
        <w:rPr>
          <w:rFonts w:hint="eastAsia" w:ascii="宋体" w:hAnsi="宋体"/>
          <w:color w:val="auto"/>
          <w:sz w:val="24"/>
          <w:highlight w:val="none"/>
        </w:rPr>
        <w:t>天，相应延长投标截止时间。</w:t>
      </w:r>
    </w:p>
    <w:p>
      <w:pPr>
        <w:spacing w:line="400" w:lineRule="exact"/>
        <w:ind w:firstLine="480" w:firstLineChars="200"/>
        <w:rPr>
          <w:rFonts w:hint="eastAsia" w:ascii="宋体" w:hAnsi="宋体"/>
          <w:color w:val="auto"/>
          <w:sz w:val="24"/>
          <w:highlight w:val="none"/>
        </w:rPr>
      </w:pPr>
      <w:r>
        <w:rPr>
          <w:rFonts w:ascii="宋体" w:hAnsi="宋体"/>
          <w:color w:val="auto"/>
          <w:sz w:val="24"/>
          <w:highlight w:val="none"/>
        </w:rPr>
        <w:t xml:space="preserve">2.2.3 </w:t>
      </w:r>
      <w:r>
        <w:rPr>
          <w:rFonts w:hint="eastAsia" w:ascii="宋体" w:hAnsi="宋体"/>
          <w:color w:val="auto"/>
          <w:sz w:val="24"/>
          <w:highlight w:val="none"/>
        </w:rPr>
        <w:t>投标人在收到澄清后，应按投标人须知前附表规定的时间和形式通知招标人，确认已收到该澄清。</w:t>
      </w:r>
    </w:p>
    <w:p>
      <w:pPr>
        <w:spacing w:line="40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2.2.4除非招标人认为确有必要答复，否则，招标人有权拒绝回复投标人在本章第2.2.1 项规定的时间后提出的任何澄清要求。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2.2.5</w:t>
      </w:r>
      <w:r>
        <w:rPr>
          <w:rFonts w:hint="eastAsia" w:ascii="宋体" w:hAnsi="宋体"/>
          <w:color w:val="auto"/>
          <w:sz w:val="24"/>
          <w:highlight w:val="none"/>
        </w:rPr>
        <w:t>所有澄清、答疑全部以</w:t>
      </w:r>
      <w:r>
        <w:rPr>
          <w:rFonts w:hint="eastAsia" w:ascii="宋体" w:hAnsi="宋体"/>
          <w:color w:val="auto"/>
          <w:sz w:val="24"/>
          <w:highlight w:val="none"/>
          <w:lang w:eastAsia="zh-CN"/>
        </w:rPr>
        <w:t>《全国公共资源交易平台（河南省•许昌市）》</w:t>
      </w:r>
      <w:r>
        <w:rPr>
          <w:rFonts w:hint="eastAsia" w:ascii="宋体" w:hAnsi="宋体"/>
          <w:color w:val="auto"/>
          <w:sz w:val="24"/>
          <w:highlight w:val="none"/>
        </w:rPr>
        <w:t>发出的为准，不再接受书面形式的递交。</w:t>
      </w:r>
    </w:p>
    <w:p>
      <w:pPr>
        <w:pStyle w:val="4"/>
        <w:spacing w:beforeLines="50" w:after="0" w:line="400" w:lineRule="exact"/>
        <w:rPr>
          <w:rFonts w:ascii="宋体" w:hAnsi="宋体"/>
          <w:color w:val="auto"/>
          <w:sz w:val="24"/>
          <w:szCs w:val="24"/>
          <w:highlight w:val="none"/>
        </w:rPr>
      </w:pPr>
      <w:r>
        <w:rPr>
          <w:rFonts w:ascii="宋体" w:hAnsi="宋体"/>
          <w:color w:val="auto"/>
          <w:sz w:val="24"/>
          <w:szCs w:val="24"/>
          <w:highlight w:val="none"/>
        </w:rPr>
        <w:t>2.3 招标文件的修改</w:t>
      </w:r>
      <w:bookmarkEnd w:id="73"/>
      <w:bookmarkEnd w:id="74"/>
      <w:bookmarkEnd w:id="75"/>
      <w:bookmarkEnd w:id="76"/>
    </w:p>
    <w:p>
      <w:pPr>
        <w:autoSpaceDE w:val="0"/>
        <w:autoSpaceDN w:val="0"/>
        <w:adjustRightInd w:val="0"/>
        <w:spacing w:line="360" w:lineRule="auto"/>
        <w:ind w:firstLine="616" w:firstLineChars="257"/>
        <w:jc w:val="left"/>
        <w:rPr>
          <w:rFonts w:hint="eastAsia" w:ascii="新宋体" w:hAnsi="新宋体" w:eastAsia="新宋体" w:cs="仿宋_GB2312"/>
          <w:color w:val="auto"/>
          <w:kern w:val="0"/>
          <w:sz w:val="24"/>
          <w:highlight w:val="none"/>
        </w:rPr>
      </w:pPr>
      <w:bookmarkStart w:id="77" w:name="_Toc234382607"/>
      <w:r>
        <w:rPr>
          <w:rFonts w:ascii="宋体" w:hAnsi="宋体"/>
          <w:color w:val="auto"/>
          <w:sz w:val="24"/>
          <w:highlight w:val="none"/>
        </w:rPr>
        <w:t xml:space="preserve">2.3.1 </w:t>
      </w:r>
      <w:r>
        <w:rPr>
          <w:rFonts w:hint="eastAsia" w:ascii="新宋体" w:hAnsi="新宋体" w:eastAsia="新宋体" w:cs="仿宋_GB2312"/>
          <w:color w:val="auto"/>
          <w:kern w:val="0"/>
          <w:sz w:val="24"/>
          <w:highlight w:val="none"/>
        </w:rPr>
        <w:t>在投标截止时间</w:t>
      </w:r>
      <w:r>
        <w:rPr>
          <w:rFonts w:ascii="新宋体" w:hAnsi="新宋体" w:eastAsia="新宋体" w:cs="TimesNewRomanPSMT"/>
          <w:color w:val="auto"/>
          <w:kern w:val="0"/>
          <w:sz w:val="24"/>
          <w:highlight w:val="none"/>
        </w:rPr>
        <w:t>15</w:t>
      </w:r>
      <w:r>
        <w:rPr>
          <w:rFonts w:hint="eastAsia" w:ascii="新宋体" w:hAnsi="新宋体" w:eastAsia="新宋体" w:cs="仿宋_GB2312"/>
          <w:color w:val="auto"/>
          <w:kern w:val="0"/>
          <w:sz w:val="24"/>
          <w:highlight w:val="none"/>
        </w:rPr>
        <w:t>天前，招标人可以通过</w:t>
      </w:r>
      <w:r>
        <w:rPr>
          <w:rFonts w:hint="eastAsia" w:ascii="新宋体" w:hAnsi="新宋体" w:eastAsia="新宋体" w:cs="仿宋_GB2312"/>
          <w:color w:val="auto"/>
          <w:kern w:val="0"/>
          <w:sz w:val="24"/>
          <w:highlight w:val="none"/>
          <w:lang w:eastAsia="zh-CN"/>
        </w:rPr>
        <w:t>《全国公共资源交易平台（河南省•许昌市）》</w:t>
      </w:r>
      <w:r>
        <w:rPr>
          <w:rFonts w:hint="eastAsia" w:ascii="新宋体" w:hAnsi="新宋体" w:eastAsia="新宋体" w:cs="仿宋_GB2312"/>
          <w:color w:val="auto"/>
          <w:kern w:val="0"/>
          <w:sz w:val="24"/>
          <w:highlight w:val="none"/>
        </w:rPr>
        <w:t>修改招标文件，如果修改招标文件的时间距投标截止时间不足</w:t>
      </w:r>
      <w:r>
        <w:rPr>
          <w:rFonts w:ascii="新宋体" w:hAnsi="新宋体" w:eastAsia="新宋体" w:cs="TimesNewRomanPSMT"/>
          <w:color w:val="auto"/>
          <w:kern w:val="0"/>
          <w:sz w:val="24"/>
          <w:highlight w:val="none"/>
        </w:rPr>
        <w:t xml:space="preserve">15 </w:t>
      </w:r>
      <w:r>
        <w:rPr>
          <w:rFonts w:hint="eastAsia" w:ascii="新宋体" w:hAnsi="新宋体" w:eastAsia="新宋体" w:cs="仿宋_GB2312"/>
          <w:color w:val="auto"/>
          <w:kern w:val="0"/>
          <w:sz w:val="24"/>
          <w:highlight w:val="none"/>
        </w:rPr>
        <w:t>天，相应延长投标截止时间。</w:t>
      </w:r>
      <w:bookmarkStart w:id="78" w:name="_Toc485889019"/>
      <w:bookmarkStart w:id="79" w:name="_Toc486277880"/>
    </w:p>
    <w:p>
      <w:pPr>
        <w:autoSpaceDE w:val="0"/>
        <w:autoSpaceDN w:val="0"/>
        <w:adjustRightInd w:val="0"/>
        <w:spacing w:line="360" w:lineRule="auto"/>
        <w:ind w:firstLine="240" w:firstLineChars="100"/>
        <w:jc w:val="left"/>
        <w:rPr>
          <w:rFonts w:hint="eastAsia" w:ascii="宋体" w:hAnsi="宋体"/>
          <w:color w:val="auto"/>
          <w:sz w:val="24"/>
          <w:highlight w:val="none"/>
        </w:rPr>
      </w:pPr>
      <w:r>
        <w:rPr>
          <w:rFonts w:hint="eastAsia" w:ascii="新宋体" w:hAnsi="新宋体" w:eastAsia="新宋体" w:cs="仿宋_GB2312"/>
          <w:color w:val="auto"/>
          <w:kern w:val="0"/>
          <w:sz w:val="24"/>
          <w:highlight w:val="none"/>
          <w:lang w:val="en-US" w:eastAsia="zh-CN"/>
        </w:rPr>
        <w:t xml:space="preserve">   </w:t>
      </w:r>
      <w:r>
        <w:rPr>
          <w:rFonts w:hint="eastAsia" w:ascii="宋体" w:hAnsi="宋体"/>
          <w:color w:val="auto"/>
          <w:sz w:val="24"/>
          <w:highlight w:val="none"/>
        </w:rPr>
        <w:t>2.3.2 当招标文件（含评标、定标办法）、补充通知、答疑纪要，内容相互矛盾时，以最后发出的通知（或纪要）为准。</w:t>
      </w:r>
      <w:bookmarkEnd w:id="78"/>
      <w:bookmarkEnd w:id="79"/>
    </w:p>
    <w:p>
      <w:pPr>
        <w:autoSpaceDE w:val="0"/>
        <w:autoSpaceDN w:val="0"/>
        <w:adjustRightInd w:val="0"/>
        <w:spacing w:line="360" w:lineRule="auto"/>
        <w:jc w:val="left"/>
        <w:rPr>
          <w:rFonts w:hint="eastAsia" w:ascii="宋体" w:hAnsi="宋体"/>
          <w:color w:val="auto"/>
          <w:sz w:val="24"/>
          <w:highlight w:val="none"/>
        </w:rPr>
      </w:pPr>
      <w:r>
        <w:rPr>
          <w:rFonts w:hint="eastAsia" w:ascii="宋体" w:hAnsi="宋体" w:eastAsia="宋体" w:cs="Times New Roman"/>
          <w:b/>
          <w:bCs/>
          <w:color w:val="auto"/>
          <w:kern w:val="44"/>
          <w:sz w:val="24"/>
          <w:szCs w:val="24"/>
          <w:highlight w:val="none"/>
          <w:lang w:val="en-US" w:eastAsia="zh-CN" w:bidi="ar-SA"/>
        </w:rPr>
        <w:t>2.4 招标文件的异议</w:t>
      </w:r>
    </w:p>
    <w:p>
      <w:pPr>
        <w:autoSpaceDE w:val="0"/>
        <w:autoSpaceDN w:val="0"/>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投标人或其他利害关系人对招标文件有异议的，应在投标截止时间 10 日前以书面形式提出。招标人将在收到异议之日起 3 日内作出答复；作出答复前，将暂停招标投标活动</w:t>
      </w:r>
    </w:p>
    <w:p>
      <w:pPr>
        <w:pStyle w:val="4"/>
        <w:spacing w:beforeLines="150" w:after="480" w:line="400" w:lineRule="exact"/>
        <w:rPr>
          <w:rFonts w:ascii="宋体" w:hAnsi="宋体"/>
          <w:color w:val="auto"/>
          <w:sz w:val="24"/>
          <w:szCs w:val="24"/>
          <w:highlight w:val="none"/>
        </w:rPr>
      </w:pPr>
      <w:bookmarkStart w:id="80" w:name="_Toc485889020"/>
      <w:bookmarkStart w:id="81" w:name="_Toc8003"/>
      <w:bookmarkStart w:id="82" w:name="_Toc486277881"/>
      <w:r>
        <w:rPr>
          <w:rFonts w:ascii="宋体" w:hAnsi="宋体"/>
          <w:color w:val="auto"/>
          <w:sz w:val="24"/>
          <w:szCs w:val="24"/>
          <w:highlight w:val="none"/>
        </w:rPr>
        <w:t>3. 投标文件</w:t>
      </w:r>
      <w:bookmarkEnd w:id="77"/>
      <w:bookmarkEnd w:id="80"/>
      <w:bookmarkEnd w:id="81"/>
      <w:bookmarkEnd w:id="82"/>
    </w:p>
    <w:p>
      <w:pPr>
        <w:pStyle w:val="4"/>
        <w:spacing w:before="0" w:after="0" w:line="400" w:lineRule="exact"/>
        <w:rPr>
          <w:rFonts w:ascii="宋体" w:hAnsi="宋体"/>
          <w:color w:val="auto"/>
          <w:sz w:val="24"/>
          <w:szCs w:val="24"/>
          <w:highlight w:val="none"/>
        </w:rPr>
      </w:pPr>
      <w:bookmarkStart w:id="83" w:name="_Toc234382608"/>
      <w:bookmarkStart w:id="84" w:name="_Toc485889021"/>
      <w:bookmarkStart w:id="85" w:name="_Toc12156"/>
      <w:bookmarkStart w:id="86" w:name="_Toc486277882"/>
      <w:r>
        <w:rPr>
          <w:rFonts w:ascii="宋体" w:hAnsi="宋体"/>
          <w:color w:val="auto"/>
          <w:sz w:val="24"/>
          <w:szCs w:val="24"/>
          <w:highlight w:val="none"/>
        </w:rPr>
        <w:t>3.1 投标文件的组成</w:t>
      </w:r>
      <w:bookmarkEnd w:id="83"/>
      <w:bookmarkEnd w:id="84"/>
      <w:bookmarkEnd w:id="85"/>
      <w:bookmarkEnd w:id="86"/>
    </w:p>
    <w:p>
      <w:pPr>
        <w:spacing w:line="400" w:lineRule="exact"/>
        <w:ind w:firstLine="480" w:firstLineChars="200"/>
        <w:rPr>
          <w:rFonts w:ascii="宋体" w:hAnsi="宋体"/>
          <w:color w:val="auto"/>
          <w:sz w:val="24"/>
          <w:highlight w:val="none"/>
        </w:rPr>
      </w:pPr>
      <w:bookmarkStart w:id="87" w:name="_Toc234382609"/>
      <w:bookmarkStart w:id="88" w:name="_Toc486277883"/>
      <w:bookmarkStart w:id="89" w:name="_Toc12761"/>
      <w:bookmarkStart w:id="90" w:name="_Toc485889022"/>
      <w:r>
        <w:rPr>
          <w:rFonts w:ascii="宋体" w:hAnsi="宋体"/>
          <w:color w:val="auto"/>
          <w:sz w:val="24"/>
          <w:highlight w:val="none"/>
        </w:rPr>
        <w:t>3.1.1 投标文件应包括下列内容：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第一个信封（商务及技术文件）：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（1）投标函及投标函附录；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（2）法定代表人身份证明</w:t>
      </w:r>
      <w:r>
        <w:rPr>
          <w:rFonts w:hint="eastAsia" w:ascii="宋体" w:hAnsi="宋体"/>
          <w:color w:val="auto"/>
          <w:sz w:val="24"/>
          <w:highlight w:val="none"/>
        </w:rPr>
        <w:t>及</w:t>
      </w:r>
      <w:r>
        <w:rPr>
          <w:rFonts w:ascii="宋体" w:hAnsi="宋体"/>
          <w:color w:val="auto"/>
          <w:sz w:val="24"/>
          <w:highlight w:val="none"/>
        </w:rPr>
        <w:t>授权委托书</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）投标保证金；</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）施工组织设计；</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）项目管理机构；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拟分包项目情况表；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）资格审查资料；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投标人须知前附表规定的其他材料。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第二个信封（投标报价）</w:t>
      </w:r>
    </w:p>
    <w:p>
      <w:pPr>
        <w:numPr>
          <w:ilvl w:val="0"/>
          <w:numId w:val="3"/>
        </w:num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调价函及调价后的工程量清单（如有）</w:t>
      </w:r>
    </w:p>
    <w:p>
      <w:pPr>
        <w:numPr>
          <w:ilvl w:val="0"/>
          <w:numId w:val="3"/>
        </w:num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投标函；</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）已标价工程量清单；</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（4）合同用款估算表。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投标人在评标过程中作出的符合法律法规和招标文件规定的澄清确认，构成投标文件的组成部分。</w:t>
      </w:r>
    </w:p>
    <w:p>
      <w:pPr>
        <w:spacing w:line="400" w:lineRule="exact"/>
        <w:ind w:firstLine="480" w:firstLineChars="200"/>
        <w:rPr>
          <w:rFonts w:hint="eastAsia" w:ascii="宋体" w:hAnsi="宋体"/>
          <w:color w:val="auto"/>
          <w:sz w:val="24"/>
          <w:highlight w:val="none"/>
        </w:rPr>
      </w:pPr>
      <w:r>
        <w:rPr>
          <w:rFonts w:ascii="宋体" w:hAnsi="宋体"/>
          <w:color w:val="auto"/>
          <w:sz w:val="24"/>
          <w:highlight w:val="none"/>
        </w:rPr>
        <w:t xml:space="preserve">3.1.2 </w:t>
      </w:r>
      <w:r>
        <w:rPr>
          <w:rFonts w:hint="eastAsia" w:ascii="宋体" w:hAnsi="宋体"/>
          <w:color w:val="auto"/>
          <w:sz w:val="24"/>
          <w:highlight w:val="none"/>
        </w:rPr>
        <w:t>本项目招标采用工程量招标，投标人应按照招标文件要求的工程量清单内容填写工程量清单的单价及总额价，投标人不得修工程量清单的子目号、子目名称和数量,否则，评标委员会将对其按无效标处理。</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3.1.3 投标人须知前附表未要求提交投标保证金的，投标文件不包括本章第 3.1.1（</w:t>
      </w:r>
      <w:r>
        <w:rPr>
          <w:rFonts w:hint="eastAsia" w:ascii="宋体" w:hAnsi="宋体"/>
          <w:color w:val="auto"/>
          <w:sz w:val="24"/>
          <w:highlight w:val="none"/>
          <w:lang w:val="en-US" w:eastAsia="zh-CN"/>
        </w:rPr>
        <w:t>3</w:t>
      </w:r>
      <w:r>
        <w:rPr>
          <w:rFonts w:hint="eastAsia" w:ascii="宋体" w:hAnsi="宋体"/>
          <w:color w:val="auto"/>
          <w:sz w:val="24"/>
          <w:highlight w:val="none"/>
        </w:rPr>
        <w:t>）目所指的投标保证金。</w:t>
      </w:r>
    </w:p>
    <w:p>
      <w:pPr>
        <w:spacing w:line="400" w:lineRule="exact"/>
        <w:ind w:firstLine="482" w:firstLineChars="200"/>
        <w:rPr>
          <w:rFonts w:ascii="宋体" w:hAnsi="宋体" w:eastAsia="宋体" w:cs="Times New Roman"/>
          <w:b/>
          <w:bCs/>
          <w:color w:val="auto"/>
          <w:kern w:val="44"/>
          <w:sz w:val="24"/>
          <w:szCs w:val="24"/>
          <w:highlight w:val="none"/>
          <w:lang w:val="en-US" w:eastAsia="zh-CN" w:bidi="ar-SA"/>
        </w:rPr>
      </w:pPr>
      <w:r>
        <w:rPr>
          <w:rFonts w:ascii="宋体" w:hAnsi="宋体" w:eastAsia="宋体" w:cs="Times New Roman"/>
          <w:b/>
          <w:bCs/>
          <w:color w:val="auto"/>
          <w:kern w:val="44"/>
          <w:sz w:val="24"/>
          <w:szCs w:val="24"/>
          <w:highlight w:val="none"/>
          <w:lang w:val="en-US" w:eastAsia="zh-CN" w:bidi="ar-SA"/>
        </w:rPr>
        <w:t>3.2 投标报价</w:t>
      </w:r>
      <w:bookmarkEnd w:id="87"/>
      <w:bookmarkEnd w:id="88"/>
      <w:bookmarkEnd w:id="89"/>
      <w:bookmarkEnd w:id="90"/>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投标报价应包括国家规定的增值税税金，除投标人须知前附表另有规定外，增值税税金按一般计税方法计算。投标人应按第九章“投标文件格式”的要求在投标函中进行报价并填写工程量清单相应表格。</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工程量清单的填写分下列两种方式。投标人应按投标人须知前附表规定的方式填写工程量清单。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（1）本项目招标采用工程量固化清单</w:t>
      </w:r>
      <w:r>
        <w:rPr>
          <w:rFonts w:hint="eastAsia" w:ascii="宋体" w:hAnsi="宋体"/>
          <w:b/>
          <w:bCs/>
          <w:color w:val="auto"/>
          <w:sz w:val="24"/>
          <w:highlight w:val="none"/>
          <w:lang w:eastAsia="zh-CN"/>
        </w:rPr>
        <w:t>（如有）</w:t>
      </w:r>
      <w:r>
        <w:rPr>
          <w:rFonts w:ascii="宋体" w:hAnsi="宋体"/>
          <w:color w:val="auto"/>
          <w:sz w:val="24"/>
          <w:highlight w:val="none"/>
        </w:rPr>
        <w:t>，招标人在出售招标文件的同时向投标人提供工程量固化清单电子文件（光盘或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spacing w:line="400" w:lineRule="exact"/>
        <w:ind w:firstLine="480" w:firstLineChars="200"/>
        <w:rPr>
          <w:rFonts w:ascii="宋体" w:hAnsi="宋体" w:eastAsia="宋体"/>
          <w:sz w:val="24"/>
          <w:highlight w:val="none"/>
        </w:rPr>
      </w:pPr>
      <w:r>
        <w:rPr>
          <w:rFonts w:ascii="宋体" w:hAnsi="宋体"/>
          <w:color w:val="auto"/>
          <w:sz w:val="24"/>
          <w:highlight w:val="none"/>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w:t>
      </w:r>
      <w:r>
        <w:rPr>
          <w:rFonts w:ascii="宋体" w:hAnsi="宋体" w:eastAsia="宋体"/>
          <w:sz w:val="24"/>
          <w:highlight w:val="none"/>
        </w:rPr>
        <w:t>定义。</w:t>
      </w:r>
    </w:p>
    <w:p>
      <w:pPr>
        <w:spacing w:line="66" w:lineRule="exact"/>
        <w:rPr>
          <w:rFonts w:ascii="Times New Roman" w:hAnsi="Times New Roman" w:eastAsia="Times New Roman"/>
          <w:highlight w:val="none"/>
        </w:rPr>
      </w:pPr>
    </w:p>
    <w:p>
      <w:pPr>
        <w:spacing w:line="333" w:lineRule="auto"/>
        <w:ind w:right="80" w:firstLine="480"/>
        <w:jc w:val="both"/>
        <w:rPr>
          <w:rFonts w:ascii="宋体" w:hAnsi="宋体" w:eastAsia="宋体"/>
          <w:sz w:val="24"/>
          <w:highlight w:val="none"/>
        </w:rPr>
      </w:pPr>
      <w:r>
        <w:rPr>
          <w:rFonts w:ascii="宋体" w:hAnsi="宋体" w:eastAsia="宋体"/>
          <w:sz w:val="24"/>
          <w:highlight w:val="none"/>
        </w:rPr>
        <w:t>投标人根据招标人提供的工程量固化清单电子文件填报完成并打印的投标工程量清单中的投标报价和投标函大写金额报价应一致，如果报价金额出现差异，其投标将被否决。</w:t>
      </w:r>
    </w:p>
    <w:p>
      <w:pPr>
        <w:spacing w:line="51" w:lineRule="exact"/>
        <w:rPr>
          <w:rFonts w:ascii="Times New Roman" w:hAnsi="Times New Roman" w:eastAsia="Times New Roman"/>
          <w:highlight w:val="none"/>
        </w:rPr>
      </w:pPr>
    </w:p>
    <w:p>
      <w:pPr>
        <w:spacing w:line="313" w:lineRule="auto"/>
        <w:ind w:right="80" w:firstLine="360"/>
        <w:jc w:val="both"/>
        <w:rPr>
          <w:rFonts w:ascii="宋体" w:hAnsi="宋体"/>
          <w:color w:val="auto"/>
          <w:sz w:val="24"/>
          <w:highlight w:val="none"/>
        </w:rPr>
      </w:pPr>
      <w:r>
        <w:rPr>
          <w:rFonts w:ascii="宋体" w:hAnsi="宋体" w:eastAsia="宋体"/>
          <w:sz w:val="23"/>
          <w:highlight w:val="none"/>
        </w:rPr>
        <w:t>（</w:t>
      </w:r>
      <w:r>
        <w:rPr>
          <w:rFonts w:ascii="Times New Roman" w:hAnsi="Times New Roman" w:eastAsia="Times New Roman"/>
          <w:sz w:val="23"/>
          <w:highlight w:val="none"/>
        </w:rPr>
        <w:t>2</w:t>
      </w:r>
      <w:r>
        <w:rPr>
          <w:rFonts w:ascii="宋体" w:hAnsi="宋体" w:eastAsia="宋体"/>
          <w:sz w:val="23"/>
          <w:highlight w:val="none"/>
        </w:rPr>
        <w:t>）本项目招标由招标人提供书面工程量清单，由投标人按照招标人提供的工程量清单填写本合同各工程子目的单价、合价和总额价。评标委员会将按照第三章</w:t>
      </w:r>
      <w:r>
        <w:rPr>
          <w:rFonts w:ascii="Arial" w:hAnsi="Arial" w:eastAsia="Arial"/>
          <w:sz w:val="23"/>
          <w:highlight w:val="none"/>
        </w:rPr>
        <w:t>“</w:t>
      </w:r>
      <w:r>
        <w:rPr>
          <w:rFonts w:ascii="宋体" w:hAnsi="宋体" w:eastAsia="宋体"/>
          <w:sz w:val="23"/>
          <w:highlight w:val="none"/>
        </w:rPr>
        <w:t>评</w:t>
      </w:r>
      <w:r>
        <w:rPr>
          <w:rFonts w:ascii="宋体" w:hAnsi="宋体" w:eastAsia="宋体"/>
          <w:sz w:val="24"/>
          <w:highlight w:val="none"/>
        </w:rPr>
        <w:t>标办法</w:t>
      </w:r>
      <w:r>
        <w:rPr>
          <w:rFonts w:ascii="Arial" w:hAnsi="Arial" w:eastAsia="Arial"/>
          <w:sz w:val="24"/>
          <w:highlight w:val="none"/>
        </w:rPr>
        <w:t>”</w:t>
      </w:r>
      <w:r>
        <w:rPr>
          <w:rFonts w:ascii="宋体" w:hAnsi="宋体" w:eastAsia="宋体"/>
          <w:sz w:val="24"/>
          <w:highlight w:val="none"/>
        </w:rPr>
        <w:t>的规定对投标价进行算术性错误修正及其他错误修正。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3.2.2投标人应充分了解本项目的总体情况以及影响投标报价的其他要素。</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lang w:val="en-US" w:eastAsia="zh-CN"/>
        </w:rPr>
        <w:t>3</w:t>
      </w:r>
      <w:r>
        <w:rPr>
          <w:rFonts w:ascii="宋体" w:hAnsi="宋体"/>
          <w:color w:val="auto"/>
          <w:sz w:val="24"/>
          <w:highlight w:val="none"/>
        </w:rPr>
        <w:t xml:space="preserve"> 投标人在投标截止时间前修改投标函中的投标总报价，应同时修改第五章“工程量清单”中的相应报价。此修改须符合本章第 4.3 款的有关要求。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投标人如果发现工程量清单中的数量与图纸中数量不一致时，应立即通知招标人核查，除非招标人以书面方式予以更正，否则，应以工程量清单中列出的数量为准。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5</w:t>
      </w:r>
      <w:r>
        <w:rPr>
          <w:rFonts w:hint="eastAsia" w:ascii="宋体" w:hAnsi="宋体"/>
          <w:color w:val="auto"/>
          <w:sz w:val="24"/>
          <w:highlight w:val="none"/>
        </w:rPr>
        <w:t>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除投标人须知前附表另有规定外，招标人不接受调价函。若招标人接受调价函，则应在招标文件中给出调价函的格式。投标人若有调价函则应遵循如下规定：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（1）调价函必须采用招标文件规定的格式；调价函应说明调价后的最终报价，并以最终报价为准，而且投标人只能有一次调价的机会。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（2）工程量清单中招标人指定的报价不允许调价。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（3）调价函必须附有调价后的工程量清单；调价函必须粘贴或机械装订在投标文件正本首页，与投标文件一起密封提交。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（4）若招标人接受调价函，投标人调价后的工程量清单和有效调价函的大写金额报价应保持一致，如果报价金额出现差异时，则以有效调价函的大写金额报价为准。</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7</w:t>
      </w:r>
      <w:r>
        <w:rPr>
          <w:rFonts w:hint="eastAsia" w:ascii="宋体" w:hAnsi="宋体"/>
          <w:color w:val="auto"/>
          <w:sz w:val="24"/>
          <w:highlight w:val="none"/>
        </w:rPr>
        <w:t xml:space="preserve">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numPr>
          <w:numId w:val="0"/>
        </w:numPr>
        <w:tabs>
          <w:tab w:val="left" w:pos="1080"/>
        </w:tabs>
        <w:spacing w:line="302" w:lineRule="auto"/>
        <w:ind w:firstLine="480" w:firstLineChars="200"/>
        <w:jc w:val="both"/>
        <w:rPr>
          <w:rFonts w:ascii="Times New Roman" w:hAnsi="Times New Roman" w:eastAsia="Times New Roman"/>
          <w:sz w:val="24"/>
          <w:highlight w:val="none"/>
        </w:rPr>
      </w:pPr>
      <w:r>
        <w:rPr>
          <w:rFonts w:hint="eastAsia" w:ascii="宋体" w:hAnsi="宋体"/>
          <w:sz w:val="24"/>
          <w:highlight w:val="none"/>
          <w:lang w:val="en-US" w:eastAsia="zh-CN"/>
        </w:rPr>
        <w:t>3.2.8</w:t>
      </w:r>
      <w:r>
        <w:rPr>
          <w:rFonts w:ascii="宋体" w:hAnsi="宋体" w:eastAsia="宋体"/>
          <w:sz w:val="24"/>
          <w:highlight w:val="none"/>
        </w:rPr>
        <w:t>招标人设有最高投标限价的，投标人的投标报价不得超过最高投标限价，最高投标限价在投标人须知前附表中载明。</w:t>
      </w:r>
    </w:p>
    <w:p>
      <w:pPr>
        <w:spacing w:line="31" w:lineRule="exact"/>
        <w:rPr>
          <w:rFonts w:ascii="Times New Roman" w:hAnsi="Times New Roman" w:eastAsia="Times New Roman"/>
          <w:sz w:val="24"/>
          <w:highlight w:val="none"/>
        </w:rPr>
      </w:pPr>
    </w:p>
    <w:p>
      <w:pPr>
        <w:numPr>
          <w:numId w:val="0"/>
        </w:numPr>
        <w:tabs>
          <w:tab w:val="left" w:pos="1080"/>
        </w:tabs>
        <w:spacing w:line="0" w:lineRule="atLeast"/>
        <w:ind w:left="489" w:leftChars="0"/>
        <w:jc w:val="both"/>
        <w:rPr>
          <w:rFonts w:hint="eastAsia" w:ascii="宋体" w:hAnsi="宋体"/>
          <w:color w:val="auto"/>
          <w:sz w:val="24"/>
          <w:highlight w:val="none"/>
        </w:rPr>
      </w:pPr>
      <w:r>
        <w:rPr>
          <w:rFonts w:hint="eastAsia" w:ascii="宋体" w:hAnsi="宋体"/>
          <w:sz w:val="24"/>
          <w:highlight w:val="none"/>
          <w:lang w:val="en-US" w:eastAsia="zh-CN"/>
        </w:rPr>
        <w:t>3.2.9</w:t>
      </w:r>
      <w:r>
        <w:rPr>
          <w:rFonts w:ascii="宋体" w:hAnsi="宋体" w:eastAsia="宋体"/>
          <w:sz w:val="24"/>
          <w:highlight w:val="none"/>
        </w:rPr>
        <w:t>投标报价的其他要求见投标人须知前附表。</w:t>
      </w:r>
    </w:p>
    <w:p>
      <w:pPr>
        <w:pStyle w:val="4"/>
        <w:spacing w:beforeLines="50" w:after="0" w:line="400" w:lineRule="exact"/>
        <w:rPr>
          <w:rFonts w:ascii="宋体" w:hAnsi="宋体"/>
          <w:color w:val="auto"/>
          <w:sz w:val="24"/>
          <w:szCs w:val="24"/>
          <w:highlight w:val="none"/>
        </w:rPr>
      </w:pPr>
      <w:bookmarkStart w:id="91" w:name="_Toc486277884"/>
      <w:bookmarkStart w:id="92" w:name="_Toc234382610"/>
      <w:bookmarkStart w:id="93" w:name="_Toc485889023"/>
      <w:bookmarkStart w:id="94" w:name="_Toc6040"/>
      <w:r>
        <w:rPr>
          <w:rFonts w:ascii="宋体" w:hAnsi="宋体"/>
          <w:color w:val="auto"/>
          <w:sz w:val="24"/>
          <w:szCs w:val="24"/>
          <w:highlight w:val="none"/>
        </w:rPr>
        <w:t>3.3 投标有效期</w:t>
      </w:r>
      <w:bookmarkEnd w:id="91"/>
      <w:bookmarkEnd w:id="92"/>
      <w:bookmarkEnd w:id="93"/>
      <w:bookmarkEnd w:id="94"/>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3.3.1 除投标人须知前附表另有规定外，投标有效期为 90 日。</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3.3.2</w:t>
      </w:r>
      <w:r>
        <w:rPr>
          <w:rFonts w:hint="eastAsia" w:ascii="宋体" w:hAnsi="宋体"/>
          <w:color w:val="auto"/>
          <w:sz w:val="24"/>
          <w:highlight w:val="none"/>
        </w:rPr>
        <w:t>在投标有效期内，投标人撤销投标文件的，应承担招标文件和法律规定的责任。</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3.3.3</w:t>
      </w:r>
      <w:r>
        <w:rPr>
          <w:rFonts w:hint="eastAsia" w:ascii="宋体" w:hAnsi="宋体"/>
          <w:color w:val="auto"/>
          <w:sz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spacing w:line="400" w:lineRule="exact"/>
        <w:ind w:firstLine="480" w:firstLineChars="200"/>
        <w:rPr>
          <w:rFonts w:hint="eastAsia" w:ascii="宋体" w:hAnsi="宋体"/>
          <w:color w:val="auto"/>
          <w:sz w:val="24"/>
          <w:highlight w:val="none"/>
        </w:rPr>
      </w:pPr>
    </w:p>
    <w:p>
      <w:pPr>
        <w:pStyle w:val="4"/>
        <w:spacing w:beforeLines="50" w:after="0" w:line="400" w:lineRule="exact"/>
        <w:rPr>
          <w:rFonts w:ascii="宋体" w:hAnsi="宋体"/>
          <w:color w:val="auto"/>
          <w:sz w:val="24"/>
          <w:szCs w:val="24"/>
          <w:highlight w:val="none"/>
        </w:rPr>
      </w:pPr>
      <w:bookmarkStart w:id="95" w:name="_Toc486277885"/>
      <w:bookmarkStart w:id="96" w:name="_Toc234382611"/>
      <w:bookmarkStart w:id="97" w:name="_Toc19976"/>
      <w:bookmarkStart w:id="98" w:name="_Toc485889024"/>
      <w:r>
        <w:rPr>
          <w:rFonts w:ascii="宋体" w:hAnsi="宋体"/>
          <w:color w:val="auto"/>
          <w:sz w:val="24"/>
          <w:szCs w:val="24"/>
          <w:highlight w:val="none"/>
        </w:rPr>
        <w:t>3.4 投标保证金</w:t>
      </w:r>
      <w:bookmarkEnd w:id="95"/>
      <w:bookmarkEnd w:id="96"/>
      <w:bookmarkEnd w:id="97"/>
      <w:bookmarkEnd w:id="98"/>
    </w:p>
    <w:p>
      <w:pPr>
        <w:spacing w:line="400" w:lineRule="exact"/>
        <w:ind w:firstLine="480" w:firstLineChars="200"/>
        <w:rPr>
          <w:rFonts w:hint="eastAsia" w:ascii="宋体" w:hAnsi="宋体"/>
          <w:color w:val="auto"/>
          <w:sz w:val="24"/>
          <w:highlight w:val="none"/>
          <w:lang w:val="en-US" w:eastAsia="zh-CN"/>
        </w:rPr>
      </w:pPr>
      <w:bookmarkStart w:id="99" w:name="_Toc234382613"/>
      <w:bookmarkStart w:id="100" w:name="_Toc485889025"/>
      <w:bookmarkStart w:id="101" w:name="_Toc10524"/>
      <w:bookmarkStart w:id="102" w:name="_Toc486277886"/>
      <w:r>
        <w:rPr>
          <w:rFonts w:hint="eastAsia" w:ascii="宋体" w:hAnsi="宋体"/>
          <w:color w:val="auto"/>
          <w:sz w:val="24"/>
          <w:highlight w:val="none"/>
          <w:lang w:val="en-US" w:eastAsia="zh-CN"/>
        </w:rPr>
        <w:t>3.4.1投标人应按投标人须知前附表规定缴纳投标保证金。</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3.4.2投标保证金的相关规定</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 投标保证金的退还：</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（1）中标公告发出后，5个工作日内退还非中标候选人投标保证金及银行同期活期存款利息。</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（3）项目废标或招标人终止招标的，在此后5个工作日内退还投标保证金及银行同期活期存利息。</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（4）投标活动中出现质疑、投诉的，中标候选人、质疑人和被质疑人、投诉人和被投诉人的投标保证金暂停退还。</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（5）相关投标人有违法违规行为的项目，其投标保证金暂不退还，待行政监督部门对相关情况处置后，按照有关规定办理。</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（6）退还投标保证金，除另有规定外，一般以转账方式一次性退还至投标保证金的原提交账户。</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2、投标人有下列情形之一的，不予退还投标保证金：</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（一）在招标文件要求提交投标文件的截止时间后至投标文件有效期满前撤回投标的； </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（二）中标通知书发出后，中标人无故放弃中标项目或无正当理由在规定时间内不与招标人签订合同或未按招标文件规定提交履约担保的； </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（三）将中标项目转让给他人，或者在投标文件中未说明，且未经招标人同意，将中标项目分包给他人的； </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（四）投标人在招投标活动中弄虚作假、围标串标，骗取中标并经招投标行政监督部门调查核实的； </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（五）拒绝履行合同义务的；</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（六）相关法律、法规规定不予退还的其它情形。</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4"/>
        <w:spacing w:beforeLines="50" w:after="0" w:line="400" w:lineRule="exact"/>
        <w:rPr>
          <w:rFonts w:ascii="宋体" w:hAnsi="宋体"/>
          <w:color w:val="auto"/>
          <w:sz w:val="24"/>
          <w:szCs w:val="24"/>
          <w:highlight w:val="none"/>
        </w:rPr>
      </w:pPr>
      <w:r>
        <w:rPr>
          <w:rFonts w:ascii="宋体" w:hAnsi="宋体"/>
          <w:color w:val="auto"/>
          <w:sz w:val="24"/>
          <w:szCs w:val="24"/>
          <w:highlight w:val="none"/>
        </w:rPr>
        <w:t>3.5 资格审查资料</w:t>
      </w:r>
      <w:bookmarkEnd w:id="99"/>
      <w:bookmarkEnd w:id="100"/>
      <w:bookmarkEnd w:id="101"/>
      <w:bookmarkEnd w:id="102"/>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除投标人须知前附表另有规定外，投标人应按下列规定提供资格审查资料，以证明其满足本章第 1.4 款规定的资质、财务、业绩、信誉等要求。</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以及投标人在国家企业信用信息公示系统中基础信息（体现股东及出资详细信息）的网页截图或由法定的社会验资机构出具的验资报告或注册地工商部门出具的股东出资情况证明复印件。。</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3.5.3 “近年完成的类似项目情况表”应附合同协议书和中标通知书或工程接收证书（工程竣工验收证书）的复印件，具体年份要求见投标人须知前附表。每张表格只填写一个项目，并标明序号。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工程接受证书（工程竣工验收证书）可以是发包人出具的公路工程（标段）交工验收证书或竣工验收委员会出具的公路工程竣工验收鉴定书或质量监督机构对各参建单位签发的工作综合评价等级证书。</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3.5.4“投标人的信誉情况表”应附投标人在国家企业信用信息公示系统中未被列入严重违法失信企业名单、在“信用中国”网站中未被列入失信被执行人名单的网页截图复印件。</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3.5.6 “拟委任的其他管理和技术人员汇总表”（如有）应填报满足投标人须知前附表附录 6 规定的其他人员的相关信息。“拟委任的其他管理和技术人员资历表”（如有）中相关人员应附身份证、职称资格证书以及资格审查条件所要求的其他相</w:t>
      </w:r>
      <w:r>
        <w:rPr>
          <w:rFonts w:ascii="宋体" w:hAnsi="宋体" w:eastAsia="宋体"/>
          <w:sz w:val="24"/>
          <w:highlight w:val="none"/>
        </w:rPr>
        <w:t>关证书的复印件，相关业绩证明材料复印件，以及投标人所属社保机构出具的社保缴费证明或其他能够证明其参加社保的有效证明材料复印件。</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3.5.7 “拟投入本标段的主要施工机械表”“拟配备本标段的主要材料试验、测量、</w:t>
      </w:r>
    </w:p>
    <w:p>
      <w:pPr>
        <w:spacing w:line="400" w:lineRule="exact"/>
        <w:rPr>
          <w:rFonts w:hint="eastAsia" w:ascii="宋体" w:hAnsi="宋体"/>
          <w:color w:val="auto"/>
          <w:sz w:val="24"/>
          <w:highlight w:val="none"/>
        </w:rPr>
      </w:pPr>
      <w:r>
        <w:rPr>
          <w:rFonts w:hint="eastAsia" w:ascii="宋体" w:hAnsi="宋体"/>
          <w:color w:val="auto"/>
          <w:sz w:val="24"/>
          <w:highlight w:val="none"/>
        </w:rPr>
        <w:t>质检仪器设备表”（如有）应填报满足投标人须知前附表附录 7 规定的机械设备和试验检测设备。</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3.5.8投标人须知前附表规定接受联合体投标的，本章第 3.5.1 项至第 3.5.7 项规定的表格和资料应包括联合体各方相关情况。</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3.5.9除合同条款约定的特殊情形外，投标人在投标文件中填报的项目经理和项目总工不允许更换。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3.5.10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4"/>
        <w:spacing w:beforeLines="50" w:after="0" w:line="400" w:lineRule="exact"/>
        <w:rPr>
          <w:rFonts w:ascii="宋体" w:hAnsi="宋体"/>
          <w:color w:val="auto"/>
          <w:sz w:val="24"/>
          <w:szCs w:val="24"/>
          <w:highlight w:val="none"/>
        </w:rPr>
      </w:pPr>
      <w:bookmarkStart w:id="103" w:name="_Toc486277887"/>
      <w:bookmarkStart w:id="104" w:name="_Toc485889026"/>
      <w:bookmarkStart w:id="105" w:name="_Toc15460"/>
      <w:bookmarkStart w:id="106" w:name="_Toc234382614"/>
      <w:r>
        <w:rPr>
          <w:rFonts w:ascii="宋体" w:hAnsi="宋体"/>
          <w:color w:val="auto"/>
          <w:sz w:val="24"/>
          <w:szCs w:val="24"/>
          <w:highlight w:val="none"/>
        </w:rPr>
        <w:t>3.6 备选投标方案</w:t>
      </w:r>
      <w:bookmarkEnd w:id="103"/>
      <w:bookmarkEnd w:id="104"/>
      <w:bookmarkEnd w:id="105"/>
      <w:bookmarkEnd w:id="106"/>
    </w:p>
    <w:p>
      <w:pPr>
        <w:spacing w:line="400" w:lineRule="exact"/>
        <w:ind w:firstLine="480" w:firstLineChars="200"/>
        <w:rPr>
          <w:rFonts w:ascii="宋体" w:hAnsi="宋体"/>
          <w:color w:val="auto"/>
          <w:sz w:val="24"/>
          <w:highlight w:val="none"/>
        </w:rPr>
      </w:pPr>
      <w:r>
        <w:rPr>
          <w:rFonts w:ascii="宋体" w:hAnsi="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beforeLines="50" w:after="0" w:line="400" w:lineRule="exact"/>
        <w:rPr>
          <w:rFonts w:ascii="宋体" w:hAnsi="宋体"/>
          <w:color w:val="auto"/>
          <w:sz w:val="24"/>
          <w:szCs w:val="24"/>
          <w:highlight w:val="none"/>
        </w:rPr>
      </w:pPr>
      <w:bookmarkStart w:id="107" w:name="_Toc234382615"/>
      <w:bookmarkStart w:id="108" w:name="_Toc30194"/>
      <w:bookmarkStart w:id="109" w:name="_Toc485889027"/>
      <w:bookmarkStart w:id="110" w:name="_Toc486277888"/>
      <w:r>
        <w:rPr>
          <w:rFonts w:ascii="宋体" w:hAnsi="宋体"/>
          <w:color w:val="auto"/>
          <w:sz w:val="24"/>
          <w:szCs w:val="24"/>
          <w:highlight w:val="none"/>
        </w:rPr>
        <w:t>3.7 投标文件的编制</w:t>
      </w:r>
      <w:bookmarkEnd w:id="107"/>
      <w:bookmarkEnd w:id="108"/>
      <w:bookmarkEnd w:id="109"/>
      <w:bookmarkEnd w:id="110"/>
    </w:p>
    <w:p>
      <w:pPr>
        <w:spacing w:line="400" w:lineRule="exact"/>
        <w:ind w:firstLine="480" w:firstLineChars="200"/>
        <w:rPr>
          <w:rFonts w:ascii="宋体" w:hAnsi="宋体"/>
          <w:color w:val="auto"/>
          <w:sz w:val="24"/>
          <w:highlight w:val="none"/>
        </w:rPr>
      </w:pPr>
      <w:r>
        <w:rPr>
          <w:rFonts w:ascii="宋体" w:hAnsi="宋体"/>
          <w:color w:val="auto"/>
          <w:sz w:val="24"/>
          <w:highlight w:val="none"/>
        </w:rPr>
        <w:t>3.7.1 投标文件应按第</w:t>
      </w:r>
      <w:r>
        <w:rPr>
          <w:rFonts w:hint="eastAsia" w:ascii="宋体" w:hAnsi="宋体"/>
          <w:color w:val="auto"/>
          <w:sz w:val="24"/>
          <w:highlight w:val="none"/>
          <w:lang w:eastAsia="zh-CN"/>
        </w:rPr>
        <w:t>九</w:t>
      </w:r>
      <w:r>
        <w:rPr>
          <w:rFonts w:ascii="宋体" w:hAnsi="宋体"/>
          <w:color w:val="auto"/>
          <w:sz w:val="24"/>
          <w:highlight w:val="none"/>
        </w:rPr>
        <w:t>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3.7.2 投标文件应当对招标文件有关工期、投标有效期、质量要求、技术标准和要求、招标范围等实质性内容作出响应。</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如果投标文件由委托代理人签署，则投标人须提交授权委托书，授权委托书应按第九章“投标文件格式”的要求出具，并由法定代表人和委托代理人亲笔签名，不得使用印章、签名章或其他电子制版签名代替。</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如果由投标人的法定代表人亲自签署投标文件，则投标人须提交法定代表人身份证明，身份证明应符合第九章“投标文件格式”的要求。</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投标文件应尽量避免涂改、行间插字或删除。如果出现上述情况，改动之处应由投标人的法定代表人或其授权的代理人签字或盖单位章。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3.7.4投标文件正本一份, 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spacing w:line="400" w:lineRule="exact"/>
        <w:ind w:firstLine="480" w:firstLineChars="200"/>
        <w:rPr>
          <w:rFonts w:ascii="隶书" w:hAnsi="宋体" w:eastAsia="隶书"/>
          <w:color w:val="auto"/>
          <w:sz w:val="24"/>
          <w:highlight w:val="none"/>
        </w:rPr>
      </w:pPr>
      <w:r>
        <w:rPr>
          <w:rFonts w:ascii="宋体" w:hAnsi="宋体"/>
          <w:color w:val="auto"/>
          <w:sz w:val="24"/>
          <w:highlight w:val="none"/>
        </w:rPr>
        <w:t>3.7.5 投标文件的正本与副本应分别装订成册</w:t>
      </w:r>
      <w:r>
        <w:rPr>
          <w:rFonts w:hint="eastAsia" w:ascii="宋体" w:hAnsi="宋体"/>
          <w:color w:val="auto"/>
          <w:sz w:val="24"/>
          <w:highlight w:val="none"/>
        </w:rPr>
        <w:t>（A4纸幅）</w:t>
      </w:r>
      <w:r>
        <w:rPr>
          <w:rFonts w:ascii="宋体" w:hAnsi="宋体"/>
          <w:color w:val="auto"/>
          <w:sz w:val="24"/>
          <w:highlight w:val="none"/>
        </w:rPr>
        <w:t>，并编制目录</w:t>
      </w:r>
      <w:r>
        <w:rPr>
          <w:rFonts w:hint="eastAsia" w:ascii="宋体" w:hAnsi="宋体"/>
          <w:color w:val="auto"/>
          <w:sz w:val="24"/>
          <w:highlight w:val="none"/>
        </w:rPr>
        <w:t>、且逐页标注连续页码。投标文件不得采用活页夹装订，否则，招标人对由于投标文件装订松散而造成的丢失或其他后果不承担任何责任。装订的其他要求见投标人须知前附表。</w:t>
      </w:r>
    </w:p>
    <w:p>
      <w:pPr>
        <w:pStyle w:val="4"/>
        <w:spacing w:beforeLines="150" w:after="480" w:line="400" w:lineRule="exact"/>
        <w:rPr>
          <w:rFonts w:ascii="宋体" w:hAnsi="宋体"/>
          <w:color w:val="auto"/>
          <w:sz w:val="24"/>
          <w:szCs w:val="24"/>
          <w:highlight w:val="none"/>
        </w:rPr>
      </w:pPr>
      <w:bookmarkStart w:id="111" w:name="_Toc486277889"/>
      <w:bookmarkStart w:id="112" w:name="_Toc485889028"/>
      <w:bookmarkStart w:id="113" w:name="_Toc3142"/>
      <w:bookmarkStart w:id="114" w:name="_Toc234382616"/>
      <w:r>
        <w:rPr>
          <w:rFonts w:ascii="宋体" w:hAnsi="宋体"/>
          <w:color w:val="auto"/>
          <w:sz w:val="24"/>
          <w:szCs w:val="24"/>
          <w:highlight w:val="none"/>
        </w:rPr>
        <w:t>4. 投标</w:t>
      </w:r>
      <w:bookmarkEnd w:id="111"/>
      <w:bookmarkEnd w:id="112"/>
      <w:bookmarkEnd w:id="113"/>
      <w:bookmarkEnd w:id="114"/>
    </w:p>
    <w:p>
      <w:pPr>
        <w:pStyle w:val="4"/>
        <w:spacing w:before="0" w:after="0" w:line="400" w:lineRule="exact"/>
        <w:rPr>
          <w:rFonts w:ascii="宋体" w:hAnsi="宋体"/>
          <w:color w:val="auto"/>
          <w:sz w:val="24"/>
          <w:szCs w:val="24"/>
          <w:highlight w:val="none"/>
        </w:rPr>
      </w:pPr>
      <w:bookmarkStart w:id="115" w:name="_Toc486277890"/>
      <w:bookmarkStart w:id="116" w:name="_Toc26813"/>
      <w:bookmarkStart w:id="117" w:name="_Toc234382617"/>
      <w:bookmarkStart w:id="118" w:name="_Toc485889029"/>
      <w:r>
        <w:rPr>
          <w:rFonts w:ascii="宋体" w:hAnsi="宋体"/>
          <w:color w:val="auto"/>
          <w:sz w:val="24"/>
          <w:szCs w:val="24"/>
          <w:highlight w:val="none"/>
        </w:rPr>
        <w:t>4.1 投标文件的密封和标记</w:t>
      </w:r>
      <w:bookmarkEnd w:id="115"/>
      <w:bookmarkEnd w:id="116"/>
      <w:bookmarkEnd w:id="117"/>
      <w:bookmarkEnd w:id="118"/>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4.1.1 本次招标采用双信封形式，投标文件第一个信封（商务及技术文件）以及第二个信封（投标报价）应单独密封包装。第一个信封（商务及技术文件）的正本与副本应分别包装在相应的内层封套里，然后统一密封在一个外层封套中。第二个信封（投标报价）的正本与副本应分别包装在相应的内层封套里，投标文件电子文件（如需要）以及填写完毕的工程量固化清单电子文件（若采用工程量固化清单形式）应与第二个信封（投标报价）正本包在同一个内层封套里，然后统一密封在一个外层封套中。内层和外层封套应加贴封条，内层封套的封口处应加盖投标人单位章。外层封套上不应有任何投标人的识别标志。</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4.1.2 投标文件的封套上应清楚地标记“正本”或“副本”字样，</w:t>
      </w:r>
      <w:r>
        <w:rPr>
          <w:rFonts w:hint="eastAsia" w:ascii="宋体" w:hAnsi="宋体"/>
          <w:color w:val="auto"/>
          <w:sz w:val="24"/>
          <w:highlight w:val="none"/>
        </w:rPr>
        <w:t>投标文件第一个信封（商务及技术文件）以及第二个信封（投标报价）</w:t>
      </w:r>
      <w:r>
        <w:rPr>
          <w:rFonts w:ascii="宋体" w:hAnsi="宋体"/>
          <w:color w:val="auto"/>
          <w:sz w:val="24"/>
          <w:highlight w:val="none"/>
        </w:rPr>
        <w:t>封套上应写明的其他内容见投标人须知前附表。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4.1.3 未按本章第4.1.1项或第4.1.2项要求密封和加写标记的投标文件，招标人不予受理。</w:t>
      </w:r>
    </w:p>
    <w:p>
      <w:pPr>
        <w:pStyle w:val="4"/>
        <w:spacing w:beforeLines="50" w:after="0" w:line="400" w:lineRule="exact"/>
        <w:rPr>
          <w:rFonts w:ascii="宋体" w:hAnsi="宋体"/>
          <w:color w:val="auto"/>
          <w:sz w:val="24"/>
          <w:szCs w:val="24"/>
          <w:highlight w:val="none"/>
        </w:rPr>
      </w:pPr>
      <w:bookmarkStart w:id="119" w:name="_Toc486277891"/>
      <w:bookmarkStart w:id="120" w:name="_Toc485889030"/>
      <w:bookmarkStart w:id="121" w:name="_Toc234382618"/>
      <w:bookmarkStart w:id="122" w:name="_Toc31665"/>
      <w:r>
        <w:rPr>
          <w:rFonts w:ascii="宋体" w:hAnsi="宋体"/>
          <w:color w:val="auto"/>
          <w:sz w:val="24"/>
          <w:szCs w:val="24"/>
          <w:highlight w:val="none"/>
        </w:rPr>
        <w:t>4.2 投标文件的递交</w:t>
      </w:r>
      <w:bookmarkEnd w:id="119"/>
      <w:bookmarkEnd w:id="120"/>
      <w:bookmarkEnd w:id="121"/>
      <w:bookmarkEnd w:id="122"/>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4.2.1 </w:t>
      </w:r>
      <w:r>
        <w:rPr>
          <w:rFonts w:hint="eastAsia" w:ascii="宋体" w:hAnsi="宋体"/>
          <w:color w:val="auto"/>
          <w:sz w:val="24"/>
          <w:highlight w:val="none"/>
        </w:rPr>
        <w:t>投标人应在第一章“招标公告”规定的投标截止时间前递交投标文件。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4.2.2 投标人递交投标文件的地点：</w:t>
      </w:r>
      <w:r>
        <w:rPr>
          <w:rFonts w:ascii="宋体" w:hAnsi="宋体" w:eastAsia="宋体"/>
          <w:sz w:val="24"/>
          <w:highlight w:val="none"/>
        </w:rPr>
        <w:t>见第一章</w:t>
      </w:r>
      <w:r>
        <w:rPr>
          <w:rFonts w:ascii="Arial" w:hAnsi="Arial" w:eastAsia="Arial"/>
          <w:sz w:val="24"/>
          <w:highlight w:val="none"/>
        </w:rPr>
        <w:t>“</w:t>
      </w:r>
      <w:r>
        <w:rPr>
          <w:rFonts w:ascii="宋体" w:hAnsi="宋体" w:eastAsia="宋体"/>
          <w:sz w:val="24"/>
          <w:highlight w:val="none"/>
        </w:rPr>
        <w:t>招标公告</w:t>
      </w:r>
      <w:r>
        <w:rPr>
          <w:rFonts w:ascii="Arial" w:hAnsi="Arial" w:eastAsia="Arial"/>
          <w:sz w:val="24"/>
          <w:highlight w:val="none"/>
        </w:rPr>
        <w:t>”</w:t>
      </w:r>
      <w:r>
        <w:rPr>
          <w:rFonts w:ascii="宋体" w:hAnsi="宋体" w:eastAsia="宋体"/>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4.2.3 </w:t>
      </w:r>
      <w:r>
        <w:rPr>
          <w:rFonts w:hint="eastAsia" w:ascii="宋体" w:hAnsi="宋体"/>
          <w:color w:val="auto"/>
          <w:sz w:val="24"/>
          <w:highlight w:val="none"/>
        </w:rPr>
        <w:t>除投标人须知前附表另有规定外，投标人所递交的投标文件不予退还。投标人少于 3 个的，投标文件当场退还给投标人。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4.2.4 招标人收到投标文件后，向投标人出具签收凭证。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4.2.5 逾期送达的或者未送达指定地点的投标文件，招标人不予受理。</w:t>
      </w:r>
    </w:p>
    <w:p>
      <w:pPr>
        <w:pStyle w:val="4"/>
        <w:spacing w:beforeLines="50" w:after="0" w:line="400" w:lineRule="exact"/>
        <w:rPr>
          <w:rFonts w:ascii="宋体" w:hAnsi="宋体"/>
          <w:color w:val="auto"/>
          <w:sz w:val="24"/>
          <w:szCs w:val="24"/>
          <w:highlight w:val="none"/>
        </w:rPr>
      </w:pPr>
      <w:bookmarkStart w:id="123" w:name="_Toc485889031"/>
      <w:bookmarkStart w:id="124" w:name="_Toc30135"/>
      <w:bookmarkStart w:id="125" w:name="_Toc486277892"/>
      <w:bookmarkStart w:id="126" w:name="_Toc234382619"/>
      <w:r>
        <w:rPr>
          <w:rFonts w:ascii="宋体" w:hAnsi="宋体"/>
          <w:color w:val="auto"/>
          <w:sz w:val="24"/>
          <w:szCs w:val="24"/>
          <w:highlight w:val="none"/>
        </w:rPr>
        <w:t>4.3 投标文件的修改与撤回</w:t>
      </w:r>
      <w:bookmarkEnd w:id="123"/>
      <w:bookmarkEnd w:id="124"/>
      <w:bookmarkEnd w:id="125"/>
      <w:bookmarkEnd w:id="126"/>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4.3.1 在本章第 </w:t>
      </w:r>
      <w:r>
        <w:rPr>
          <w:rFonts w:hint="eastAsia" w:ascii="宋体" w:hAnsi="宋体"/>
          <w:color w:val="auto"/>
          <w:sz w:val="24"/>
          <w:highlight w:val="none"/>
          <w:lang w:val="en-US" w:eastAsia="zh-CN"/>
        </w:rPr>
        <w:t>4</w:t>
      </w:r>
      <w:r>
        <w:rPr>
          <w:rFonts w:ascii="宋体" w:hAnsi="宋体"/>
          <w:color w:val="auto"/>
          <w:sz w:val="24"/>
          <w:highlight w:val="none"/>
        </w:rPr>
        <w:t>.2.</w:t>
      </w:r>
      <w:r>
        <w:rPr>
          <w:rFonts w:hint="eastAsia" w:ascii="宋体" w:hAnsi="宋体"/>
          <w:color w:val="auto"/>
          <w:sz w:val="24"/>
          <w:highlight w:val="none"/>
          <w:lang w:val="en-US" w:eastAsia="zh-CN"/>
        </w:rPr>
        <w:t>1</w:t>
      </w:r>
      <w:r>
        <w:rPr>
          <w:rFonts w:ascii="宋体" w:hAnsi="宋体"/>
          <w:color w:val="auto"/>
          <w:sz w:val="24"/>
          <w:highlight w:val="none"/>
        </w:rPr>
        <w:t xml:space="preserve"> 项规定的投标截止时间前，投标人可以修改或撤回已递交的投标文件，但应以书面形式通知招标人。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4.3.2 投标人修改或撤回已递交投标文件的书面通知应按照本章第 3.7.3 项的要求签字或盖章。招标人收到书面通知后，向投标人出具签收凭证。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4.3.3 </w:t>
      </w:r>
      <w:r>
        <w:rPr>
          <w:rFonts w:hint="eastAsia" w:ascii="宋体" w:hAnsi="宋体"/>
          <w:color w:val="auto"/>
          <w:sz w:val="24"/>
          <w:highlight w:val="none"/>
        </w:rPr>
        <w:t>投标人撤回投标文件的，招标人自收到投标人书面撤回通知之日起 5 日内退还已收取的投标保证金。</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4.3.4</w:t>
      </w:r>
      <w:r>
        <w:rPr>
          <w:rFonts w:ascii="宋体" w:hAnsi="宋体"/>
          <w:color w:val="auto"/>
          <w:sz w:val="24"/>
          <w:highlight w:val="none"/>
        </w:rPr>
        <w:t>修改的内容为投标文件的组成部分。修改的投标文件应按照本章第3条、第4条规定进行编制、密封、标记和递交，并标明“修改”字样。</w:t>
      </w:r>
    </w:p>
    <w:p>
      <w:pPr>
        <w:pStyle w:val="4"/>
        <w:spacing w:beforeLines="150" w:after="480" w:line="400" w:lineRule="exact"/>
        <w:rPr>
          <w:rFonts w:ascii="宋体" w:hAnsi="宋体"/>
          <w:color w:val="auto"/>
          <w:sz w:val="24"/>
          <w:szCs w:val="24"/>
          <w:highlight w:val="none"/>
        </w:rPr>
      </w:pPr>
      <w:bookmarkStart w:id="127" w:name="_Toc486277893"/>
      <w:bookmarkStart w:id="128" w:name="_Toc234382620"/>
      <w:bookmarkStart w:id="129" w:name="_Toc485889032"/>
      <w:bookmarkStart w:id="130" w:name="_Toc11058"/>
      <w:r>
        <w:rPr>
          <w:rFonts w:ascii="宋体" w:hAnsi="宋体"/>
          <w:color w:val="auto"/>
          <w:sz w:val="24"/>
          <w:szCs w:val="24"/>
          <w:highlight w:val="none"/>
        </w:rPr>
        <w:t>5. 开标</w:t>
      </w:r>
      <w:bookmarkEnd w:id="127"/>
      <w:bookmarkEnd w:id="128"/>
      <w:bookmarkEnd w:id="129"/>
      <w:bookmarkEnd w:id="130"/>
    </w:p>
    <w:p>
      <w:pPr>
        <w:pStyle w:val="4"/>
        <w:spacing w:before="0" w:after="0" w:line="400" w:lineRule="exact"/>
        <w:rPr>
          <w:rFonts w:ascii="宋体" w:hAnsi="宋体"/>
          <w:color w:val="auto"/>
          <w:sz w:val="24"/>
          <w:szCs w:val="24"/>
          <w:highlight w:val="none"/>
        </w:rPr>
      </w:pPr>
      <w:bookmarkStart w:id="131" w:name="_Toc486277894"/>
      <w:bookmarkStart w:id="132" w:name="_Toc11150"/>
      <w:bookmarkStart w:id="133" w:name="_Toc485889033"/>
      <w:bookmarkStart w:id="134" w:name="_Toc234382622"/>
      <w:r>
        <w:rPr>
          <w:rFonts w:ascii="宋体" w:hAnsi="宋体"/>
          <w:color w:val="auto"/>
          <w:sz w:val="24"/>
          <w:szCs w:val="24"/>
          <w:highlight w:val="none"/>
        </w:rPr>
        <w:t>5.1 开标时间和地点</w:t>
      </w:r>
      <w:bookmarkEnd w:id="131"/>
      <w:bookmarkEnd w:id="132"/>
      <w:bookmarkEnd w:id="133"/>
      <w:bookmarkEnd w:id="134"/>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招标人在本章第 </w:t>
      </w:r>
      <w:r>
        <w:rPr>
          <w:rFonts w:hint="eastAsia" w:ascii="宋体" w:hAnsi="宋体"/>
          <w:color w:val="auto"/>
          <w:sz w:val="24"/>
          <w:highlight w:val="none"/>
          <w:lang w:val="en-US" w:eastAsia="zh-CN"/>
        </w:rPr>
        <w:t>4.2.1</w:t>
      </w:r>
      <w:r>
        <w:rPr>
          <w:rFonts w:ascii="宋体" w:hAnsi="宋体"/>
          <w:color w:val="auto"/>
          <w:sz w:val="24"/>
          <w:highlight w:val="none"/>
        </w:rPr>
        <w:t xml:space="preserve"> 项规定的投标截止时间（开标时间）和投标人须知前附表规定的地点</w:t>
      </w:r>
      <w:r>
        <w:rPr>
          <w:rFonts w:hint="eastAsia" w:ascii="宋体" w:hAnsi="宋体"/>
          <w:color w:val="auto"/>
          <w:sz w:val="24"/>
          <w:highlight w:val="none"/>
        </w:rPr>
        <w:t>对收到的投标文件第一个信封（商务及技术文件）</w:t>
      </w:r>
      <w:r>
        <w:rPr>
          <w:rFonts w:ascii="宋体" w:hAnsi="宋体"/>
          <w:color w:val="auto"/>
          <w:sz w:val="24"/>
          <w:highlight w:val="none"/>
        </w:rPr>
        <w:t>公开开标，并邀请所有投标人的法定代表人或其委托代理人准时参加。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招标人在投标人须知前附表规定的时间和地点对投标文件第二个信封（投标报价）进行开标，并邀请所有投标人的法定代表人或其委托代理人准时参加。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投标人若未派法定代表人或委托代理人出席开标活动，视为该投标人默认开标结果。</w:t>
      </w:r>
    </w:p>
    <w:p>
      <w:pPr>
        <w:pStyle w:val="4"/>
        <w:spacing w:beforeLines="50" w:after="0" w:line="400" w:lineRule="exact"/>
        <w:rPr>
          <w:rFonts w:ascii="宋体" w:hAnsi="宋体"/>
          <w:color w:val="auto"/>
          <w:sz w:val="24"/>
          <w:szCs w:val="24"/>
          <w:highlight w:val="none"/>
        </w:rPr>
      </w:pPr>
      <w:bookmarkStart w:id="135" w:name="_Toc26054"/>
      <w:bookmarkStart w:id="136" w:name="_Toc234382624"/>
      <w:bookmarkStart w:id="137" w:name="_Toc485889034"/>
      <w:bookmarkStart w:id="138" w:name="_Toc486277895"/>
      <w:r>
        <w:rPr>
          <w:rFonts w:ascii="宋体" w:hAnsi="宋体"/>
          <w:color w:val="auto"/>
          <w:sz w:val="24"/>
          <w:szCs w:val="24"/>
          <w:highlight w:val="none"/>
        </w:rPr>
        <w:t>5.2 开标程序</w:t>
      </w:r>
      <w:bookmarkEnd w:id="135"/>
      <w:bookmarkEnd w:id="136"/>
      <w:bookmarkEnd w:id="137"/>
      <w:bookmarkEnd w:id="138"/>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5.2.1 </w:t>
      </w:r>
      <w:r>
        <w:rPr>
          <w:rFonts w:ascii="宋体" w:hAnsi="宋体"/>
          <w:color w:val="auto"/>
          <w:sz w:val="24"/>
          <w:highlight w:val="none"/>
        </w:rPr>
        <w:t>主持人按下列程序</w:t>
      </w:r>
      <w:r>
        <w:rPr>
          <w:rFonts w:hint="eastAsia" w:ascii="宋体" w:hAnsi="宋体"/>
          <w:color w:val="auto"/>
          <w:sz w:val="24"/>
          <w:highlight w:val="none"/>
        </w:rPr>
        <w:t>对投标文件第一个信封（商务及技术文件）</w:t>
      </w:r>
      <w:r>
        <w:rPr>
          <w:rFonts w:ascii="宋体" w:hAnsi="宋体"/>
          <w:color w:val="auto"/>
          <w:sz w:val="24"/>
          <w:highlight w:val="none"/>
        </w:rPr>
        <w:t>进行开标：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（2）公布在投标截止时间前递交投标文件的投标人名称，并点名确认投标人是否派人到场；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按照投标人须知前附表规定由投标人推选的代表检查投标文件的密封情况；</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按照投标人须知前附表规定的开标顺序当众开标，</w:t>
      </w:r>
      <w:r>
        <w:rPr>
          <w:rFonts w:ascii="宋体" w:hAnsi="宋体"/>
          <w:color w:val="auto"/>
          <w:sz w:val="24"/>
          <w:highlight w:val="none"/>
        </w:rPr>
        <w:t>公布投标人名称、标段名称、投标保证金的递交情况、质量目标、工期及其他内容，并记录在案；</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6</w:t>
      </w:r>
      <w:r>
        <w:rPr>
          <w:rFonts w:ascii="宋体" w:hAnsi="宋体"/>
          <w:color w:val="auto"/>
          <w:sz w:val="24"/>
          <w:highlight w:val="none"/>
        </w:rPr>
        <w:t>）投标人代表、招标人代表、监标人、记录人等有关人员在开标记录上签字确认；</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7</w:t>
      </w:r>
      <w:r>
        <w:rPr>
          <w:rFonts w:ascii="宋体" w:hAnsi="宋体"/>
          <w:color w:val="auto"/>
          <w:sz w:val="24"/>
          <w:highlight w:val="none"/>
        </w:rPr>
        <w:t>）开标</w:t>
      </w:r>
      <w:r>
        <w:rPr>
          <w:rFonts w:hint="eastAsia" w:ascii="宋体" w:hAnsi="宋体"/>
          <w:color w:val="auto"/>
          <w:sz w:val="24"/>
          <w:highlight w:val="none"/>
        </w:rPr>
        <w:t>会议</w:t>
      </w:r>
      <w:r>
        <w:rPr>
          <w:rFonts w:ascii="宋体" w:hAnsi="宋体"/>
          <w:color w:val="auto"/>
          <w:sz w:val="24"/>
          <w:highlight w:val="none"/>
        </w:rPr>
        <w:t>结束。</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5.2.2 在投标文件第一个信封（商务及技术文件）开标现场，投标文件第二个信封（报价文件）不予开封，由招标人密封保存。</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招标人将按照本章第5.1款规定的时间和地点对投标文件第二个信封（投标报价）进行开标。主持人按下列程序进行开标：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（2）当中拆开投标文件第一个信封（商务及技术文件）评审结果的的密封袋，宣布通过投标文件第一个信封（商务及技术文件）评审的投标人名单，并点名确认投标人是否派人到场；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（4）按照投标人须知前附表规定由投标人推选的代表检查投标文件的密封情况；</w:t>
      </w:r>
    </w:p>
    <w:p>
      <w:pPr>
        <w:spacing w:line="40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rPr>
        <w:t>（5）按照投标人须知前附表规定的开标顺序当众开标，开标人在拆封投标文件第二个信封（投标报价）外层封套后，按照内层封套上写明的投标人名称公布通过投标文件第一个信封（商务及技术文件）评审的投标文件第二个信封（投标报价）的投标人名称、标段名称及其他内容，并记录在案</w:t>
      </w:r>
      <w:r>
        <w:rPr>
          <w:rFonts w:hint="eastAsia" w:ascii="宋体" w:hAnsi="宋体"/>
          <w:color w:val="auto"/>
          <w:sz w:val="24"/>
          <w:highlight w:val="none"/>
          <w:lang w:eastAsia="zh-CN"/>
        </w:rPr>
        <w:t>；</w:t>
      </w:r>
    </w:p>
    <w:p>
      <w:pPr>
        <w:spacing w:line="40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）计算并宣布评标基准价（如有）；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w:t>
      </w:r>
      <w:r>
        <w:rPr>
          <w:rFonts w:hint="eastAsia" w:ascii="宋体" w:hAnsi="宋体"/>
          <w:color w:val="auto"/>
          <w:sz w:val="24"/>
          <w:highlight w:val="none"/>
        </w:rPr>
        <w:t>将未通过投标文件第一个信封（商务及技术文件）评审的投标文件第二个信封（投标报价）退还给投标人；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（8）投标人代表、招标人代表、监标人、记录人等有关人员在开标记录上签字确认；</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（9）开标会议结束。</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5.2.</w:t>
      </w:r>
      <w:r>
        <w:rPr>
          <w:rFonts w:hint="eastAsia" w:ascii="宋体" w:hAnsi="宋体"/>
          <w:color w:val="auto"/>
          <w:sz w:val="24"/>
          <w:highlight w:val="none"/>
          <w:lang w:val="en-US" w:eastAsia="zh-CN"/>
        </w:rPr>
        <w:t>4</w:t>
      </w:r>
      <w:r>
        <w:rPr>
          <w:rFonts w:hint="eastAsia" w:ascii="宋体" w:hAnsi="宋体"/>
          <w:color w:val="auto"/>
          <w:sz w:val="24"/>
          <w:highlight w:val="none"/>
        </w:rPr>
        <w:t>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pPr>
        <w:spacing w:line="400" w:lineRule="exact"/>
        <w:rPr>
          <w:rFonts w:hint="eastAsia" w:ascii="宋体" w:hAnsi="宋体"/>
          <w:color w:val="auto"/>
          <w:sz w:val="24"/>
          <w:highlight w:val="none"/>
        </w:rPr>
      </w:pPr>
      <w:r>
        <w:rPr>
          <w:rFonts w:hint="eastAsia" w:ascii="宋体" w:hAnsi="宋体"/>
          <w:color w:val="auto"/>
          <w:sz w:val="24"/>
          <w:highlight w:val="none"/>
        </w:rPr>
        <w:t>5.3开标异议</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投标人对开标有异议的，应在开标现场提出，招标人当场作出答复，并制作记录，有异议的投标人代表、招标人代表、记录人等有关人员在记录上签字确认。</w:t>
      </w:r>
    </w:p>
    <w:p>
      <w:pPr>
        <w:pStyle w:val="4"/>
        <w:spacing w:beforeLines="150" w:after="480" w:line="400" w:lineRule="exact"/>
        <w:rPr>
          <w:rFonts w:ascii="宋体" w:hAnsi="宋体"/>
          <w:color w:val="auto"/>
          <w:sz w:val="24"/>
          <w:szCs w:val="24"/>
          <w:highlight w:val="none"/>
        </w:rPr>
      </w:pPr>
      <w:bookmarkStart w:id="139" w:name="_Toc485889035"/>
      <w:bookmarkStart w:id="140" w:name="_Toc234382625"/>
      <w:bookmarkStart w:id="141" w:name="_Toc27685"/>
      <w:bookmarkStart w:id="142" w:name="_Toc486277896"/>
      <w:r>
        <w:rPr>
          <w:rFonts w:ascii="宋体" w:hAnsi="宋体"/>
          <w:color w:val="auto"/>
          <w:sz w:val="24"/>
          <w:szCs w:val="24"/>
          <w:highlight w:val="none"/>
        </w:rPr>
        <w:t>6. 评标</w:t>
      </w:r>
      <w:bookmarkEnd w:id="139"/>
      <w:bookmarkEnd w:id="140"/>
      <w:bookmarkEnd w:id="141"/>
      <w:bookmarkEnd w:id="142"/>
    </w:p>
    <w:p>
      <w:pPr>
        <w:pStyle w:val="4"/>
        <w:spacing w:before="0" w:after="0" w:line="400" w:lineRule="exact"/>
        <w:rPr>
          <w:rFonts w:ascii="宋体" w:hAnsi="宋体"/>
          <w:color w:val="auto"/>
          <w:sz w:val="24"/>
          <w:szCs w:val="24"/>
          <w:highlight w:val="none"/>
        </w:rPr>
      </w:pPr>
      <w:bookmarkStart w:id="143" w:name="_Toc17693"/>
      <w:bookmarkStart w:id="144" w:name="_Toc485889036"/>
      <w:bookmarkStart w:id="145" w:name="_Toc234382626"/>
      <w:bookmarkStart w:id="146" w:name="_Toc486277897"/>
      <w:r>
        <w:rPr>
          <w:rFonts w:ascii="宋体" w:hAnsi="宋体"/>
          <w:color w:val="auto"/>
          <w:sz w:val="24"/>
          <w:szCs w:val="24"/>
          <w:highlight w:val="none"/>
        </w:rPr>
        <w:t>6.1 评标委员会</w:t>
      </w:r>
      <w:bookmarkEnd w:id="143"/>
      <w:bookmarkEnd w:id="144"/>
      <w:bookmarkEnd w:id="145"/>
      <w:bookmarkEnd w:id="146"/>
    </w:p>
    <w:p>
      <w:pPr>
        <w:spacing w:line="400" w:lineRule="exact"/>
        <w:ind w:firstLine="480" w:firstLineChars="200"/>
        <w:rPr>
          <w:rFonts w:ascii="宋体" w:hAnsi="宋体"/>
          <w:color w:val="auto"/>
          <w:sz w:val="24"/>
          <w:highlight w:val="none"/>
        </w:rPr>
      </w:pPr>
      <w:r>
        <w:rPr>
          <w:rFonts w:ascii="宋体" w:hAnsi="宋体"/>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6.1.2 评标委员会成员有下列情形之一的，应当回避：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为负责招标项目监督管理的交通运输主管部门的工作人员；</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）与投标人法定代表人或其委托代理人有近亲属关系；</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3</w:t>
      </w:r>
      <w:r>
        <w:rPr>
          <w:rFonts w:ascii="宋体" w:hAnsi="宋体"/>
          <w:color w:val="auto"/>
          <w:sz w:val="24"/>
          <w:highlight w:val="none"/>
        </w:rPr>
        <w:t>）</w:t>
      </w:r>
      <w:r>
        <w:rPr>
          <w:rFonts w:hint="eastAsia" w:ascii="宋体" w:hAnsi="宋体"/>
          <w:color w:val="auto"/>
          <w:sz w:val="24"/>
          <w:highlight w:val="none"/>
        </w:rPr>
        <w:t>为投标人的工作人员或退休人员；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4</w:t>
      </w:r>
      <w:r>
        <w:rPr>
          <w:rFonts w:ascii="宋体" w:hAnsi="宋体"/>
          <w:color w:val="auto"/>
          <w:sz w:val="24"/>
          <w:highlight w:val="none"/>
        </w:rPr>
        <w:t>）</w:t>
      </w:r>
      <w:r>
        <w:rPr>
          <w:rFonts w:hint="eastAsia" w:ascii="宋体" w:hAnsi="宋体"/>
          <w:color w:val="auto"/>
          <w:sz w:val="24"/>
          <w:highlight w:val="none"/>
        </w:rPr>
        <w:t>与投标人有其他利害关系，可能影响评标活动公正性；</w:t>
      </w:r>
    </w:p>
    <w:p>
      <w:pPr>
        <w:spacing w:line="400" w:lineRule="exact"/>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5</w:t>
      </w:r>
      <w:r>
        <w:rPr>
          <w:rFonts w:ascii="宋体" w:hAnsi="宋体"/>
          <w:color w:val="auto"/>
          <w:sz w:val="24"/>
          <w:highlight w:val="none"/>
        </w:rPr>
        <w:t>）</w:t>
      </w:r>
      <w:r>
        <w:rPr>
          <w:rFonts w:hint="eastAsia" w:ascii="宋体" w:hAnsi="宋体"/>
          <w:color w:val="auto"/>
          <w:sz w:val="24"/>
          <w:highlight w:val="none"/>
        </w:rPr>
        <w:t>在与招标投标有关的活动中有过违法违规行为、曾受过行政处罚或刑事处罚。</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6.1.3评标过程中，评标委员会成员有回避事由、擅离职守或因健康等原因不能继续评标的，招标人有权更换。被更换的评标委员会成员作出的评审结论无效，由更换后的评标委员会成员重新进行评审。</w:t>
      </w:r>
    </w:p>
    <w:p>
      <w:pPr>
        <w:pStyle w:val="4"/>
        <w:spacing w:beforeLines="50" w:after="0" w:line="400" w:lineRule="exact"/>
        <w:rPr>
          <w:rFonts w:ascii="宋体" w:hAnsi="宋体"/>
          <w:color w:val="auto"/>
          <w:sz w:val="24"/>
          <w:szCs w:val="24"/>
          <w:highlight w:val="none"/>
        </w:rPr>
      </w:pPr>
      <w:bookmarkStart w:id="147" w:name="_Toc486277898"/>
      <w:bookmarkStart w:id="148" w:name="_Toc234382627"/>
      <w:bookmarkStart w:id="149" w:name="_Toc485889037"/>
      <w:bookmarkStart w:id="150" w:name="_Toc5222"/>
      <w:r>
        <w:rPr>
          <w:rFonts w:ascii="宋体" w:hAnsi="宋体"/>
          <w:color w:val="auto"/>
          <w:sz w:val="24"/>
          <w:szCs w:val="24"/>
          <w:highlight w:val="none"/>
        </w:rPr>
        <w:t>6.2 评标原则</w:t>
      </w:r>
      <w:bookmarkEnd w:id="147"/>
      <w:bookmarkEnd w:id="148"/>
      <w:bookmarkEnd w:id="149"/>
      <w:bookmarkEnd w:id="150"/>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评标活动遵循公平、公正、科学和择优的原则。</w:t>
      </w:r>
    </w:p>
    <w:p>
      <w:pPr>
        <w:pStyle w:val="4"/>
        <w:spacing w:beforeLines="50" w:after="0" w:line="400" w:lineRule="exact"/>
        <w:rPr>
          <w:rFonts w:ascii="宋体" w:hAnsi="宋体"/>
          <w:color w:val="auto"/>
          <w:sz w:val="24"/>
          <w:szCs w:val="24"/>
          <w:highlight w:val="none"/>
        </w:rPr>
      </w:pPr>
      <w:bookmarkStart w:id="151" w:name="_Toc486277899"/>
      <w:bookmarkStart w:id="152" w:name="_Toc485889038"/>
      <w:bookmarkStart w:id="153" w:name="_Toc234382628"/>
      <w:bookmarkStart w:id="154" w:name="_Toc31911"/>
      <w:r>
        <w:rPr>
          <w:rFonts w:ascii="宋体" w:hAnsi="宋体"/>
          <w:color w:val="auto"/>
          <w:sz w:val="24"/>
          <w:szCs w:val="24"/>
          <w:highlight w:val="none"/>
        </w:rPr>
        <w:t>6.3 评标</w:t>
      </w:r>
      <w:bookmarkEnd w:id="151"/>
      <w:bookmarkEnd w:id="152"/>
      <w:bookmarkEnd w:id="153"/>
      <w:bookmarkEnd w:id="154"/>
    </w:p>
    <w:p>
      <w:pPr>
        <w:numPr>
          <w:ilvl w:val="1"/>
          <w:numId w:val="4"/>
        </w:numPr>
        <w:tabs>
          <w:tab w:val="left" w:pos="1082"/>
        </w:tabs>
        <w:spacing w:line="319" w:lineRule="auto"/>
        <w:ind w:right="120" w:firstLine="489"/>
        <w:jc w:val="both"/>
        <w:rPr>
          <w:rFonts w:ascii="Times New Roman" w:hAnsi="Times New Roman" w:eastAsia="Times New Roman"/>
          <w:sz w:val="24"/>
          <w:highlight w:val="none"/>
        </w:rPr>
      </w:pPr>
      <w:bookmarkStart w:id="155" w:name="_Toc234382629"/>
      <w:bookmarkStart w:id="156" w:name="_Toc486277900"/>
      <w:bookmarkStart w:id="157" w:name="_Toc21378"/>
      <w:bookmarkStart w:id="158" w:name="_Toc485889039"/>
      <w:r>
        <w:rPr>
          <w:rFonts w:ascii="宋体" w:hAnsi="宋体" w:eastAsia="宋体"/>
          <w:sz w:val="24"/>
          <w:highlight w:val="none"/>
        </w:rPr>
        <w:t>评标委员会按照第三章</w:t>
      </w:r>
      <w:r>
        <w:rPr>
          <w:rFonts w:ascii="Times New Roman" w:hAnsi="Times New Roman" w:eastAsia="Times New Roman"/>
          <w:sz w:val="24"/>
          <w:highlight w:val="none"/>
        </w:rPr>
        <w:t>“</w:t>
      </w:r>
      <w:r>
        <w:rPr>
          <w:rFonts w:ascii="宋体" w:hAnsi="宋体" w:eastAsia="宋体"/>
          <w:sz w:val="24"/>
          <w:highlight w:val="none"/>
        </w:rPr>
        <w:t>评标办法</w:t>
      </w:r>
      <w:r>
        <w:rPr>
          <w:rFonts w:ascii="Times New Roman" w:hAnsi="Times New Roman" w:eastAsia="Times New Roman"/>
          <w:sz w:val="24"/>
          <w:highlight w:val="none"/>
        </w:rPr>
        <w:t>”</w:t>
      </w:r>
      <w:r>
        <w:rPr>
          <w:rFonts w:ascii="宋体" w:hAnsi="宋体" w:eastAsia="宋体"/>
          <w:sz w:val="24"/>
          <w:highlight w:val="none"/>
        </w:rPr>
        <w:t>规定的方法、评审因素、标准和程序对投标文件进行评审。第三章</w:t>
      </w:r>
      <w:r>
        <w:rPr>
          <w:rFonts w:ascii="Times New Roman" w:hAnsi="Times New Roman" w:eastAsia="Times New Roman"/>
          <w:sz w:val="24"/>
          <w:highlight w:val="none"/>
        </w:rPr>
        <w:t>“</w:t>
      </w:r>
      <w:r>
        <w:rPr>
          <w:rFonts w:ascii="宋体" w:hAnsi="宋体" w:eastAsia="宋体"/>
          <w:sz w:val="24"/>
          <w:highlight w:val="none"/>
        </w:rPr>
        <w:t>评标办法</w:t>
      </w:r>
      <w:r>
        <w:rPr>
          <w:rFonts w:ascii="Times New Roman" w:hAnsi="Times New Roman" w:eastAsia="Times New Roman"/>
          <w:sz w:val="24"/>
          <w:highlight w:val="none"/>
        </w:rPr>
        <w:t>”</w:t>
      </w:r>
      <w:r>
        <w:rPr>
          <w:rFonts w:ascii="宋体" w:hAnsi="宋体" w:eastAsia="宋体"/>
          <w:sz w:val="24"/>
          <w:highlight w:val="none"/>
        </w:rPr>
        <w:t>没有规定的方法、评审因素和标准，不作为评标依据。</w:t>
      </w:r>
    </w:p>
    <w:p>
      <w:pPr>
        <w:spacing w:line="70" w:lineRule="exact"/>
        <w:rPr>
          <w:rFonts w:ascii="Times New Roman" w:hAnsi="Times New Roman" w:eastAsia="Times New Roman"/>
          <w:sz w:val="24"/>
          <w:highlight w:val="none"/>
        </w:rPr>
      </w:pPr>
    </w:p>
    <w:p>
      <w:pPr>
        <w:numPr>
          <w:ilvl w:val="1"/>
          <w:numId w:val="4"/>
        </w:numPr>
        <w:tabs>
          <w:tab w:val="left" w:pos="1080"/>
        </w:tabs>
        <w:spacing w:line="302" w:lineRule="auto"/>
        <w:ind w:firstLine="489"/>
        <w:jc w:val="both"/>
        <w:rPr>
          <w:rFonts w:ascii="Times New Roman" w:hAnsi="Times New Roman" w:eastAsia="Times New Roman"/>
          <w:sz w:val="24"/>
          <w:highlight w:val="none"/>
        </w:rPr>
      </w:pPr>
      <w:r>
        <w:rPr>
          <w:rFonts w:ascii="宋体" w:hAnsi="宋体" w:eastAsia="宋体"/>
          <w:sz w:val="24"/>
          <w:highlight w:val="none"/>
        </w:rPr>
        <w:t>评标完成后，评标委员会应向招标人提交书面评标报告和中标候选人名单。评标委员会推荐中标候选人的人数见投标人须知前附表。</w:t>
      </w:r>
    </w:p>
    <w:bookmarkEnd w:id="155"/>
    <w:bookmarkEnd w:id="156"/>
    <w:bookmarkEnd w:id="157"/>
    <w:bookmarkEnd w:id="158"/>
    <w:p>
      <w:pPr>
        <w:numPr>
          <w:numId w:val="0"/>
        </w:numPr>
        <w:spacing w:line="328" w:lineRule="auto"/>
        <w:ind w:firstLine="480" w:firstLineChars="200"/>
        <w:jc w:val="both"/>
        <w:rPr>
          <w:rFonts w:ascii="宋体" w:hAnsi="宋体" w:eastAsia="宋体"/>
          <w:sz w:val="24"/>
          <w:highlight w:val="none"/>
        </w:rPr>
      </w:pPr>
    </w:p>
    <w:p>
      <w:pPr>
        <w:pStyle w:val="5"/>
        <w:widowControl/>
        <w:spacing w:before="0" w:beforeAutospacing="0" w:after="0" w:afterAutospacing="0" w:line="400" w:lineRule="exact"/>
        <w:ind w:left="0" w:right="0"/>
        <w:rPr>
          <w:rFonts w:hint="eastAsia" w:ascii="宋体" w:hAnsi="宋体" w:eastAsia="黑体" w:cs="宋体"/>
          <w:sz w:val="24"/>
          <w:szCs w:val="32"/>
          <w:highlight w:val="none"/>
          <w:lang w:val="en-US"/>
        </w:rPr>
      </w:pPr>
      <w:bookmarkStart w:id="159" w:name="_Toc485889043"/>
      <w:bookmarkStart w:id="160" w:name="_Toc486277904"/>
      <w:bookmarkStart w:id="161" w:name="_Toc16570"/>
      <w:bookmarkStart w:id="162" w:name="_Toc234382634"/>
      <w:r>
        <w:rPr>
          <w:rFonts w:hint="eastAsia" w:ascii="宋体" w:hAnsi="宋体" w:eastAsia="黑体" w:cs="宋体"/>
          <w:sz w:val="24"/>
          <w:szCs w:val="24"/>
          <w:highlight w:val="none"/>
          <w:lang w:eastAsia="zh-CN"/>
        </w:rPr>
        <w:t xml:space="preserve"> </w:t>
      </w:r>
      <w:r>
        <w:rPr>
          <w:rFonts w:hint="eastAsia" w:ascii="宋体" w:hAnsi="宋体" w:cs="宋体"/>
          <w:sz w:val="24"/>
          <w:szCs w:val="24"/>
          <w:highlight w:val="none"/>
          <w:lang w:val="en-US" w:eastAsia="zh-CN"/>
        </w:rPr>
        <w:t>7.</w:t>
      </w:r>
      <w:r>
        <w:rPr>
          <w:rFonts w:hint="eastAsia" w:ascii="宋体" w:hAnsi="宋体" w:eastAsia="宋体" w:cs="宋体"/>
          <w:kern w:val="44"/>
          <w:sz w:val="24"/>
          <w:szCs w:val="24"/>
          <w:highlight w:val="none"/>
          <w:lang w:eastAsia="zh-CN"/>
        </w:rPr>
        <w:t>履约保证金</w:t>
      </w:r>
    </w:p>
    <w:p>
      <w:pPr>
        <w:spacing w:line="400" w:lineRule="exact"/>
        <w:ind w:firstLine="240" w:firstLineChars="100"/>
        <w:rPr>
          <w:rFonts w:hint="eastAsia" w:ascii="宋体" w:hAnsi="宋体"/>
          <w:color w:val="auto"/>
          <w:sz w:val="24"/>
          <w:highlight w:val="none"/>
          <w:lang w:val="en-US"/>
        </w:rPr>
      </w:pPr>
      <w:r>
        <w:rPr>
          <w:rFonts w:hint="eastAsia" w:ascii="宋体" w:hAnsi="宋体"/>
          <w:color w:val="auto"/>
          <w:sz w:val="24"/>
          <w:highlight w:val="none"/>
          <w:lang w:val="en-US" w:eastAsia="zh-CN"/>
        </w:rPr>
        <w:t xml:space="preserve">7.1履约保证金提交方式 </w:t>
      </w:r>
    </w:p>
    <w:p>
      <w:pPr>
        <w:spacing w:line="40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 xml:space="preserve">7.1.1、以网银、银行转账支票、银行电汇方式提交。  </w:t>
      </w:r>
    </w:p>
    <w:p>
      <w:pPr>
        <w:spacing w:line="40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 xml:space="preserve">7.1.2、现金支票和现金不得作为履约保证金提交方式。  </w:t>
      </w:r>
    </w:p>
    <w:p>
      <w:pPr>
        <w:spacing w:line="40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7.1.3、中标人必须通过其公司账户按照规定的方式提交，其名称应与中标单位的名称一致。</w:t>
      </w:r>
    </w:p>
    <w:p>
      <w:pPr>
        <w:spacing w:line="40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 xml:space="preserve">7.2履约保证金提交比例和数额 </w:t>
      </w:r>
    </w:p>
    <w:p>
      <w:pPr>
        <w:spacing w:line="40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  履约保证金数额不得超过中标合同金额的10%。</w:t>
      </w:r>
    </w:p>
    <w:p>
      <w:pPr>
        <w:spacing w:line="40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 xml:space="preserve">7.3履约保证金的退还 </w:t>
      </w:r>
    </w:p>
    <w:p>
      <w:pPr>
        <w:spacing w:line="40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 xml:space="preserve">7.3.1、项目完工后，由招标人出具《履约保证金退还通知单》，中心财务凭《履约保证金退还通知单》在五个工作日内退还履约保证金及银行同期活期存款利息至中标人账户。  </w:t>
      </w:r>
    </w:p>
    <w:p>
      <w:pPr>
        <w:widowControl/>
        <w:spacing w:before="0" w:beforeAutospacing="0" w:after="0" w:afterAutospacing="0" w:line="400" w:lineRule="exact"/>
        <w:ind w:left="0" w:right="0" w:firstLine="480" w:firstLineChars="200"/>
        <w:jc w:val="left"/>
        <w:rPr>
          <w:rFonts w:hint="eastAsia" w:ascii="宋体" w:hAnsi="宋体" w:eastAsia="宋体" w:cs="宋体"/>
          <w:sz w:val="24"/>
          <w:szCs w:val="24"/>
          <w:highlight w:val="none"/>
          <w:lang w:val="en-US"/>
        </w:rPr>
      </w:pPr>
      <w:r>
        <w:rPr>
          <w:rFonts w:hint="eastAsia" w:ascii="宋体" w:hAnsi="宋体" w:cs="宋体"/>
          <w:kern w:val="0"/>
          <w:sz w:val="24"/>
          <w:szCs w:val="20"/>
          <w:highlight w:val="none"/>
          <w:lang w:val="en-US" w:eastAsia="zh-CN"/>
        </w:rPr>
        <w:t>7</w:t>
      </w:r>
      <w:r>
        <w:rPr>
          <w:rFonts w:hint="eastAsia" w:ascii="宋体" w:hAnsi="宋体" w:eastAsia="宋体" w:cs="宋体"/>
          <w:kern w:val="0"/>
          <w:sz w:val="24"/>
          <w:szCs w:val="20"/>
          <w:highlight w:val="none"/>
          <w:lang w:val="en-US" w:eastAsia="zh-CN"/>
        </w:rPr>
        <w:t>.3.2、中标人因发生质疑、投诉、举报或有关部门立案调查的，中心依据相关行政监督部门的意见暂停退还或没收其履约保证金，待行政监督部门对相关情况处置后，按照有关规定办理。</w:t>
      </w:r>
    </w:p>
    <w:p>
      <w:pPr>
        <w:pStyle w:val="4"/>
        <w:spacing w:beforeLines="150" w:after="480" w:line="400" w:lineRule="exact"/>
        <w:rPr>
          <w:rFonts w:ascii="宋体" w:hAnsi="宋体"/>
          <w:color w:val="auto"/>
          <w:sz w:val="24"/>
          <w:szCs w:val="24"/>
          <w:highlight w:val="none"/>
        </w:rPr>
      </w:pPr>
      <w:r>
        <w:rPr>
          <w:rFonts w:ascii="宋体" w:hAnsi="宋体"/>
          <w:color w:val="auto"/>
          <w:sz w:val="24"/>
          <w:szCs w:val="24"/>
          <w:highlight w:val="none"/>
        </w:rPr>
        <w:t>8. 重新招标和不再招标</w:t>
      </w:r>
      <w:bookmarkEnd w:id="159"/>
      <w:bookmarkEnd w:id="160"/>
      <w:bookmarkEnd w:id="161"/>
      <w:bookmarkEnd w:id="162"/>
    </w:p>
    <w:p>
      <w:pPr>
        <w:pStyle w:val="4"/>
        <w:spacing w:before="0" w:after="0" w:line="400" w:lineRule="exact"/>
        <w:rPr>
          <w:rFonts w:ascii="宋体" w:hAnsi="宋体"/>
          <w:color w:val="auto"/>
          <w:sz w:val="24"/>
          <w:szCs w:val="24"/>
          <w:highlight w:val="none"/>
        </w:rPr>
      </w:pPr>
      <w:bookmarkStart w:id="163" w:name="_Toc234382635"/>
      <w:bookmarkStart w:id="164" w:name="_Toc485889044"/>
      <w:bookmarkStart w:id="165" w:name="_Toc4100"/>
      <w:bookmarkStart w:id="166" w:name="_Toc486277905"/>
      <w:r>
        <w:rPr>
          <w:rFonts w:ascii="宋体" w:hAnsi="宋体"/>
          <w:color w:val="auto"/>
          <w:sz w:val="24"/>
          <w:szCs w:val="24"/>
          <w:highlight w:val="none"/>
        </w:rPr>
        <w:t>8.1 重新招标</w:t>
      </w:r>
      <w:bookmarkEnd w:id="163"/>
      <w:bookmarkEnd w:id="164"/>
      <w:bookmarkEnd w:id="165"/>
      <w:bookmarkEnd w:id="166"/>
    </w:p>
    <w:p>
      <w:pPr>
        <w:spacing w:line="400" w:lineRule="exact"/>
        <w:ind w:firstLine="480" w:firstLineChars="200"/>
        <w:rPr>
          <w:rFonts w:ascii="宋体" w:hAnsi="宋体"/>
          <w:color w:val="auto"/>
          <w:sz w:val="24"/>
          <w:highlight w:val="none"/>
        </w:rPr>
      </w:pPr>
      <w:r>
        <w:rPr>
          <w:rFonts w:ascii="宋体" w:hAnsi="宋体"/>
          <w:color w:val="auto"/>
          <w:sz w:val="24"/>
          <w:highlight w:val="none"/>
        </w:rPr>
        <w:t>有下列情形之一的，招标人将重新招标：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（1）投标截止时间止，投标人少于3个的；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（2）经评标委员会评审后否决所有投标的</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（3）中标候选人均未与招标人签订合同的；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（4）法律规定的其他情形。</w:t>
      </w:r>
    </w:p>
    <w:p>
      <w:pPr>
        <w:pStyle w:val="4"/>
        <w:spacing w:beforeLines="50" w:after="0" w:line="400" w:lineRule="exact"/>
        <w:rPr>
          <w:rFonts w:ascii="宋体" w:hAnsi="宋体"/>
          <w:color w:val="auto"/>
          <w:sz w:val="24"/>
          <w:szCs w:val="24"/>
          <w:highlight w:val="none"/>
        </w:rPr>
      </w:pPr>
      <w:bookmarkStart w:id="167" w:name="_Toc486277906"/>
      <w:bookmarkStart w:id="168" w:name="_Toc21063"/>
      <w:bookmarkStart w:id="169" w:name="_Toc234382636"/>
      <w:bookmarkStart w:id="170" w:name="_Toc485889045"/>
      <w:r>
        <w:rPr>
          <w:rFonts w:ascii="宋体" w:hAnsi="宋体"/>
          <w:color w:val="auto"/>
          <w:sz w:val="24"/>
          <w:szCs w:val="24"/>
          <w:highlight w:val="none"/>
        </w:rPr>
        <w:t>8.2 不再招标</w:t>
      </w:r>
      <w:bookmarkEnd w:id="167"/>
      <w:bookmarkEnd w:id="168"/>
      <w:bookmarkEnd w:id="169"/>
      <w:bookmarkEnd w:id="170"/>
    </w:p>
    <w:p>
      <w:pPr>
        <w:spacing w:line="400" w:lineRule="exact"/>
        <w:ind w:firstLine="480" w:firstLineChars="200"/>
        <w:rPr>
          <w:rFonts w:ascii="宋体" w:hAnsi="宋体"/>
          <w:color w:val="auto"/>
          <w:sz w:val="24"/>
          <w:highlight w:val="none"/>
        </w:rPr>
      </w:pPr>
      <w:r>
        <w:rPr>
          <w:rFonts w:ascii="宋体" w:hAnsi="宋体"/>
          <w:color w:val="auto"/>
          <w:sz w:val="24"/>
          <w:highlight w:val="none"/>
        </w:rPr>
        <w:t>重新招标后投标人仍少于3 个或者所有投标被否决的，属于必须审批或核准的工程建设项目，经原审批或核准部门批准后不再进行招标。</w:t>
      </w:r>
    </w:p>
    <w:p>
      <w:pPr>
        <w:pStyle w:val="4"/>
        <w:spacing w:beforeLines="150" w:after="480" w:line="400" w:lineRule="exact"/>
        <w:rPr>
          <w:rFonts w:ascii="宋体" w:hAnsi="宋体"/>
          <w:color w:val="auto"/>
          <w:sz w:val="24"/>
          <w:szCs w:val="24"/>
          <w:highlight w:val="none"/>
        </w:rPr>
      </w:pPr>
      <w:bookmarkStart w:id="171" w:name="_Toc485889046"/>
      <w:bookmarkStart w:id="172" w:name="_Toc32202"/>
      <w:bookmarkStart w:id="173" w:name="_Toc234382637"/>
      <w:bookmarkStart w:id="174" w:name="_Toc486277907"/>
      <w:r>
        <w:rPr>
          <w:rFonts w:ascii="宋体" w:hAnsi="宋体"/>
          <w:color w:val="auto"/>
          <w:sz w:val="24"/>
          <w:szCs w:val="24"/>
          <w:highlight w:val="none"/>
        </w:rPr>
        <w:t>9. 纪律和监督</w:t>
      </w:r>
      <w:bookmarkEnd w:id="171"/>
      <w:bookmarkEnd w:id="172"/>
      <w:bookmarkEnd w:id="173"/>
      <w:bookmarkEnd w:id="174"/>
    </w:p>
    <w:p>
      <w:pPr>
        <w:pStyle w:val="4"/>
        <w:spacing w:before="0" w:after="0" w:line="400" w:lineRule="exact"/>
        <w:rPr>
          <w:rFonts w:ascii="宋体" w:hAnsi="宋体"/>
          <w:color w:val="auto"/>
          <w:sz w:val="24"/>
          <w:szCs w:val="24"/>
          <w:highlight w:val="none"/>
        </w:rPr>
      </w:pPr>
      <w:bookmarkStart w:id="175" w:name="_Toc234382638"/>
      <w:bookmarkStart w:id="176" w:name="_Toc23625"/>
      <w:bookmarkStart w:id="177" w:name="_Toc486277908"/>
      <w:bookmarkStart w:id="178" w:name="_Toc485889047"/>
      <w:r>
        <w:rPr>
          <w:rFonts w:ascii="宋体" w:hAnsi="宋体"/>
          <w:color w:val="auto"/>
          <w:sz w:val="24"/>
          <w:szCs w:val="24"/>
          <w:highlight w:val="none"/>
        </w:rPr>
        <w:t>9.1 对招标人的纪律要求</w:t>
      </w:r>
      <w:bookmarkEnd w:id="175"/>
      <w:bookmarkEnd w:id="176"/>
      <w:bookmarkEnd w:id="177"/>
      <w:bookmarkEnd w:id="178"/>
    </w:p>
    <w:p>
      <w:pPr>
        <w:spacing w:line="400" w:lineRule="exact"/>
        <w:ind w:firstLine="480" w:firstLineChars="200"/>
        <w:rPr>
          <w:rFonts w:ascii="宋体" w:hAnsi="宋体"/>
          <w:color w:val="auto"/>
          <w:sz w:val="24"/>
          <w:highlight w:val="none"/>
        </w:rPr>
      </w:pPr>
      <w:r>
        <w:rPr>
          <w:rFonts w:ascii="宋体" w:hAnsi="宋体"/>
          <w:color w:val="auto"/>
          <w:sz w:val="24"/>
          <w:highlight w:val="none"/>
        </w:rPr>
        <w:t>招标人不得泄漏招标投标活动中应当保密的情况和资料，不得与投标人串通损害国家利益、社会公共利益或者他人合法权益。</w:t>
      </w:r>
    </w:p>
    <w:p>
      <w:pPr>
        <w:pStyle w:val="4"/>
        <w:spacing w:beforeLines="50" w:after="0" w:line="400" w:lineRule="exact"/>
        <w:rPr>
          <w:rFonts w:ascii="宋体" w:hAnsi="宋体"/>
          <w:color w:val="auto"/>
          <w:sz w:val="24"/>
          <w:szCs w:val="24"/>
          <w:highlight w:val="none"/>
        </w:rPr>
      </w:pPr>
      <w:bookmarkStart w:id="179" w:name="_Toc485889048"/>
      <w:bookmarkStart w:id="180" w:name="_Toc486277909"/>
      <w:bookmarkStart w:id="181" w:name="_Toc13796"/>
      <w:bookmarkStart w:id="182" w:name="_Toc234382639"/>
      <w:r>
        <w:rPr>
          <w:rFonts w:ascii="宋体" w:hAnsi="宋体"/>
          <w:color w:val="auto"/>
          <w:sz w:val="24"/>
          <w:szCs w:val="24"/>
          <w:highlight w:val="none"/>
        </w:rPr>
        <w:t>9.2 对投标人的纪律要求</w:t>
      </w:r>
      <w:bookmarkEnd w:id="179"/>
      <w:bookmarkEnd w:id="180"/>
      <w:bookmarkEnd w:id="181"/>
      <w:bookmarkEnd w:id="182"/>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Lines="50" w:after="0" w:line="400" w:lineRule="exact"/>
        <w:rPr>
          <w:rFonts w:ascii="宋体" w:hAnsi="宋体"/>
          <w:color w:val="auto"/>
          <w:sz w:val="24"/>
          <w:szCs w:val="24"/>
          <w:highlight w:val="none"/>
        </w:rPr>
      </w:pPr>
      <w:bookmarkStart w:id="183" w:name="_Toc485889049"/>
      <w:bookmarkStart w:id="184" w:name="_Toc234382640"/>
      <w:bookmarkStart w:id="185" w:name="_Toc16702"/>
      <w:bookmarkStart w:id="186" w:name="_Toc486277910"/>
      <w:r>
        <w:rPr>
          <w:rFonts w:ascii="宋体" w:hAnsi="宋体"/>
          <w:color w:val="auto"/>
          <w:sz w:val="24"/>
          <w:szCs w:val="24"/>
          <w:highlight w:val="none"/>
        </w:rPr>
        <w:t>9.3 对评标委员会成员的纪律要求</w:t>
      </w:r>
      <w:bookmarkEnd w:id="183"/>
      <w:bookmarkEnd w:id="184"/>
      <w:bookmarkEnd w:id="185"/>
      <w:bookmarkEnd w:id="186"/>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Lines="50" w:after="0" w:line="400" w:lineRule="exact"/>
        <w:rPr>
          <w:rFonts w:ascii="宋体" w:hAnsi="宋体"/>
          <w:color w:val="auto"/>
          <w:sz w:val="24"/>
          <w:szCs w:val="24"/>
          <w:highlight w:val="none"/>
        </w:rPr>
      </w:pPr>
      <w:bookmarkStart w:id="187" w:name="_Toc12383"/>
      <w:bookmarkStart w:id="188" w:name="_Toc486277911"/>
      <w:bookmarkStart w:id="189" w:name="_Toc234382641"/>
      <w:bookmarkStart w:id="190" w:name="_Toc485889050"/>
      <w:r>
        <w:rPr>
          <w:rFonts w:ascii="宋体" w:hAnsi="宋体"/>
          <w:color w:val="auto"/>
          <w:sz w:val="24"/>
          <w:szCs w:val="24"/>
          <w:highlight w:val="none"/>
        </w:rPr>
        <w:t>9.4 对与评标活动有关的工作人员的纪律要求</w:t>
      </w:r>
      <w:bookmarkEnd w:id="187"/>
      <w:bookmarkEnd w:id="188"/>
      <w:bookmarkEnd w:id="189"/>
      <w:bookmarkEnd w:id="190"/>
    </w:p>
    <w:p>
      <w:pPr>
        <w:spacing w:line="400" w:lineRule="exact"/>
        <w:ind w:firstLine="480" w:firstLineChars="200"/>
        <w:rPr>
          <w:rFonts w:ascii="宋体" w:hAnsi="宋体"/>
          <w:color w:val="auto"/>
          <w:sz w:val="24"/>
          <w:highlight w:val="none"/>
        </w:rPr>
      </w:pPr>
      <w:r>
        <w:rPr>
          <w:rFonts w:ascii="宋体" w:hAnsi="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spacing w:beforeLines="50" w:after="0" w:line="400" w:lineRule="exact"/>
        <w:rPr>
          <w:rFonts w:ascii="宋体" w:hAnsi="宋体"/>
          <w:color w:val="auto"/>
          <w:sz w:val="24"/>
          <w:szCs w:val="24"/>
          <w:highlight w:val="none"/>
        </w:rPr>
      </w:pPr>
      <w:bookmarkStart w:id="191" w:name="_Toc25179"/>
      <w:bookmarkStart w:id="192" w:name="_Toc485889051"/>
      <w:bookmarkStart w:id="193" w:name="_Toc234382642"/>
      <w:bookmarkStart w:id="194" w:name="_Toc486277912"/>
      <w:r>
        <w:rPr>
          <w:rFonts w:ascii="宋体" w:hAnsi="宋体"/>
          <w:color w:val="auto"/>
          <w:sz w:val="24"/>
          <w:szCs w:val="24"/>
          <w:highlight w:val="none"/>
        </w:rPr>
        <w:t>9.5 投诉</w:t>
      </w:r>
      <w:bookmarkEnd w:id="191"/>
      <w:bookmarkEnd w:id="192"/>
      <w:bookmarkEnd w:id="193"/>
      <w:bookmarkEnd w:id="194"/>
    </w:p>
    <w:p>
      <w:pPr>
        <w:spacing w:line="400" w:lineRule="exact"/>
        <w:ind w:firstLine="480" w:firstLineChars="200"/>
        <w:rPr>
          <w:rFonts w:ascii="宋体" w:hAnsi="宋体"/>
          <w:color w:val="auto"/>
          <w:sz w:val="24"/>
          <w:highlight w:val="none"/>
        </w:rPr>
      </w:pPr>
      <w:bookmarkStart w:id="195" w:name="_Toc485889052"/>
      <w:bookmarkStart w:id="196" w:name="_Toc234382643"/>
      <w:bookmarkStart w:id="197" w:name="_Toc486277913"/>
      <w:bookmarkStart w:id="198" w:name="_Toc30072"/>
      <w:r>
        <w:rPr>
          <w:rFonts w:hint="eastAsia" w:ascii="宋体" w:hAnsi="宋体"/>
          <w:sz w:val="24"/>
          <w:highlight w:val="none"/>
          <w:lang w:val="en-US" w:eastAsia="zh-CN"/>
        </w:rPr>
        <w:t>9.5.1</w:t>
      </w:r>
      <w:r>
        <w:rPr>
          <w:rFonts w:ascii="宋体" w:hAnsi="宋体" w:eastAsia="宋体"/>
          <w:sz w:val="24"/>
          <w:highlight w:val="none"/>
        </w:rPr>
        <w:t xml:space="preserve">投标人或其他利害关系人认为招标投标活动不符合法律、行政法规规定的，可以自知道或应当知道之日起 </w:t>
      </w:r>
      <w:r>
        <w:rPr>
          <w:rFonts w:ascii="Times New Roman" w:hAnsi="Times New Roman" w:eastAsia="Times New Roman"/>
          <w:sz w:val="24"/>
          <w:highlight w:val="none"/>
        </w:rPr>
        <w:t>10</w:t>
      </w:r>
      <w:r>
        <w:rPr>
          <w:rFonts w:ascii="宋体" w:hAnsi="宋体" w:eastAsia="宋体"/>
          <w:sz w:val="24"/>
          <w:highlight w:val="none"/>
        </w:rPr>
        <w:t xml:space="preserve"> 日内向有关行政监督部门投诉。投诉应有明确的请求和必</w:t>
      </w:r>
      <w:r>
        <w:rPr>
          <w:rFonts w:ascii="宋体" w:hAnsi="宋体"/>
          <w:color w:val="auto"/>
          <w:sz w:val="24"/>
          <w:highlight w:val="none"/>
        </w:rPr>
        <w:t>要的证明材料。监督部门的联系方式见投标人须知前附表。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9.5.2</w:t>
      </w:r>
      <w:r>
        <w:rPr>
          <w:rFonts w:ascii="宋体" w:hAnsi="宋体"/>
          <w:color w:val="auto"/>
          <w:sz w:val="24"/>
          <w:highlight w:val="none"/>
        </w:rPr>
        <w:t>投标人或其他利害关系人对招标文件、开标和评标结果提出投诉的，应按照本</w:t>
      </w:r>
    </w:p>
    <w:p>
      <w:pPr>
        <w:spacing w:line="400" w:lineRule="exact"/>
        <w:rPr>
          <w:rFonts w:ascii="宋体" w:hAnsi="宋体" w:eastAsia="宋体"/>
          <w:sz w:val="24"/>
          <w:highlight w:val="none"/>
        </w:rPr>
      </w:pPr>
      <w:r>
        <w:rPr>
          <w:rFonts w:ascii="宋体" w:hAnsi="宋体" w:eastAsia="宋体"/>
          <w:sz w:val="24"/>
          <w:highlight w:val="none"/>
        </w:rPr>
        <w:t>章第 2.4 款、第 5.3 款和第 7.2 款的规定先向招标人提出异议。异议答复期间不计算在第 8.5.1 项规定的期限内。</w:t>
      </w:r>
    </w:p>
    <w:p>
      <w:pPr>
        <w:pStyle w:val="4"/>
        <w:numPr>
          <w:numId w:val="0"/>
        </w:numPr>
        <w:spacing w:beforeLines="150" w:after="480" w:line="400" w:lineRule="exact"/>
        <w:rPr>
          <w:rFonts w:ascii="宋体" w:hAnsi="宋体"/>
          <w:color w:val="auto"/>
          <w:sz w:val="24"/>
          <w:szCs w:val="24"/>
          <w:highlight w:val="none"/>
        </w:rPr>
      </w:pPr>
      <w:r>
        <w:rPr>
          <w:rFonts w:hint="eastAsia" w:ascii="宋体" w:hAnsi="宋体"/>
          <w:b/>
          <w:bCs/>
          <w:sz w:val="24"/>
          <w:highlight w:val="none"/>
          <w:lang w:val="en-US" w:eastAsia="zh-CN"/>
        </w:rPr>
        <w:t>10</w:t>
      </w:r>
      <w:r>
        <w:rPr>
          <w:rFonts w:ascii="宋体" w:hAnsi="宋体" w:eastAsia="宋体"/>
          <w:b/>
          <w:bCs/>
          <w:sz w:val="24"/>
          <w:highlight w:val="none"/>
        </w:rPr>
        <w:t xml:space="preserve">. </w:t>
      </w:r>
      <w:r>
        <w:rPr>
          <w:rFonts w:ascii="宋体" w:hAnsi="宋体"/>
          <w:color w:val="auto"/>
          <w:sz w:val="24"/>
          <w:szCs w:val="24"/>
          <w:highlight w:val="none"/>
        </w:rPr>
        <w:t>合同授予</w:t>
      </w:r>
    </w:p>
    <w:p>
      <w:pPr>
        <w:spacing w:line="0" w:lineRule="atLeast"/>
        <w:rPr>
          <w:rFonts w:ascii="宋体" w:hAnsi="宋体" w:eastAsia="宋体"/>
          <w:sz w:val="24"/>
          <w:highlight w:val="none"/>
        </w:rPr>
      </w:pPr>
      <w:r>
        <w:rPr>
          <w:rFonts w:hint="eastAsia" w:ascii="黑体" w:hAnsi="黑体" w:eastAsia="黑体"/>
          <w:sz w:val="24"/>
          <w:highlight w:val="none"/>
          <w:lang w:val="en-US" w:eastAsia="zh-CN"/>
        </w:rPr>
        <w:t>10</w:t>
      </w:r>
      <w:r>
        <w:rPr>
          <w:rFonts w:ascii="黑体" w:hAnsi="黑体" w:eastAsia="黑体"/>
          <w:sz w:val="24"/>
          <w:highlight w:val="none"/>
        </w:rPr>
        <w:t xml:space="preserve">.1 </w:t>
      </w:r>
      <w:r>
        <w:rPr>
          <w:rFonts w:ascii="宋体" w:hAnsi="宋体" w:eastAsia="宋体"/>
          <w:sz w:val="24"/>
          <w:highlight w:val="none"/>
        </w:rPr>
        <w:t>中标候选人公示</w:t>
      </w:r>
    </w:p>
    <w:p>
      <w:pPr>
        <w:spacing w:line="393" w:lineRule="exact"/>
        <w:rPr>
          <w:rFonts w:ascii="Times New Roman" w:hAnsi="Times New Roman" w:eastAsia="Times New Roman"/>
          <w:highlight w:val="none"/>
        </w:rPr>
      </w:pPr>
    </w:p>
    <w:p>
      <w:pPr>
        <w:spacing w:line="306" w:lineRule="auto"/>
        <w:ind w:right="120" w:firstLine="480"/>
        <w:rPr>
          <w:rFonts w:ascii="宋体" w:hAnsi="宋体" w:eastAsia="宋体"/>
          <w:sz w:val="24"/>
          <w:highlight w:val="none"/>
        </w:rPr>
      </w:pPr>
      <w:r>
        <w:rPr>
          <w:rFonts w:ascii="宋体" w:hAnsi="宋体" w:eastAsia="宋体"/>
          <w:sz w:val="24"/>
          <w:highlight w:val="none"/>
        </w:rPr>
        <w:t xml:space="preserve">招标人在收到评标报告之日起 </w:t>
      </w:r>
      <w:r>
        <w:rPr>
          <w:rFonts w:ascii="Times New Roman" w:hAnsi="Times New Roman" w:eastAsia="Times New Roman"/>
          <w:sz w:val="24"/>
          <w:highlight w:val="none"/>
        </w:rPr>
        <w:t>3</w:t>
      </w:r>
      <w:r>
        <w:rPr>
          <w:rFonts w:ascii="宋体" w:hAnsi="宋体" w:eastAsia="宋体"/>
          <w:sz w:val="24"/>
          <w:highlight w:val="none"/>
        </w:rPr>
        <w:t xml:space="preserve"> 日内，按照投标人须知前附表规定的公示媒介和期限公示中标候选人，公示期不得少于 </w:t>
      </w:r>
      <w:r>
        <w:rPr>
          <w:rFonts w:ascii="Times New Roman" w:hAnsi="Times New Roman" w:eastAsia="Times New Roman"/>
          <w:sz w:val="24"/>
          <w:highlight w:val="none"/>
        </w:rPr>
        <w:t>3</w:t>
      </w:r>
      <w:r>
        <w:rPr>
          <w:rFonts w:ascii="宋体" w:hAnsi="宋体" w:eastAsia="宋体"/>
          <w:sz w:val="24"/>
          <w:highlight w:val="none"/>
        </w:rPr>
        <w:t xml:space="preserve"> 日，公示内容包括：</w:t>
      </w:r>
    </w:p>
    <w:p>
      <w:pPr>
        <w:spacing w:line="57" w:lineRule="exact"/>
        <w:rPr>
          <w:rFonts w:ascii="Times New Roman" w:hAnsi="Times New Roman" w:eastAsia="Times New Roman"/>
          <w:highlight w:val="none"/>
        </w:rPr>
      </w:pPr>
    </w:p>
    <w:p>
      <w:pPr>
        <w:numPr>
          <w:ilvl w:val="0"/>
          <w:numId w:val="5"/>
        </w:numPr>
        <w:spacing w:line="308" w:lineRule="auto"/>
        <w:ind w:right="120" w:firstLine="360"/>
        <w:rPr>
          <w:rFonts w:ascii="宋体" w:hAnsi="宋体" w:eastAsia="宋体"/>
          <w:sz w:val="24"/>
          <w:highlight w:val="none"/>
        </w:rPr>
      </w:pPr>
      <w:r>
        <w:rPr>
          <w:rFonts w:ascii="宋体" w:hAnsi="宋体" w:eastAsia="宋体"/>
          <w:sz w:val="24"/>
          <w:highlight w:val="none"/>
        </w:rPr>
        <w:t>中标候选人排序、名称、投标报价，对工程质量要求、安全目标和工期的响应情况；</w:t>
      </w:r>
    </w:p>
    <w:p>
      <w:pPr>
        <w:numPr>
          <w:ilvl w:val="0"/>
          <w:numId w:val="5"/>
        </w:numPr>
        <w:spacing w:line="308" w:lineRule="auto"/>
        <w:ind w:right="120" w:firstLine="360"/>
        <w:rPr>
          <w:rFonts w:ascii="宋体" w:hAnsi="宋体" w:eastAsia="宋体"/>
          <w:sz w:val="24"/>
          <w:highlight w:val="none"/>
        </w:rPr>
      </w:pPr>
      <w:r>
        <w:rPr>
          <w:rFonts w:ascii="宋体" w:hAnsi="宋体" w:eastAsia="宋体"/>
          <w:sz w:val="24"/>
          <w:highlight w:val="none"/>
        </w:rPr>
        <w:t>被否决投标的投标人名称、否决依据和原因；</w:t>
      </w:r>
    </w:p>
    <w:p>
      <w:pPr>
        <w:numPr>
          <w:ilvl w:val="0"/>
          <w:numId w:val="5"/>
        </w:numPr>
        <w:spacing w:line="308" w:lineRule="auto"/>
        <w:ind w:right="120" w:firstLine="360"/>
        <w:rPr>
          <w:rFonts w:ascii="宋体" w:hAnsi="宋体" w:eastAsia="宋体"/>
          <w:sz w:val="24"/>
          <w:highlight w:val="none"/>
        </w:rPr>
      </w:pPr>
      <w:r>
        <w:rPr>
          <w:rFonts w:ascii="宋体" w:hAnsi="宋体" w:eastAsia="宋体"/>
          <w:sz w:val="24"/>
          <w:highlight w:val="none"/>
        </w:rPr>
        <w:t>提出异议的渠道和方式；</w:t>
      </w:r>
    </w:p>
    <w:p>
      <w:pPr>
        <w:numPr>
          <w:ilvl w:val="0"/>
          <w:numId w:val="5"/>
        </w:numPr>
        <w:spacing w:line="308" w:lineRule="auto"/>
        <w:ind w:right="120" w:firstLine="360"/>
        <w:rPr>
          <w:rFonts w:ascii="宋体" w:hAnsi="宋体" w:eastAsia="宋体"/>
          <w:sz w:val="24"/>
          <w:highlight w:val="none"/>
        </w:rPr>
      </w:pPr>
      <w:r>
        <w:rPr>
          <w:rFonts w:ascii="宋体" w:hAnsi="宋体" w:eastAsia="宋体"/>
          <w:sz w:val="24"/>
          <w:highlight w:val="none"/>
        </w:rPr>
        <w:t>投标人须知前附表规定公示的其他内容。</w:t>
      </w:r>
    </w:p>
    <w:p>
      <w:pPr>
        <w:spacing w:line="154" w:lineRule="exact"/>
        <w:rPr>
          <w:rFonts w:ascii="Times New Roman" w:hAnsi="Times New Roman" w:eastAsia="Times New Roman"/>
          <w:highlight w:val="none"/>
        </w:rPr>
      </w:pPr>
    </w:p>
    <w:p>
      <w:pPr>
        <w:spacing w:line="0" w:lineRule="atLeast"/>
        <w:rPr>
          <w:rFonts w:ascii="宋体" w:hAnsi="宋体" w:eastAsia="宋体"/>
          <w:sz w:val="24"/>
          <w:highlight w:val="none"/>
        </w:rPr>
      </w:pPr>
      <w:r>
        <w:rPr>
          <w:rFonts w:hint="eastAsia" w:ascii="黑体" w:hAnsi="黑体" w:eastAsia="黑体"/>
          <w:sz w:val="24"/>
          <w:highlight w:val="none"/>
          <w:lang w:val="en-US" w:eastAsia="zh-CN"/>
        </w:rPr>
        <w:t>10</w:t>
      </w:r>
      <w:r>
        <w:rPr>
          <w:rFonts w:ascii="黑体" w:hAnsi="黑体" w:eastAsia="黑体"/>
          <w:sz w:val="24"/>
          <w:highlight w:val="none"/>
        </w:rPr>
        <w:t xml:space="preserve">.2 </w:t>
      </w:r>
      <w:r>
        <w:rPr>
          <w:rFonts w:ascii="宋体" w:hAnsi="宋体" w:eastAsia="宋体"/>
          <w:sz w:val="24"/>
          <w:highlight w:val="none"/>
        </w:rPr>
        <w:t>评标结果异议</w:t>
      </w:r>
    </w:p>
    <w:p>
      <w:pPr>
        <w:spacing w:line="367" w:lineRule="exact"/>
        <w:rPr>
          <w:rFonts w:ascii="Times New Roman" w:hAnsi="Times New Roman" w:eastAsia="Times New Roman"/>
          <w:highlight w:val="none"/>
        </w:rPr>
      </w:pPr>
    </w:p>
    <w:p>
      <w:pPr>
        <w:spacing w:line="0" w:lineRule="atLeast"/>
        <w:ind w:left="480"/>
        <w:rPr>
          <w:rFonts w:ascii="宋体" w:hAnsi="宋体" w:eastAsia="宋体"/>
          <w:sz w:val="24"/>
          <w:highlight w:val="none"/>
        </w:rPr>
      </w:pPr>
      <w:r>
        <w:rPr>
          <w:rFonts w:ascii="宋体" w:hAnsi="宋体" w:eastAsia="宋体"/>
          <w:sz w:val="24"/>
          <w:highlight w:val="none"/>
        </w:rPr>
        <w:t>投标人或其他利害关系人对依法必须进行招标的项目的评标结果有异议的，应在</w:t>
      </w:r>
    </w:p>
    <w:p>
      <w:pPr>
        <w:spacing w:line="153" w:lineRule="exact"/>
        <w:rPr>
          <w:rFonts w:ascii="Times New Roman" w:hAnsi="Times New Roman" w:eastAsia="Times New Roman"/>
          <w:highlight w:val="none"/>
        </w:rPr>
      </w:pPr>
    </w:p>
    <w:p>
      <w:pPr>
        <w:spacing w:line="310" w:lineRule="auto"/>
        <w:rPr>
          <w:rFonts w:ascii="宋体" w:hAnsi="宋体" w:eastAsia="宋体"/>
          <w:sz w:val="24"/>
          <w:highlight w:val="none"/>
        </w:rPr>
      </w:pPr>
      <w:r>
        <w:rPr>
          <w:rFonts w:ascii="宋体" w:hAnsi="宋体" w:eastAsia="宋体"/>
          <w:sz w:val="24"/>
          <w:highlight w:val="none"/>
        </w:rPr>
        <w:t xml:space="preserve">中标候选人公示期间提出。招标人将在收到异议之日起 </w:t>
      </w:r>
      <w:r>
        <w:rPr>
          <w:rFonts w:ascii="Times New Roman" w:hAnsi="Times New Roman" w:eastAsia="Times New Roman"/>
          <w:sz w:val="24"/>
          <w:highlight w:val="none"/>
        </w:rPr>
        <w:t>3</w:t>
      </w:r>
      <w:r>
        <w:rPr>
          <w:rFonts w:ascii="宋体" w:hAnsi="宋体" w:eastAsia="宋体"/>
          <w:sz w:val="24"/>
          <w:highlight w:val="none"/>
        </w:rPr>
        <w:t xml:space="preserve"> 日内作出答复；作出答复前，将暂停招标投标活动。</w:t>
      </w:r>
    </w:p>
    <w:p>
      <w:pPr>
        <w:spacing w:line="195" w:lineRule="exact"/>
        <w:rPr>
          <w:rFonts w:ascii="Times New Roman" w:hAnsi="Times New Roman" w:eastAsia="Times New Roman"/>
          <w:highlight w:val="none"/>
        </w:rPr>
      </w:pPr>
    </w:p>
    <w:p>
      <w:pPr>
        <w:numPr>
          <w:numId w:val="0"/>
        </w:numPr>
        <w:tabs>
          <w:tab w:val="left" w:pos="480"/>
        </w:tabs>
        <w:spacing w:line="0" w:lineRule="atLeast"/>
        <w:jc w:val="both"/>
        <w:rPr>
          <w:rFonts w:ascii="黑体" w:hAnsi="黑体" w:eastAsia="黑体"/>
          <w:sz w:val="24"/>
          <w:highlight w:val="none"/>
        </w:rPr>
      </w:pPr>
      <w:r>
        <w:rPr>
          <w:rFonts w:hint="eastAsia" w:ascii="宋体" w:hAnsi="宋体"/>
          <w:sz w:val="24"/>
          <w:highlight w:val="none"/>
          <w:lang w:val="en-US" w:eastAsia="zh-CN"/>
        </w:rPr>
        <w:t>10.3</w:t>
      </w:r>
      <w:r>
        <w:rPr>
          <w:rFonts w:ascii="宋体" w:hAnsi="宋体" w:eastAsia="宋体"/>
          <w:sz w:val="24"/>
          <w:highlight w:val="none"/>
        </w:rPr>
        <w:t>中标候选人履约能力审查</w:t>
      </w:r>
    </w:p>
    <w:p>
      <w:pPr>
        <w:spacing w:line="364" w:lineRule="exact"/>
        <w:rPr>
          <w:rFonts w:ascii="黑体" w:hAnsi="黑体" w:eastAsia="黑体"/>
          <w:sz w:val="24"/>
          <w:highlight w:val="none"/>
        </w:rPr>
      </w:pPr>
    </w:p>
    <w:p>
      <w:pPr>
        <w:spacing w:line="316" w:lineRule="auto"/>
        <w:ind w:right="100" w:firstLine="480" w:firstLineChars="200"/>
        <w:rPr>
          <w:rFonts w:ascii="宋体" w:hAnsi="宋体" w:eastAsia="宋体"/>
          <w:sz w:val="24"/>
          <w:highlight w:val="none"/>
        </w:rPr>
      </w:pPr>
      <w:r>
        <w:rPr>
          <w:rFonts w:ascii="宋体" w:hAnsi="宋体" w:eastAsia="宋体"/>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line="192" w:lineRule="exact"/>
        <w:rPr>
          <w:rFonts w:ascii="Times New Roman" w:hAnsi="Times New Roman" w:eastAsia="Times New Roman"/>
          <w:highlight w:val="none"/>
        </w:rPr>
      </w:pPr>
    </w:p>
    <w:p>
      <w:pPr>
        <w:spacing w:line="0" w:lineRule="atLeast"/>
        <w:rPr>
          <w:rFonts w:ascii="宋体" w:hAnsi="宋体" w:eastAsia="宋体"/>
          <w:sz w:val="24"/>
          <w:highlight w:val="none"/>
        </w:rPr>
      </w:pPr>
      <w:r>
        <w:rPr>
          <w:rFonts w:hint="eastAsia" w:ascii="黑体" w:hAnsi="黑体" w:eastAsia="黑体"/>
          <w:sz w:val="24"/>
          <w:highlight w:val="none"/>
          <w:lang w:val="en-US" w:eastAsia="zh-CN"/>
        </w:rPr>
        <w:t>10.4</w:t>
      </w:r>
      <w:r>
        <w:rPr>
          <w:rFonts w:ascii="黑体" w:hAnsi="黑体" w:eastAsia="黑体"/>
          <w:sz w:val="24"/>
          <w:highlight w:val="none"/>
        </w:rPr>
        <w:t xml:space="preserve"> </w:t>
      </w:r>
      <w:r>
        <w:rPr>
          <w:rFonts w:ascii="宋体" w:hAnsi="宋体" w:eastAsia="宋体"/>
          <w:sz w:val="24"/>
          <w:highlight w:val="none"/>
        </w:rPr>
        <w:t>定标</w:t>
      </w:r>
    </w:p>
    <w:p>
      <w:pPr>
        <w:spacing w:line="367" w:lineRule="exact"/>
        <w:rPr>
          <w:rFonts w:ascii="Times New Roman" w:hAnsi="Times New Roman" w:eastAsia="Times New Roman"/>
          <w:highlight w:val="none"/>
        </w:rPr>
      </w:pPr>
    </w:p>
    <w:p>
      <w:pPr>
        <w:spacing w:line="0" w:lineRule="atLeast"/>
        <w:ind w:left="480"/>
        <w:rPr>
          <w:rFonts w:ascii="宋体" w:hAnsi="宋体" w:eastAsia="宋体"/>
          <w:sz w:val="24"/>
          <w:highlight w:val="none"/>
        </w:rPr>
      </w:pPr>
      <w:r>
        <w:rPr>
          <w:rFonts w:ascii="宋体" w:hAnsi="宋体" w:eastAsia="宋体"/>
          <w:sz w:val="24"/>
          <w:highlight w:val="none"/>
        </w:rPr>
        <w:t>按照投标人须知前附表的规定，招标人或招标人授权的评标委员会依法确定中标</w:t>
      </w:r>
    </w:p>
    <w:p>
      <w:pPr>
        <w:spacing w:line="125" w:lineRule="exact"/>
        <w:rPr>
          <w:rFonts w:ascii="Times New Roman" w:hAnsi="Times New Roman" w:eastAsia="Times New Roman"/>
          <w:highlight w:val="none"/>
        </w:rPr>
      </w:pPr>
    </w:p>
    <w:p>
      <w:pPr>
        <w:spacing w:line="0" w:lineRule="atLeast"/>
        <w:rPr>
          <w:rFonts w:ascii="宋体" w:hAnsi="宋体" w:eastAsia="宋体"/>
          <w:sz w:val="24"/>
          <w:highlight w:val="none"/>
        </w:rPr>
      </w:pPr>
      <w:r>
        <w:rPr>
          <w:rFonts w:ascii="宋体" w:hAnsi="宋体" w:eastAsia="宋体"/>
          <w:sz w:val="24"/>
          <w:highlight w:val="none"/>
        </w:rPr>
        <w:t>人。</w:t>
      </w:r>
    </w:p>
    <w:p>
      <w:pPr>
        <w:spacing w:line="278" w:lineRule="exact"/>
        <w:rPr>
          <w:rFonts w:ascii="Times New Roman" w:hAnsi="Times New Roman" w:eastAsia="Times New Roman"/>
          <w:highlight w:val="none"/>
        </w:rPr>
      </w:pPr>
    </w:p>
    <w:p>
      <w:pPr>
        <w:spacing w:line="0" w:lineRule="atLeast"/>
        <w:rPr>
          <w:rFonts w:ascii="宋体" w:hAnsi="宋体" w:eastAsia="宋体"/>
          <w:sz w:val="24"/>
          <w:highlight w:val="none"/>
        </w:rPr>
      </w:pPr>
      <w:r>
        <w:rPr>
          <w:rFonts w:hint="eastAsia" w:ascii="黑体" w:hAnsi="黑体" w:eastAsia="黑体"/>
          <w:sz w:val="24"/>
          <w:highlight w:val="none"/>
          <w:lang w:val="en-US" w:eastAsia="zh-CN"/>
        </w:rPr>
        <w:t>10</w:t>
      </w:r>
      <w:r>
        <w:rPr>
          <w:rFonts w:ascii="黑体" w:hAnsi="黑体" w:eastAsia="黑体"/>
          <w:sz w:val="24"/>
          <w:highlight w:val="none"/>
        </w:rPr>
        <w:t xml:space="preserve">.5 </w:t>
      </w:r>
      <w:r>
        <w:rPr>
          <w:rFonts w:ascii="宋体" w:hAnsi="宋体" w:eastAsia="宋体"/>
          <w:sz w:val="24"/>
          <w:highlight w:val="none"/>
        </w:rPr>
        <w:t>中标通知</w:t>
      </w:r>
    </w:p>
    <w:p>
      <w:pPr>
        <w:spacing w:line="396" w:lineRule="exact"/>
        <w:rPr>
          <w:rFonts w:ascii="Times New Roman" w:hAnsi="Times New Roman" w:eastAsia="Times New Roman"/>
          <w:highlight w:val="none"/>
        </w:rPr>
      </w:pPr>
    </w:p>
    <w:p>
      <w:pPr>
        <w:spacing w:line="308" w:lineRule="auto"/>
        <w:ind w:right="100" w:firstLine="480"/>
        <w:rPr>
          <w:rFonts w:ascii="宋体" w:hAnsi="宋体" w:eastAsia="宋体"/>
          <w:sz w:val="24"/>
          <w:highlight w:val="none"/>
        </w:rPr>
      </w:pPr>
      <w:r>
        <w:rPr>
          <w:rFonts w:ascii="宋体" w:hAnsi="宋体" w:eastAsia="宋体"/>
          <w:sz w:val="24"/>
          <w:highlight w:val="none"/>
        </w:rPr>
        <w:t xml:space="preserve">在本章第 </w:t>
      </w:r>
      <w:r>
        <w:rPr>
          <w:rFonts w:ascii="Times New Roman" w:hAnsi="Times New Roman" w:eastAsia="Times New Roman"/>
          <w:sz w:val="24"/>
          <w:highlight w:val="none"/>
        </w:rPr>
        <w:t>3.3</w:t>
      </w:r>
      <w:r>
        <w:rPr>
          <w:rFonts w:ascii="宋体" w:hAnsi="宋体" w:eastAsia="宋体"/>
          <w:sz w:val="24"/>
          <w:highlight w:val="none"/>
        </w:rPr>
        <w:t xml:space="preserve"> 款规定的投标有效期内，招标人以投标人须知前附表规定的形式向中标人发出中标通知书，同时将中标结果通知未中标的投标人。</w:t>
      </w:r>
    </w:p>
    <w:p>
      <w:pPr>
        <w:spacing w:line="196" w:lineRule="exact"/>
        <w:rPr>
          <w:rFonts w:ascii="Times New Roman" w:hAnsi="Times New Roman" w:eastAsia="Times New Roman"/>
          <w:highlight w:val="none"/>
        </w:rPr>
      </w:pPr>
    </w:p>
    <w:p>
      <w:pPr>
        <w:spacing w:line="0" w:lineRule="atLeast"/>
        <w:rPr>
          <w:rFonts w:ascii="宋体" w:hAnsi="宋体" w:eastAsia="宋体"/>
          <w:sz w:val="24"/>
          <w:highlight w:val="none"/>
        </w:rPr>
      </w:pPr>
      <w:r>
        <w:rPr>
          <w:rFonts w:hint="eastAsia" w:ascii="黑体" w:hAnsi="黑体" w:eastAsia="黑体"/>
          <w:sz w:val="24"/>
          <w:highlight w:val="none"/>
          <w:lang w:val="en-US" w:eastAsia="zh-CN"/>
        </w:rPr>
        <w:t>10</w:t>
      </w:r>
      <w:r>
        <w:rPr>
          <w:rFonts w:ascii="黑体" w:hAnsi="黑体" w:eastAsia="黑体"/>
          <w:sz w:val="24"/>
          <w:highlight w:val="none"/>
        </w:rPr>
        <w:t xml:space="preserve">.6 </w:t>
      </w:r>
      <w:r>
        <w:rPr>
          <w:rFonts w:ascii="宋体" w:hAnsi="宋体" w:eastAsia="宋体"/>
          <w:sz w:val="24"/>
          <w:highlight w:val="none"/>
        </w:rPr>
        <w:t>中标结果公告</w:t>
      </w:r>
    </w:p>
    <w:p>
      <w:pPr>
        <w:spacing w:line="395" w:lineRule="exact"/>
        <w:rPr>
          <w:rFonts w:ascii="Times New Roman" w:hAnsi="Times New Roman" w:eastAsia="Times New Roman"/>
          <w:highlight w:val="none"/>
        </w:rPr>
      </w:pPr>
    </w:p>
    <w:p>
      <w:pPr>
        <w:spacing w:line="304" w:lineRule="auto"/>
        <w:ind w:right="100" w:firstLine="480"/>
        <w:rPr>
          <w:rFonts w:ascii="宋体" w:hAnsi="宋体" w:eastAsia="宋体"/>
          <w:sz w:val="24"/>
          <w:highlight w:val="none"/>
        </w:rPr>
      </w:pPr>
      <w:r>
        <w:rPr>
          <w:rFonts w:ascii="宋体" w:hAnsi="宋体" w:eastAsia="宋体"/>
          <w:sz w:val="24"/>
          <w:highlight w:val="none"/>
        </w:rPr>
        <w:t xml:space="preserve">招标人在确定中标人之日起 </w:t>
      </w:r>
      <w:r>
        <w:rPr>
          <w:rFonts w:ascii="Times New Roman" w:hAnsi="Times New Roman" w:eastAsia="Times New Roman"/>
          <w:sz w:val="24"/>
          <w:highlight w:val="none"/>
        </w:rPr>
        <w:t>3</w:t>
      </w:r>
      <w:r>
        <w:rPr>
          <w:rFonts w:ascii="宋体" w:hAnsi="宋体" w:eastAsia="宋体"/>
          <w:sz w:val="24"/>
          <w:highlight w:val="none"/>
        </w:rPr>
        <w:t xml:space="preserve"> 日内，按照投标人须知前附表规定的公告媒介和期限公告中标结果，公告期不得少于 </w:t>
      </w:r>
      <w:r>
        <w:rPr>
          <w:rFonts w:ascii="Times New Roman" w:hAnsi="Times New Roman" w:eastAsia="Times New Roman"/>
          <w:sz w:val="24"/>
          <w:highlight w:val="none"/>
        </w:rPr>
        <w:t>3</w:t>
      </w:r>
      <w:r>
        <w:rPr>
          <w:rFonts w:ascii="宋体" w:hAnsi="宋体" w:eastAsia="宋体"/>
          <w:sz w:val="24"/>
          <w:highlight w:val="none"/>
        </w:rPr>
        <w:t xml:space="preserve"> 日。公告内容包括中标人名称、中标价。</w:t>
      </w:r>
    </w:p>
    <w:p>
      <w:pPr>
        <w:spacing w:line="183" w:lineRule="exact"/>
        <w:rPr>
          <w:rFonts w:ascii="Times New Roman" w:hAnsi="Times New Roman" w:eastAsia="Times New Roman"/>
          <w:highlight w:val="none"/>
        </w:rPr>
      </w:pPr>
    </w:p>
    <w:p>
      <w:pPr>
        <w:spacing w:line="180" w:lineRule="exact"/>
        <w:rPr>
          <w:rFonts w:ascii="Times New Roman" w:hAnsi="Times New Roman" w:eastAsia="Times New Roman"/>
          <w:sz w:val="24"/>
          <w:highlight w:val="none"/>
        </w:rPr>
      </w:pPr>
    </w:p>
    <w:p>
      <w:pPr>
        <w:numPr>
          <w:numId w:val="0"/>
        </w:numPr>
        <w:tabs>
          <w:tab w:val="left" w:pos="480"/>
        </w:tabs>
        <w:spacing w:line="0" w:lineRule="atLeast"/>
        <w:ind w:left="9" w:leftChars="0"/>
        <w:jc w:val="both"/>
        <w:rPr>
          <w:rFonts w:ascii="宋体" w:hAnsi="宋体" w:eastAsia="宋体"/>
          <w:sz w:val="24"/>
          <w:highlight w:val="none"/>
        </w:rPr>
      </w:pPr>
      <w:r>
        <w:rPr>
          <w:rFonts w:hint="eastAsia" w:ascii="宋体" w:hAnsi="宋体"/>
          <w:sz w:val="24"/>
          <w:highlight w:val="none"/>
          <w:lang w:val="en-US" w:eastAsia="zh-CN"/>
        </w:rPr>
        <w:t>10.7</w:t>
      </w:r>
      <w:r>
        <w:rPr>
          <w:rFonts w:ascii="宋体" w:hAnsi="宋体" w:eastAsia="宋体"/>
          <w:sz w:val="24"/>
          <w:highlight w:val="none"/>
        </w:rPr>
        <w:t>签订合同</w:t>
      </w:r>
    </w:p>
    <w:p>
      <w:pPr>
        <w:spacing w:line="304" w:lineRule="auto"/>
        <w:ind w:right="100" w:firstLine="480"/>
        <w:rPr>
          <w:rFonts w:ascii="宋体" w:hAnsi="宋体" w:eastAsia="宋体"/>
          <w:sz w:val="24"/>
          <w:highlight w:val="none"/>
        </w:rPr>
      </w:pPr>
      <w:r>
        <w:rPr>
          <w:rFonts w:hint="eastAsia" w:ascii="宋体" w:hAnsi="宋体"/>
          <w:sz w:val="24"/>
          <w:highlight w:val="none"/>
          <w:lang w:val="en-US" w:eastAsia="zh-CN"/>
        </w:rPr>
        <w:t>10</w:t>
      </w:r>
      <w:r>
        <w:rPr>
          <w:rFonts w:hint="eastAsia" w:ascii="宋体" w:hAnsi="宋体" w:eastAsia="宋体"/>
          <w:sz w:val="24"/>
          <w:highlight w:val="none"/>
          <w:lang w:val="en-US" w:eastAsia="zh-CN"/>
        </w:rPr>
        <w:t>.7.</w:t>
      </w:r>
      <w:r>
        <w:rPr>
          <w:rFonts w:hint="eastAsia" w:ascii="宋体" w:hAnsi="宋体"/>
          <w:sz w:val="24"/>
          <w:highlight w:val="none"/>
          <w:lang w:val="en-US" w:eastAsia="zh-CN"/>
        </w:rPr>
        <w:t>1</w:t>
      </w:r>
      <w:r>
        <w:rPr>
          <w:rFonts w:ascii="宋体" w:hAnsi="宋体" w:eastAsia="宋体"/>
          <w:sz w:val="24"/>
          <w:highlight w:val="none"/>
        </w:rPr>
        <w:t>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spacing w:line="304" w:lineRule="auto"/>
        <w:ind w:right="100" w:firstLine="480"/>
        <w:rPr>
          <w:rFonts w:ascii="宋体" w:hAnsi="宋体" w:eastAsia="宋体"/>
          <w:sz w:val="24"/>
          <w:highlight w:val="none"/>
        </w:rPr>
      </w:pPr>
      <w:r>
        <w:rPr>
          <w:rFonts w:hint="eastAsia" w:ascii="宋体" w:hAnsi="宋体"/>
          <w:sz w:val="24"/>
          <w:highlight w:val="none"/>
          <w:lang w:val="en-US" w:eastAsia="zh-CN"/>
        </w:rPr>
        <w:t>10.7.2</w:t>
      </w:r>
      <w:r>
        <w:rPr>
          <w:rFonts w:ascii="宋体" w:hAnsi="宋体" w:eastAsia="宋体"/>
          <w:sz w:val="24"/>
          <w:highlight w:val="none"/>
        </w:rPr>
        <w:t>发出中标通知书后，招标人无正当理由拒签合同，或在签订合同时向中标人提出附加条件的，招标人向中标人退还投标保证金；给中标人造成损失的，还应赔偿损失。</w:t>
      </w:r>
    </w:p>
    <w:p>
      <w:pPr>
        <w:numPr>
          <w:numId w:val="0"/>
        </w:numPr>
        <w:tabs>
          <w:tab w:val="left" w:pos="1080"/>
        </w:tabs>
        <w:spacing w:line="339" w:lineRule="auto"/>
        <w:ind w:right="100" w:firstLine="480" w:firstLineChars="200"/>
        <w:jc w:val="both"/>
        <w:rPr>
          <w:rFonts w:ascii="宋体" w:hAnsi="宋体" w:eastAsia="宋体"/>
          <w:sz w:val="24"/>
          <w:highlight w:val="none"/>
        </w:rPr>
      </w:pPr>
      <w:r>
        <w:rPr>
          <w:rFonts w:hint="eastAsia" w:ascii="宋体" w:hAnsi="宋体"/>
          <w:sz w:val="24"/>
          <w:highlight w:val="none"/>
          <w:lang w:val="en-US" w:eastAsia="zh-CN"/>
        </w:rPr>
        <w:t>10</w:t>
      </w:r>
      <w:r>
        <w:rPr>
          <w:rFonts w:ascii="宋体" w:hAnsi="宋体" w:eastAsia="宋体"/>
          <w:sz w:val="24"/>
          <w:highlight w:val="none"/>
        </w:rPr>
        <w:t>.</w:t>
      </w:r>
      <w:r>
        <w:rPr>
          <w:rFonts w:hint="eastAsia" w:ascii="宋体" w:hAnsi="宋体"/>
          <w:sz w:val="24"/>
          <w:highlight w:val="none"/>
          <w:lang w:val="en-US" w:eastAsia="zh-CN"/>
        </w:rPr>
        <w:t>7</w:t>
      </w:r>
      <w:r>
        <w:rPr>
          <w:rFonts w:ascii="宋体" w:hAnsi="宋体" w:eastAsia="宋体"/>
          <w:sz w:val="24"/>
          <w:highlight w:val="none"/>
        </w:rPr>
        <w:t>.3 签约合同价的确定原则如下：</w:t>
      </w:r>
    </w:p>
    <w:p>
      <w:pPr>
        <w:numPr>
          <w:numId w:val="0"/>
        </w:numPr>
        <w:tabs>
          <w:tab w:val="left" w:pos="1080"/>
        </w:tabs>
        <w:spacing w:line="339" w:lineRule="auto"/>
        <w:ind w:right="100" w:firstLine="480" w:firstLineChars="200"/>
        <w:jc w:val="both"/>
        <w:rPr>
          <w:rFonts w:ascii="宋体" w:hAnsi="宋体" w:eastAsia="宋体"/>
          <w:sz w:val="24"/>
          <w:highlight w:val="none"/>
        </w:rPr>
      </w:pPr>
      <w:r>
        <w:rPr>
          <w:rFonts w:ascii="宋体" w:hAnsi="宋体" w:eastAsia="宋体"/>
          <w:sz w:val="24"/>
          <w:highlight w:val="none"/>
        </w:rPr>
        <w:t>（1）按照评标办法规定对投标报价进行修正后，若修正后的最终投标报价小于开标时的投标函大写金额报价，则签订合同时以修正后的最终投标报价为准；</w:t>
      </w:r>
    </w:p>
    <w:p>
      <w:pPr>
        <w:spacing w:line="153" w:lineRule="exact"/>
        <w:rPr>
          <w:rFonts w:ascii="Times New Roman" w:hAnsi="Times New Roman" w:eastAsia="Times New Roman"/>
          <w:highlight w:val="none"/>
        </w:rPr>
      </w:pPr>
    </w:p>
    <w:p>
      <w:pPr>
        <w:numPr>
          <w:ilvl w:val="0"/>
          <w:numId w:val="3"/>
        </w:numPr>
        <w:spacing w:line="328" w:lineRule="auto"/>
        <w:ind w:left="0" w:leftChars="0" w:firstLine="480" w:firstLineChars="200"/>
        <w:jc w:val="both"/>
        <w:rPr>
          <w:rFonts w:ascii="宋体" w:hAnsi="宋体" w:eastAsia="宋体"/>
          <w:sz w:val="24"/>
          <w:highlight w:val="none"/>
        </w:rPr>
      </w:pPr>
      <w:r>
        <w:rPr>
          <w:rFonts w:ascii="宋体" w:hAnsi="宋体" w:eastAsia="宋体"/>
          <w:sz w:val="24"/>
          <w:highlight w:val="none"/>
        </w:rPr>
        <w:t>按照评标办法规定对投标报价进行修正后，若修正后的最终投标报价大于开标时的投标函大写金额报价，则签订合同时以开标时的投标函大写金额报价为准，同时按比例修正相应子目的单价或合价。</w:t>
      </w:r>
    </w:p>
    <w:p>
      <w:pPr>
        <w:pStyle w:val="5"/>
        <w:widowControl/>
        <w:spacing w:before="0" w:beforeAutospacing="0" w:after="0" w:afterAutospacing="0" w:line="400" w:lineRule="exact"/>
        <w:ind w:left="0" w:right="0"/>
        <w:rPr>
          <w:rFonts w:ascii="宋体" w:hAnsi="宋体" w:eastAsia="宋体"/>
          <w:sz w:val="24"/>
          <w:highlight w:val="none"/>
        </w:rPr>
      </w:pPr>
      <w:r>
        <w:rPr>
          <w:rFonts w:hint="eastAsia" w:ascii="宋体" w:hAnsi="宋体" w:eastAsia="宋体"/>
          <w:sz w:val="24"/>
          <w:highlight w:val="none"/>
          <w:lang w:val="en-US" w:eastAsia="zh-CN"/>
        </w:rPr>
        <w:t>10.7.4</w:t>
      </w:r>
      <w:r>
        <w:rPr>
          <w:rFonts w:ascii="宋体" w:hAnsi="宋体" w:eastAsia="宋体"/>
          <w:sz w:val="24"/>
          <w:highlight w:val="none"/>
        </w:rPr>
        <w:t>招标人和中标人在签订合同协议书的同时，须按照本招标文件规定的格式和</w:t>
      </w:r>
      <w:r>
        <w:rPr>
          <w:rFonts w:hint="eastAsia" w:ascii="宋体" w:hAnsi="宋体" w:eastAsia="宋体"/>
          <w:sz w:val="24"/>
          <w:highlight w:val="none"/>
          <w:lang w:eastAsia="zh-CN"/>
        </w:rPr>
        <w:t>要</w:t>
      </w:r>
      <w:r>
        <w:rPr>
          <w:rFonts w:ascii="宋体" w:hAnsi="宋体" w:eastAsia="宋体"/>
          <w:sz w:val="24"/>
          <w:highlight w:val="none"/>
        </w:rPr>
        <w:t>求签订廉政合同及安全生产合同，明确双方在廉政建设和安全生产方面的权利和义务以及应承担的违约责任。</w:t>
      </w:r>
    </w:p>
    <w:p>
      <w:pPr>
        <w:spacing w:line="400" w:lineRule="exact"/>
        <w:rPr>
          <w:rFonts w:ascii="宋体" w:hAnsi="宋体" w:eastAsia="宋体"/>
          <w:b/>
          <w:bCs/>
          <w:sz w:val="24"/>
          <w:highlight w:val="none"/>
        </w:rPr>
      </w:pPr>
    </w:p>
    <w:p>
      <w:pPr>
        <w:spacing w:line="400" w:lineRule="exact"/>
        <w:rPr>
          <w:rFonts w:ascii="宋体" w:hAnsi="宋体" w:eastAsia="宋体"/>
          <w:b/>
          <w:bCs/>
          <w:sz w:val="24"/>
          <w:highlight w:val="none"/>
        </w:rPr>
      </w:pPr>
      <w:r>
        <w:rPr>
          <w:rFonts w:ascii="宋体" w:hAnsi="宋体" w:eastAsia="宋体"/>
          <w:b/>
          <w:bCs/>
          <w:sz w:val="24"/>
          <w:highlight w:val="none"/>
        </w:rPr>
        <w:t>1</w:t>
      </w:r>
      <w:r>
        <w:rPr>
          <w:rFonts w:hint="eastAsia" w:ascii="宋体" w:hAnsi="宋体"/>
          <w:b/>
          <w:bCs/>
          <w:sz w:val="24"/>
          <w:highlight w:val="none"/>
          <w:lang w:val="en-US" w:eastAsia="zh-CN"/>
        </w:rPr>
        <w:t>1.</w:t>
      </w:r>
      <w:r>
        <w:rPr>
          <w:rFonts w:hint="eastAsia" w:ascii="宋体" w:hAnsi="宋体" w:eastAsia="宋体"/>
          <w:b/>
          <w:bCs/>
          <w:sz w:val="24"/>
          <w:highlight w:val="none"/>
          <w:lang w:val="en-US" w:eastAsia="zh-CN"/>
        </w:rPr>
        <w:t xml:space="preserve"> </w:t>
      </w:r>
      <w:r>
        <w:rPr>
          <w:rFonts w:ascii="宋体" w:hAnsi="宋体" w:eastAsia="宋体"/>
          <w:b/>
          <w:bCs/>
          <w:sz w:val="24"/>
          <w:highlight w:val="none"/>
        </w:rPr>
        <w:t>需要补充的其他内容</w:t>
      </w:r>
      <w:bookmarkEnd w:id="195"/>
      <w:bookmarkEnd w:id="196"/>
      <w:bookmarkEnd w:id="197"/>
      <w:bookmarkEnd w:id="198"/>
    </w:p>
    <w:p>
      <w:pPr>
        <w:spacing w:line="400" w:lineRule="exact"/>
        <w:ind w:firstLine="480" w:firstLineChars="200"/>
        <w:rPr>
          <w:rFonts w:ascii="宋体" w:hAnsi="宋体" w:eastAsia="宋体"/>
          <w:sz w:val="24"/>
          <w:highlight w:val="none"/>
        </w:rPr>
      </w:pPr>
      <w:r>
        <w:rPr>
          <w:rFonts w:ascii="宋体" w:hAnsi="宋体" w:eastAsia="宋体"/>
          <w:sz w:val="24"/>
          <w:highlight w:val="none"/>
        </w:rPr>
        <w:t>需要补充的其他内容：见投标人须知前附表。</w:t>
      </w:r>
    </w:p>
    <w:p>
      <w:pPr>
        <w:rPr>
          <w:rFonts w:ascii="宋体" w:hAnsi="宋体"/>
          <w:color w:val="auto"/>
          <w:sz w:val="24"/>
          <w:highlight w:val="none"/>
        </w:rPr>
      </w:pPr>
      <w:bookmarkStart w:id="199" w:name="_Toc234382644"/>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480" w:lineRule="exact"/>
        <w:jc w:val="left"/>
        <w:rPr>
          <w:rFonts w:hint="eastAsia" w:ascii="方正小标宋简体" w:hAnsi="黑体" w:eastAsia="方正小标宋简体"/>
          <w:b/>
          <w:bCs/>
          <w:sz w:val="32"/>
          <w:szCs w:val="32"/>
          <w:highlight w:val="none"/>
        </w:rPr>
      </w:pPr>
      <w:r>
        <w:rPr>
          <w:rFonts w:hint="eastAsia" w:ascii="方正小标宋简体" w:hAnsi="黑体" w:eastAsia="方正小标宋简体"/>
          <w:b/>
          <w:bCs/>
          <w:sz w:val="32"/>
          <w:szCs w:val="32"/>
          <w:highlight w:val="none"/>
        </w:rPr>
        <w:br w:type="page"/>
      </w:r>
    </w:p>
    <w:p>
      <w:pPr>
        <w:spacing w:line="480" w:lineRule="exact"/>
        <w:jc w:val="left"/>
        <w:rPr>
          <w:rFonts w:hint="eastAsia" w:ascii="方正小标宋简体" w:hAnsi="黑体" w:eastAsia="方正小标宋简体"/>
          <w:b/>
          <w:bCs/>
          <w:sz w:val="32"/>
          <w:szCs w:val="32"/>
          <w:highlight w:val="none"/>
        </w:rPr>
      </w:pPr>
      <w:r>
        <w:rPr>
          <w:rFonts w:hint="eastAsia" w:ascii="方正小标宋简体" w:hAnsi="黑体" w:eastAsia="方正小标宋简体"/>
          <w:b/>
          <w:bCs/>
          <w:sz w:val="32"/>
          <w:szCs w:val="32"/>
          <w:highlight w:val="none"/>
        </w:rPr>
        <w:t>附表一：投标保证金</w:t>
      </w:r>
    </w:p>
    <w:tbl>
      <w:tblPr>
        <w:tblpPr w:leftFromText="180" w:rightFromText="180" w:vertAnchor="text" w:horzAnchor="margin" w:tblpXSpec="center" w:tblpY="552"/>
        <w:tblW w:w="9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500" w:lineRule="exact"/>
              <w:ind w:left="0" w:right="0"/>
              <w:jc w:val="center"/>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仿宋_GB2312" w:hAnsi="宋体" w:eastAsia="仿宋_GB2312" w:cs="宋体"/>
                <w:bCs/>
                <w:kern w:val="2"/>
                <w:sz w:val="24"/>
                <w:szCs w:val="22"/>
                <w:highlight w:val="none"/>
              </w:rPr>
            </w:pPr>
            <w:r>
              <w:rPr>
                <w:rFonts w:hint="eastAsia" w:ascii="仿宋_GB2312" w:hAnsi="宋体" w:eastAsia="仿宋_GB2312" w:cs="宋体"/>
                <w:bCs/>
                <w:kern w:val="2"/>
                <w:sz w:val="24"/>
                <w:szCs w:val="22"/>
                <w:highlight w:val="none"/>
              </w:rPr>
              <w:t>建安</w:t>
            </w:r>
            <w:r>
              <w:rPr>
                <w:rFonts w:hint="eastAsia" w:ascii="仿宋_GB2312" w:hAnsi="宋体" w:eastAsia="仿宋_GB2312" w:cs="宋体"/>
                <w:bCs/>
                <w:kern w:val="2"/>
                <w:sz w:val="24"/>
                <w:szCs w:val="22"/>
                <w:highlight w:val="none"/>
                <w:lang w:eastAsia="zh-CN"/>
              </w:rPr>
              <w:t>建工公</w:t>
            </w:r>
            <w:r>
              <w:rPr>
                <w:rFonts w:hint="eastAsia" w:ascii="仿宋_GB2312" w:hAnsi="宋体" w:eastAsia="仿宋_GB2312" w:cs="宋体"/>
                <w:bCs/>
                <w:kern w:val="2"/>
                <w:sz w:val="24"/>
                <w:szCs w:val="22"/>
                <w:highlight w:val="none"/>
              </w:rPr>
              <w:t>字〔2018〕</w:t>
            </w:r>
            <w:r>
              <w:rPr>
                <w:rFonts w:hint="eastAsia" w:ascii="仿宋_GB2312" w:hAnsi="宋体" w:eastAsia="仿宋_GB2312" w:cs="宋体"/>
                <w:bCs/>
                <w:kern w:val="2"/>
                <w:sz w:val="24"/>
                <w:szCs w:val="22"/>
                <w:highlight w:val="none"/>
                <w:lang w:val="en-US" w:eastAsia="zh-CN"/>
              </w:rPr>
              <w:t>213</w:t>
            </w:r>
            <w:r>
              <w:rPr>
                <w:rFonts w:hint="eastAsia" w:ascii="仿宋_GB2312" w:hAnsi="宋体" w:eastAsia="仿宋_GB2312" w:cs="宋体"/>
                <w:bCs/>
                <w:kern w:val="2"/>
                <w:sz w:val="24"/>
                <w:szCs w:val="22"/>
                <w:highlight w:val="none"/>
              </w:rPr>
              <w:t>号</w:t>
            </w:r>
          </w:p>
        </w:tc>
      </w:tr>
      <w:tr>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500" w:lineRule="exact"/>
              <w:ind w:left="0" w:right="0"/>
              <w:jc w:val="center"/>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项目名称</w:t>
            </w:r>
          </w:p>
        </w:tc>
        <w:tc>
          <w:tcPr>
            <w:tcW w:w="7950" w:type="dxa"/>
            <w:tcBorders>
              <w:top w:val="single" w:color="auto" w:sz="4" w:space="0"/>
              <w:left w:val="single" w:color="auto" w:sz="4" w:space="0"/>
              <w:bottom w:val="single" w:color="auto" w:sz="4" w:space="0"/>
              <w:right w:val="single" w:color="auto" w:sz="4" w:space="0"/>
            </w:tcBorders>
            <w:vAlign w:val="top"/>
          </w:tcPr>
          <w:p>
            <w:pPr>
              <w:adjustRightInd w:val="0"/>
              <w:spacing w:before="0" w:beforeAutospacing="0" w:after="0" w:afterAutospacing="0" w:line="500" w:lineRule="exact"/>
              <w:ind w:left="0" w:right="0"/>
              <w:jc w:val="center"/>
              <w:rPr>
                <w:rFonts w:hint="eastAsia" w:ascii="仿宋_GB2312" w:hAnsi="宋体" w:eastAsia="仿宋_GB2312" w:cs="宋体"/>
                <w:kern w:val="2"/>
                <w:sz w:val="24"/>
                <w:szCs w:val="22"/>
                <w:highlight w:val="none"/>
              </w:rPr>
            </w:pPr>
            <w:r>
              <w:rPr>
                <w:rFonts w:hint="eastAsia" w:ascii="仿宋_GB2312" w:hAnsi="宋体" w:eastAsia="仿宋_GB2312" w:cs="宋体"/>
                <w:bCs/>
                <w:kern w:val="2"/>
                <w:sz w:val="24"/>
                <w:szCs w:val="22"/>
                <w:highlight w:val="none"/>
              </w:rPr>
              <w:t>韩庄西桥（位村东桥）危桥改造项目</w:t>
            </w:r>
          </w:p>
        </w:tc>
      </w:tr>
      <w:tr>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500" w:lineRule="exact"/>
              <w:ind w:left="0" w:right="0"/>
              <w:jc w:val="center"/>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500" w:lineRule="exact"/>
              <w:ind w:left="0" w:right="0"/>
              <w:jc w:val="center"/>
              <w:rPr>
                <w:rFonts w:hint="eastAsia" w:ascii="仿宋_GB2312" w:hAnsi="宋体" w:eastAsia="仿宋_GB2312" w:cs="宋体"/>
                <w:kern w:val="2"/>
                <w:sz w:val="24"/>
                <w:szCs w:val="22"/>
                <w:highlight w:val="none"/>
                <w:lang w:val="en-US" w:eastAsia="zh-CN"/>
              </w:rPr>
            </w:pPr>
            <w:r>
              <w:rPr>
                <w:rFonts w:hint="eastAsia" w:ascii="仿宋_GB2312" w:hAnsi="宋体" w:eastAsia="仿宋_GB2312" w:cs="宋体"/>
                <w:kern w:val="2"/>
                <w:sz w:val="24"/>
                <w:szCs w:val="22"/>
                <w:highlight w:val="none"/>
                <w:lang w:val="en-US" w:eastAsia="zh-CN"/>
              </w:rPr>
              <w:t>/</w:t>
            </w:r>
          </w:p>
        </w:tc>
      </w:tr>
      <w:tr>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500" w:lineRule="exact"/>
              <w:ind w:left="0" w:right="0"/>
              <w:jc w:val="center"/>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投标保证金</w:t>
            </w:r>
          </w:p>
          <w:p>
            <w:pPr>
              <w:spacing w:before="0" w:beforeAutospacing="0" w:after="0" w:afterAutospacing="0" w:line="500" w:lineRule="exact"/>
              <w:ind w:left="0" w:right="0"/>
              <w:jc w:val="center"/>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before="0" w:beforeAutospacing="0" w:after="0" w:afterAutospacing="0" w:line="380" w:lineRule="exact"/>
              <w:ind w:left="0" w:right="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金额：</w:t>
            </w:r>
            <w:r>
              <w:rPr>
                <w:rFonts w:hint="eastAsia" w:ascii="仿宋_GB2312" w:hAnsi="宋体" w:eastAsia="仿宋_GB2312" w:cs="宋体"/>
                <w:kern w:val="2"/>
                <w:sz w:val="24"/>
                <w:szCs w:val="22"/>
                <w:highlight w:val="none"/>
                <w:lang w:eastAsia="zh-CN"/>
              </w:rPr>
              <w:t>人民币肆万元整</w:t>
            </w:r>
            <w:r>
              <w:rPr>
                <w:rFonts w:hint="eastAsia" w:ascii="仿宋_GB2312" w:hAnsi="宋体" w:eastAsia="仿宋_GB2312" w:cs="宋体"/>
                <w:kern w:val="2"/>
                <w:sz w:val="24"/>
                <w:szCs w:val="22"/>
                <w:highlight w:val="none"/>
              </w:rPr>
              <w:t xml:space="preserve">（ </w:t>
            </w:r>
            <w:r>
              <w:rPr>
                <w:rFonts w:hint="eastAsia" w:ascii="仿宋_GB2312" w:hAnsi="宋体" w:eastAsia="仿宋_GB2312" w:cs="宋体"/>
                <w:kern w:val="2"/>
                <w:sz w:val="24"/>
                <w:szCs w:val="22"/>
                <w:highlight w:val="none"/>
                <w:lang w:val="en-US" w:eastAsia="zh-CN"/>
              </w:rPr>
              <w:t>40000.00</w:t>
            </w:r>
            <w:r>
              <w:rPr>
                <w:rFonts w:hint="eastAsia" w:ascii="仿宋_GB2312" w:hAnsi="宋体" w:eastAsia="仿宋_GB2312" w:cs="宋体"/>
                <w:kern w:val="2"/>
                <w:sz w:val="24"/>
                <w:szCs w:val="22"/>
                <w:highlight w:val="none"/>
              </w:rPr>
              <w:t>元）</w:t>
            </w:r>
          </w:p>
        </w:tc>
      </w:tr>
      <w:tr>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before="0" w:beforeAutospacing="0" w:after="0" w:afterAutospacing="0" w:line="500" w:lineRule="exact"/>
              <w:ind w:left="0" w:right="0"/>
              <w:jc w:val="center"/>
              <w:rPr>
                <w:rFonts w:hint="eastAsia" w:ascii="仿宋_GB2312" w:hAnsi="宋体" w:eastAsia="仿宋_GB2312" w:cs="宋体"/>
                <w:kern w:val="2"/>
                <w:sz w:val="24"/>
                <w:szCs w:val="22"/>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before="0" w:beforeAutospacing="0" w:after="0" w:afterAutospacing="0" w:line="380" w:lineRule="exact"/>
              <w:ind w:left="0" w:right="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截止时间：同投标截止时间</w:t>
            </w:r>
          </w:p>
        </w:tc>
      </w:tr>
      <w:tr>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before="0" w:beforeAutospacing="0" w:after="0" w:afterAutospacing="0" w:line="500" w:lineRule="exact"/>
              <w:ind w:left="0" w:right="0"/>
              <w:jc w:val="center"/>
              <w:rPr>
                <w:rFonts w:hint="eastAsia" w:ascii="仿宋_GB2312" w:hAnsi="宋体" w:eastAsia="仿宋_GB2312" w:cs="宋体"/>
                <w:kern w:val="2"/>
                <w:sz w:val="24"/>
                <w:szCs w:val="22"/>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2、投标保证金缴纳方式：</w:t>
            </w:r>
          </w:p>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2.1投标人网上报名后，登录</w:t>
            </w:r>
            <w:r>
              <w:rPr>
                <w:rFonts w:hint="eastAsia" w:ascii="仿宋_GB2312" w:hAnsi="Calibri" w:eastAsia="仿宋_GB2312" w:cs="Calibri"/>
                <w:kern w:val="2"/>
                <w:sz w:val="21"/>
                <w:szCs w:val="22"/>
                <w:highlight w:val="none"/>
              </w:rPr>
              <w:fldChar w:fldCharType="begin"/>
            </w:r>
            <w:r>
              <w:rPr>
                <w:rFonts w:hint="eastAsia" w:ascii="仿宋_GB2312" w:hAnsi="Calibri" w:eastAsia="仿宋_GB2312" w:cs="Calibri"/>
                <w:kern w:val="2"/>
                <w:sz w:val="21"/>
                <w:szCs w:val="22"/>
                <w:highlight w:val="none"/>
              </w:rPr>
              <w:instrText xml:space="preserve">HYPERLINK "http://221.14.6.70:8088/ggzy"</w:instrText>
            </w:r>
            <w:r>
              <w:rPr>
                <w:rFonts w:hint="eastAsia" w:ascii="仿宋_GB2312" w:hAnsi="Calibri" w:eastAsia="仿宋_GB2312" w:cs="Calibri"/>
                <w:kern w:val="2"/>
                <w:sz w:val="21"/>
                <w:szCs w:val="22"/>
                <w:highlight w:val="none"/>
              </w:rPr>
              <w:fldChar w:fldCharType="separate"/>
            </w:r>
            <w:r>
              <w:rPr>
                <w:rStyle w:val="14"/>
                <w:rFonts w:hint="eastAsia" w:ascii="仿宋_GB2312" w:hAnsi="宋体" w:eastAsia="仿宋_GB2312" w:cs="宋体"/>
                <w:kern w:val="2"/>
                <w:sz w:val="24"/>
                <w:szCs w:val="22"/>
                <w:highlight w:val="none"/>
              </w:rPr>
              <w:t>http://221.14.6.70:8088/ggzy</w:t>
            </w:r>
            <w:r>
              <w:rPr>
                <w:rFonts w:hint="eastAsia" w:ascii="仿宋_GB2312" w:hAnsi="Calibri" w:eastAsia="仿宋_GB2312" w:cs="Calibri"/>
                <w:kern w:val="2"/>
                <w:sz w:val="21"/>
                <w:szCs w:val="22"/>
                <w:highlight w:val="none"/>
              </w:rPr>
              <w:fldChar w:fldCharType="end"/>
            </w:r>
            <w:r>
              <w:rPr>
                <w:rFonts w:hint="eastAsia" w:ascii="仿宋_GB2312" w:hAnsi="宋体" w:eastAsia="仿宋_GB2312" w:cs="宋体"/>
                <w:kern w:val="2"/>
                <w:sz w:val="24"/>
                <w:szCs w:val="22"/>
                <w:highlight w:val="none"/>
              </w:rPr>
              <w:t>系统，依次点击“会员向导”→“参与投标”→“费用缴纳说明”→“保证金缴纳说明单”，获取缴费说明单，根据每个标段的缴纳说明单在缴纳截止时间前缴纳；</w:t>
            </w:r>
          </w:p>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2.2成功缴纳后重新登录前述系统，依次点击“会员向导”→“参与投标”→“保证金绑定”→“绑定”进行投标保证金绑定。</w:t>
            </w:r>
          </w:p>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2.4 每个投标人每个项目每个标段只有唯一缴纳账号，切勿重复缴纳或错误缴纳。</w:t>
            </w:r>
          </w:p>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3、未按上述规定操作引起的无效投标，由投标人自行负责。</w:t>
            </w:r>
          </w:p>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4、汇款凭证无须备注项目编号和项目名称。</w:t>
            </w:r>
          </w:p>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5、出现以下情形造成的投标保证金无效，由投标人自行负责。</w:t>
            </w:r>
          </w:p>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(1)投标保证金未从投标人的基本账户转出；</w:t>
            </w:r>
          </w:p>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(2)投标保证金未按照招标文件划分的标段依次转账。</w:t>
            </w:r>
          </w:p>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6、《保证金缴纳绑定操作指南》获取方法：</w:t>
            </w:r>
          </w:p>
          <w:p>
            <w:pPr>
              <w:spacing w:before="0" w:beforeAutospacing="0" w:after="0" w:afterAutospacing="0" w:line="360" w:lineRule="exact"/>
              <w:ind w:left="0" w:right="0" w:firstLine="480" w:firstLineChars="200"/>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登录</w:t>
            </w:r>
            <w:r>
              <w:rPr>
                <w:rFonts w:hint="eastAsia" w:ascii="仿宋_GB2312" w:hAnsi="宋体" w:eastAsia="仿宋_GB2312" w:cs="宋体"/>
                <w:bCs/>
                <w:kern w:val="2"/>
                <w:sz w:val="24"/>
                <w:szCs w:val="22"/>
                <w:highlight w:val="none"/>
              </w:rPr>
              <w:t>全国公共资源交易平台（河南省</w:t>
            </w:r>
            <w:r>
              <w:rPr>
                <w:rFonts w:hint="eastAsia" w:ascii="仿宋_GB2312" w:hAnsi="MS Mincho" w:eastAsia="MS Mincho" w:cs="MS Mincho"/>
                <w:bCs/>
                <w:kern w:val="2"/>
                <w:sz w:val="24"/>
                <w:szCs w:val="22"/>
                <w:highlight w:val="none"/>
              </w:rPr>
              <w:t>▪</w:t>
            </w:r>
            <w:r>
              <w:rPr>
                <w:rFonts w:hint="eastAsia" w:ascii="仿宋_GB2312" w:hAnsi="宋体" w:eastAsia="仿宋_GB2312" w:cs="宋体"/>
                <w:bCs/>
                <w:kern w:val="2"/>
                <w:sz w:val="24"/>
                <w:szCs w:val="22"/>
                <w:highlight w:val="none"/>
              </w:rPr>
              <w:t>许昌市）</w:t>
            </w:r>
            <w:r>
              <w:rPr>
                <w:rFonts w:hint="eastAsia" w:ascii="仿宋_GB2312" w:hAnsi="宋体" w:eastAsia="仿宋_GB2312" w:cs="宋体"/>
                <w:kern w:val="2"/>
                <w:sz w:val="24"/>
                <w:szCs w:val="22"/>
                <w:highlight w:val="none"/>
              </w:rPr>
              <w:t>系统-组件下载-《保证金缴纳绑定操作指南》</w:t>
            </w:r>
          </w:p>
        </w:tc>
      </w:tr>
      <w:tr>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500" w:lineRule="exact"/>
              <w:ind w:left="0" w:right="0"/>
              <w:jc w:val="center"/>
              <w:rPr>
                <w:rFonts w:hint="eastAsia" w:ascii="仿宋_GB2312" w:hAnsi="宋体" w:eastAsia="仿宋_GB2312" w:cs="宋体"/>
                <w:kern w:val="2"/>
                <w:sz w:val="24"/>
                <w:szCs w:val="22"/>
                <w:highlight w:val="none"/>
              </w:rPr>
            </w:pPr>
            <w:r>
              <w:rPr>
                <w:rFonts w:hint="eastAsia" w:ascii="仿宋_GB2312" w:hAnsi="宋体" w:eastAsia="仿宋_GB2312" w:cs="宋体"/>
                <w:kern w:val="2"/>
                <w:sz w:val="24"/>
                <w:szCs w:val="22"/>
                <w:highlight w:val="none"/>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before="0" w:beforeAutospacing="0" w:after="0" w:afterAutospacing="0" w:line="360" w:lineRule="exact"/>
              <w:ind w:left="0" w:right="0" w:firstLine="470" w:firstLineChars="196"/>
              <w:rPr>
                <w:rFonts w:hint="eastAsia" w:ascii="仿宋_GB2312" w:hAnsi="宋体" w:eastAsia="仿宋_GB2312" w:cs="宋体"/>
                <w:bCs/>
                <w:kern w:val="2"/>
                <w:sz w:val="24"/>
                <w:szCs w:val="22"/>
                <w:highlight w:val="none"/>
              </w:rPr>
            </w:pPr>
            <w:r>
              <w:rPr>
                <w:rFonts w:hint="eastAsia" w:ascii="仿宋_GB2312" w:hAnsi="宋体" w:eastAsia="仿宋_GB2312" w:cs="宋体"/>
                <w:bCs/>
                <w:kern w:val="2"/>
                <w:sz w:val="24"/>
                <w:szCs w:val="22"/>
                <w:highlight w:val="none"/>
              </w:rPr>
              <w:t>1、因投标人的原因无法及时退还投标（竞买）保证金、滞留三年以上的，投标（竞买）保证金上缴财政。</w:t>
            </w:r>
          </w:p>
          <w:p>
            <w:pPr>
              <w:adjustRightInd w:val="0"/>
              <w:spacing w:before="0" w:beforeAutospacing="0" w:after="0" w:afterAutospacing="0" w:line="360" w:lineRule="exact"/>
              <w:ind w:left="0" w:right="0" w:firstLine="470" w:firstLineChars="196"/>
              <w:rPr>
                <w:rFonts w:hint="eastAsia" w:ascii="仿宋_GB2312" w:hAnsi="宋体" w:eastAsia="仿宋_GB2312" w:cs="宋体"/>
                <w:bCs/>
                <w:kern w:val="2"/>
                <w:sz w:val="24"/>
                <w:szCs w:val="22"/>
                <w:highlight w:val="none"/>
              </w:rPr>
            </w:pPr>
            <w:r>
              <w:rPr>
                <w:rFonts w:hint="eastAsia" w:ascii="仿宋_GB2312" w:hAnsi="宋体" w:eastAsia="仿宋_GB2312" w:cs="宋体"/>
                <w:bCs/>
                <w:kern w:val="2"/>
                <w:sz w:val="24"/>
                <w:szCs w:val="22"/>
                <w:highlight w:val="none"/>
              </w:rPr>
              <w:t>2、自文件发布之日起，投标人需进行基本户备案，已备案的基本户开户银行、账户发生变化的，须重新办理备案手续。备案后方可提交投标（竞买）保证金。</w:t>
            </w:r>
          </w:p>
          <w:p>
            <w:pPr>
              <w:adjustRightInd w:val="0"/>
              <w:spacing w:before="0" w:beforeAutospacing="0" w:after="0" w:afterAutospacing="0" w:line="360" w:lineRule="exact"/>
              <w:ind w:left="0" w:right="0" w:firstLine="470" w:firstLineChars="196"/>
              <w:rPr>
                <w:rFonts w:hint="eastAsia" w:ascii="仿宋_GB2312" w:hAnsi="宋体" w:eastAsia="仿宋_GB2312" w:cs="宋体"/>
                <w:bCs/>
                <w:kern w:val="2"/>
                <w:sz w:val="24"/>
                <w:szCs w:val="22"/>
                <w:highlight w:val="none"/>
              </w:rPr>
            </w:pPr>
            <w:r>
              <w:rPr>
                <w:rFonts w:hint="eastAsia" w:ascii="仿宋_GB2312" w:hAnsi="宋体" w:eastAsia="仿宋_GB2312" w:cs="宋体"/>
                <w:bCs/>
                <w:kern w:val="2"/>
                <w:sz w:val="24"/>
                <w:szCs w:val="22"/>
                <w:highlight w:val="none"/>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before="0" w:beforeAutospacing="0" w:after="0" w:afterAutospacing="0" w:line="360" w:lineRule="exact"/>
              <w:ind w:left="0" w:right="0" w:firstLine="470" w:firstLineChars="196"/>
              <w:rPr>
                <w:rFonts w:hint="eastAsia" w:ascii="仿宋_GB2312" w:hAnsi="宋体" w:eastAsia="仿宋_GB2312" w:cs="宋体"/>
                <w:bCs/>
                <w:kern w:val="2"/>
                <w:sz w:val="24"/>
                <w:szCs w:val="22"/>
                <w:highlight w:val="none"/>
              </w:rPr>
            </w:pPr>
            <w:r>
              <w:rPr>
                <w:rFonts w:hint="eastAsia" w:ascii="仿宋_GB2312" w:hAnsi="宋体" w:eastAsia="仿宋_GB2312" w:cs="宋体"/>
                <w:bCs/>
                <w:kern w:val="2"/>
                <w:sz w:val="24"/>
                <w:szCs w:val="22"/>
                <w:highlight w:val="none"/>
              </w:rPr>
              <w:t>4、特殊情况处理</w:t>
            </w:r>
          </w:p>
          <w:p>
            <w:pPr>
              <w:adjustRightInd w:val="0"/>
              <w:spacing w:before="0" w:beforeAutospacing="0" w:after="0" w:afterAutospacing="0" w:line="360" w:lineRule="exact"/>
              <w:ind w:left="0" w:right="0" w:firstLine="470" w:firstLineChars="196"/>
              <w:rPr>
                <w:rFonts w:hint="eastAsia" w:ascii="仿宋_GB2312" w:hAnsi="宋体" w:eastAsia="仿宋_GB2312" w:cs="仿宋_GB2312"/>
                <w:kern w:val="2"/>
                <w:sz w:val="24"/>
                <w:szCs w:val="22"/>
                <w:highlight w:val="none"/>
              </w:rPr>
            </w:pPr>
            <w:r>
              <w:rPr>
                <w:rFonts w:hint="eastAsia" w:ascii="仿宋_GB2312" w:hAnsi="宋体" w:eastAsia="仿宋_GB2312" w:cs="宋体"/>
                <w:bCs/>
                <w:kern w:val="2"/>
                <w:sz w:val="24"/>
                <w:szCs w:val="22"/>
                <w:highlight w:val="none"/>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hint="eastAsia" w:ascii="仿宋_GB2312" w:hAnsi="新宋体" w:eastAsia="仿宋_GB2312"/>
          <w:b/>
          <w:sz w:val="36"/>
          <w:szCs w:val="36"/>
          <w:highlight w:val="none"/>
        </w:rPr>
      </w:pPr>
    </w:p>
    <w:p>
      <w:pPr>
        <w:jc w:val="center"/>
        <w:rPr>
          <w:rFonts w:hint="eastAsia" w:ascii="仿宋_GB2312" w:hAnsi="新宋体" w:eastAsia="仿宋_GB2312"/>
          <w:b/>
          <w:sz w:val="36"/>
          <w:szCs w:val="36"/>
          <w:highlight w:val="none"/>
        </w:rPr>
      </w:pPr>
    </w:p>
    <w:p>
      <w:pPr>
        <w:jc w:val="center"/>
        <w:rPr>
          <w:rFonts w:hint="eastAsia" w:ascii="仿宋_GB2312" w:hAnsi="新宋体" w:eastAsia="仿宋_GB2312"/>
          <w:b/>
          <w:sz w:val="36"/>
          <w:szCs w:val="36"/>
          <w:highlight w:val="none"/>
        </w:rPr>
      </w:pPr>
    </w:p>
    <w:p>
      <w:pPr>
        <w:ind w:firstLine="2880" w:firstLineChars="800"/>
        <w:rPr>
          <w:rFonts w:hint="eastAsia" w:ascii="仿宋_GB2312" w:hAnsi="宋体" w:eastAsia="仿宋_GB2312"/>
          <w:sz w:val="36"/>
          <w:szCs w:val="36"/>
          <w:highlight w:val="none"/>
        </w:rPr>
      </w:pPr>
    </w:p>
    <w:p>
      <w:pPr>
        <w:ind w:firstLine="2880" w:firstLineChars="800"/>
        <w:rPr>
          <w:rFonts w:hint="eastAsia" w:ascii="仿宋_GB2312" w:hAnsi="宋体" w:eastAsia="仿宋_GB2312"/>
          <w:sz w:val="36"/>
          <w:szCs w:val="36"/>
          <w:highlight w:val="none"/>
        </w:rPr>
      </w:pPr>
    </w:p>
    <w:p>
      <w:pPr>
        <w:jc w:val="center"/>
        <w:rPr>
          <w:rFonts w:hint="eastAsia" w:ascii="方正小标宋简体" w:hAnsi="宋体" w:eastAsia="方正小标宋简体"/>
          <w:sz w:val="36"/>
          <w:szCs w:val="36"/>
          <w:highlight w:val="none"/>
        </w:rPr>
      </w:pPr>
      <w:r>
        <w:rPr>
          <w:rFonts w:hint="eastAsia" w:ascii="仿宋_GB2312" w:hAnsi="宋体" w:eastAsia="仿宋_GB2312"/>
          <w:sz w:val="36"/>
          <w:szCs w:val="36"/>
          <w:highlight w:val="none"/>
        </w:rPr>
        <w:br w:type="page"/>
      </w:r>
      <w:r>
        <w:rPr>
          <w:rFonts w:hint="eastAsia" w:ascii="方正小标宋简体" w:hAnsi="宋体" w:eastAsia="方正小标宋简体" w:cs="宋体"/>
          <w:sz w:val="36"/>
          <w:szCs w:val="36"/>
          <w:highlight w:val="none"/>
        </w:rPr>
        <w:t>投标保证金退还申请表</w:t>
      </w:r>
    </w:p>
    <w:tbl>
      <w:tblPr>
        <w:tblpPr w:leftFromText="180" w:rightFromText="180" w:vertAnchor="text" w:horzAnchor="margin" w:tblpXSpec="center" w:tblpY="555"/>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仿宋_GB2312" w:hAnsi="华文中宋" w:eastAsia="仿宋_GB2312" w:cs="Calibri"/>
                <w:kern w:val="2"/>
                <w:sz w:val="24"/>
                <w:szCs w:val="22"/>
                <w:highlight w:val="none"/>
              </w:rPr>
            </w:pPr>
            <w:r>
              <w:rPr>
                <w:rFonts w:hint="eastAsia" w:ascii="仿宋_GB2312" w:hAnsi="新宋体" w:eastAsia="仿宋_GB2312" w:cs="新宋体"/>
                <w:kern w:val="2"/>
                <w:sz w:val="24"/>
                <w:szCs w:val="22"/>
                <w:highlight w:val="none"/>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仿宋_GB2312" w:hAnsi="华文中宋" w:eastAsia="仿宋_GB2312" w:cs="Calibri"/>
                <w:kern w:val="2"/>
                <w:sz w:val="24"/>
                <w:szCs w:val="22"/>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仿宋_GB2312" w:hAnsi="华文中宋" w:eastAsia="仿宋_GB2312" w:cs="Calibri"/>
                <w:kern w:val="2"/>
                <w:sz w:val="24"/>
                <w:szCs w:val="22"/>
                <w:highlight w:val="none"/>
              </w:rPr>
            </w:pPr>
            <w:r>
              <w:rPr>
                <w:rFonts w:hint="eastAsia" w:ascii="仿宋_GB2312" w:hAnsi="新宋体" w:eastAsia="仿宋_GB2312" w:cs="新宋体"/>
                <w:kern w:val="2"/>
                <w:sz w:val="24"/>
                <w:szCs w:val="22"/>
                <w:highlight w:val="none"/>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firstLine="240" w:firstLineChars="100"/>
              <w:rPr>
                <w:rFonts w:hint="eastAsia" w:ascii="仿宋_GB2312" w:hAnsi="华文中宋" w:eastAsia="仿宋_GB2312" w:cs="Calibri"/>
                <w:kern w:val="2"/>
                <w:sz w:val="24"/>
                <w:szCs w:val="22"/>
                <w:highlight w:val="none"/>
              </w:rPr>
            </w:pPr>
            <w:r>
              <w:rPr>
                <w:rFonts w:hint="eastAsia" w:ascii="仿宋_GB2312" w:hAnsi="新宋体" w:eastAsia="仿宋_GB2312" w:cs="新宋体"/>
                <w:kern w:val="2"/>
                <w:sz w:val="24"/>
                <w:szCs w:val="22"/>
                <w:highlight w:val="none"/>
              </w:rPr>
              <w:t>是□   否□</w:t>
            </w:r>
          </w:p>
        </w:tc>
      </w:tr>
      <w:tr>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仿宋_GB2312" w:hAnsi="华文中宋" w:eastAsia="仿宋_GB2312" w:cs="Calibri"/>
                <w:kern w:val="2"/>
                <w:sz w:val="24"/>
                <w:szCs w:val="22"/>
                <w:highlight w:val="none"/>
              </w:rPr>
            </w:pPr>
            <w:r>
              <w:rPr>
                <w:rFonts w:hint="eastAsia" w:ascii="仿宋_GB2312" w:hAnsi="新宋体" w:eastAsia="仿宋_GB2312" w:cs="新宋体"/>
                <w:kern w:val="2"/>
                <w:sz w:val="24"/>
                <w:szCs w:val="22"/>
                <w:highlight w:val="none"/>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仿宋_GB2312" w:hAnsi="华文中宋" w:eastAsia="仿宋_GB2312" w:cs="Calibri"/>
                <w:kern w:val="2"/>
                <w:sz w:val="24"/>
                <w:szCs w:val="22"/>
                <w:highlight w:val="none"/>
              </w:rPr>
            </w:pPr>
          </w:p>
        </w:tc>
      </w:tr>
      <w:tr>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firstLine="480" w:firstLineChars="200"/>
              <w:rPr>
                <w:rFonts w:hint="eastAsia" w:ascii="仿宋_GB2312" w:hAnsi="Calibri" w:eastAsia="仿宋_GB2312" w:cs="Calibri"/>
                <w:kern w:val="2"/>
                <w:sz w:val="24"/>
                <w:szCs w:val="22"/>
                <w:highlight w:val="none"/>
              </w:rPr>
            </w:pPr>
            <w:r>
              <w:rPr>
                <w:rFonts w:hint="eastAsia" w:ascii="仿宋_GB2312" w:hAnsi="新宋体" w:eastAsia="仿宋_GB2312" w:cs="新宋体"/>
                <w:kern w:val="2"/>
                <w:sz w:val="24"/>
                <w:szCs w:val="22"/>
                <w:highlight w:val="none"/>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eastAsia" w:ascii="仿宋_GB2312" w:hAnsi="Calibri" w:eastAsia="仿宋_GB2312" w:cs="Calibri"/>
                <w:kern w:val="2"/>
                <w:sz w:val="24"/>
                <w:szCs w:val="22"/>
                <w:highlight w:val="none"/>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仿宋_GB2312" w:hAnsi="Calibri" w:eastAsia="仿宋_GB2312" w:cs="Calibri"/>
                <w:kern w:val="2"/>
                <w:sz w:val="24"/>
                <w:szCs w:val="22"/>
                <w:highlight w:val="none"/>
              </w:rPr>
            </w:pPr>
            <w:r>
              <w:rPr>
                <w:rFonts w:hint="eastAsia" w:ascii="仿宋_GB2312" w:hAnsi="新宋体" w:eastAsia="仿宋_GB2312" w:cs="新宋体"/>
                <w:kern w:val="2"/>
                <w:sz w:val="24"/>
                <w:szCs w:val="22"/>
                <w:highlight w:val="none"/>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eastAsia" w:ascii="仿宋_GB2312" w:hAnsi="Calibri" w:eastAsia="仿宋_GB2312" w:cs="Calibri"/>
                <w:kern w:val="2"/>
                <w:sz w:val="24"/>
                <w:szCs w:val="22"/>
                <w:highlight w:val="none"/>
              </w:rPr>
            </w:pPr>
          </w:p>
        </w:tc>
      </w:tr>
      <w:tr>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firstLine="480" w:firstLineChars="200"/>
              <w:rPr>
                <w:rFonts w:hint="eastAsia" w:ascii="仿宋_GB2312" w:hAnsi="Calibri" w:eastAsia="仿宋_GB2312" w:cs="Calibri"/>
                <w:kern w:val="2"/>
                <w:sz w:val="24"/>
                <w:szCs w:val="22"/>
                <w:highlight w:val="none"/>
              </w:rPr>
            </w:pPr>
            <w:r>
              <w:rPr>
                <w:rFonts w:hint="eastAsia" w:ascii="仿宋_GB2312" w:hAnsi="新宋体" w:eastAsia="仿宋_GB2312" w:cs="新宋体"/>
                <w:kern w:val="2"/>
                <w:sz w:val="24"/>
                <w:szCs w:val="22"/>
                <w:highlight w:val="none"/>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仿宋_GB2312" w:hAnsi="Calibri" w:eastAsia="仿宋_GB2312" w:cs="Calibri"/>
                <w:kern w:val="2"/>
                <w:sz w:val="24"/>
                <w:szCs w:val="22"/>
                <w:highlight w:val="none"/>
              </w:rPr>
            </w:pPr>
            <w:r>
              <w:rPr>
                <w:rFonts w:hint="eastAsia" w:ascii="仿宋_GB2312" w:hAnsi="新宋体" w:eastAsia="仿宋_GB2312" w:cs="新宋体"/>
                <w:kern w:val="2"/>
                <w:sz w:val="24"/>
                <w:szCs w:val="22"/>
                <w:highlight w:val="none"/>
              </w:rPr>
              <w:t xml:space="preserve">大写：                                    </w:t>
            </w:r>
            <w:r>
              <w:rPr>
                <w:rFonts w:hint="eastAsia" w:ascii="新宋体" w:hAnsi="新宋体" w:eastAsia="仿宋_GB2312" w:cs="新宋体"/>
                <w:kern w:val="2"/>
                <w:sz w:val="24"/>
                <w:szCs w:val="22"/>
                <w:highlight w:val="none"/>
              </w:rPr>
              <w:t>¥</w:t>
            </w:r>
          </w:p>
        </w:tc>
      </w:tr>
      <w:tr>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仿宋_GB2312" w:hAnsi="华文中宋" w:eastAsia="仿宋_GB2312" w:cs="Calibri"/>
                <w:kern w:val="2"/>
                <w:sz w:val="24"/>
                <w:szCs w:val="22"/>
                <w:highlight w:val="none"/>
              </w:rPr>
            </w:pPr>
            <w:r>
              <w:rPr>
                <w:rFonts w:hint="eastAsia" w:ascii="仿宋_GB2312" w:hAnsi="新宋体" w:eastAsia="仿宋_GB2312" w:cs="新宋体"/>
                <w:kern w:val="2"/>
                <w:sz w:val="24"/>
                <w:szCs w:val="22"/>
                <w:highlight w:val="none"/>
              </w:rPr>
              <w:t>股室负责人意见</w:t>
            </w:r>
          </w:p>
        </w:tc>
      </w:tr>
      <w:tr>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spacing w:before="0" w:beforeAutospacing="0" w:after="0" w:afterAutospacing="0"/>
              <w:ind w:left="0" w:right="0"/>
              <w:jc w:val="right"/>
              <w:rPr>
                <w:rFonts w:hint="eastAsia" w:ascii="仿宋_GB2312" w:hAnsi="新宋体" w:eastAsia="仿宋_GB2312" w:cs="新宋体"/>
                <w:kern w:val="2"/>
                <w:sz w:val="24"/>
                <w:szCs w:val="22"/>
                <w:highlight w:val="none"/>
              </w:rPr>
            </w:pPr>
          </w:p>
          <w:p>
            <w:pPr>
              <w:spacing w:before="0" w:beforeAutospacing="0" w:after="0" w:afterAutospacing="0"/>
              <w:ind w:left="0" w:right="480" w:firstLine="5880" w:firstLineChars="2450"/>
              <w:rPr>
                <w:rFonts w:hint="eastAsia" w:ascii="仿宋_GB2312" w:hAnsi="新宋体" w:eastAsia="仿宋_GB2312" w:cs="新宋体"/>
                <w:kern w:val="2"/>
                <w:sz w:val="24"/>
                <w:szCs w:val="22"/>
                <w:highlight w:val="none"/>
              </w:rPr>
            </w:pPr>
          </w:p>
          <w:p>
            <w:pPr>
              <w:spacing w:before="0" w:beforeAutospacing="0" w:after="0" w:afterAutospacing="0"/>
              <w:ind w:left="0" w:right="480" w:firstLine="5880" w:firstLineChars="2450"/>
              <w:rPr>
                <w:rFonts w:hint="eastAsia" w:ascii="仿宋_GB2312" w:hAnsi="新宋体" w:eastAsia="仿宋_GB2312" w:cs="新宋体"/>
                <w:kern w:val="2"/>
                <w:sz w:val="24"/>
                <w:szCs w:val="22"/>
                <w:highlight w:val="none"/>
              </w:rPr>
            </w:pPr>
          </w:p>
          <w:p>
            <w:pPr>
              <w:spacing w:before="0" w:beforeAutospacing="0" w:after="0" w:afterAutospacing="0"/>
              <w:ind w:left="0" w:right="480" w:firstLine="5880" w:firstLineChars="2450"/>
              <w:rPr>
                <w:rFonts w:hint="eastAsia" w:ascii="仿宋_GB2312" w:hAnsi="新宋体" w:eastAsia="仿宋_GB2312" w:cs="新宋体"/>
                <w:kern w:val="2"/>
                <w:sz w:val="24"/>
                <w:szCs w:val="22"/>
                <w:highlight w:val="none"/>
              </w:rPr>
            </w:pPr>
          </w:p>
          <w:p>
            <w:pPr>
              <w:spacing w:before="0" w:beforeAutospacing="0" w:after="0" w:afterAutospacing="0"/>
              <w:ind w:left="0" w:right="480" w:firstLine="5880" w:firstLineChars="2450"/>
              <w:rPr>
                <w:rFonts w:hint="eastAsia" w:ascii="仿宋_GB2312" w:hAnsi="华文中宋" w:eastAsia="仿宋_GB2312" w:cs="Calibri"/>
                <w:kern w:val="2"/>
                <w:sz w:val="24"/>
                <w:szCs w:val="22"/>
                <w:highlight w:val="none"/>
              </w:rPr>
            </w:pPr>
            <w:r>
              <w:rPr>
                <w:rFonts w:hint="eastAsia" w:ascii="仿宋_GB2312" w:hAnsi="新宋体" w:eastAsia="仿宋_GB2312" w:cs="新宋体"/>
                <w:kern w:val="2"/>
                <w:sz w:val="24"/>
                <w:szCs w:val="22"/>
                <w:highlight w:val="none"/>
              </w:rPr>
              <w:t>年   月   日</w:t>
            </w:r>
          </w:p>
        </w:tc>
      </w:tr>
    </w:tbl>
    <w:p>
      <w:pPr>
        <w:autoSpaceDE w:val="0"/>
        <w:autoSpaceDN w:val="0"/>
        <w:adjustRightInd w:val="0"/>
        <w:snapToGrid w:val="0"/>
        <w:spacing w:line="440" w:lineRule="exact"/>
        <w:jc w:val="center"/>
        <w:outlineLvl w:val="0"/>
        <w:rPr>
          <w:rFonts w:hAnsi="宋体" w:cs="黑体"/>
          <w:b/>
          <w:sz w:val="36"/>
          <w:szCs w:val="36"/>
          <w:highlight w:val="none"/>
        </w:rPr>
      </w:pPr>
    </w:p>
    <w:p>
      <w:pPr>
        <w:rPr>
          <w:rFonts w:hint="eastAsia" w:ascii="仿宋_GB2312" w:hAnsi="宋体" w:eastAsia="仿宋_GB2312"/>
          <w:sz w:val="28"/>
          <w:szCs w:val="28"/>
          <w:highlight w:val="none"/>
        </w:rPr>
      </w:pPr>
      <w:r>
        <w:rPr>
          <w:rFonts w:hint="eastAsia" w:ascii="仿宋_GB2312" w:hAnsi="宋体" w:eastAsia="仿宋_GB2312"/>
          <w:sz w:val="24"/>
          <w:highlight w:val="none"/>
        </w:rPr>
        <w:t>备注：中标单位使用此表退还保证金时，此表格大小及格式不得改变</w:t>
      </w:r>
      <w:r>
        <w:rPr>
          <w:rFonts w:hint="eastAsia" w:ascii="仿宋_GB2312" w:hAnsi="宋体" w:eastAsia="仿宋_GB2312"/>
          <w:sz w:val="28"/>
          <w:szCs w:val="28"/>
          <w:highlight w:val="none"/>
        </w:rPr>
        <w:t>。</w:t>
      </w:r>
    </w:p>
    <w:p>
      <w:pPr>
        <w:autoSpaceDE w:val="0"/>
        <w:autoSpaceDN w:val="0"/>
        <w:adjustRightInd w:val="0"/>
        <w:snapToGrid w:val="0"/>
        <w:spacing w:line="440" w:lineRule="exact"/>
        <w:jc w:val="center"/>
        <w:outlineLvl w:val="0"/>
        <w:rPr>
          <w:rFonts w:hAnsi="宋体" w:cs="黑体"/>
          <w:b/>
          <w:sz w:val="36"/>
          <w:szCs w:val="36"/>
          <w:highlight w:val="none"/>
        </w:rPr>
      </w:pPr>
    </w:p>
    <w:p>
      <w:pPr>
        <w:autoSpaceDE w:val="0"/>
        <w:autoSpaceDN w:val="0"/>
        <w:adjustRightInd w:val="0"/>
        <w:snapToGrid w:val="0"/>
        <w:spacing w:line="440" w:lineRule="exact"/>
        <w:jc w:val="center"/>
        <w:outlineLvl w:val="0"/>
        <w:rPr>
          <w:rFonts w:hAnsi="宋体" w:cs="黑体"/>
          <w:b/>
          <w:sz w:val="36"/>
          <w:szCs w:val="36"/>
          <w:highlight w:val="none"/>
        </w:rPr>
      </w:pPr>
    </w:p>
    <w:p>
      <w:pPr>
        <w:autoSpaceDE w:val="0"/>
        <w:autoSpaceDN w:val="0"/>
        <w:adjustRightInd w:val="0"/>
        <w:snapToGrid w:val="0"/>
        <w:spacing w:line="440" w:lineRule="exact"/>
        <w:jc w:val="center"/>
        <w:outlineLvl w:val="0"/>
        <w:rPr>
          <w:rFonts w:hAnsi="宋体" w:cs="黑体"/>
          <w:b/>
          <w:sz w:val="36"/>
          <w:szCs w:val="36"/>
          <w:highlight w:val="none"/>
        </w:rPr>
      </w:pPr>
    </w:p>
    <w:p>
      <w:pPr>
        <w:autoSpaceDE w:val="0"/>
        <w:autoSpaceDN w:val="0"/>
        <w:adjustRightInd w:val="0"/>
        <w:snapToGrid w:val="0"/>
        <w:spacing w:line="440" w:lineRule="exact"/>
        <w:jc w:val="center"/>
        <w:outlineLvl w:val="0"/>
        <w:rPr>
          <w:rFonts w:hAnsi="宋体" w:cs="黑体"/>
          <w:b/>
          <w:sz w:val="36"/>
          <w:szCs w:val="36"/>
          <w:highlight w:val="none"/>
        </w:rPr>
      </w:pPr>
    </w:p>
    <w:p>
      <w:pPr>
        <w:autoSpaceDE w:val="0"/>
        <w:autoSpaceDN w:val="0"/>
        <w:adjustRightInd w:val="0"/>
        <w:snapToGrid w:val="0"/>
        <w:spacing w:line="440" w:lineRule="exact"/>
        <w:jc w:val="center"/>
        <w:outlineLvl w:val="0"/>
        <w:rPr>
          <w:rFonts w:hAnsi="宋体" w:cs="黑体"/>
          <w:b/>
          <w:sz w:val="36"/>
          <w:szCs w:val="36"/>
          <w:highlight w:val="none"/>
        </w:rPr>
      </w:pPr>
    </w:p>
    <w:p>
      <w:pPr>
        <w:autoSpaceDE w:val="0"/>
        <w:autoSpaceDN w:val="0"/>
        <w:adjustRightInd w:val="0"/>
        <w:snapToGrid w:val="0"/>
        <w:spacing w:line="440" w:lineRule="exact"/>
        <w:jc w:val="center"/>
        <w:outlineLvl w:val="0"/>
        <w:rPr>
          <w:rFonts w:hAnsi="宋体" w:cs="黑体"/>
          <w:b/>
          <w:sz w:val="36"/>
          <w:szCs w:val="36"/>
          <w:highlight w:val="none"/>
        </w:rPr>
      </w:pPr>
    </w:p>
    <w:p>
      <w:pPr>
        <w:autoSpaceDE w:val="0"/>
        <w:autoSpaceDN w:val="0"/>
        <w:adjustRightInd w:val="0"/>
        <w:snapToGrid w:val="0"/>
        <w:spacing w:line="440" w:lineRule="exact"/>
        <w:jc w:val="center"/>
        <w:outlineLvl w:val="0"/>
        <w:rPr>
          <w:rFonts w:hAnsi="宋体" w:cs="黑体"/>
          <w:b/>
          <w:sz w:val="36"/>
          <w:szCs w:val="36"/>
          <w:highlight w:val="none"/>
        </w:rPr>
      </w:pPr>
    </w:p>
    <w:p>
      <w:pPr>
        <w:autoSpaceDE w:val="0"/>
        <w:autoSpaceDN w:val="0"/>
        <w:adjustRightInd w:val="0"/>
        <w:snapToGrid w:val="0"/>
        <w:spacing w:line="440" w:lineRule="exact"/>
        <w:jc w:val="center"/>
        <w:outlineLvl w:val="0"/>
        <w:rPr>
          <w:rFonts w:hAnsi="宋体" w:cs="黑体"/>
          <w:b/>
          <w:sz w:val="36"/>
          <w:szCs w:val="36"/>
          <w:highlight w:val="none"/>
        </w:rPr>
      </w:pPr>
    </w:p>
    <w:p>
      <w:pPr>
        <w:autoSpaceDE w:val="0"/>
        <w:autoSpaceDN w:val="0"/>
        <w:adjustRightInd w:val="0"/>
        <w:snapToGrid w:val="0"/>
        <w:spacing w:line="440" w:lineRule="exact"/>
        <w:jc w:val="center"/>
        <w:outlineLvl w:val="0"/>
        <w:rPr>
          <w:rFonts w:hAnsi="宋体" w:cs="黑体"/>
          <w:b/>
          <w:sz w:val="36"/>
          <w:szCs w:val="36"/>
          <w:highlight w:val="none"/>
        </w:rPr>
      </w:pPr>
    </w:p>
    <w:p>
      <w:pPr>
        <w:autoSpaceDE w:val="0"/>
        <w:autoSpaceDN w:val="0"/>
        <w:adjustRightInd w:val="0"/>
        <w:snapToGrid w:val="0"/>
        <w:spacing w:line="440" w:lineRule="exact"/>
        <w:jc w:val="center"/>
        <w:outlineLvl w:val="0"/>
        <w:rPr>
          <w:rFonts w:hAnsi="宋体" w:cs="黑体"/>
          <w:b/>
          <w:sz w:val="36"/>
          <w:szCs w:val="36"/>
          <w:highlight w:val="none"/>
        </w:rPr>
      </w:pPr>
    </w:p>
    <w:p>
      <w:pPr>
        <w:autoSpaceDE w:val="0"/>
        <w:autoSpaceDN w:val="0"/>
        <w:adjustRightInd w:val="0"/>
        <w:snapToGrid w:val="0"/>
        <w:spacing w:line="440" w:lineRule="exact"/>
        <w:jc w:val="center"/>
        <w:outlineLvl w:val="0"/>
        <w:rPr>
          <w:rFonts w:hAnsi="宋体" w:cs="黑体"/>
          <w:b/>
          <w:sz w:val="36"/>
          <w:szCs w:val="36"/>
          <w:highlight w:val="none"/>
        </w:rPr>
      </w:pPr>
    </w:p>
    <w:p>
      <w:pPr>
        <w:autoSpaceDE w:val="0"/>
        <w:autoSpaceDN w:val="0"/>
        <w:adjustRightInd w:val="0"/>
        <w:snapToGrid w:val="0"/>
        <w:spacing w:line="440" w:lineRule="exact"/>
        <w:jc w:val="center"/>
        <w:outlineLvl w:val="0"/>
        <w:rPr>
          <w:rFonts w:hAnsi="宋体" w:cs="黑体"/>
          <w:b/>
          <w:sz w:val="36"/>
          <w:szCs w:val="36"/>
          <w:highlight w:val="none"/>
        </w:rPr>
      </w:pPr>
    </w:p>
    <w:p>
      <w:pPr>
        <w:autoSpaceDE w:val="0"/>
        <w:autoSpaceDN w:val="0"/>
        <w:adjustRightInd w:val="0"/>
        <w:snapToGrid w:val="0"/>
        <w:spacing w:line="440" w:lineRule="exact"/>
        <w:jc w:val="center"/>
        <w:outlineLvl w:val="0"/>
        <w:rPr>
          <w:rFonts w:hAnsi="宋体" w:cs="黑体"/>
          <w:b/>
          <w:sz w:val="36"/>
          <w:szCs w:val="36"/>
          <w:highlight w:val="none"/>
        </w:rPr>
      </w:pPr>
    </w:p>
    <w:p>
      <w:pPr>
        <w:autoSpaceDE w:val="0"/>
        <w:autoSpaceDN w:val="0"/>
        <w:adjustRightInd w:val="0"/>
        <w:snapToGrid w:val="0"/>
        <w:spacing w:line="440" w:lineRule="exact"/>
        <w:outlineLvl w:val="0"/>
        <w:rPr>
          <w:rFonts w:hAnsi="宋体" w:cs="黑体"/>
          <w:b/>
          <w:sz w:val="36"/>
          <w:szCs w:val="36"/>
          <w:highlight w:val="none"/>
        </w:rPr>
      </w:pPr>
    </w:p>
    <w:p>
      <w:pPr>
        <w:pStyle w:val="7"/>
        <w:rPr>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highlight w:val="none"/>
        </w:rPr>
      </w:pPr>
      <w:r>
        <w:rPr>
          <w:rFonts w:hint="eastAsia" w:ascii="黑体" w:eastAsia="黑体"/>
          <w:b/>
          <w:color w:val="auto"/>
          <w:sz w:val="24"/>
          <w:highlight w:val="none"/>
        </w:rPr>
        <w:br w:type="page"/>
      </w:r>
    </w:p>
    <w:p>
      <w:pPr>
        <w:rPr>
          <w:rFonts w:ascii="黑体" w:hAnsi="宋体" w:eastAsia="黑体"/>
          <w:b/>
          <w:color w:val="auto"/>
          <w:sz w:val="24"/>
          <w:highlight w:val="none"/>
        </w:rPr>
      </w:pPr>
    </w:p>
    <w:p>
      <w:pPr>
        <w:rPr>
          <w:rFonts w:ascii="黑体" w:hAnsi="宋体" w:eastAsia="黑体"/>
          <w:b/>
          <w:color w:val="auto"/>
          <w:sz w:val="24"/>
          <w:highlight w:val="none"/>
        </w:rPr>
      </w:pPr>
      <w:r>
        <w:rPr>
          <w:rFonts w:ascii="黑体" w:hAnsi="宋体" w:eastAsia="黑体"/>
          <w:b/>
          <w:color w:val="auto"/>
          <w:sz w:val="24"/>
          <w:highlight w:val="none"/>
        </w:rPr>
        <w:t>附</w:t>
      </w:r>
      <w:r>
        <w:rPr>
          <w:rFonts w:hint="eastAsia" w:ascii="黑体" w:hAnsi="宋体" w:eastAsia="黑体"/>
          <w:b/>
          <w:color w:val="auto"/>
          <w:sz w:val="24"/>
          <w:highlight w:val="none"/>
          <w:lang w:eastAsia="zh-CN"/>
        </w:rPr>
        <w:t>件一</w:t>
      </w:r>
      <w:r>
        <w:rPr>
          <w:rFonts w:ascii="黑体" w:hAnsi="宋体" w:eastAsia="黑体"/>
          <w:b/>
          <w:color w:val="auto"/>
          <w:sz w:val="24"/>
          <w:highlight w:val="none"/>
        </w:rPr>
        <w:t>：问题澄清通知</w:t>
      </w:r>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hint="eastAsia" w:ascii="黑体" w:hAnsi="宋体" w:eastAsia="黑体"/>
          <w:b/>
          <w:bCs/>
          <w:color w:val="auto"/>
          <w:kern w:val="44"/>
          <w:sz w:val="28"/>
          <w:szCs w:val="28"/>
          <w:highlight w:val="none"/>
        </w:rPr>
        <w:t>问题澄清通知</w:t>
      </w:r>
    </w:p>
    <w:p>
      <w:pPr>
        <w:rPr>
          <w:rFonts w:ascii="宋体" w:hAnsi="宋体"/>
          <w:color w:val="auto"/>
          <w:sz w:val="24"/>
          <w:highlight w:val="none"/>
        </w:rPr>
      </w:pPr>
    </w:p>
    <w:p>
      <w:pPr>
        <w:jc w:val="center"/>
        <w:rPr>
          <w:rFonts w:ascii="宋体" w:hAnsi="宋体"/>
          <w:color w:val="auto"/>
          <w:sz w:val="24"/>
          <w:highlight w:val="none"/>
        </w:rPr>
      </w:pPr>
      <w:r>
        <w:rPr>
          <w:rFonts w:hint="eastAsia" w:ascii="宋体" w:hAnsi="宋体"/>
          <w:color w:val="auto"/>
          <w:sz w:val="24"/>
          <w:highlight w:val="none"/>
          <w:lang w:eastAsia="zh-CN"/>
        </w:rPr>
        <w:t>（</w:t>
      </w:r>
      <w:r>
        <w:rPr>
          <w:rFonts w:ascii="宋体" w:hAnsi="宋体"/>
          <w:color w:val="auto"/>
          <w:sz w:val="24"/>
          <w:highlight w:val="none"/>
        </w:rPr>
        <w:t>编号：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eastAsia="zh-CN"/>
        </w:rPr>
        <w:t>）</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lang w:val="en-US" w:eastAsia="zh-CN"/>
        </w:rPr>
        <w:t xml:space="preserve">        </w:t>
      </w:r>
      <w:r>
        <w:rPr>
          <w:rFonts w:ascii="宋体" w:hAnsi="宋体"/>
          <w:color w:val="auto"/>
          <w:sz w:val="24"/>
          <w:highlight w:val="none"/>
          <w:u w:val="none"/>
        </w:rPr>
        <w:t>（投标人名称）</w:t>
      </w: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标段施工招标的评标委员会，对你方的投标文件进行了仔细的审查，现需你方对下列问题以书面形式予以澄清：</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请将上述问题的澄清于</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时前递交至</w:t>
      </w:r>
      <w:r>
        <w:rPr>
          <w:rFonts w:hint="eastAsia" w:ascii="宋体" w:hAnsi="宋体"/>
          <w:color w:val="auto"/>
          <w:sz w:val="24"/>
          <w:highlight w:val="none"/>
          <w:u w:val="single"/>
        </w:rPr>
        <w:t xml:space="preserve">             </w:t>
      </w:r>
      <w:r>
        <w:rPr>
          <w:rFonts w:ascii="宋体" w:hAnsi="宋体"/>
          <w:color w:val="auto"/>
          <w:sz w:val="24"/>
          <w:highlight w:val="none"/>
        </w:rPr>
        <w:t>（详细地址）或传真至</w:t>
      </w:r>
      <w:r>
        <w:rPr>
          <w:rFonts w:hint="eastAsia" w:ascii="宋体" w:hAnsi="宋体"/>
          <w:color w:val="auto"/>
          <w:sz w:val="24"/>
          <w:highlight w:val="none"/>
          <w:u w:val="single"/>
        </w:rPr>
        <w:t xml:space="preserve">           </w:t>
      </w:r>
      <w:r>
        <w:rPr>
          <w:rFonts w:ascii="宋体" w:hAnsi="宋体"/>
          <w:color w:val="auto"/>
          <w:sz w:val="24"/>
          <w:highlight w:val="none"/>
        </w:rPr>
        <w:t>（传真号码）。采用传真方式的，应在</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时前将原件递交至</w:t>
      </w:r>
      <w:r>
        <w:rPr>
          <w:rFonts w:hint="eastAsia" w:ascii="宋体" w:hAnsi="宋体"/>
          <w:color w:val="auto"/>
          <w:sz w:val="24"/>
          <w:highlight w:val="none"/>
          <w:u w:val="single"/>
        </w:rPr>
        <w:t xml:space="preserve">           </w:t>
      </w:r>
      <w:r>
        <w:rPr>
          <w:rFonts w:ascii="宋体" w:hAnsi="宋体"/>
          <w:color w:val="auto"/>
          <w:sz w:val="24"/>
          <w:highlight w:val="none"/>
        </w:rPr>
        <w:t>（详细地址）。</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tabs>
          <w:tab w:val="left" w:pos="6500"/>
        </w:tabs>
        <w:spacing w:line="0" w:lineRule="atLeast"/>
        <w:jc w:val="right"/>
        <w:rPr>
          <w:rFonts w:ascii="宋体" w:hAnsi="宋体" w:eastAsia="宋体"/>
          <w:sz w:val="24"/>
          <w:highlight w:val="none"/>
        </w:rPr>
      </w:pPr>
      <w:r>
        <w:rPr>
          <w:rFonts w:ascii="宋体" w:hAnsi="宋体" w:eastAsia="宋体"/>
          <w:sz w:val="24"/>
          <w:highlight w:val="none"/>
        </w:rPr>
        <w:t>评标委员会授权的招标人或招标代理机构：</w:t>
      </w:r>
      <w:r>
        <w:rPr>
          <w:rFonts w:hint="eastAsia" w:ascii="宋体" w:hAnsi="宋体"/>
          <w:sz w:val="24"/>
          <w:highlight w:val="none"/>
          <w:u w:val="single"/>
          <w:lang w:val="en-US" w:eastAsia="zh-CN"/>
        </w:rPr>
        <w:t xml:space="preserve">            </w:t>
      </w:r>
      <w:r>
        <w:rPr>
          <w:rFonts w:ascii="宋体" w:hAnsi="宋体" w:eastAsia="宋体"/>
          <w:sz w:val="24"/>
          <w:highlight w:val="none"/>
        </w:rPr>
        <w:t>（签字或盖单位章）</w:t>
      </w:r>
    </w:p>
    <w:p>
      <w:pPr>
        <w:jc w:val="right"/>
        <w:rPr>
          <w:rFonts w:ascii="宋体" w:hAnsi="宋体"/>
          <w:color w:val="auto"/>
          <w:sz w:val="24"/>
          <w:highlight w:val="none"/>
          <w:u w:val="single"/>
        </w:rPr>
      </w:pPr>
    </w:p>
    <w:p>
      <w:pPr>
        <w:rPr>
          <w:rFonts w:ascii="宋体" w:hAnsi="宋体"/>
          <w:color w:val="auto"/>
          <w:sz w:val="24"/>
          <w:highlight w:val="none"/>
        </w:rPr>
      </w:pPr>
    </w:p>
    <w:p>
      <w:pPr>
        <w:rPr>
          <w:rFonts w:ascii="宋体" w:hAnsi="宋体"/>
          <w:color w:val="auto"/>
          <w:sz w:val="24"/>
          <w:highlight w:val="none"/>
        </w:rPr>
      </w:pPr>
    </w:p>
    <w:p>
      <w:pPr>
        <w:rPr>
          <w:rFonts w:ascii="黑体" w:hAnsi="宋体" w:eastAsia="黑体"/>
          <w:b/>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ascii="宋体" w:hAnsi="宋体"/>
          <w:color w:val="auto"/>
          <w:sz w:val="24"/>
          <w:highlight w:val="none"/>
        </w:rPr>
        <w:br w:type="page"/>
      </w:r>
      <w:bookmarkStart w:id="200" w:name="_Toc234382647"/>
      <w:r>
        <w:rPr>
          <w:rFonts w:ascii="黑体" w:hAnsi="宋体" w:eastAsia="黑体"/>
          <w:b/>
          <w:color w:val="auto"/>
          <w:sz w:val="24"/>
          <w:highlight w:val="none"/>
        </w:rPr>
        <w:t>附</w:t>
      </w:r>
      <w:r>
        <w:rPr>
          <w:rFonts w:hint="eastAsia" w:ascii="黑体" w:hAnsi="宋体" w:eastAsia="黑体"/>
          <w:b/>
          <w:color w:val="auto"/>
          <w:sz w:val="24"/>
          <w:highlight w:val="none"/>
          <w:lang w:eastAsia="zh-CN"/>
        </w:rPr>
        <w:t>件二</w:t>
      </w:r>
      <w:r>
        <w:rPr>
          <w:rFonts w:ascii="黑体" w:hAnsi="宋体" w:eastAsia="黑体"/>
          <w:b/>
          <w:color w:val="auto"/>
          <w:sz w:val="24"/>
          <w:highlight w:val="none"/>
        </w:rPr>
        <w:t>：问题的澄清</w:t>
      </w:r>
      <w:bookmarkEnd w:id="200"/>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ascii="黑体" w:hAnsi="宋体" w:eastAsia="黑体"/>
          <w:b/>
          <w:bCs/>
          <w:color w:val="auto"/>
          <w:kern w:val="44"/>
          <w:sz w:val="28"/>
          <w:szCs w:val="28"/>
          <w:highlight w:val="none"/>
        </w:rPr>
        <w:t>问题的澄清</w:t>
      </w:r>
    </w:p>
    <w:p>
      <w:pPr>
        <w:rPr>
          <w:rFonts w:ascii="宋体" w:hAnsi="宋体"/>
          <w:color w:val="auto"/>
          <w:sz w:val="24"/>
          <w:highlight w:val="none"/>
        </w:rPr>
      </w:pPr>
    </w:p>
    <w:p>
      <w:pPr>
        <w:jc w:val="center"/>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ascii="宋体" w:hAnsi="宋体"/>
          <w:color w:val="auto"/>
          <w:sz w:val="24"/>
          <w:highlight w:val="none"/>
        </w:rPr>
        <w:t>编号：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eastAsia="zh-CN"/>
        </w:rPr>
        <w:t>）</w:t>
      </w:r>
    </w:p>
    <w:p>
      <w:pPr>
        <w:jc w:val="center"/>
        <w:rPr>
          <w:rFonts w:hint="eastAsia" w:ascii="宋体" w:hAnsi="宋体"/>
          <w:color w:val="auto"/>
          <w:sz w:val="24"/>
          <w:highlight w:val="none"/>
          <w:lang w:eastAsia="zh-CN"/>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 xml:space="preserve">标段施工招标评标委员会：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问题澄清通知（编号：</w:t>
      </w:r>
      <w:r>
        <w:rPr>
          <w:rFonts w:hint="eastAsia" w:ascii="宋体" w:hAnsi="宋体"/>
          <w:color w:val="auto"/>
          <w:sz w:val="24"/>
          <w:highlight w:val="none"/>
          <w:u w:val="single"/>
        </w:rPr>
        <w:t xml:space="preserve">      </w:t>
      </w:r>
      <w:r>
        <w:rPr>
          <w:rFonts w:ascii="宋体" w:hAnsi="宋体"/>
          <w:color w:val="auto"/>
          <w:sz w:val="24"/>
          <w:highlight w:val="none"/>
        </w:rPr>
        <w:t>）已收悉，现澄清如下：</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0" w:lineRule="atLeast"/>
        <w:ind w:left="480"/>
        <w:rPr>
          <w:rFonts w:ascii="宋体" w:hAnsi="宋体" w:eastAsia="宋体"/>
          <w:sz w:val="24"/>
          <w:highlight w:val="none"/>
        </w:rPr>
      </w:pPr>
      <w:r>
        <w:rPr>
          <w:rFonts w:ascii="宋体" w:hAnsi="宋体" w:eastAsia="宋体"/>
          <w:sz w:val="24"/>
          <w:highlight w:val="none"/>
        </w:rPr>
        <w:t>上述问题澄清或说明，不改变我方投标文件的实质性内容，构成我方投标文件</w:t>
      </w:r>
    </w:p>
    <w:p>
      <w:pPr>
        <w:spacing w:line="165" w:lineRule="exact"/>
        <w:rPr>
          <w:rFonts w:ascii="Times New Roman" w:hAnsi="Times New Roman" w:eastAsia="Times New Roman"/>
          <w:highlight w:val="none"/>
        </w:rPr>
      </w:pPr>
    </w:p>
    <w:p>
      <w:pPr>
        <w:spacing w:line="0" w:lineRule="atLeast"/>
        <w:rPr>
          <w:rFonts w:ascii="宋体" w:hAnsi="宋体" w:eastAsia="宋体"/>
          <w:sz w:val="24"/>
          <w:highlight w:val="none"/>
        </w:rPr>
      </w:pPr>
      <w:r>
        <w:rPr>
          <w:rFonts w:ascii="宋体" w:hAnsi="宋体" w:eastAsia="宋体"/>
          <w:sz w:val="24"/>
          <w:highlight w:val="none"/>
        </w:rPr>
        <w:t>的组成部分。</w:t>
      </w:r>
    </w:p>
    <w:p>
      <w:pPr>
        <w:rPr>
          <w:rFonts w:ascii="宋体" w:hAnsi="宋体"/>
          <w:color w:val="auto"/>
          <w:sz w:val="24"/>
          <w:highlight w:val="none"/>
        </w:rPr>
      </w:pP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投标人：</w:t>
      </w:r>
      <w:r>
        <w:rPr>
          <w:rFonts w:hint="eastAsia" w:ascii="宋体" w:hAnsi="宋体"/>
          <w:color w:val="auto"/>
          <w:sz w:val="24"/>
          <w:highlight w:val="none"/>
          <w:u w:val="single"/>
        </w:rPr>
        <w:t xml:space="preserve">                        </w:t>
      </w:r>
      <w:r>
        <w:rPr>
          <w:rFonts w:ascii="宋体" w:hAnsi="宋体"/>
          <w:color w:val="auto"/>
          <w:sz w:val="24"/>
          <w:highlight w:val="none"/>
        </w:rPr>
        <w:t xml:space="preserve">（盖单位章） </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宋体" w:hAnsi="宋体"/>
          <w:color w:val="auto"/>
          <w:sz w:val="24"/>
          <w:highlight w:val="none"/>
        </w:rPr>
      </w:pPr>
    </w:p>
    <w:p>
      <w:pPr>
        <w:spacing w:afterLines="50" w:line="440" w:lineRule="exact"/>
        <w:rPr>
          <w:rFonts w:hint="eastAsia" w:ascii="黑体" w:eastAsia="黑体"/>
          <w:b/>
          <w:color w:val="auto"/>
          <w:sz w:val="24"/>
          <w:highlight w:val="none"/>
        </w:rPr>
      </w:pPr>
      <w:r>
        <w:rPr>
          <w:rFonts w:ascii="宋体" w:hAnsi="宋体"/>
          <w:color w:val="auto"/>
          <w:sz w:val="24"/>
          <w:highlight w:val="none"/>
        </w:rPr>
        <w:br w:type="page"/>
      </w:r>
      <w:bookmarkEnd w:id="199"/>
    </w:p>
    <w:p>
      <w:pPr>
        <w:rPr>
          <w:rFonts w:ascii="宋体" w:hAnsi="宋体"/>
          <w:color w:val="auto"/>
          <w:sz w:val="24"/>
          <w:highlight w:val="none"/>
        </w:rPr>
      </w:pPr>
    </w:p>
    <w:p>
      <w:pPr>
        <w:numPr>
          <w:ilvl w:val="0"/>
          <w:numId w:val="6"/>
        </w:numPr>
        <w:jc w:val="center"/>
        <w:outlineLvl w:val="0"/>
        <w:rPr>
          <w:rFonts w:ascii="黑体" w:eastAsia="黑体"/>
          <w:bCs/>
          <w:color w:val="auto"/>
          <w:sz w:val="44"/>
          <w:szCs w:val="44"/>
          <w:highlight w:val="none"/>
        </w:rPr>
      </w:pPr>
      <w:bookmarkStart w:id="201" w:name="_Toc28210"/>
      <w:r>
        <w:rPr>
          <w:rFonts w:ascii="黑体" w:eastAsia="黑体"/>
          <w:bCs/>
          <w:color w:val="auto"/>
          <w:sz w:val="44"/>
          <w:szCs w:val="44"/>
          <w:highlight w:val="none"/>
        </w:rPr>
        <w:t>评标办法</w:t>
      </w:r>
      <w:bookmarkEnd w:id="201"/>
    </w:p>
    <w:p>
      <w:pPr>
        <w:jc w:val="center"/>
        <w:outlineLvl w:val="0"/>
        <w:rPr>
          <w:rFonts w:ascii="宋体" w:hAnsi="宋体"/>
          <w:color w:val="auto"/>
          <w:sz w:val="40"/>
          <w:szCs w:val="40"/>
          <w:highlight w:val="none"/>
        </w:rPr>
      </w:pPr>
      <w:bookmarkStart w:id="202" w:name="_Toc28682"/>
      <w:r>
        <w:rPr>
          <w:rFonts w:hint="eastAsia" w:ascii="宋体" w:hAnsi="宋体"/>
          <w:color w:val="auto"/>
          <w:sz w:val="40"/>
          <w:szCs w:val="40"/>
          <w:highlight w:val="none"/>
        </w:rPr>
        <w:t>评标办法(技术评分最低标价法)</w:t>
      </w:r>
      <w:bookmarkEnd w:id="202"/>
    </w:p>
    <w:p>
      <w:pPr>
        <w:ind w:firstLine="480" w:firstLineChars="200"/>
        <w:rPr>
          <w:rFonts w:hint="eastAsia" w:ascii="宋体" w:hAnsi="宋体" w:eastAsia="宋体" w:cs="宋体"/>
          <w:sz w:val="24"/>
          <w:highlight w:val="none"/>
          <w:lang/>
        </w:rPr>
      </w:pPr>
    </w:p>
    <w:p>
      <w:pPr>
        <w:ind w:firstLine="480" w:firstLineChars="200"/>
        <w:rPr>
          <w:rFonts w:ascii="宋体" w:hAnsi="宋体"/>
          <w:color w:val="auto"/>
          <w:sz w:val="30"/>
          <w:szCs w:val="30"/>
          <w:highlight w:val="none"/>
        </w:rPr>
      </w:pPr>
      <w:r>
        <w:rPr>
          <w:rFonts w:hint="eastAsia" w:ascii="宋体" w:hAnsi="宋体" w:eastAsia="宋体" w:cs="宋体"/>
          <w:sz w:val="24"/>
          <w:szCs w:val="24"/>
          <w:highlight w:val="none"/>
          <w:lang/>
        </w:rPr>
        <w:t>评标依据公路工程建设项目招标投标管理办法（交通运输部公告 2017 年第 51 号）。评标应遵循公正、公平、择优的原则严格按照招标文件进行。</w:t>
      </w:r>
    </w:p>
    <w:p>
      <w:pPr>
        <w:jc w:val="center"/>
        <w:rPr>
          <w:rFonts w:hint="eastAsia" w:ascii="宋体" w:hAnsi="宋体"/>
          <w:color w:val="auto"/>
          <w:sz w:val="28"/>
          <w:szCs w:val="28"/>
          <w:highlight w:val="none"/>
        </w:rPr>
      </w:pPr>
    </w:p>
    <w:p>
      <w:pPr>
        <w:jc w:val="center"/>
        <w:rPr>
          <w:rFonts w:ascii="宋体" w:hAnsi="宋体"/>
          <w:color w:val="auto"/>
          <w:sz w:val="28"/>
          <w:szCs w:val="28"/>
          <w:highlight w:val="none"/>
        </w:rPr>
      </w:pPr>
      <w:r>
        <w:rPr>
          <w:rFonts w:hint="eastAsia" w:ascii="宋体" w:hAnsi="宋体"/>
          <w:color w:val="auto"/>
          <w:sz w:val="28"/>
          <w:szCs w:val="28"/>
          <w:highlight w:val="none"/>
        </w:rPr>
        <w:t>评标办法前附表</w:t>
      </w:r>
    </w:p>
    <w:tbl>
      <w:tblPr>
        <w:tblW w:w="98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1"/>
        <w:gridCol w:w="1362"/>
        <w:gridCol w:w="7380"/>
      </w:tblGrid>
      <w:tr>
        <w:trPr>
          <w:trHeight w:val="304" w:hRule="atLeast"/>
          <w:jc w:val="center"/>
        </w:trPr>
        <w:tc>
          <w:tcPr>
            <w:tcW w:w="1071" w:type="dxa"/>
            <w:tcBorders>
              <w:right w:val="single" w:color="auto" w:sz="4" w:space="0"/>
            </w:tcBorders>
            <w:vAlign w:val="center"/>
          </w:tcPr>
          <w:p>
            <w:pPr>
              <w:spacing w:before="0" w:beforeAutospacing="0" w:after="0" w:afterAutospacing="0"/>
              <w:ind w:left="0" w:right="0"/>
              <w:jc w:val="center"/>
              <w:rPr>
                <w:rFonts w:hint="default" w:ascii="宋体" w:hAnsi="宋体" w:cs="Calibri"/>
                <w:b/>
                <w:color w:val="auto"/>
                <w:kern w:val="2"/>
                <w:sz w:val="21"/>
                <w:szCs w:val="21"/>
                <w:highlight w:val="none"/>
              </w:rPr>
            </w:pPr>
            <w:r>
              <w:rPr>
                <w:rFonts w:hint="eastAsia" w:ascii="宋体" w:hAnsi="宋体" w:cs="Calibri"/>
                <w:b/>
                <w:color w:val="auto"/>
                <w:kern w:val="2"/>
                <w:sz w:val="21"/>
                <w:szCs w:val="21"/>
                <w:highlight w:val="none"/>
              </w:rPr>
              <w:t>条款号</w:t>
            </w:r>
          </w:p>
        </w:tc>
        <w:tc>
          <w:tcPr>
            <w:tcW w:w="1362" w:type="dxa"/>
            <w:tcBorders>
              <w:left w:val="single" w:color="auto" w:sz="4" w:space="0"/>
            </w:tcBorders>
            <w:vAlign w:val="center"/>
          </w:tcPr>
          <w:p>
            <w:pPr>
              <w:spacing w:before="0" w:beforeAutospacing="0" w:after="0" w:afterAutospacing="0"/>
              <w:ind w:left="0" w:right="0"/>
              <w:jc w:val="center"/>
              <w:rPr>
                <w:rFonts w:hint="default" w:ascii="宋体" w:hAnsi="宋体" w:cs="Calibri"/>
                <w:b/>
                <w:color w:val="auto"/>
                <w:kern w:val="2"/>
                <w:sz w:val="21"/>
                <w:szCs w:val="21"/>
                <w:highlight w:val="none"/>
              </w:rPr>
            </w:pPr>
            <w:r>
              <w:rPr>
                <w:rFonts w:hint="eastAsia" w:ascii="宋体" w:hAnsi="宋体" w:cs="Calibri"/>
                <w:b/>
                <w:color w:val="auto"/>
                <w:kern w:val="2"/>
                <w:sz w:val="21"/>
                <w:szCs w:val="21"/>
                <w:highlight w:val="none"/>
              </w:rPr>
              <w:t>条款内容</w:t>
            </w:r>
          </w:p>
        </w:tc>
        <w:tc>
          <w:tcPr>
            <w:tcW w:w="7380" w:type="dxa"/>
            <w:vAlign w:val="center"/>
          </w:tcPr>
          <w:p>
            <w:pPr>
              <w:spacing w:before="0" w:beforeAutospacing="0" w:after="0" w:afterAutospacing="0"/>
              <w:ind w:left="0" w:right="0"/>
              <w:jc w:val="center"/>
              <w:rPr>
                <w:rFonts w:hint="default" w:ascii="宋体" w:hAnsi="宋体" w:cs="Calibri"/>
                <w:b/>
                <w:color w:val="auto"/>
                <w:kern w:val="2"/>
                <w:sz w:val="21"/>
                <w:szCs w:val="21"/>
                <w:highlight w:val="none"/>
              </w:rPr>
            </w:pPr>
            <w:r>
              <w:rPr>
                <w:rFonts w:hint="eastAsia" w:ascii="宋体" w:hAnsi="宋体" w:cs="Calibri"/>
                <w:b/>
                <w:color w:val="auto"/>
                <w:kern w:val="2"/>
                <w:sz w:val="21"/>
                <w:szCs w:val="21"/>
                <w:highlight w:val="none"/>
              </w:rPr>
              <w:t>评审因素与标准</w:t>
            </w:r>
          </w:p>
        </w:tc>
      </w:tr>
      <w:tr>
        <w:trPr>
          <w:trHeight w:val="304" w:hRule="atLeast"/>
          <w:jc w:val="center"/>
        </w:trPr>
        <w:tc>
          <w:tcPr>
            <w:tcW w:w="1071" w:type="dxa"/>
            <w:tcBorders>
              <w:right w:val="single" w:color="auto" w:sz="4" w:space="0"/>
            </w:tcBorders>
            <w:vAlign w:val="center"/>
          </w:tcPr>
          <w:p>
            <w:pPr>
              <w:spacing w:before="0" w:beforeAutospacing="0" w:after="0" w:afterAutospacing="0"/>
              <w:ind w:left="0" w:right="0"/>
              <w:jc w:val="center"/>
              <w:rPr>
                <w:rFonts w:hint="eastAsia" w:ascii="宋体" w:hAnsi="宋体" w:eastAsia="宋体" w:cs="Calibri"/>
                <w:b/>
                <w:color w:val="auto"/>
                <w:kern w:val="2"/>
                <w:sz w:val="21"/>
                <w:szCs w:val="21"/>
                <w:highlight w:val="none"/>
                <w:lang w:val="en-US" w:eastAsia="zh-CN"/>
              </w:rPr>
            </w:pPr>
            <w:r>
              <w:rPr>
                <w:rFonts w:hint="eastAsia" w:ascii="宋体" w:hAnsi="宋体" w:cs="Calibri"/>
                <w:b/>
                <w:color w:val="auto"/>
                <w:kern w:val="2"/>
                <w:sz w:val="21"/>
                <w:szCs w:val="21"/>
                <w:highlight w:val="none"/>
                <w:lang w:val="en-US" w:eastAsia="zh-CN"/>
              </w:rPr>
              <w:t>1</w:t>
            </w:r>
          </w:p>
        </w:tc>
        <w:tc>
          <w:tcPr>
            <w:tcW w:w="1362" w:type="dxa"/>
            <w:tcBorders>
              <w:left w:val="single" w:color="auto" w:sz="4" w:space="0"/>
            </w:tcBorders>
            <w:vAlign w:val="center"/>
          </w:tcPr>
          <w:p>
            <w:pPr>
              <w:spacing w:before="0" w:beforeAutospacing="0" w:after="0" w:afterAutospacing="0"/>
              <w:ind w:left="0" w:right="0"/>
              <w:jc w:val="center"/>
              <w:rPr>
                <w:rFonts w:hint="eastAsia" w:ascii="宋体" w:hAnsi="宋体" w:eastAsia="宋体" w:cs="Calibri"/>
                <w:b/>
                <w:color w:val="auto"/>
                <w:kern w:val="2"/>
                <w:sz w:val="21"/>
                <w:szCs w:val="21"/>
                <w:highlight w:val="none"/>
                <w:lang w:eastAsia="zh-CN"/>
              </w:rPr>
            </w:pPr>
            <w:r>
              <w:rPr>
                <w:rFonts w:hint="eastAsia" w:ascii="宋体" w:hAnsi="宋体" w:cs="Calibri"/>
                <w:b/>
                <w:color w:val="auto"/>
                <w:kern w:val="2"/>
                <w:sz w:val="21"/>
                <w:szCs w:val="21"/>
                <w:highlight w:val="none"/>
                <w:lang w:eastAsia="zh-CN"/>
              </w:rPr>
              <w:t>评标办法</w:t>
            </w:r>
          </w:p>
        </w:tc>
        <w:tc>
          <w:tcPr>
            <w:tcW w:w="7380" w:type="dxa"/>
            <w:vAlign w:val="center"/>
          </w:tcPr>
          <w:p>
            <w:p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评标价相等时，评标委员会按照以下</w:t>
            </w:r>
            <w:r>
              <w:rPr>
                <w:rFonts w:hint="eastAsia" w:ascii="宋体" w:hAnsi="宋体" w:cs="Calibri"/>
                <w:color w:val="auto"/>
                <w:kern w:val="2"/>
                <w:sz w:val="21"/>
                <w:szCs w:val="21"/>
                <w:highlight w:val="none"/>
                <w:lang w:eastAsia="zh-CN"/>
              </w:rPr>
              <w:t>方式</w:t>
            </w:r>
            <w:r>
              <w:rPr>
                <w:rFonts w:hint="eastAsia" w:ascii="宋体" w:hAnsi="宋体" w:cs="Calibri"/>
                <w:color w:val="auto"/>
                <w:kern w:val="2"/>
                <w:sz w:val="21"/>
                <w:szCs w:val="21"/>
                <w:highlight w:val="none"/>
              </w:rPr>
              <w:t>推荐中标候选人或确定中标人：</w:t>
            </w:r>
          </w:p>
          <w:p>
            <w:pPr>
              <w:spacing w:before="0" w:beforeAutospacing="0" w:after="0" w:afterAutospacing="0" w:line="400" w:lineRule="exact"/>
              <w:ind w:left="0" w:right="0" w:firstLine="420" w:firstLineChars="200"/>
              <w:jc w:val="left"/>
              <w:rPr>
                <w:rFonts w:hint="eastAsia" w:ascii="宋体" w:hAnsi="宋体" w:eastAsia="宋体" w:cs="Calibri"/>
                <w:w w:val="99"/>
                <w:kern w:val="2"/>
                <w:sz w:val="21"/>
                <w:szCs w:val="22"/>
                <w:highlight w:val="none"/>
              </w:rPr>
            </w:pPr>
            <w:r>
              <w:rPr>
                <w:rFonts w:hint="eastAsia" w:ascii="宋体" w:hAnsi="宋体" w:cs="Calibri"/>
                <w:color w:val="auto"/>
                <w:kern w:val="2"/>
                <w:sz w:val="21"/>
                <w:szCs w:val="21"/>
                <w:highlight w:val="none"/>
              </w:rPr>
              <w:t>投标报价低的投标人优先；</w:t>
            </w:r>
          </w:p>
        </w:tc>
      </w:tr>
      <w:tr>
        <w:trPr>
          <w:trHeight w:val="2859" w:hRule="atLeast"/>
          <w:jc w:val="center"/>
        </w:trPr>
        <w:tc>
          <w:tcPr>
            <w:tcW w:w="1071" w:type="dxa"/>
            <w:tcBorders>
              <w:top w:val="single" w:color="auto" w:sz="4" w:space="0"/>
              <w:bottom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2.1.1</w:t>
            </w:r>
          </w:p>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2.1.3</w:t>
            </w:r>
          </w:p>
        </w:tc>
        <w:tc>
          <w:tcPr>
            <w:tcW w:w="1362" w:type="dxa"/>
            <w:tcBorders>
              <w:top w:val="single" w:color="auto" w:sz="4" w:space="0"/>
              <w:bottom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形式评审与</w:t>
            </w:r>
          </w:p>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响应性评审</w:t>
            </w:r>
          </w:p>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标准</w:t>
            </w:r>
          </w:p>
        </w:tc>
        <w:tc>
          <w:tcPr>
            <w:tcW w:w="7380" w:type="dxa"/>
            <w:tcBorders>
              <w:top w:val="single" w:color="auto" w:sz="4" w:space="0"/>
              <w:bottom w:val="single" w:color="auto" w:sz="4" w:space="0"/>
            </w:tcBorders>
            <w:vAlign w:val="center"/>
          </w:tcPr>
          <w:p>
            <w:pPr>
              <w:spacing w:before="0" w:beforeAutospacing="0" w:after="0" w:afterAutospacing="0" w:line="400" w:lineRule="exact"/>
              <w:ind w:left="0" w:right="0"/>
              <w:jc w:val="left"/>
              <w:rPr>
                <w:rFonts w:hint="eastAsia" w:ascii="宋体" w:hAnsi="宋体" w:cs="Calibri"/>
                <w:b/>
                <w:color w:val="auto"/>
                <w:kern w:val="2"/>
                <w:sz w:val="21"/>
                <w:szCs w:val="21"/>
                <w:highlight w:val="none"/>
              </w:rPr>
            </w:pPr>
            <w:r>
              <w:rPr>
                <w:rFonts w:hint="eastAsia" w:ascii="宋体" w:hAnsi="宋体" w:cs="Calibri"/>
                <w:b/>
                <w:color w:val="auto"/>
                <w:kern w:val="2"/>
                <w:sz w:val="21"/>
                <w:szCs w:val="21"/>
                <w:highlight w:val="none"/>
              </w:rPr>
              <w:t>第一个信封（商务及技术文件）评审标准：</w:t>
            </w:r>
          </w:p>
          <w:p>
            <w:pPr>
              <w:spacing w:before="0" w:beforeAutospacing="0" w:after="0" w:afterAutospacing="0" w:line="400" w:lineRule="exact"/>
              <w:ind w:left="0" w:right="0" w:firstLine="420" w:firstLineChars="200"/>
              <w:jc w:val="left"/>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(1)投标文件按照招标文件规定的格式、内容填写，字迹清晰可辨：</w:t>
            </w:r>
          </w:p>
          <w:p>
            <w:pPr>
              <w:spacing w:before="0" w:beforeAutospacing="0" w:after="0" w:afterAutospacing="0" w:line="400" w:lineRule="exact"/>
              <w:ind w:left="0" w:right="0" w:firstLine="420" w:firstLineChars="200"/>
              <w:jc w:val="left"/>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a.投标函按招标文件规定填报了项目名称、标段号、补遗书编号（如</w:t>
            </w:r>
            <w:r>
              <w:rPr>
                <w:rFonts w:hint="eastAsia" w:ascii="宋体" w:hAnsi="宋体" w:cs="Calibri"/>
                <w:color w:val="auto"/>
                <w:kern w:val="2"/>
                <w:sz w:val="21"/>
                <w:szCs w:val="21"/>
                <w:highlight w:val="none"/>
                <w:lang w:eastAsia="zh-CN"/>
              </w:rPr>
              <w:t>有）、</w:t>
            </w:r>
            <w:r>
              <w:rPr>
                <w:rFonts w:hint="eastAsia" w:ascii="宋体" w:hAnsi="宋体" w:cs="Calibri"/>
                <w:color w:val="auto"/>
                <w:kern w:val="2"/>
                <w:sz w:val="21"/>
                <w:szCs w:val="21"/>
                <w:highlight w:val="none"/>
              </w:rPr>
              <w:t>工期、工程质量</w:t>
            </w:r>
            <w:r>
              <w:rPr>
                <w:rFonts w:hint="eastAsia" w:ascii="宋体" w:hAnsi="宋体" w:cs="Calibri"/>
                <w:color w:val="auto"/>
                <w:kern w:val="2"/>
                <w:sz w:val="21"/>
                <w:szCs w:val="21"/>
                <w:highlight w:val="none"/>
                <w:lang w:eastAsia="zh-CN"/>
              </w:rPr>
              <w:t>要求</w:t>
            </w:r>
            <w:r>
              <w:rPr>
                <w:rFonts w:hint="eastAsia" w:ascii="宋体" w:hAnsi="宋体" w:cs="Calibri"/>
                <w:color w:val="auto"/>
                <w:kern w:val="2"/>
                <w:sz w:val="21"/>
                <w:szCs w:val="21"/>
                <w:highlight w:val="none"/>
              </w:rPr>
              <w:t>及安全目标；</w:t>
            </w:r>
          </w:p>
          <w:p>
            <w:pPr>
              <w:spacing w:before="0" w:beforeAutospacing="0" w:after="0" w:afterAutospacing="0" w:line="400" w:lineRule="exact"/>
              <w:ind w:left="0" w:right="0" w:firstLine="420" w:firstLineChars="200"/>
              <w:jc w:val="left"/>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b.投标函附录的所有数据均符合招标文件规定；</w:t>
            </w:r>
          </w:p>
          <w:p>
            <w:pPr>
              <w:spacing w:before="0" w:beforeAutospacing="0" w:after="0" w:afterAutospacing="0" w:line="400" w:lineRule="exact"/>
              <w:ind w:left="0" w:right="0" w:firstLine="420" w:firstLineChars="200"/>
              <w:jc w:val="left"/>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lang w:val="en-US" w:eastAsia="zh-CN"/>
              </w:rPr>
              <w:t>c</w:t>
            </w:r>
            <w:r>
              <w:rPr>
                <w:rFonts w:hint="eastAsia" w:ascii="宋体" w:hAnsi="宋体" w:cs="Calibri"/>
                <w:color w:val="auto"/>
                <w:kern w:val="2"/>
                <w:sz w:val="21"/>
                <w:szCs w:val="21"/>
                <w:highlight w:val="none"/>
              </w:rPr>
              <w:t>.投标文件组成齐全完整，内容均按规定填写。</w:t>
            </w:r>
          </w:p>
          <w:p>
            <w:pPr>
              <w:numPr>
                <w:ilvl w:val="0"/>
                <w:numId w:val="7"/>
              </w:num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投标文件上法定代表人或其授权代理人的签字、投标人的单位章盖章齐全，符合招标文件规定。</w:t>
            </w:r>
          </w:p>
          <w:p>
            <w:pPr>
              <w:numPr>
                <w:ilvl w:val="0"/>
                <w:numId w:val="7"/>
              </w:num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与申请资格预审时比较，投标人发生合并、分立、破产等重大变化的，仍具备资格预审文件规定的相应资格条件且其投标未影响招</w:t>
            </w:r>
            <w:r>
              <w:rPr>
                <w:rFonts w:hint="default" w:ascii="宋体" w:hAnsi="宋体" w:eastAsia="宋体" w:cs="Calibri"/>
                <w:kern w:val="2"/>
                <w:sz w:val="21"/>
                <w:szCs w:val="22"/>
                <w:highlight w:val="none"/>
              </w:rPr>
              <w:t>标公正性：</w:t>
            </w:r>
          </w:p>
          <w:p>
            <w:p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default" w:ascii="Times New Roman" w:hAnsi="Times New Roman" w:eastAsia="Times New Roman" w:cs="Calibri"/>
                <w:kern w:val="2"/>
                <w:sz w:val="21"/>
                <w:szCs w:val="22"/>
                <w:highlight w:val="none"/>
              </w:rPr>
              <w:t>a.</w:t>
            </w:r>
            <w:r>
              <w:rPr>
                <w:rFonts w:hint="default" w:ascii="宋体" w:hAnsi="宋体" w:eastAsia="宋体" w:cs="Calibri"/>
                <w:kern w:val="2"/>
                <w:sz w:val="21"/>
                <w:szCs w:val="22"/>
                <w:highlight w:val="none"/>
              </w:rPr>
              <w:t>投标人应提供相关部门的合法批件及企业法人营业执照和资质</w:t>
            </w:r>
            <w:r>
              <w:rPr>
                <w:rFonts w:hint="eastAsia" w:ascii="宋体" w:hAnsi="宋体" w:eastAsia="宋体" w:cs="Calibri"/>
                <w:kern w:val="2"/>
                <w:sz w:val="21"/>
                <w:szCs w:val="22"/>
                <w:highlight w:val="none"/>
              </w:rPr>
              <w:t>证书等证件的副本变更记录复印件；</w:t>
            </w:r>
          </w:p>
          <w:p>
            <w:pPr>
              <w:spacing w:before="0" w:beforeAutospacing="0" w:after="0" w:afterAutospacing="0" w:line="400" w:lineRule="exact"/>
              <w:ind w:left="0" w:right="0" w:firstLine="420" w:firstLineChars="200"/>
              <w:jc w:val="left"/>
              <w:rPr>
                <w:rFonts w:hint="default" w:ascii="宋体" w:hAnsi="宋体" w:eastAsia="宋体" w:cs="Calibri"/>
                <w:kern w:val="2"/>
                <w:sz w:val="21"/>
                <w:szCs w:val="22"/>
                <w:highlight w:val="none"/>
              </w:rPr>
            </w:pPr>
            <w:r>
              <w:rPr>
                <w:rFonts w:hint="default" w:ascii="Times New Roman" w:hAnsi="Times New Roman" w:eastAsia="Times New Roman" w:cs="Calibri"/>
                <w:kern w:val="2"/>
                <w:sz w:val="21"/>
                <w:szCs w:val="22"/>
                <w:highlight w:val="none"/>
              </w:rPr>
              <w:t>b.</w:t>
            </w:r>
            <w:r>
              <w:rPr>
                <w:rFonts w:hint="default" w:ascii="宋体" w:hAnsi="宋体" w:eastAsia="宋体" w:cs="Calibri"/>
                <w:kern w:val="2"/>
                <w:sz w:val="21"/>
                <w:szCs w:val="22"/>
                <w:highlight w:val="none"/>
              </w:rPr>
              <w:t>投标人仍然满足资格预审文件中规定的资格预审条件最低要求（资质、业绩、人员、信誉、财务等）；</w:t>
            </w:r>
          </w:p>
          <w:p>
            <w:pPr>
              <w:spacing w:before="0" w:beforeAutospacing="0" w:after="0" w:afterAutospacing="0" w:line="400" w:lineRule="exact"/>
              <w:ind w:left="0" w:right="0" w:firstLine="420" w:firstLineChars="200"/>
              <w:jc w:val="left"/>
              <w:rPr>
                <w:rFonts w:hint="default" w:ascii="宋体" w:hAnsi="宋体" w:eastAsia="宋体" w:cs="Calibri"/>
                <w:kern w:val="2"/>
                <w:sz w:val="21"/>
                <w:szCs w:val="22"/>
                <w:highlight w:val="none"/>
              </w:rPr>
            </w:pPr>
            <w:r>
              <w:rPr>
                <w:rFonts w:hint="eastAsia" w:ascii="宋体" w:hAnsi="宋体" w:eastAsia="宋体" w:cs="Calibri"/>
                <w:kern w:val="2"/>
                <w:sz w:val="21"/>
                <w:szCs w:val="22"/>
                <w:highlight w:val="none"/>
              </w:rPr>
              <w:t>c.与所投标段的其他投标人不存在控股、管理关系或单位负责人为同一人的情况；与招标人也不存在利害关系并可能影响招标公正性。</w:t>
            </w:r>
          </w:p>
          <w:p>
            <w:pPr>
              <w:numPr>
                <w:ilvl w:val="0"/>
                <w:numId w:val="8"/>
              </w:numPr>
              <w:spacing w:before="0" w:beforeAutospacing="0" w:after="0" w:afterAutospacing="0" w:line="400" w:lineRule="exact"/>
              <w:ind w:left="0" w:right="0" w:firstLine="420" w:firstLineChars="200"/>
              <w:jc w:val="left"/>
              <w:rPr>
                <w:rFonts w:hint="default" w:ascii="宋体" w:hAnsi="宋体" w:eastAsia="宋体" w:cs="Calibri"/>
                <w:kern w:val="2"/>
                <w:sz w:val="21"/>
                <w:szCs w:val="22"/>
                <w:highlight w:val="none"/>
              </w:rPr>
            </w:pPr>
            <w:r>
              <w:rPr>
                <w:rFonts w:hint="default" w:ascii="宋体" w:hAnsi="宋体" w:eastAsia="宋体" w:cs="Calibri"/>
                <w:kern w:val="2"/>
                <w:sz w:val="21"/>
                <w:szCs w:val="22"/>
                <w:highlight w:val="none"/>
              </w:rPr>
              <w:t>投标人按照招标文件的规定提供了投标保证金</w:t>
            </w:r>
            <w:r>
              <w:rPr>
                <w:rFonts w:hint="eastAsia" w:ascii="宋体" w:hAnsi="宋体" w:cs="Calibri"/>
                <w:kern w:val="2"/>
                <w:sz w:val="21"/>
                <w:szCs w:val="22"/>
                <w:highlight w:val="none"/>
                <w:lang w:eastAsia="zh-CN"/>
              </w:rPr>
              <w:t>。</w:t>
            </w:r>
          </w:p>
          <w:p>
            <w:pPr>
              <w:widowControl w:val="0"/>
              <w:numPr>
                <w:ilvl w:val="0"/>
                <w:numId w:val="8"/>
              </w:numPr>
              <w:spacing w:before="0" w:beforeAutospacing="0" w:after="0" w:afterAutospacing="0" w:line="400" w:lineRule="exact"/>
              <w:ind w:left="0" w:right="0" w:firstLine="420" w:firstLineChars="200"/>
              <w:jc w:val="left"/>
              <w:rPr>
                <w:rFonts w:hint="default" w:ascii="宋体" w:hAnsi="宋体" w:eastAsia="宋体" w:cs="Calibri"/>
                <w:kern w:val="2"/>
                <w:sz w:val="21"/>
                <w:szCs w:val="22"/>
                <w:highlight w:val="none"/>
              </w:rPr>
            </w:pPr>
            <w:r>
              <w:rPr>
                <w:rFonts w:hint="eastAsia" w:ascii="宋体" w:hAnsi="宋体" w:eastAsia="宋体" w:cs="Calibri"/>
                <w:kern w:val="2"/>
                <w:sz w:val="21"/>
                <w:szCs w:val="22"/>
                <w:highlight w:val="none"/>
              </w:rPr>
              <w:t>投标人法定代表人授权委托代理人签署投标文件的，须提交</w:t>
            </w:r>
            <w:r>
              <w:rPr>
                <w:rFonts w:hint="default" w:ascii="宋体" w:hAnsi="宋体" w:eastAsia="宋体" w:cs="Calibri"/>
                <w:kern w:val="2"/>
                <w:sz w:val="21"/>
                <w:szCs w:val="22"/>
                <w:highlight w:val="none"/>
              </w:rPr>
              <w:t>授权委托书，且授权人和被授权人均在授权委托书上签名，未使用印章、签名章或其他电子制版签名代替。</w:t>
            </w:r>
          </w:p>
          <w:p>
            <w:pPr>
              <w:widowControl w:val="0"/>
              <w:numPr>
                <w:ilvl w:val="0"/>
                <w:numId w:val="8"/>
              </w:numPr>
              <w:spacing w:before="0" w:beforeAutospacing="0" w:after="0" w:afterAutospacing="0" w:line="400" w:lineRule="exact"/>
              <w:ind w:left="0" w:right="0" w:firstLine="420" w:firstLineChars="200"/>
              <w:jc w:val="left"/>
              <w:rPr>
                <w:rFonts w:hint="eastAsia" w:ascii="宋体" w:hAnsi="宋体" w:eastAsia="宋体" w:cs="Calibri"/>
                <w:kern w:val="2"/>
                <w:sz w:val="21"/>
                <w:szCs w:val="22"/>
                <w:highlight w:val="none"/>
              </w:rPr>
            </w:pPr>
            <w:r>
              <w:rPr>
                <w:rFonts w:hint="default" w:ascii="宋体" w:hAnsi="宋体" w:eastAsia="宋体" w:cs="Calibri"/>
                <w:kern w:val="2"/>
                <w:sz w:val="21"/>
                <w:szCs w:val="22"/>
                <w:highlight w:val="none"/>
              </w:rPr>
              <w:t>投标人法定代表人亲自签署投标文件的，提供了法定代表人身份证明，且法定代表人在法定代表人身份证明上签名，未使用印章、签名章或其他电子制版签名代替。</w:t>
            </w:r>
          </w:p>
          <w:p>
            <w:pPr>
              <w:spacing w:before="0" w:beforeAutospacing="0" w:after="0" w:afterAutospacing="0" w:line="0" w:lineRule="atLeast"/>
              <w:ind w:left="0" w:right="0" w:firstLine="420" w:firstLineChars="200"/>
              <w:rPr>
                <w:rFonts w:hint="default" w:ascii="宋体" w:hAnsi="宋体" w:eastAsia="宋体" w:cs="Calibri"/>
                <w:kern w:val="2"/>
                <w:sz w:val="21"/>
                <w:szCs w:val="22"/>
                <w:highlight w:val="none"/>
              </w:rPr>
            </w:pPr>
            <w:r>
              <w:rPr>
                <w:rFonts w:hint="default" w:ascii="宋体" w:hAnsi="宋体" w:eastAsia="宋体" w:cs="Calibri"/>
                <w:kern w:val="2"/>
                <w:sz w:val="21"/>
                <w:szCs w:val="22"/>
                <w:highlight w:val="none"/>
              </w:rPr>
              <w:t>（</w:t>
            </w:r>
            <w:r>
              <w:rPr>
                <w:rFonts w:hint="default" w:ascii="Times New Roman" w:hAnsi="Times New Roman" w:eastAsia="Times New Roman" w:cs="Calibri"/>
                <w:kern w:val="2"/>
                <w:sz w:val="21"/>
                <w:szCs w:val="22"/>
                <w:highlight w:val="none"/>
              </w:rPr>
              <w:t>7</w:t>
            </w:r>
            <w:r>
              <w:rPr>
                <w:rFonts w:hint="default" w:ascii="宋体" w:hAnsi="宋体" w:eastAsia="宋体" w:cs="Calibri"/>
                <w:kern w:val="2"/>
                <w:sz w:val="21"/>
                <w:szCs w:val="22"/>
                <w:highlight w:val="none"/>
              </w:rPr>
              <w:t>）投标人以联合体形式投标时，联合体满足招标文件的要求：</w:t>
            </w:r>
          </w:p>
          <w:p>
            <w:p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a.未进行资格预审的，投标人按照招标文件提供的格式签订了联合体协议书，明确各方承担连带责任，并明确了联合体牵头人；</w:t>
            </w:r>
          </w:p>
          <w:p>
            <w:pPr>
              <w:spacing w:before="0" w:beforeAutospacing="0" w:after="0" w:afterAutospacing="0" w:line="400" w:lineRule="exact"/>
              <w:ind w:left="0" w:right="0" w:firstLine="420" w:firstLineChars="200"/>
              <w:jc w:val="left"/>
              <w:rPr>
                <w:rFonts w:hint="eastAsia" w:ascii="宋体" w:hAnsi="宋体" w:cs="Calibri"/>
                <w:kern w:val="2"/>
                <w:sz w:val="21"/>
                <w:szCs w:val="22"/>
                <w:highlight w:val="none"/>
                <w:lang w:eastAsia="zh-CN"/>
              </w:rPr>
            </w:pPr>
            <w:r>
              <w:rPr>
                <w:rFonts w:hint="default" w:ascii="Times New Roman" w:hAnsi="Times New Roman" w:eastAsia="Times New Roman" w:cs="Calibri"/>
                <w:kern w:val="2"/>
                <w:sz w:val="21"/>
                <w:szCs w:val="22"/>
                <w:highlight w:val="none"/>
              </w:rPr>
              <w:t>b.</w:t>
            </w:r>
            <w:r>
              <w:rPr>
                <w:rFonts w:hint="default" w:ascii="宋体" w:hAnsi="宋体" w:eastAsia="宋体" w:cs="Calibri"/>
                <w:kern w:val="2"/>
                <w:sz w:val="21"/>
                <w:szCs w:val="22"/>
                <w:highlight w:val="none"/>
              </w:rPr>
              <w:t>已进行资格预审的，投标人提供了资格预审申请文件中所附的联</w:t>
            </w:r>
            <w:r>
              <w:rPr>
                <w:rFonts w:hint="eastAsia" w:ascii="宋体" w:hAnsi="宋体" w:eastAsia="宋体" w:cs="Calibri"/>
                <w:kern w:val="2"/>
                <w:sz w:val="21"/>
                <w:szCs w:val="22"/>
                <w:highlight w:val="none"/>
              </w:rPr>
              <w:t>合体协议书复印件，且通过资格预审后的联合体无成员增减或更换的情</w:t>
            </w:r>
            <w:r>
              <w:rPr>
                <w:rFonts w:hint="eastAsia" w:ascii="宋体" w:hAnsi="宋体" w:cs="Calibri"/>
                <w:kern w:val="2"/>
                <w:sz w:val="21"/>
                <w:szCs w:val="22"/>
                <w:highlight w:val="none"/>
                <w:lang w:eastAsia="zh-CN"/>
              </w:rPr>
              <w:t>况。</w:t>
            </w:r>
          </w:p>
          <w:p>
            <w:p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default" w:ascii="宋体" w:hAnsi="宋体" w:eastAsia="宋体" w:cs="Calibri"/>
                <w:kern w:val="2"/>
                <w:sz w:val="21"/>
                <w:szCs w:val="22"/>
                <w:highlight w:val="none"/>
              </w:rPr>
              <w:t>（</w:t>
            </w:r>
            <w:r>
              <w:rPr>
                <w:rFonts w:hint="default" w:ascii="Times New Roman" w:hAnsi="Times New Roman" w:eastAsia="Times New Roman" w:cs="Calibri"/>
                <w:kern w:val="2"/>
                <w:sz w:val="21"/>
                <w:szCs w:val="22"/>
                <w:highlight w:val="none"/>
              </w:rPr>
              <w:t>8</w:t>
            </w:r>
            <w:r>
              <w:rPr>
                <w:rFonts w:hint="default" w:ascii="宋体" w:hAnsi="宋体" w:eastAsia="宋体" w:cs="Calibri"/>
                <w:kern w:val="2"/>
                <w:sz w:val="21"/>
                <w:szCs w:val="22"/>
                <w:highlight w:val="none"/>
              </w:rPr>
              <w:t>）投标人如有分包计划，符合招标文件第二章</w:t>
            </w:r>
            <w:r>
              <w:rPr>
                <w:rFonts w:hint="default" w:ascii="Arial" w:hAnsi="Arial" w:eastAsia="Arial" w:cs="Calibri"/>
                <w:kern w:val="2"/>
                <w:sz w:val="21"/>
                <w:szCs w:val="22"/>
                <w:highlight w:val="none"/>
              </w:rPr>
              <w:t>“</w:t>
            </w:r>
            <w:r>
              <w:rPr>
                <w:rFonts w:hint="default" w:ascii="宋体" w:hAnsi="宋体" w:eastAsia="宋体" w:cs="Calibri"/>
                <w:kern w:val="2"/>
                <w:sz w:val="21"/>
                <w:szCs w:val="22"/>
                <w:highlight w:val="none"/>
              </w:rPr>
              <w:t>投标人须知</w:t>
            </w:r>
            <w:r>
              <w:rPr>
                <w:rFonts w:hint="default" w:ascii="Arial" w:hAnsi="Arial" w:eastAsia="Arial" w:cs="Calibri"/>
                <w:kern w:val="2"/>
                <w:sz w:val="21"/>
                <w:szCs w:val="22"/>
                <w:highlight w:val="none"/>
              </w:rPr>
              <w:t>”</w:t>
            </w:r>
            <w:r>
              <w:rPr>
                <w:rFonts w:hint="default" w:ascii="宋体" w:hAnsi="宋体" w:eastAsia="宋体" w:cs="Calibri"/>
                <w:kern w:val="2"/>
                <w:sz w:val="21"/>
                <w:szCs w:val="22"/>
                <w:highlight w:val="none"/>
              </w:rPr>
              <w:t xml:space="preserve">第 </w:t>
            </w:r>
            <w:r>
              <w:rPr>
                <w:rFonts w:hint="default" w:ascii="Times New Roman" w:hAnsi="Times New Roman" w:eastAsia="Times New Roman" w:cs="Calibri"/>
                <w:kern w:val="2"/>
                <w:sz w:val="21"/>
                <w:szCs w:val="22"/>
                <w:highlight w:val="none"/>
              </w:rPr>
              <w:t>1.11</w:t>
            </w:r>
            <w:r>
              <w:rPr>
                <w:rFonts w:hint="default" w:ascii="宋体" w:hAnsi="宋体" w:eastAsia="宋体" w:cs="Calibri"/>
                <w:kern w:val="2"/>
                <w:sz w:val="21"/>
                <w:szCs w:val="22"/>
                <w:highlight w:val="none"/>
              </w:rPr>
              <w:t xml:space="preserve"> 款规定，且按招标文件第九章</w:t>
            </w:r>
            <w:r>
              <w:rPr>
                <w:rFonts w:hint="default" w:ascii="Arial" w:hAnsi="Arial" w:eastAsia="Arial" w:cs="Calibri"/>
                <w:kern w:val="2"/>
                <w:sz w:val="21"/>
                <w:szCs w:val="22"/>
                <w:highlight w:val="none"/>
              </w:rPr>
              <w:t>“</w:t>
            </w:r>
            <w:r>
              <w:rPr>
                <w:rFonts w:hint="default" w:ascii="宋体" w:hAnsi="宋体" w:eastAsia="宋体" w:cs="Calibri"/>
                <w:kern w:val="2"/>
                <w:sz w:val="21"/>
                <w:szCs w:val="22"/>
                <w:highlight w:val="none"/>
              </w:rPr>
              <w:t>投标文件格式</w:t>
            </w:r>
            <w:r>
              <w:rPr>
                <w:rFonts w:hint="default" w:ascii="Arial" w:hAnsi="Arial" w:eastAsia="Arial" w:cs="Calibri"/>
                <w:kern w:val="2"/>
                <w:sz w:val="21"/>
                <w:szCs w:val="22"/>
                <w:highlight w:val="none"/>
              </w:rPr>
              <w:t>”</w:t>
            </w:r>
            <w:r>
              <w:rPr>
                <w:rFonts w:hint="default" w:ascii="宋体" w:hAnsi="宋体" w:eastAsia="宋体" w:cs="Calibri"/>
                <w:kern w:val="2"/>
                <w:sz w:val="21"/>
                <w:szCs w:val="22"/>
                <w:highlight w:val="none"/>
              </w:rPr>
              <w:t>的要求填写了</w:t>
            </w:r>
            <w:r>
              <w:rPr>
                <w:rFonts w:hint="eastAsia" w:ascii="宋体" w:hAnsi="宋体" w:eastAsia="宋体" w:cs="Calibri"/>
                <w:kern w:val="2"/>
                <w:sz w:val="21"/>
                <w:szCs w:val="22"/>
                <w:highlight w:val="none"/>
              </w:rPr>
              <w:t>“拟分包项目情况表”。</w:t>
            </w:r>
          </w:p>
          <w:p>
            <w:pPr>
              <w:spacing w:before="0" w:beforeAutospacing="0" w:after="0" w:afterAutospacing="0" w:line="400" w:lineRule="exact"/>
              <w:ind w:left="0" w:right="0" w:firstLine="420" w:firstLineChars="200"/>
              <w:jc w:val="left"/>
              <w:rPr>
                <w:rFonts w:hint="default" w:ascii="宋体" w:hAnsi="宋体" w:eastAsia="宋体" w:cs="Calibri"/>
                <w:kern w:val="2"/>
                <w:sz w:val="21"/>
                <w:szCs w:val="22"/>
                <w:highlight w:val="none"/>
              </w:rPr>
            </w:pPr>
            <w:r>
              <w:rPr>
                <w:rFonts w:hint="default" w:ascii="宋体" w:hAnsi="宋体" w:eastAsia="宋体" w:cs="Calibri"/>
                <w:kern w:val="2"/>
                <w:sz w:val="21"/>
                <w:szCs w:val="22"/>
                <w:highlight w:val="none"/>
              </w:rPr>
              <w:t>（</w:t>
            </w:r>
            <w:r>
              <w:rPr>
                <w:rFonts w:hint="default" w:ascii="Times New Roman" w:hAnsi="Times New Roman" w:eastAsia="Times New Roman" w:cs="Calibri"/>
                <w:kern w:val="2"/>
                <w:sz w:val="21"/>
                <w:szCs w:val="22"/>
                <w:highlight w:val="none"/>
              </w:rPr>
              <w:t>9</w:t>
            </w:r>
            <w:r>
              <w:rPr>
                <w:rFonts w:hint="default" w:ascii="宋体" w:hAnsi="宋体" w:eastAsia="宋体" w:cs="Calibri"/>
                <w:kern w:val="2"/>
                <w:sz w:val="21"/>
                <w:szCs w:val="22"/>
                <w:highlight w:val="none"/>
              </w:rPr>
              <w:t>）同一投标人未提交两个以上不同的投标文件，但招标文件要求提交备选投标的除外。</w:t>
            </w:r>
          </w:p>
          <w:p>
            <w:pPr>
              <w:spacing w:before="0" w:beforeAutospacing="0" w:after="0" w:afterAutospacing="0" w:line="0" w:lineRule="atLeast"/>
              <w:ind w:left="0" w:right="0" w:firstLine="420" w:firstLineChars="200"/>
              <w:rPr>
                <w:rFonts w:hint="default" w:ascii="宋体" w:hAnsi="宋体" w:eastAsia="宋体" w:cs="Calibri"/>
                <w:kern w:val="2"/>
                <w:sz w:val="21"/>
                <w:szCs w:val="22"/>
                <w:highlight w:val="none"/>
              </w:rPr>
            </w:pPr>
            <w:r>
              <w:rPr>
                <w:rFonts w:hint="default" w:ascii="宋体" w:hAnsi="宋体" w:eastAsia="宋体" w:cs="Calibri"/>
                <w:kern w:val="2"/>
                <w:sz w:val="21"/>
                <w:szCs w:val="22"/>
                <w:highlight w:val="none"/>
              </w:rPr>
              <w:t>（</w:t>
            </w:r>
            <w:r>
              <w:rPr>
                <w:rFonts w:hint="default" w:ascii="Times New Roman" w:hAnsi="Times New Roman" w:eastAsia="Times New Roman" w:cs="Calibri"/>
                <w:kern w:val="2"/>
                <w:sz w:val="21"/>
                <w:szCs w:val="22"/>
                <w:highlight w:val="none"/>
              </w:rPr>
              <w:t>10</w:t>
            </w:r>
            <w:r>
              <w:rPr>
                <w:rFonts w:hint="default" w:ascii="宋体" w:hAnsi="宋体" w:eastAsia="宋体" w:cs="Calibri"/>
                <w:kern w:val="2"/>
                <w:sz w:val="21"/>
                <w:szCs w:val="22"/>
                <w:highlight w:val="none"/>
              </w:rPr>
              <w:t>）投标文件中未出现有关投标报价的内容。</w:t>
            </w:r>
          </w:p>
          <w:p>
            <w:pPr>
              <w:spacing w:before="0" w:beforeAutospacing="0" w:after="0" w:afterAutospacing="0" w:line="400" w:lineRule="exact"/>
              <w:ind w:left="0" w:right="0" w:firstLine="420" w:firstLineChars="200"/>
              <w:jc w:val="left"/>
              <w:rPr>
                <w:rFonts w:hint="eastAsia" w:ascii="宋体" w:hAnsi="宋体" w:eastAsia="宋体" w:cs="Calibri"/>
                <w:kern w:val="2"/>
                <w:sz w:val="21"/>
                <w:szCs w:val="22"/>
                <w:highlight w:val="none"/>
              </w:rPr>
            </w:pPr>
            <w:r>
              <w:rPr>
                <w:rFonts w:hint="default" w:ascii="宋体" w:hAnsi="宋体" w:eastAsia="宋体" w:cs="Calibri"/>
                <w:kern w:val="2"/>
                <w:sz w:val="21"/>
                <w:szCs w:val="22"/>
                <w:highlight w:val="none"/>
              </w:rPr>
              <w:t>（</w:t>
            </w:r>
            <w:r>
              <w:rPr>
                <w:rFonts w:hint="default" w:ascii="Times New Roman" w:hAnsi="Times New Roman" w:eastAsia="Times New Roman" w:cs="Calibri"/>
                <w:kern w:val="2"/>
                <w:sz w:val="21"/>
                <w:szCs w:val="22"/>
                <w:highlight w:val="none"/>
              </w:rPr>
              <w:t>11</w:t>
            </w:r>
            <w:r>
              <w:rPr>
                <w:rFonts w:hint="default" w:ascii="宋体" w:hAnsi="宋体" w:eastAsia="宋体" w:cs="Calibri"/>
                <w:kern w:val="2"/>
                <w:sz w:val="21"/>
                <w:szCs w:val="22"/>
                <w:highlight w:val="none"/>
              </w:rPr>
              <w:t>）投标文件载明的招标项目完成期限未超过招标文件规定的</w:t>
            </w:r>
            <w:r>
              <w:rPr>
                <w:rFonts w:hint="eastAsia" w:ascii="宋体" w:hAnsi="宋体" w:cs="Calibri"/>
                <w:kern w:val="2"/>
                <w:sz w:val="21"/>
                <w:szCs w:val="22"/>
                <w:highlight w:val="none"/>
                <w:lang w:eastAsia="zh-CN"/>
              </w:rPr>
              <w:t>时限。</w:t>
            </w:r>
          </w:p>
          <w:p>
            <w:p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default" w:ascii="宋体" w:hAnsi="宋体" w:eastAsia="宋体" w:cs="Calibri"/>
                <w:kern w:val="2"/>
                <w:sz w:val="21"/>
                <w:szCs w:val="22"/>
                <w:highlight w:val="none"/>
              </w:rPr>
              <w:t>（</w:t>
            </w:r>
            <w:r>
              <w:rPr>
                <w:rFonts w:hint="default" w:ascii="Times New Roman" w:hAnsi="Times New Roman" w:eastAsia="Times New Roman" w:cs="Calibri"/>
                <w:kern w:val="2"/>
                <w:sz w:val="21"/>
                <w:szCs w:val="22"/>
                <w:highlight w:val="none"/>
              </w:rPr>
              <w:t>12</w:t>
            </w:r>
            <w:r>
              <w:rPr>
                <w:rFonts w:hint="default" w:ascii="宋体" w:hAnsi="宋体" w:eastAsia="宋体" w:cs="Calibri"/>
                <w:kern w:val="2"/>
                <w:sz w:val="21"/>
                <w:szCs w:val="22"/>
                <w:highlight w:val="none"/>
              </w:rPr>
              <w:t>）投标文件对招标文件的实质性要求和条件作出响应。</w:t>
            </w:r>
          </w:p>
          <w:p>
            <w:pPr>
              <w:spacing w:before="0" w:beforeAutospacing="0" w:after="0" w:afterAutospacing="0" w:line="400" w:lineRule="exact"/>
              <w:ind w:left="0" w:right="0" w:firstLine="420" w:firstLineChars="200"/>
              <w:jc w:val="left"/>
              <w:rPr>
                <w:rFonts w:hint="default" w:ascii="宋体" w:hAnsi="宋体" w:eastAsia="宋体" w:cs="Calibri"/>
                <w:kern w:val="2"/>
                <w:sz w:val="21"/>
                <w:szCs w:val="22"/>
                <w:highlight w:val="none"/>
              </w:rPr>
            </w:pPr>
            <w:r>
              <w:rPr>
                <w:rFonts w:hint="default" w:ascii="宋体" w:hAnsi="宋体" w:eastAsia="宋体" w:cs="Calibri"/>
                <w:kern w:val="2"/>
                <w:sz w:val="21"/>
                <w:szCs w:val="22"/>
                <w:highlight w:val="none"/>
              </w:rPr>
              <w:t>（</w:t>
            </w:r>
            <w:r>
              <w:rPr>
                <w:rFonts w:hint="default" w:ascii="Times New Roman" w:hAnsi="Times New Roman" w:eastAsia="Times New Roman" w:cs="Calibri"/>
                <w:kern w:val="2"/>
                <w:sz w:val="21"/>
                <w:szCs w:val="22"/>
                <w:highlight w:val="none"/>
              </w:rPr>
              <w:t>13</w:t>
            </w:r>
            <w:r>
              <w:rPr>
                <w:rFonts w:hint="default" w:ascii="宋体" w:hAnsi="宋体" w:eastAsia="宋体" w:cs="Calibri"/>
                <w:kern w:val="2"/>
                <w:sz w:val="21"/>
                <w:szCs w:val="22"/>
                <w:highlight w:val="none"/>
              </w:rPr>
              <w:t>）权利义务符合招标文件规定：</w:t>
            </w:r>
          </w:p>
          <w:p>
            <w:pPr>
              <w:spacing w:before="0" w:beforeAutospacing="0" w:after="0" w:afterAutospacing="0" w:line="400" w:lineRule="exact"/>
              <w:ind w:left="0" w:right="0" w:firstLine="420" w:firstLineChars="200"/>
              <w:jc w:val="left"/>
              <w:rPr>
                <w:rFonts w:hint="default" w:ascii="宋体" w:hAnsi="宋体" w:eastAsia="宋体" w:cs="Calibri"/>
                <w:kern w:val="2"/>
                <w:sz w:val="21"/>
                <w:szCs w:val="22"/>
                <w:highlight w:val="none"/>
              </w:rPr>
            </w:pPr>
            <w:r>
              <w:rPr>
                <w:rFonts w:hint="default" w:ascii="Times New Roman" w:hAnsi="Times New Roman" w:eastAsia="Times New Roman" w:cs="Calibri"/>
                <w:kern w:val="2"/>
                <w:sz w:val="21"/>
                <w:szCs w:val="22"/>
                <w:highlight w:val="none"/>
              </w:rPr>
              <w:t>a.</w:t>
            </w:r>
            <w:r>
              <w:rPr>
                <w:rFonts w:hint="default" w:ascii="宋体" w:hAnsi="宋体" w:eastAsia="宋体" w:cs="Calibri"/>
                <w:kern w:val="2"/>
                <w:sz w:val="21"/>
                <w:szCs w:val="22"/>
                <w:highlight w:val="none"/>
              </w:rPr>
              <w:t>投标人应接受招标文件规定的风险划分原则，未提出新的风险划</w:t>
            </w:r>
            <w:r>
              <w:rPr>
                <w:rFonts w:hint="eastAsia" w:ascii="宋体" w:hAnsi="宋体" w:eastAsia="宋体" w:cs="Calibri"/>
                <w:kern w:val="2"/>
                <w:sz w:val="21"/>
                <w:szCs w:val="22"/>
                <w:highlight w:val="none"/>
              </w:rPr>
              <w:t>分办法；</w:t>
            </w:r>
          </w:p>
          <w:p>
            <w:pPr>
              <w:spacing w:before="0" w:beforeAutospacing="0" w:after="0" w:afterAutospacing="0" w:line="400" w:lineRule="exact"/>
              <w:ind w:left="0" w:right="0" w:firstLine="420" w:firstLineChars="200"/>
              <w:jc w:val="left"/>
              <w:rPr>
                <w:rFonts w:hint="default" w:ascii="宋体" w:hAnsi="宋体" w:eastAsia="宋体" w:cs="Calibri"/>
                <w:kern w:val="2"/>
                <w:sz w:val="21"/>
                <w:szCs w:val="22"/>
                <w:highlight w:val="none"/>
              </w:rPr>
            </w:pPr>
            <w:r>
              <w:rPr>
                <w:rFonts w:hint="default" w:ascii="Times New Roman" w:hAnsi="Times New Roman" w:eastAsia="Times New Roman" w:cs="Calibri"/>
                <w:kern w:val="2"/>
                <w:sz w:val="21"/>
                <w:szCs w:val="22"/>
                <w:highlight w:val="none"/>
              </w:rPr>
              <w:t>b.</w:t>
            </w:r>
            <w:r>
              <w:rPr>
                <w:rFonts w:hint="default" w:ascii="宋体" w:hAnsi="宋体" w:eastAsia="宋体" w:cs="Calibri"/>
                <w:kern w:val="2"/>
                <w:sz w:val="21"/>
                <w:szCs w:val="22"/>
                <w:highlight w:val="none"/>
              </w:rPr>
              <w:t>投标人未增加发包人的责任范围，或减少投标人义务；</w:t>
            </w:r>
          </w:p>
          <w:p>
            <w:pPr>
              <w:spacing w:before="0" w:beforeAutospacing="0" w:after="0" w:afterAutospacing="0" w:line="400" w:lineRule="exact"/>
              <w:ind w:left="0" w:right="0" w:firstLine="420" w:firstLineChars="200"/>
              <w:jc w:val="left"/>
              <w:rPr>
                <w:rFonts w:hint="default" w:ascii="宋体" w:hAnsi="宋体" w:eastAsia="宋体" w:cs="Calibri"/>
                <w:kern w:val="2"/>
                <w:sz w:val="21"/>
                <w:szCs w:val="22"/>
                <w:highlight w:val="none"/>
              </w:rPr>
            </w:pPr>
            <w:r>
              <w:rPr>
                <w:rFonts w:hint="default" w:ascii="Times New Roman" w:hAnsi="Times New Roman" w:eastAsia="Times New Roman" w:cs="Calibri"/>
                <w:kern w:val="2"/>
                <w:sz w:val="21"/>
                <w:szCs w:val="22"/>
                <w:highlight w:val="none"/>
              </w:rPr>
              <w:t>c.</w:t>
            </w:r>
            <w:r>
              <w:rPr>
                <w:rFonts w:hint="default" w:ascii="宋体" w:hAnsi="宋体" w:eastAsia="宋体" w:cs="Calibri"/>
                <w:kern w:val="2"/>
                <w:sz w:val="21"/>
                <w:szCs w:val="22"/>
                <w:highlight w:val="none"/>
              </w:rPr>
              <w:t>投标人未提出不同的工程验收、计量、支付办法；</w:t>
            </w:r>
          </w:p>
          <w:p>
            <w:pPr>
              <w:spacing w:before="0" w:beforeAutospacing="0" w:after="0" w:afterAutospacing="0" w:line="400" w:lineRule="exact"/>
              <w:ind w:left="0" w:right="0" w:firstLine="420" w:firstLineChars="200"/>
              <w:jc w:val="left"/>
              <w:rPr>
                <w:rFonts w:hint="eastAsia" w:ascii="宋体" w:hAnsi="宋体" w:cs="Calibri"/>
                <w:kern w:val="2"/>
                <w:sz w:val="21"/>
                <w:szCs w:val="22"/>
                <w:highlight w:val="none"/>
                <w:lang w:eastAsia="zh-CN"/>
              </w:rPr>
            </w:pPr>
            <w:r>
              <w:rPr>
                <w:rFonts w:hint="default" w:ascii="Times New Roman" w:hAnsi="Times New Roman" w:eastAsia="Times New Roman" w:cs="Calibri"/>
                <w:kern w:val="2"/>
                <w:sz w:val="21"/>
                <w:szCs w:val="22"/>
                <w:highlight w:val="none"/>
              </w:rPr>
              <w:t>d.</w:t>
            </w:r>
            <w:r>
              <w:rPr>
                <w:rFonts w:hint="default" w:ascii="宋体" w:hAnsi="宋体" w:eastAsia="宋体" w:cs="Calibri"/>
                <w:kern w:val="2"/>
                <w:sz w:val="21"/>
                <w:szCs w:val="22"/>
                <w:highlight w:val="none"/>
              </w:rPr>
              <w:t>投标人对合同纠纷、事故处理办法未提出异</w:t>
            </w:r>
            <w:r>
              <w:rPr>
                <w:rFonts w:hint="eastAsia" w:ascii="宋体" w:hAnsi="宋体" w:cs="Calibri"/>
                <w:kern w:val="2"/>
                <w:sz w:val="21"/>
                <w:szCs w:val="22"/>
                <w:highlight w:val="none"/>
                <w:lang w:eastAsia="zh-CN"/>
              </w:rPr>
              <w:t>议；</w:t>
            </w:r>
          </w:p>
          <w:p>
            <w:pPr>
              <w:spacing w:before="0" w:beforeAutospacing="0" w:after="0" w:afterAutospacing="0" w:line="400" w:lineRule="exact"/>
              <w:ind w:left="0" w:right="0" w:firstLine="420" w:firstLineChars="200"/>
              <w:jc w:val="left"/>
              <w:rPr>
                <w:rFonts w:hint="default" w:ascii="宋体" w:hAnsi="宋体" w:eastAsia="宋体" w:cs="Calibri"/>
                <w:kern w:val="2"/>
                <w:sz w:val="21"/>
                <w:szCs w:val="22"/>
                <w:highlight w:val="none"/>
              </w:rPr>
            </w:pPr>
            <w:r>
              <w:rPr>
                <w:rFonts w:hint="default" w:ascii="Times New Roman" w:hAnsi="Times New Roman" w:eastAsia="Times New Roman" w:cs="Calibri"/>
                <w:kern w:val="2"/>
                <w:sz w:val="21"/>
                <w:szCs w:val="22"/>
                <w:highlight w:val="none"/>
              </w:rPr>
              <w:t>e.</w:t>
            </w:r>
            <w:r>
              <w:rPr>
                <w:rFonts w:hint="default" w:ascii="宋体" w:hAnsi="宋体" w:eastAsia="宋体" w:cs="Calibri"/>
                <w:kern w:val="2"/>
                <w:sz w:val="21"/>
                <w:szCs w:val="22"/>
                <w:highlight w:val="none"/>
              </w:rPr>
              <w:t>投标人在投标活动中无欺诈行为；</w:t>
            </w:r>
          </w:p>
          <w:p>
            <w:pPr>
              <w:spacing w:before="0" w:beforeAutospacing="0" w:after="0" w:afterAutospacing="0" w:line="400" w:lineRule="exact"/>
              <w:ind w:left="0" w:right="0" w:firstLine="420" w:firstLineChars="200"/>
              <w:jc w:val="left"/>
              <w:rPr>
                <w:rFonts w:hint="default" w:ascii="宋体" w:hAnsi="宋体" w:eastAsia="宋体" w:cs="Calibri"/>
                <w:kern w:val="2"/>
                <w:sz w:val="21"/>
                <w:szCs w:val="22"/>
                <w:highlight w:val="none"/>
              </w:rPr>
            </w:pPr>
            <w:r>
              <w:rPr>
                <w:rFonts w:hint="default" w:ascii="Times New Roman" w:hAnsi="Times New Roman" w:eastAsia="Times New Roman" w:cs="Calibri"/>
                <w:kern w:val="2"/>
                <w:sz w:val="21"/>
                <w:szCs w:val="22"/>
                <w:highlight w:val="none"/>
              </w:rPr>
              <w:t>f.</w:t>
            </w:r>
            <w:r>
              <w:rPr>
                <w:rFonts w:hint="default" w:ascii="宋体" w:hAnsi="宋体" w:eastAsia="宋体" w:cs="Calibri"/>
                <w:kern w:val="2"/>
                <w:sz w:val="21"/>
                <w:szCs w:val="22"/>
                <w:highlight w:val="none"/>
              </w:rPr>
              <w:t>投标人未对合同条款有重要保留。</w:t>
            </w:r>
          </w:p>
          <w:p>
            <w:pPr>
              <w:spacing w:before="0" w:beforeAutospacing="0" w:after="0" w:afterAutospacing="0" w:line="400" w:lineRule="exact"/>
              <w:ind w:left="0" w:right="0" w:firstLine="420" w:firstLineChars="200"/>
              <w:jc w:val="left"/>
              <w:rPr>
                <w:rFonts w:hint="default" w:ascii="宋体" w:hAnsi="宋体" w:eastAsia="宋体" w:cs="Calibri"/>
                <w:kern w:val="2"/>
                <w:sz w:val="21"/>
                <w:szCs w:val="22"/>
                <w:highlight w:val="none"/>
              </w:rPr>
            </w:pPr>
            <w:r>
              <w:rPr>
                <w:rFonts w:hint="default" w:ascii="宋体" w:hAnsi="宋体" w:eastAsia="宋体" w:cs="Calibri"/>
                <w:kern w:val="2"/>
                <w:sz w:val="21"/>
                <w:szCs w:val="22"/>
                <w:highlight w:val="none"/>
              </w:rPr>
              <w:t>（</w:t>
            </w:r>
            <w:r>
              <w:rPr>
                <w:rFonts w:hint="default" w:ascii="Times New Roman" w:hAnsi="Times New Roman" w:eastAsia="Times New Roman" w:cs="Calibri"/>
                <w:kern w:val="2"/>
                <w:sz w:val="21"/>
                <w:szCs w:val="22"/>
                <w:highlight w:val="none"/>
              </w:rPr>
              <w:t>14</w:t>
            </w:r>
            <w:r>
              <w:rPr>
                <w:rFonts w:hint="default" w:ascii="宋体" w:hAnsi="宋体" w:eastAsia="宋体" w:cs="Calibri"/>
                <w:kern w:val="2"/>
                <w:sz w:val="21"/>
                <w:szCs w:val="22"/>
                <w:highlight w:val="none"/>
              </w:rPr>
              <w:t>）投标文件正、副本份数符合招标文件第二章</w:t>
            </w:r>
            <w:r>
              <w:rPr>
                <w:rFonts w:hint="default" w:ascii="Times New Roman" w:hAnsi="Times New Roman" w:eastAsia="Times New Roman" w:cs="Calibri"/>
                <w:kern w:val="2"/>
                <w:sz w:val="21"/>
                <w:szCs w:val="22"/>
                <w:highlight w:val="none"/>
              </w:rPr>
              <w:t>“</w:t>
            </w:r>
            <w:r>
              <w:rPr>
                <w:rFonts w:hint="default" w:ascii="宋体" w:hAnsi="宋体" w:eastAsia="宋体" w:cs="Calibri"/>
                <w:kern w:val="2"/>
                <w:sz w:val="21"/>
                <w:szCs w:val="22"/>
                <w:highlight w:val="none"/>
              </w:rPr>
              <w:t>投标人须知</w:t>
            </w:r>
            <w:r>
              <w:rPr>
                <w:rFonts w:hint="default" w:ascii="Times New Roman" w:hAnsi="Times New Roman" w:eastAsia="Times New Roman" w:cs="Calibri"/>
                <w:kern w:val="2"/>
                <w:sz w:val="21"/>
                <w:szCs w:val="22"/>
                <w:highlight w:val="none"/>
              </w:rPr>
              <w:t>”</w:t>
            </w:r>
            <w:r>
              <w:rPr>
                <w:rFonts w:hint="default" w:ascii="宋体" w:hAnsi="宋体" w:eastAsia="宋体" w:cs="Calibri"/>
                <w:kern w:val="2"/>
                <w:sz w:val="21"/>
                <w:szCs w:val="22"/>
                <w:highlight w:val="none"/>
              </w:rPr>
              <w:t xml:space="preserve">第 </w:t>
            </w:r>
            <w:r>
              <w:rPr>
                <w:rFonts w:hint="default" w:ascii="Times New Roman" w:hAnsi="Times New Roman" w:eastAsia="Times New Roman" w:cs="Calibri"/>
                <w:kern w:val="2"/>
                <w:sz w:val="21"/>
                <w:szCs w:val="22"/>
                <w:highlight w:val="none"/>
              </w:rPr>
              <w:t>3.7.4</w:t>
            </w:r>
            <w:r>
              <w:rPr>
                <w:rFonts w:hint="default" w:ascii="宋体" w:hAnsi="宋体" w:eastAsia="宋体" w:cs="Calibri"/>
                <w:kern w:val="2"/>
                <w:sz w:val="21"/>
                <w:szCs w:val="22"/>
                <w:highlight w:val="none"/>
              </w:rPr>
              <w:t xml:space="preserve"> 项规定。</w:t>
            </w:r>
          </w:p>
          <w:p>
            <w:pPr>
              <w:spacing w:before="0" w:beforeAutospacing="0" w:after="0" w:afterAutospacing="0" w:line="400" w:lineRule="exact"/>
              <w:ind w:left="0" w:right="0"/>
              <w:jc w:val="left"/>
              <w:rPr>
                <w:rFonts w:hint="default" w:ascii="宋体" w:hAnsi="宋体" w:cs="Calibri"/>
                <w:b/>
                <w:color w:val="auto"/>
                <w:kern w:val="2"/>
                <w:sz w:val="21"/>
                <w:szCs w:val="21"/>
                <w:highlight w:val="none"/>
              </w:rPr>
            </w:pPr>
            <w:r>
              <w:rPr>
                <w:rFonts w:hint="eastAsia" w:ascii="宋体" w:hAnsi="宋体" w:cs="Calibri"/>
                <w:b/>
                <w:color w:val="auto"/>
                <w:kern w:val="2"/>
                <w:sz w:val="21"/>
                <w:szCs w:val="21"/>
                <w:highlight w:val="none"/>
              </w:rPr>
              <w:t>第二个信封（报价文件）评审标准：</w:t>
            </w:r>
          </w:p>
          <w:p>
            <w:pPr>
              <w:spacing w:before="0" w:beforeAutospacing="0" w:after="0" w:afterAutospacing="0" w:line="400" w:lineRule="exact"/>
              <w:ind w:left="0" w:right="0" w:firstLine="420" w:firstLineChars="200"/>
              <w:jc w:val="left"/>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(1)投标文件按照招标文件规定的格式、内容填写，字迹清晰可辨，内容齐全完整：</w:t>
            </w:r>
          </w:p>
          <w:p>
            <w:pPr>
              <w:spacing w:before="0" w:beforeAutospacing="0" w:after="0" w:afterAutospacing="0" w:line="400" w:lineRule="exact"/>
              <w:ind w:left="0" w:right="0" w:firstLine="420" w:firstLineChars="200"/>
              <w:jc w:val="left"/>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a.投标函按招标文件规定填报了填报了项目名称、标段号、补遗书编号（如</w:t>
            </w:r>
            <w:r>
              <w:rPr>
                <w:rFonts w:hint="eastAsia" w:ascii="宋体" w:hAnsi="宋体" w:cs="Calibri"/>
                <w:color w:val="auto"/>
                <w:kern w:val="2"/>
                <w:sz w:val="21"/>
                <w:szCs w:val="21"/>
                <w:highlight w:val="none"/>
                <w:lang w:eastAsia="zh-CN"/>
              </w:rPr>
              <w:t>有、</w:t>
            </w:r>
            <w:r>
              <w:rPr>
                <w:rFonts w:hint="eastAsia" w:ascii="宋体" w:hAnsi="宋体" w:cs="Calibri"/>
                <w:color w:val="auto"/>
                <w:kern w:val="2"/>
                <w:sz w:val="21"/>
                <w:szCs w:val="21"/>
                <w:highlight w:val="none"/>
              </w:rPr>
              <w:t>投标价（包括大写金额和小写金额）；</w:t>
            </w:r>
          </w:p>
          <w:p>
            <w:p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b.已标价工程量清单说明文字与招标文件规定一致，未进行</w:t>
            </w:r>
            <w:r>
              <w:rPr>
                <w:rFonts w:hint="default" w:ascii="宋体" w:hAnsi="宋体" w:eastAsia="宋体" w:cs="Calibri"/>
                <w:kern w:val="2"/>
                <w:sz w:val="21"/>
                <w:szCs w:val="22"/>
                <w:highlight w:val="none"/>
              </w:rPr>
              <w:t>实质性</w:t>
            </w:r>
            <w:r>
              <w:rPr>
                <w:rFonts w:hint="eastAsia" w:ascii="宋体" w:hAnsi="宋体" w:cs="Calibri"/>
                <w:color w:val="auto"/>
                <w:kern w:val="2"/>
                <w:sz w:val="21"/>
                <w:szCs w:val="21"/>
                <w:highlight w:val="none"/>
              </w:rPr>
              <w:t>修改和删减。</w:t>
            </w:r>
          </w:p>
          <w:p>
            <w:p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c.投标文件组成齐全完整，内容均按规定填写。</w:t>
            </w:r>
          </w:p>
          <w:p>
            <w:pPr>
              <w:spacing w:before="0" w:beforeAutospacing="0" w:after="0" w:afterAutospacing="0" w:line="400" w:lineRule="exact"/>
              <w:ind w:left="0" w:right="0" w:firstLine="420" w:firstLineChars="200"/>
              <w:jc w:val="left"/>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(2)投标文件上法定代表人或其授权代理人的签字、投标人的单位章盖章齐全，符合招标文件规定。</w:t>
            </w:r>
          </w:p>
          <w:p>
            <w:p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w:t>
            </w:r>
            <w:r>
              <w:rPr>
                <w:rFonts w:hint="eastAsia" w:ascii="宋体" w:hAnsi="宋体" w:cs="Calibri"/>
                <w:color w:val="auto"/>
                <w:kern w:val="2"/>
                <w:sz w:val="21"/>
                <w:szCs w:val="21"/>
                <w:highlight w:val="none"/>
                <w:lang w:val="en-US" w:eastAsia="zh-CN"/>
              </w:rPr>
              <w:t>3</w:t>
            </w:r>
            <w:r>
              <w:rPr>
                <w:rFonts w:hint="eastAsia" w:ascii="宋体" w:hAnsi="宋体" w:cs="Calibri"/>
                <w:color w:val="auto"/>
                <w:kern w:val="2"/>
                <w:sz w:val="21"/>
                <w:szCs w:val="21"/>
                <w:highlight w:val="none"/>
              </w:rPr>
              <w:t>)</w:t>
            </w:r>
            <w:r>
              <w:rPr>
                <w:rFonts w:hint="default" w:ascii="宋体" w:hAnsi="宋体" w:eastAsia="宋体" w:cs="Calibri"/>
                <w:kern w:val="2"/>
                <w:sz w:val="21"/>
                <w:szCs w:val="22"/>
                <w:highlight w:val="none"/>
              </w:rPr>
              <w:t>投标报价或调价函中的报价未超过招标文件设定的最高投标限价（如有）。</w:t>
            </w:r>
          </w:p>
          <w:p>
            <w:p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w:t>
            </w:r>
            <w:r>
              <w:rPr>
                <w:rFonts w:hint="eastAsia" w:ascii="宋体" w:hAnsi="宋体" w:cs="Calibri"/>
                <w:color w:val="auto"/>
                <w:kern w:val="2"/>
                <w:sz w:val="21"/>
                <w:szCs w:val="21"/>
                <w:highlight w:val="none"/>
                <w:lang w:val="en-US" w:eastAsia="zh-CN"/>
              </w:rPr>
              <w:t>4</w:t>
            </w:r>
            <w:r>
              <w:rPr>
                <w:rFonts w:hint="eastAsia" w:ascii="宋体" w:hAnsi="宋体" w:cs="Calibri"/>
                <w:color w:val="auto"/>
                <w:kern w:val="2"/>
                <w:sz w:val="21"/>
                <w:szCs w:val="21"/>
                <w:highlight w:val="none"/>
              </w:rPr>
              <w:t>)投标报价或调价函中报价的大写金额能够确定具体数值。</w:t>
            </w:r>
          </w:p>
          <w:p>
            <w:p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w:t>
            </w:r>
            <w:r>
              <w:rPr>
                <w:rFonts w:hint="eastAsia" w:ascii="宋体" w:hAnsi="宋体" w:cs="Calibri"/>
                <w:color w:val="auto"/>
                <w:kern w:val="2"/>
                <w:sz w:val="21"/>
                <w:szCs w:val="21"/>
                <w:highlight w:val="none"/>
                <w:lang w:val="en-US" w:eastAsia="zh-CN"/>
              </w:rPr>
              <w:t>5</w:t>
            </w:r>
            <w:r>
              <w:rPr>
                <w:rFonts w:hint="eastAsia" w:ascii="宋体" w:hAnsi="宋体" w:cs="Calibri"/>
                <w:color w:val="auto"/>
                <w:kern w:val="2"/>
                <w:sz w:val="21"/>
                <w:szCs w:val="21"/>
                <w:highlight w:val="none"/>
              </w:rPr>
              <w:t>)同一投标人未提交两个以上不同的投标报价，但招标文件要求提交备选投标的除外。</w:t>
            </w:r>
          </w:p>
          <w:p>
            <w:p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w:t>
            </w:r>
            <w:r>
              <w:rPr>
                <w:rFonts w:hint="eastAsia" w:ascii="宋体" w:hAnsi="宋体" w:cs="Calibri"/>
                <w:color w:val="auto"/>
                <w:kern w:val="2"/>
                <w:sz w:val="21"/>
                <w:szCs w:val="21"/>
                <w:highlight w:val="none"/>
                <w:lang w:val="en-US" w:eastAsia="zh-CN"/>
              </w:rPr>
              <w:t>6</w:t>
            </w:r>
            <w:r>
              <w:rPr>
                <w:rFonts w:hint="eastAsia" w:ascii="宋体" w:hAnsi="宋体" w:cs="Calibri"/>
                <w:color w:val="auto"/>
                <w:kern w:val="2"/>
                <w:sz w:val="21"/>
                <w:szCs w:val="21"/>
                <w:highlight w:val="none"/>
              </w:rPr>
              <w:t>)</w:t>
            </w:r>
            <w:r>
              <w:rPr>
                <w:rFonts w:hint="default" w:ascii="宋体" w:hAnsi="宋体" w:eastAsia="宋体" w:cs="Calibri"/>
                <w:kern w:val="2"/>
                <w:sz w:val="21"/>
                <w:szCs w:val="22"/>
                <w:highlight w:val="none"/>
              </w:rPr>
              <w:t>投标人若提交调价函</w:t>
            </w:r>
            <w:r>
              <w:rPr>
                <w:rFonts w:hint="eastAsia" w:ascii="宋体" w:hAnsi="宋体" w:cs="Calibri"/>
                <w:kern w:val="2"/>
                <w:sz w:val="21"/>
                <w:szCs w:val="22"/>
                <w:highlight w:val="none"/>
                <w:lang w:eastAsia="zh-CN"/>
              </w:rPr>
              <w:t>（</w:t>
            </w:r>
            <w:r>
              <w:rPr>
                <w:rFonts w:hint="eastAsia" w:ascii="宋体" w:hAnsi="宋体" w:cs="Calibri"/>
                <w:kern w:val="2"/>
                <w:sz w:val="21"/>
                <w:szCs w:val="22"/>
                <w:highlight w:val="none"/>
                <w:lang w:val="en-US" w:eastAsia="zh-CN"/>
              </w:rPr>
              <w:t>如有</w:t>
            </w:r>
            <w:r>
              <w:rPr>
                <w:rFonts w:hint="eastAsia" w:ascii="宋体" w:hAnsi="宋体" w:cs="Calibri"/>
                <w:kern w:val="2"/>
                <w:sz w:val="21"/>
                <w:szCs w:val="22"/>
                <w:highlight w:val="none"/>
                <w:lang w:eastAsia="zh-CN"/>
              </w:rPr>
              <w:t>）</w:t>
            </w:r>
            <w:r>
              <w:rPr>
                <w:rFonts w:hint="default" w:ascii="宋体" w:hAnsi="宋体" w:eastAsia="宋体" w:cs="Calibri"/>
                <w:kern w:val="2"/>
                <w:sz w:val="21"/>
                <w:szCs w:val="22"/>
                <w:highlight w:val="none"/>
              </w:rPr>
              <w:t>，调价函符合招标文件第二章</w:t>
            </w:r>
            <w:r>
              <w:rPr>
                <w:rFonts w:hint="default" w:ascii="Arial" w:hAnsi="Arial" w:eastAsia="Arial" w:cs="Calibri"/>
                <w:kern w:val="2"/>
                <w:sz w:val="21"/>
                <w:szCs w:val="22"/>
                <w:highlight w:val="none"/>
              </w:rPr>
              <w:t>“</w:t>
            </w:r>
            <w:r>
              <w:rPr>
                <w:rFonts w:hint="default" w:ascii="宋体" w:hAnsi="宋体" w:eastAsia="宋体" w:cs="Calibri"/>
                <w:kern w:val="2"/>
                <w:sz w:val="21"/>
                <w:szCs w:val="22"/>
                <w:highlight w:val="none"/>
              </w:rPr>
              <w:t>投标人</w:t>
            </w:r>
            <w:r>
              <w:rPr>
                <w:rFonts w:hint="eastAsia" w:ascii="宋体" w:hAnsi="宋体" w:eastAsia="宋体" w:cs="Calibri"/>
                <w:kern w:val="2"/>
                <w:sz w:val="21"/>
                <w:szCs w:val="22"/>
                <w:highlight w:val="none"/>
              </w:rPr>
              <w:t>须知”第 3.2.6 项要求。</w:t>
            </w:r>
          </w:p>
          <w:p>
            <w:pPr>
              <w:spacing w:before="0" w:beforeAutospacing="0" w:after="0" w:afterAutospacing="0" w:line="400" w:lineRule="exact"/>
              <w:ind w:left="0" w:right="0" w:firstLine="420" w:firstLineChars="200"/>
              <w:jc w:val="left"/>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（7）投标人若填写工程量固化清单</w:t>
            </w:r>
            <w:r>
              <w:rPr>
                <w:rFonts w:hint="eastAsia" w:ascii="宋体" w:hAnsi="宋体" w:cs="Calibri"/>
                <w:color w:val="auto"/>
                <w:kern w:val="2"/>
                <w:sz w:val="21"/>
                <w:szCs w:val="21"/>
                <w:highlight w:val="none"/>
                <w:lang w:eastAsia="zh-CN"/>
              </w:rPr>
              <w:t>（</w:t>
            </w:r>
            <w:r>
              <w:rPr>
                <w:rFonts w:hint="eastAsia" w:ascii="宋体" w:hAnsi="宋体" w:cs="Calibri"/>
                <w:color w:val="auto"/>
                <w:kern w:val="2"/>
                <w:sz w:val="21"/>
                <w:szCs w:val="21"/>
                <w:highlight w:val="none"/>
                <w:lang w:val="en-US" w:eastAsia="zh-CN"/>
              </w:rPr>
              <w:t>如有</w:t>
            </w:r>
            <w:r>
              <w:rPr>
                <w:rFonts w:hint="eastAsia" w:ascii="宋体" w:hAnsi="宋体" w:cs="Calibri"/>
                <w:color w:val="auto"/>
                <w:kern w:val="2"/>
                <w:sz w:val="21"/>
                <w:szCs w:val="21"/>
                <w:highlight w:val="none"/>
                <w:lang w:eastAsia="zh-CN"/>
              </w:rPr>
              <w:t>）</w:t>
            </w:r>
            <w:r>
              <w:rPr>
                <w:rFonts w:hint="eastAsia" w:ascii="宋体" w:hAnsi="宋体" w:cs="Calibri"/>
                <w:color w:val="auto"/>
                <w:kern w:val="2"/>
                <w:sz w:val="21"/>
                <w:szCs w:val="21"/>
                <w:highlight w:val="none"/>
              </w:rPr>
              <w:t>，填写完毕的工程量固化清单</w:t>
            </w:r>
            <w:bookmarkStart w:id="280" w:name="_GoBack"/>
            <w:bookmarkEnd w:id="280"/>
            <w:r>
              <w:rPr>
                <w:rFonts w:hint="eastAsia" w:ascii="宋体" w:hAnsi="宋体" w:cs="Calibri"/>
                <w:color w:val="auto"/>
                <w:kern w:val="2"/>
                <w:sz w:val="21"/>
                <w:szCs w:val="21"/>
                <w:highlight w:val="none"/>
              </w:rPr>
              <w:t>未对工程量固化清单电子文件中的数据、格式和运算定义进行修改；工程量固化清单中的投标报价和投标函大写金额报价一致。</w:t>
            </w:r>
          </w:p>
          <w:p>
            <w:pPr>
              <w:spacing w:before="0" w:beforeAutospacing="0" w:after="0" w:afterAutospacing="0" w:line="400" w:lineRule="exact"/>
              <w:ind w:left="0" w:right="0" w:firstLine="420" w:firstLineChars="200"/>
              <w:jc w:val="left"/>
              <w:rPr>
                <w:rFonts w:hint="default" w:ascii="宋体" w:hAnsi="宋体" w:cs="Calibri"/>
                <w:b/>
                <w:color w:val="auto"/>
                <w:kern w:val="2"/>
                <w:sz w:val="21"/>
                <w:szCs w:val="21"/>
                <w:highlight w:val="none"/>
              </w:rPr>
            </w:pPr>
            <w:r>
              <w:rPr>
                <w:rFonts w:hint="eastAsia" w:ascii="宋体" w:hAnsi="宋体" w:cs="Calibri"/>
                <w:color w:val="auto"/>
                <w:kern w:val="2"/>
                <w:sz w:val="21"/>
                <w:szCs w:val="21"/>
                <w:highlight w:val="none"/>
              </w:rPr>
              <w:t>(</w:t>
            </w:r>
            <w:r>
              <w:rPr>
                <w:rFonts w:hint="eastAsia" w:ascii="宋体" w:hAnsi="宋体" w:cs="Calibri"/>
                <w:color w:val="auto"/>
                <w:kern w:val="2"/>
                <w:sz w:val="21"/>
                <w:szCs w:val="21"/>
                <w:highlight w:val="none"/>
                <w:lang w:val="en-US" w:eastAsia="zh-CN"/>
              </w:rPr>
              <w:t>8</w:t>
            </w:r>
            <w:r>
              <w:rPr>
                <w:rFonts w:hint="eastAsia" w:ascii="宋体" w:hAnsi="宋体" w:cs="Calibri"/>
                <w:color w:val="auto"/>
                <w:kern w:val="2"/>
                <w:sz w:val="21"/>
                <w:szCs w:val="21"/>
                <w:highlight w:val="none"/>
              </w:rPr>
              <w:t>)投标文件正、副本份数符合招标文件第二章“投标人须知”第3.7.4 项规定。</w:t>
            </w:r>
          </w:p>
        </w:tc>
      </w:tr>
      <w:tr>
        <w:trPr>
          <w:trHeight w:val="3678" w:hRule="atLeast"/>
          <w:jc w:val="center"/>
        </w:trPr>
        <w:tc>
          <w:tcPr>
            <w:tcW w:w="1071" w:type="dxa"/>
            <w:tcBorders>
              <w:bottom w:val="single" w:color="auto" w:sz="4" w:space="0"/>
              <w:right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2.1.2</w:t>
            </w:r>
          </w:p>
        </w:tc>
        <w:tc>
          <w:tcPr>
            <w:tcW w:w="1362" w:type="dxa"/>
            <w:tcBorders>
              <w:left w:val="single" w:color="auto" w:sz="4" w:space="0"/>
              <w:bottom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资格评审标准</w:t>
            </w:r>
          </w:p>
        </w:tc>
        <w:tc>
          <w:tcPr>
            <w:tcW w:w="7380" w:type="dxa"/>
            <w:tcBorders>
              <w:bottom w:val="single" w:color="auto" w:sz="4" w:space="0"/>
            </w:tcBorders>
            <w:vAlign w:val="center"/>
          </w:tcPr>
          <w:p>
            <w:pPr>
              <w:spacing w:before="0" w:beforeAutospacing="0" w:after="0" w:afterAutospacing="0" w:line="400" w:lineRule="exact"/>
              <w:ind w:left="0" w:right="0" w:firstLine="420" w:firstLineChars="2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(1)投标人具备有效的营业执照、资质证书和安全生产许可证和基本账户开户许可证；</w:t>
            </w:r>
          </w:p>
          <w:p>
            <w:pPr>
              <w:spacing w:before="0" w:beforeAutospacing="0" w:after="0" w:afterAutospacing="0" w:line="400" w:lineRule="exact"/>
              <w:ind w:left="0" w:right="0" w:firstLine="420" w:firstLineChars="2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(2)投标人的资质等级符合招标文件规定；</w:t>
            </w:r>
          </w:p>
          <w:p>
            <w:pPr>
              <w:spacing w:before="0" w:beforeAutospacing="0" w:after="0" w:afterAutospacing="0" w:line="400" w:lineRule="exact"/>
              <w:ind w:left="0" w:right="0" w:firstLine="420" w:firstLineChars="2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(3)投标人的财务状况符合招标文件规定；</w:t>
            </w:r>
          </w:p>
          <w:p>
            <w:pPr>
              <w:spacing w:before="0" w:beforeAutospacing="0" w:after="0" w:afterAutospacing="0" w:line="400" w:lineRule="exact"/>
              <w:ind w:left="0" w:right="0" w:firstLine="420" w:firstLineChars="2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(4)投标人的类似项目业绩符合招标文件规定；</w:t>
            </w:r>
          </w:p>
          <w:p>
            <w:pPr>
              <w:spacing w:before="0" w:beforeAutospacing="0" w:after="0" w:afterAutospacing="0" w:line="400" w:lineRule="exact"/>
              <w:ind w:left="0" w:right="0" w:firstLine="420" w:firstLineChars="2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(5)投标人的信誉符合招标文件规定；</w:t>
            </w:r>
          </w:p>
          <w:p>
            <w:pPr>
              <w:spacing w:before="0" w:beforeAutospacing="0" w:after="0" w:afterAutospacing="0" w:line="400" w:lineRule="exact"/>
              <w:ind w:left="0" w:right="0" w:firstLine="420" w:firstLineChars="2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(6)投标人的项目经理</w:t>
            </w:r>
            <w:r>
              <w:rPr>
                <w:rFonts w:hint="eastAsia" w:ascii="宋体" w:hAnsi="宋体" w:cs="Calibri"/>
                <w:color w:val="auto"/>
                <w:kern w:val="2"/>
                <w:sz w:val="21"/>
                <w:szCs w:val="21"/>
                <w:highlight w:val="none"/>
                <w:lang w:eastAsia="zh-CN"/>
              </w:rPr>
              <w:t>和项目总工</w:t>
            </w:r>
            <w:r>
              <w:rPr>
                <w:rFonts w:hint="eastAsia" w:ascii="宋体" w:hAnsi="宋体" w:cs="Calibri"/>
                <w:color w:val="auto"/>
                <w:kern w:val="2"/>
                <w:sz w:val="21"/>
                <w:szCs w:val="21"/>
                <w:highlight w:val="none"/>
              </w:rPr>
              <w:t>资格</w:t>
            </w:r>
            <w:r>
              <w:rPr>
                <w:rFonts w:hint="eastAsia" w:ascii="宋体" w:hAnsi="宋体" w:cs="Calibri"/>
                <w:color w:val="auto"/>
                <w:kern w:val="2"/>
                <w:sz w:val="21"/>
                <w:szCs w:val="21"/>
                <w:highlight w:val="none"/>
                <w:lang w:eastAsia="zh-CN"/>
              </w:rPr>
              <w:t>、在岗情况</w:t>
            </w:r>
            <w:r>
              <w:rPr>
                <w:rFonts w:hint="eastAsia" w:ascii="宋体" w:hAnsi="宋体" w:cs="Calibri"/>
                <w:color w:val="auto"/>
                <w:kern w:val="2"/>
                <w:sz w:val="21"/>
                <w:szCs w:val="21"/>
                <w:highlight w:val="none"/>
              </w:rPr>
              <w:t>符合招标文件规定；</w:t>
            </w:r>
          </w:p>
          <w:p>
            <w:pPr>
              <w:spacing w:before="0" w:beforeAutospacing="0" w:after="0" w:afterAutospacing="0" w:line="400" w:lineRule="exact"/>
              <w:ind w:left="0" w:right="0" w:firstLine="420" w:firstLineChars="2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(7)投标人的其他要求符合招标文件规定；</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(8)投标人不存在第二章“投标人须知”第1.4.3项</w:t>
            </w:r>
            <w:r>
              <w:rPr>
                <w:rFonts w:hint="eastAsia" w:ascii="宋体" w:hAnsi="宋体" w:cs="Calibri"/>
                <w:color w:val="auto"/>
                <w:kern w:val="2"/>
                <w:sz w:val="21"/>
                <w:szCs w:val="21"/>
                <w:highlight w:val="none"/>
                <w:lang w:eastAsia="zh-CN"/>
              </w:rPr>
              <w:t>或</w:t>
            </w:r>
            <w:r>
              <w:rPr>
                <w:rFonts w:hint="eastAsia" w:ascii="宋体" w:hAnsi="宋体" w:cs="Calibri"/>
                <w:color w:val="auto"/>
                <w:kern w:val="2"/>
                <w:sz w:val="21"/>
                <w:szCs w:val="21"/>
                <w:highlight w:val="none"/>
              </w:rPr>
              <w:t>第 1.4.4 项规定的任何一种情形；</w:t>
            </w:r>
          </w:p>
          <w:p>
            <w:pPr>
              <w:spacing w:before="0" w:beforeAutospacing="0" w:after="0" w:afterAutospacing="0" w:line="400" w:lineRule="exact"/>
              <w:ind w:left="0" w:right="0" w:firstLine="420" w:firstLineChars="200"/>
              <w:rPr>
                <w:rFonts w:hint="eastAsia" w:ascii="宋体" w:hAnsi="宋体" w:eastAsia="宋体" w:cs="Calibri"/>
                <w:kern w:val="2"/>
                <w:sz w:val="21"/>
                <w:szCs w:val="22"/>
                <w:highlight w:val="none"/>
              </w:rPr>
            </w:pPr>
            <w:r>
              <w:rPr>
                <w:rFonts w:hint="eastAsia" w:ascii="宋体" w:hAnsi="宋体" w:cs="Calibri"/>
                <w:color w:val="auto"/>
                <w:kern w:val="2"/>
                <w:sz w:val="21"/>
                <w:szCs w:val="21"/>
                <w:highlight w:val="none"/>
              </w:rPr>
              <w:t>（9）以联合体形式参与投标的，联合体各方均未再以自己名义单独或参加其他联合体在同一标段中投标；独立参与投标的，投标人未同时参加联合体在同一标段中投标。</w:t>
            </w:r>
          </w:p>
        </w:tc>
      </w:tr>
      <w:tr>
        <w:trPr>
          <w:trHeight w:val="90" w:hRule="atLeast"/>
          <w:jc w:val="center"/>
        </w:trPr>
        <w:tc>
          <w:tcPr>
            <w:tcW w:w="1071" w:type="dxa"/>
            <w:tcBorders>
              <w:top w:val="single" w:color="auto" w:sz="4" w:space="0"/>
              <w:bottom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2.2.1</w:t>
            </w:r>
          </w:p>
        </w:tc>
        <w:tc>
          <w:tcPr>
            <w:tcW w:w="1362" w:type="dxa"/>
            <w:tcBorders>
              <w:top w:val="single" w:color="auto" w:sz="4" w:space="0"/>
              <w:bottom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第一个信封评分分值构成(总分100分)</w:t>
            </w:r>
          </w:p>
        </w:tc>
        <w:tc>
          <w:tcPr>
            <w:tcW w:w="7380" w:type="dxa"/>
            <w:tcBorders>
              <w:top w:val="single" w:color="auto" w:sz="4" w:space="0"/>
              <w:bottom w:val="single" w:color="auto" w:sz="4" w:space="0"/>
            </w:tcBorders>
            <w:vAlign w:val="center"/>
          </w:tcPr>
          <w:p>
            <w:pPr>
              <w:spacing w:before="0" w:beforeAutospacing="0" w:after="0" w:afterAutospacing="0" w:line="400" w:lineRule="exact"/>
              <w:ind w:left="0" w:right="0" w:firstLine="420" w:firstLineChars="200"/>
              <w:jc w:val="left"/>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施工组织设计</w:t>
            </w:r>
            <w:r>
              <w:rPr>
                <w:rFonts w:hint="eastAsia" w:ascii="宋体" w:hAnsi="宋体" w:cs="Calibri"/>
                <w:color w:val="auto"/>
                <w:kern w:val="2"/>
                <w:sz w:val="21"/>
                <w:szCs w:val="21"/>
                <w:highlight w:val="none"/>
                <w:lang w:val="en-US" w:eastAsia="zh-CN"/>
              </w:rPr>
              <w:t>40</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jc w:val="left"/>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lang w:eastAsia="zh-CN"/>
              </w:rPr>
              <w:t>主要人员</w:t>
            </w:r>
            <w:r>
              <w:rPr>
                <w:rFonts w:hint="eastAsia" w:ascii="宋体" w:hAnsi="宋体" w:cs="Calibri"/>
                <w:color w:val="auto"/>
                <w:kern w:val="2"/>
                <w:sz w:val="21"/>
                <w:szCs w:val="21"/>
                <w:highlight w:val="none"/>
                <w:lang w:val="en-US" w:eastAsia="zh-CN"/>
              </w:rPr>
              <w:t>25</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jc w:val="left"/>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技术能力</w:t>
            </w:r>
            <w:r>
              <w:rPr>
                <w:rFonts w:hint="eastAsia" w:ascii="宋体" w:hAnsi="宋体" w:cs="Calibri"/>
                <w:color w:val="auto"/>
                <w:kern w:val="2"/>
                <w:sz w:val="21"/>
                <w:szCs w:val="21"/>
                <w:highlight w:val="none"/>
                <w:lang w:val="en-US" w:eastAsia="zh-CN"/>
              </w:rPr>
              <w:t>20</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jc w:val="left"/>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履约信誉1</w:t>
            </w:r>
            <w:r>
              <w:rPr>
                <w:rFonts w:hint="eastAsia" w:ascii="宋体" w:hAnsi="宋体" w:cs="Calibri"/>
                <w:color w:val="auto"/>
                <w:kern w:val="2"/>
                <w:sz w:val="21"/>
                <w:szCs w:val="21"/>
                <w:highlight w:val="none"/>
                <w:lang w:val="en-US" w:eastAsia="zh-CN"/>
              </w:rPr>
              <w:t>5</w:t>
            </w:r>
            <w:r>
              <w:rPr>
                <w:rFonts w:hint="eastAsia" w:ascii="宋体" w:hAnsi="宋体" w:cs="Calibri"/>
                <w:color w:val="auto"/>
                <w:kern w:val="2"/>
                <w:sz w:val="21"/>
                <w:szCs w:val="21"/>
                <w:highlight w:val="none"/>
              </w:rPr>
              <w:t>分</w:t>
            </w:r>
          </w:p>
        </w:tc>
      </w:tr>
      <w:tr>
        <w:trPr>
          <w:trHeight w:val="1768" w:hRule="atLeast"/>
          <w:jc w:val="center"/>
        </w:trPr>
        <w:tc>
          <w:tcPr>
            <w:tcW w:w="1071" w:type="dxa"/>
            <w:tcBorders>
              <w:top w:val="single" w:color="auto" w:sz="4" w:space="0"/>
              <w:bottom w:val="single" w:color="auto" w:sz="4" w:space="0"/>
            </w:tcBorders>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3.2.4</w:t>
            </w:r>
          </w:p>
        </w:tc>
        <w:tc>
          <w:tcPr>
            <w:tcW w:w="1362" w:type="dxa"/>
            <w:tcBorders>
              <w:top w:val="single" w:color="auto" w:sz="4" w:space="0"/>
              <w:bottom w:val="single" w:color="auto" w:sz="4" w:space="0"/>
            </w:tcBorders>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eastAsia="zh-CN"/>
              </w:rPr>
              <w:t>通过第一个信封详细评审的投标人数量</w:t>
            </w:r>
          </w:p>
        </w:tc>
        <w:tc>
          <w:tcPr>
            <w:tcW w:w="7380" w:type="dxa"/>
            <w:tcBorders>
              <w:top w:val="single" w:color="auto" w:sz="4" w:space="0"/>
              <w:bottom w:val="single" w:color="auto" w:sz="4" w:space="0"/>
            </w:tcBorders>
            <w:vAlign w:val="center"/>
          </w:tcPr>
          <w:p>
            <w:pPr>
              <w:spacing w:before="0" w:beforeAutospacing="0" w:after="0" w:afterAutospacing="0" w:line="400" w:lineRule="exact"/>
              <w:ind w:left="0" w:right="0" w:firstLine="420" w:firstLineChars="200"/>
              <w:jc w:val="left"/>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eastAsia="zh-CN"/>
              </w:rPr>
              <w:t>按照投标人的商务和技术得分由高到低排序，选择前</w:t>
            </w:r>
            <w:r>
              <w:rPr>
                <w:rFonts w:hint="eastAsia" w:ascii="宋体" w:hAnsi="宋体" w:cs="Calibri"/>
                <w:color w:val="auto"/>
                <w:kern w:val="2"/>
                <w:sz w:val="21"/>
                <w:szCs w:val="21"/>
                <w:highlight w:val="none"/>
                <w:u w:val="none"/>
                <w:lang w:eastAsia="zh-CN"/>
              </w:rPr>
              <w:t>三</w:t>
            </w:r>
            <w:r>
              <w:rPr>
                <w:rFonts w:hint="eastAsia" w:ascii="宋体" w:hAnsi="宋体" w:cs="Calibri"/>
                <w:color w:val="auto"/>
                <w:kern w:val="2"/>
                <w:sz w:val="21"/>
                <w:szCs w:val="21"/>
                <w:highlight w:val="none"/>
                <w:lang w:eastAsia="zh-CN"/>
              </w:rPr>
              <w:t>名通过详细评审</w:t>
            </w:r>
          </w:p>
        </w:tc>
      </w:tr>
      <w:tr>
        <w:trPr>
          <w:trHeight w:val="732" w:hRule="atLeast"/>
          <w:jc w:val="center"/>
        </w:trPr>
        <w:tc>
          <w:tcPr>
            <w:tcW w:w="1071" w:type="dxa"/>
            <w:tcBorders>
              <w:right w:val="single" w:color="auto" w:sz="4" w:space="0"/>
            </w:tcBorders>
            <w:vAlign w:val="center"/>
          </w:tcPr>
          <w:p>
            <w:pPr>
              <w:spacing w:before="0" w:beforeAutospacing="0" w:after="0" w:afterAutospacing="0"/>
              <w:ind w:left="0" w:right="0"/>
              <w:jc w:val="center"/>
              <w:rPr>
                <w:rFonts w:hint="default" w:ascii="宋体" w:hAnsi="宋体" w:cs="Calibri"/>
                <w:b/>
                <w:color w:val="auto"/>
                <w:kern w:val="2"/>
                <w:sz w:val="21"/>
                <w:szCs w:val="21"/>
                <w:highlight w:val="none"/>
              </w:rPr>
            </w:pPr>
            <w:r>
              <w:rPr>
                <w:rFonts w:hint="eastAsia" w:ascii="宋体" w:hAnsi="宋体" w:cs="Calibri"/>
                <w:b/>
                <w:color w:val="auto"/>
                <w:kern w:val="2"/>
                <w:sz w:val="21"/>
                <w:szCs w:val="21"/>
                <w:highlight w:val="none"/>
              </w:rPr>
              <w:t>条款号</w:t>
            </w:r>
          </w:p>
        </w:tc>
        <w:tc>
          <w:tcPr>
            <w:tcW w:w="1362" w:type="dxa"/>
            <w:tcBorders>
              <w:left w:val="single" w:color="auto" w:sz="4" w:space="0"/>
            </w:tcBorders>
            <w:vAlign w:val="center"/>
          </w:tcPr>
          <w:p>
            <w:pPr>
              <w:spacing w:before="0" w:beforeAutospacing="0" w:after="0" w:afterAutospacing="0"/>
              <w:ind w:left="0" w:right="0"/>
              <w:jc w:val="center"/>
              <w:rPr>
                <w:rFonts w:hint="default" w:ascii="宋体" w:hAnsi="宋体" w:cs="Calibri"/>
                <w:b/>
                <w:color w:val="auto"/>
                <w:kern w:val="2"/>
                <w:sz w:val="21"/>
                <w:szCs w:val="21"/>
                <w:highlight w:val="none"/>
              </w:rPr>
            </w:pPr>
            <w:r>
              <w:rPr>
                <w:rFonts w:hint="eastAsia" w:ascii="宋体" w:hAnsi="宋体" w:cs="Calibri"/>
                <w:b/>
                <w:color w:val="auto"/>
                <w:kern w:val="2"/>
                <w:sz w:val="21"/>
                <w:szCs w:val="21"/>
                <w:highlight w:val="none"/>
              </w:rPr>
              <w:t>条款内容</w:t>
            </w:r>
          </w:p>
        </w:tc>
        <w:tc>
          <w:tcPr>
            <w:tcW w:w="7380" w:type="dxa"/>
            <w:vAlign w:val="center"/>
          </w:tcPr>
          <w:p>
            <w:pPr>
              <w:spacing w:before="0" w:beforeAutospacing="0" w:after="0" w:afterAutospacing="0"/>
              <w:ind w:left="0" w:right="0"/>
              <w:jc w:val="center"/>
              <w:rPr>
                <w:rFonts w:hint="default" w:ascii="宋体" w:hAnsi="宋体" w:cs="Calibri"/>
                <w:b/>
                <w:color w:val="auto"/>
                <w:kern w:val="2"/>
                <w:sz w:val="21"/>
                <w:szCs w:val="21"/>
                <w:highlight w:val="none"/>
              </w:rPr>
            </w:pPr>
            <w:r>
              <w:rPr>
                <w:rFonts w:hint="eastAsia" w:ascii="宋体" w:hAnsi="宋体" w:cs="Calibri"/>
                <w:b/>
                <w:color w:val="auto"/>
                <w:kern w:val="2"/>
                <w:sz w:val="21"/>
                <w:szCs w:val="21"/>
                <w:highlight w:val="none"/>
              </w:rPr>
              <w:t>评审因素与标准</w:t>
            </w:r>
          </w:p>
        </w:tc>
      </w:tr>
      <w:tr>
        <w:trPr>
          <w:trHeight w:val="2851" w:hRule="atLeast"/>
          <w:jc w:val="center"/>
        </w:trPr>
        <w:tc>
          <w:tcPr>
            <w:tcW w:w="1071" w:type="dxa"/>
            <w:tcBorders>
              <w:top w:val="single" w:color="auto" w:sz="4" w:space="0"/>
              <w:bottom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2.2.2</w:t>
            </w:r>
            <w:r>
              <w:rPr>
                <w:rFonts w:hint="eastAsia" w:ascii="宋体" w:hAnsi="宋体" w:cs="Calibri"/>
                <w:color w:val="auto"/>
                <w:kern w:val="2"/>
                <w:sz w:val="21"/>
                <w:szCs w:val="21"/>
                <w:highlight w:val="none"/>
                <w:lang w:eastAsia="zh-CN"/>
              </w:rPr>
              <w:t>（</w:t>
            </w:r>
            <w:r>
              <w:rPr>
                <w:rFonts w:hint="eastAsia" w:ascii="宋体" w:hAnsi="宋体" w:cs="Calibri"/>
                <w:color w:val="auto"/>
                <w:kern w:val="2"/>
                <w:sz w:val="21"/>
                <w:szCs w:val="21"/>
                <w:highlight w:val="none"/>
                <w:lang w:val="en-US" w:eastAsia="zh-CN"/>
              </w:rPr>
              <w:t>1</w:t>
            </w:r>
            <w:r>
              <w:rPr>
                <w:rFonts w:hint="eastAsia" w:ascii="宋体" w:hAnsi="宋体" w:cs="Calibri"/>
                <w:color w:val="auto"/>
                <w:kern w:val="2"/>
                <w:sz w:val="21"/>
                <w:szCs w:val="21"/>
                <w:highlight w:val="none"/>
                <w:lang w:eastAsia="zh-CN"/>
              </w:rPr>
              <w:t>）</w:t>
            </w:r>
          </w:p>
        </w:tc>
        <w:tc>
          <w:tcPr>
            <w:tcW w:w="1362" w:type="dxa"/>
            <w:tcBorders>
              <w:top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施工组织设计（0-</w:t>
            </w:r>
            <w:r>
              <w:rPr>
                <w:rFonts w:hint="eastAsia" w:ascii="宋体" w:hAnsi="宋体" w:cs="Calibri"/>
                <w:color w:val="auto"/>
                <w:kern w:val="2"/>
                <w:sz w:val="21"/>
                <w:szCs w:val="21"/>
                <w:highlight w:val="none"/>
                <w:lang w:val="en-US" w:eastAsia="zh-CN"/>
              </w:rPr>
              <w:t>40</w:t>
            </w:r>
            <w:r>
              <w:rPr>
                <w:rFonts w:hint="eastAsia" w:ascii="宋体" w:hAnsi="宋体" w:cs="Calibri"/>
                <w:color w:val="auto"/>
                <w:kern w:val="2"/>
                <w:sz w:val="21"/>
                <w:szCs w:val="21"/>
                <w:highlight w:val="none"/>
              </w:rPr>
              <w:t>分）</w:t>
            </w:r>
          </w:p>
        </w:tc>
        <w:tc>
          <w:tcPr>
            <w:tcW w:w="7380" w:type="dxa"/>
            <w:tcBorders>
              <w:top w:val="single" w:color="auto" w:sz="4" w:space="0"/>
              <w:left w:val="single" w:color="auto" w:sz="4" w:space="0"/>
              <w:bottom w:val="single" w:color="auto" w:sz="4" w:space="0"/>
            </w:tcBorders>
            <w:vAlign w:val="center"/>
          </w:tcPr>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1、投标人应按以下要点编制施工组织设计（文字宜精炼、内容具有针对性，总体控制在30000字以内）；</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（1）总体施工组织布置及规划                   0-</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（2）主要工程项目的施工方案、方法与技术措施（尤其对重点、关键和难点工程的施工方案、方法及其措施）                  0-</w:t>
            </w:r>
            <w:r>
              <w:rPr>
                <w:rFonts w:hint="eastAsia" w:ascii="宋体" w:hAnsi="宋体" w:cs="Calibri"/>
                <w:color w:val="auto"/>
                <w:kern w:val="2"/>
                <w:sz w:val="21"/>
                <w:szCs w:val="21"/>
                <w:highlight w:val="none"/>
                <w:lang w:val="en-US" w:eastAsia="zh-CN"/>
              </w:rPr>
              <w:t>5</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（3）工期的保证体系及保证措施                 0-</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（4）工程质量管理体系及保证措施               0-</w:t>
            </w:r>
            <w:r>
              <w:rPr>
                <w:rFonts w:hint="eastAsia" w:ascii="宋体" w:hAnsi="宋体" w:cs="Calibri"/>
                <w:color w:val="auto"/>
                <w:kern w:val="2"/>
                <w:sz w:val="21"/>
                <w:szCs w:val="21"/>
                <w:highlight w:val="none"/>
                <w:lang w:val="en-US" w:eastAsia="zh-CN"/>
              </w:rPr>
              <w:t>3</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（5）安全生产管理体系及保证措施               0-</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eastAsia" w:ascii="宋体" w:hAnsi="宋体" w:cs="Calibri"/>
                <w:b/>
                <w:bCs/>
                <w:color w:val="auto"/>
                <w:kern w:val="2"/>
                <w:sz w:val="21"/>
                <w:szCs w:val="21"/>
                <w:highlight w:val="none"/>
              </w:rPr>
            </w:pPr>
            <w:r>
              <w:rPr>
                <w:rFonts w:hint="eastAsia" w:ascii="宋体" w:hAnsi="宋体" w:cs="Calibri"/>
                <w:color w:val="auto"/>
                <w:kern w:val="2"/>
                <w:sz w:val="21"/>
                <w:szCs w:val="21"/>
                <w:highlight w:val="none"/>
              </w:rPr>
              <w:t>（6）环境保护、水土保持保证体系及保证措施</w:t>
            </w:r>
            <w:r>
              <w:rPr>
                <w:rFonts w:hint="eastAsia" w:ascii="宋体" w:hAnsi="宋体" w:cs="Calibri"/>
                <w:b/>
                <w:bCs/>
                <w:color w:val="auto"/>
                <w:kern w:val="2"/>
                <w:sz w:val="21"/>
                <w:szCs w:val="21"/>
                <w:highlight w:val="none"/>
              </w:rPr>
              <w:t xml:space="preserve">（含扬尘治理措施）                                                                  </w:t>
            </w:r>
          </w:p>
          <w:p>
            <w:pPr>
              <w:spacing w:before="0" w:beforeAutospacing="0" w:after="0" w:afterAutospacing="0" w:line="400" w:lineRule="exact"/>
              <w:ind w:left="0" w:right="0" w:firstLine="422" w:firstLineChars="200"/>
              <w:rPr>
                <w:rFonts w:hint="eastAsia" w:ascii="宋体" w:hAnsi="宋体" w:cs="Calibri"/>
                <w:color w:val="auto"/>
                <w:kern w:val="2"/>
                <w:sz w:val="21"/>
                <w:szCs w:val="21"/>
                <w:highlight w:val="none"/>
              </w:rPr>
            </w:pPr>
            <w:r>
              <w:rPr>
                <w:rFonts w:hint="eastAsia" w:ascii="宋体" w:hAnsi="宋体" w:cs="Calibri"/>
                <w:b/>
                <w:bCs/>
                <w:color w:val="auto"/>
                <w:kern w:val="2"/>
                <w:sz w:val="21"/>
                <w:szCs w:val="21"/>
                <w:highlight w:val="none"/>
              </w:rPr>
              <w:t xml:space="preserve">                                              </w:t>
            </w:r>
            <w:r>
              <w:rPr>
                <w:rFonts w:hint="eastAsia" w:ascii="宋体" w:hAnsi="宋体" w:cs="Calibri"/>
                <w:color w:val="auto"/>
                <w:kern w:val="2"/>
                <w:sz w:val="21"/>
                <w:szCs w:val="21"/>
                <w:highlight w:val="none"/>
              </w:rPr>
              <w:t>0-</w:t>
            </w:r>
            <w:r>
              <w:rPr>
                <w:rFonts w:hint="eastAsia" w:ascii="宋体" w:hAnsi="宋体" w:cs="Calibri"/>
                <w:color w:val="auto"/>
                <w:kern w:val="2"/>
                <w:sz w:val="21"/>
                <w:szCs w:val="21"/>
                <w:highlight w:val="none"/>
                <w:lang w:val="en-US" w:eastAsia="zh-CN"/>
              </w:rPr>
              <w:t>3</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（7）文明施工、文物保护保证体系及保证措施     0-</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（8）项目风险预测与防范，事故应急预案         0-</w:t>
            </w:r>
            <w:r>
              <w:rPr>
                <w:rFonts w:hint="eastAsia" w:ascii="宋体" w:hAnsi="宋体" w:cs="Calibri"/>
                <w:color w:val="auto"/>
                <w:kern w:val="2"/>
                <w:sz w:val="21"/>
                <w:szCs w:val="21"/>
                <w:highlight w:val="none"/>
                <w:lang w:val="en-US" w:eastAsia="zh-CN"/>
              </w:rPr>
              <w:t>3</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default" w:ascii="宋体" w:hAnsi="宋体" w:cs="Calibri"/>
                <w:color w:val="auto"/>
                <w:kern w:val="2"/>
                <w:sz w:val="21"/>
                <w:szCs w:val="21"/>
                <w:highlight w:val="none"/>
              </w:rPr>
            </w:pPr>
            <w:r>
              <w:rPr>
                <w:rFonts w:hint="default" w:ascii="宋体" w:hAnsi="宋体" w:cs="Calibri"/>
                <w:color w:val="auto"/>
                <w:kern w:val="2"/>
                <w:sz w:val="21"/>
                <w:szCs w:val="21"/>
                <w:highlight w:val="none"/>
              </w:rPr>
              <w:t>2</w:t>
            </w:r>
            <w:r>
              <w:rPr>
                <w:rFonts w:hint="eastAsia" w:ascii="宋体" w:hAnsi="宋体" w:cs="Calibri"/>
                <w:color w:val="auto"/>
                <w:kern w:val="2"/>
                <w:sz w:val="21"/>
                <w:szCs w:val="21"/>
                <w:highlight w:val="none"/>
              </w:rPr>
              <w:t>、</w:t>
            </w:r>
            <w:r>
              <w:rPr>
                <w:rFonts w:hint="default" w:ascii="宋体" w:hAnsi="宋体" w:cs="Calibri"/>
                <w:color w:val="auto"/>
                <w:kern w:val="2"/>
                <w:sz w:val="21"/>
                <w:szCs w:val="21"/>
                <w:highlight w:val="none"/>
              </w:rPr>
              <w:t>施工组织设计除采用文字表述外可附下列图表，图表及格式要求附后。</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 xml:space="preserve">   附表一  施工总体计划表                     0-</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 xml:space="preserve">   附表二  分项工程进度率计划（斜率图）       0-</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 xml:space="preserve">分 </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 xml:space="preserve">   附表三  工程管理曲线                       0-</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 xml:space="preserve">   附表四  分项工程生产率和施工周期表         0-</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 xml:space="preserve">   附表五  施工总平面图                       0-</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 xml:space="preserve">   附表六  劳动力计划表                       0-</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735" w:firstLineChars="35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附表七  临时用地计划表                     0-</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分</w:t>
            </w:r>
            <w:r>
              <w:rPr>
                <w:rFonts w:hint="eastAsia" w:ascii="宋体" w:hAnsi="宋体" w:cs="Calibri"/>
                <w:color w:val="auto"/>
                <w:kern w:val="2"/>
                <w:sz w:val="21"/>
                <w:szCs w:val="21"/>
                <w:highlight w:val="none"/>
                <w:lang w:val="en-US" w:eastAsia="zh-CN"/>
              </w:rPr>
              <w:t xml:space="preserve">                                                                                                                                                          </w:t>
            </w:r>
          </w:p>
          <w:p>
            <w:pPr>
              <w:spacing w:before="0" w:beforeAutospacing="0" w:after="0" w:afterAutospacing="0" w:line="400" w:lineRule="exact"/>
              <w:ind w:left="0" w:right="0" w:firstLine="735" w:firstLineChars="35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附表八  外供电力需求计划表                 0-</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 xml:space="preserve">   附表九  合同用款估算表                     0-</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分</w:t>
            </w:r>
          </w:p>
        </w:tc>
      </w:tr>
      <w:tr>
        <w:trPr>
          <w:trHeight w:val="633" w:hRule="atLeast"/>
          <w:jc w:val="center"/>
        </w:trPr>
        <w:tc>
          <w:tcPr>
            <w:tcW w:w="1071" w:type="dxa"/>
            <w:tcBorders>
              <w:top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2.2.</w:t>
            </w:r>
            <w:r>
              <w:rPr>
                <w:rFonts w:hint="eastAsia" w:ascii="宋体" w:hAnsi="宋体" w:cs="Calibri"/>
                <w:color w:val="auto"/>
                <w:kern w:val="2"/>
                <w:sz w:val="21"/>
                <w:szCs w:val="21"/>
                <w:highlight w:val="none"/>
                <w:lang w:val="en-US" w:eastAsia="zh-CN"/>
              </w:rPr>
              <w:t>2（2）</w:t>
            </w:r>
          </w:p>
        </w:tc>
        <w:tc>
          <w:tcPr>
            <w:tcW w:w="1362" w:type="dxa"/>
            <w:tcBorders>
              <w:top w:val="single" w:color="auto" w:sz="4" w:space="0"/>
              <w:right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项目管理机构（0-</w:t>
            </w:r>
            <w:r>
              <w:rPr>
                <w:rFonts w:hint="eastAsia" w:ascii="宋体" w:hAnsi="宋体" w:cs="Calibri"/>
                <w:color w:val="auto"/>
                <w:kern w:val="2"/>
                <w:sz w:val="21"/>
                <w:szCs w:val="21"/>
                <w:highlight w:val="none"/>
                <w:lang w:val="en-US" w:eastAsia="zh-CN"/>
              </w:rPr>
              <w:t>25</w:t>
            </w:r>
            <w:r>
              <w:rPr>
                <w:rFonts w:hint="eastAsia" w:ascii="宋体" w:hAnsi="宋体" w:cs="Calibri"/>
                <w:color w:val="auto"/>
                <w:kern w:val="2"/>
                <w:sz w:val="21"/>
                <w:szCs w:val="21"/>
                <w:highlight w:val="none"/>
              </w:rPr>
              <w:t>分）</w:t>
            </w:r>
          </w:p>
        </w:tc>
        <w:tc>
          <w:tcPr>
            <w:tcW w:w="7380" w:type="dxa"/>
            <w:tcBorders>
              <w:top w:val="single" w:color="auto" w:sz="4" w:space="0"/>
              <w:left w:val="single" w:color="auto" w:sz="4" w:space="0"/>
            </w:tcBorders>
            <w:vAlign w:val="center"/>
          </w:tcPr>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 xml:space="preserve">1、 </w:t>
            </w:r>
            <w:r>
              <w:rPr>
                <w:rFonts w:hint="eastAsia" w:ascii="宋体" w:hAnsi="宋体" w:cs="Calibri"/>
                <w:color w:val="auto"/>
                <w:kern w:val="2"/>
                <w:sz w:val="21"/>
                <w:szCs w:val="21"/>
                <w:highlight w:val="none"/>
                <w:lang w:val="en-US" w:eastAsia="zh-CN"/>
              </w:rPr>
              <w:t>主要进场管理人员和技术人员</w:t>
            </w:r>
            <w:r>
              <w:rPr>
                <w:rFonts w:hint="eastAsia" w:ascii="宋体" w:hAnsi="宋体" w:cs="Calibri"/>
                <w:color w:val="auto"/>
                <w:kern w:val="2"/>
                <w:sz w:val="21"/>
                <w:szCs w:val="21"/>
                <w:highlight w:val="none"/>
              </w:rPr>
              <w:t>配备齐全</w:t>
            </w:r>
            <w:r>
              <w:rPr>
                <w:rFonts w:hint="eastAsia" w:ascii="宋体" w:hAnsi="宋体" w:cs="Calibri"/>
                <w:color w:val="auto"/>
                <w:kern w:val="2"/>
                <w:sz w:val="21"/>
                <w:szCs w:val="21"/>
                <w:highlight w:val="none"/>
                <w:lang w:val="en-US" w:eastAsia="zh-CN"/>
              </w:rPr>
              <w:t>者</w:t>
            </w:r>
            <w:r>
              <w:rPr>
                <w:rFonts w:hint="eastAsia" w:ascii="宋体" w:hAnsi="宋体" w:cs="Calibri"/>
                <w:color w:val="auto"/>
                <w:kern w:val="2"/>
                <w:sz w:val="21"/>
                <w:szCs w:val="21"/>
                <w:highlight w:val="none"/>
              </w:rPr>
              <w:t>得</w:t>
            </w:r>
            <w:r>
              <w:rPr>
                <w:rFonts w:hint="eastAsia" w:ascii="宋体" w:hAnsi="宋体" w:cs="Calibri"/>
                <w:color w:val="auto"/>
                <w:kern w:val="2"/>
                <w:sz w:val="21"/>
                <w:szCs w:val="21"/>
                <w:highlight w:val="none"/>
                <w:lang w:val="en-US" w:eastAsia="zh-CN"/>
              </w:rPr>
              <w:t>10</w:t>
            </w:r>
            <w:r>
              <w:rPr>
                <w:rFonts w:hint="eastAsia" w:ascii="宋体" w:hAnsi="宋体" w:cs="Calibri"/>
                <w:color w:val="auto"/>
                <w:kern w:val="2"/>
                <w:sz w:val="21"/>
                <w:szCs w:val="21"/>
                <w:highlight w:val="none"/>
              </w:rPr>
              <w:t>分,每缺一个扣</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 项目总工具有中级技术职称者得</w:t>
            </w:r>
            <w:r>
              <w:rPr>
                <w:rFonts w:hint="eastAsia" w:ascii="宋体" w:hAnsi="宋体" w:cs="Calibri"/>
                <w:color w:val="auto"/>
                <w:kern w:val="2"/>
                <w:sz w:val="21"/>
                <w:szCs w:val="21"/>
                <w:highlight w:val="none"/>
                <w:lang w:val="en-US" w:eastAsia="zh-CN"/>
              </w:rPr>
              <w:t>10</w:t>
            </w:r>
            <w:r>
              <w:rPr>
                <w:rFonts w:hint="eastAsia" w:ascii="宋体" w:hAnsi="宋体" w:cs="Calibri"/>
                <w:color w:val="auto"/>
                <w:kern w:val="2"/>
                <w:sz w:val="21"/>
                <w:szCs w:val="21"/>
                <w:highlight w:val="none"/>
              </w:rPr>
              <w:t>分，高级者得</w:t>
            </w:r>
            <w:r>
              <w:rPr>
                <w:rFonts w:hint="eastAsia" w:ascii="宋体" w:hAnsi="宋体" w:cs="Calibri"/>
                <w:color w:val="auto"/>
                <w:kern w:val="2"/>
                <w:sz w:val="21"/>
                <w:szCs w:val="21"/>
                <w:highlight w:val="none"/>
                <w:lang w:val="en-US" w:eastAsia="zh-CN"/>
              </w:rPr>
              <w:t>15</w:t>
            </w:r>
            <w:r>
              <w:rPr>
                <w:rFonts w:hint="eastAsia" w:ascii="宋体" w:hAnsi="宋体" w:cs="Calibri"/>
                <w:color w:val="auto"/>
                <w:kern w:val="2"/>
                <w:sz w:val="21"/>
                <w:szCs w:val="21"/>
                <w:highlight w:val="none"/>
              </w:rPr>
              <w:t>分。</w:t>
            </w:r>
          </w:p>
        </w:tc>
      </w:tr>
      <w:tr>
        <w:trPr>
          <w:trHeight w:val="667" w:hRule="atLeast"/>
          <w:jc w:val="center"/>
        </w:trPr>
        <w:tc>
          <w:tcPr>
            <w:tcW w:w="1071" w:type="dxa"/>
            <w:tcBorders>
              <w:top w:val="single" w:color="auto" w:sz="4" w:space="0"/>
              <w:bottom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2.2.</w:t>
            </w:r>
            <w:r>
              <w:rPr>
                <w:rFonts w:hint="eastAsia" w:ascii="宋体" w:hAnsi="宋体" w:cs="Calibri"/>
                <w:color w:val="auto"/>
                <w:kern w:val="2"/>
                <w:sz w:val="21"/>
                <w:szCs w:val="21"/>
                <w:highlight w:val="none"/>
                <w:lang w:val="en-US" w:eastAsia="zh-CN"/>
              </w:rPr>
              <w:t>2（3）</w:t>
            </w:r>
          </w:p>
        </w:tc>
        <w:tc>
          <w:tcPr>
            <w:tcW w:w="1362" w:type="dxa"/>
            <w:tcBorders>
              <w:top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技术能力</w:t>
            </w:r>
          </w:p>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（0-</w:t>
            </w:r>
            <w:r>
              <w:rPr>
                <w:rFonts w:hint="eastAsia" w:ascii="宋体" w:hAnsi="宋体" w:cs="Calibri"/>
                <w:color w:val="auto"/>
                <w:kern w:val="2"/>
                <w:sz w:val="21"/>
                <w:szCs w:val="21"/>
                <w:highlight w:val="none"/>
                <w:lang w:val="en-US" w:eastAsia="zh-CN"/>
              </w:rPr>
              <w:t>20</w:t>
            </w:r>
            <w:r>
              <w:rPr>
                <w:rFonts w:hint="eastAsia" w:ascii="宋体" w:hAnsi="宋体" w:cs="Calibri"/>
                <w:color w:val="auto"/>
                <w:kern w:val="2"/>
                <w:sz w:val="21"/>
                <w:szCs w:val="21"/>
                <w:highlight w:val="none"/>
              </w:rPr>
              <w:t>分）</w:t>
            </w:r>
          </w:p>
        </w:tc>
        <w:tc>
          <w:tcPr>
            <w:tcW w:w="7380" w:type="dxa"/>
            <w:tcBorders>
              <w:top w:val="single" w:color="auto" w:sz="4" w:space="0"/>
              <w:left w:val="single" w:color="auto" w:sz="4" w:space="0"/>
              <w:bottom w:val="single" w:color="auto" w:sz="4" w:space="0"/>
            </w:tcBorders>
            <w:vAlign w:val="center"/>
          </w:tcPr>
          <w:p>
            <w:pPr>
              <w:spacing w:before="0" w:beforeAutospacing="0" w:after="0" w:afterAutospacing="0" w:line="400" w:lineRule="exact"/>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1、企业业绩（</w:t>
            </w:r>
            <w:r>
              <w:rPr>
                <w:rFonts w:hint="eastAsia" w:ascii="宋体" w:hAnsi="宋体" w:cs="Calibri"/>
                <w:color w:val="auto"/>
                <w:kern w:val="2"/>
                <w:sz w:val="21"/>
                <w:szCs w:val="21"/>
                <w:highlight w:val="none"/>
                <w:lang w:val="en-US" w:eastAsia="zh-CN"/>
              </w:rPr>
              <w:t>10</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 xml:space="preserve">    近年来企业承建过类似项目每项得</w:t>
            </w:r>
            <w:r>
              <w:rPr>
                <w:rFonts w:hint="eastAsia" w:ascii="宋体" w:hAnsi="宋体" w:cs="Calibri"/>
                <w:color w:val="auto"/>
                <w:kern w:val="2"/>
                <w:sz w:val="21"/>
                <w:szCs w:val="21"/>
                <w:highlight w:val="none"/>
                <w:lang w:val="en-US" w:eastAsia="zh-CN"/>
              </w:rPr>
              <w:t>5</w:t>
            </w:r>
            <w:r>
              <w:rPr>
                <w:rFonts w:hint="eastAsia" w:ascii="宋体" w:hAnsi="宋体" w:cs="Calibri"/>
                <w:color w:val="auto"/>
                <w:kern w:val="2"/>
                <w:sz w:val="21"/>
                <w:szCs w:val="21"/>
                <w:highlight w:val="none"/>
              </w:rPr>
              <w:t>分，本项最高</w:t>
            </w:r>
            <w:r>
              <w:rPr>
                <w:rFonts w:hint="eastAsia" w:ascii="宋体" w:hAnsi="宋体" w:cs="Calibri"/>
                <w:color w:val="auto"/>
                <w:kern w:val="2"/>
                <w:sz w:val="21"/>
                <w:szCs w:val="21"/>
                <w:highlight w:val="none"/>
                <w:lang w:val="en-US" w:eastAsia="zh-CN"/>
              </w:rPr>
              <w:t>10</w:t>
            </w:r>
            <w:r>
              <w:rPr>
                <w:rFonts w:hint="eastAsia" w:ascii="宋体" w:hAnsi="宋体" w:cs="Calibri"/>
                <w:color w:val="auto"/>
                <w:kern w:val="2"/>
                <w:sz w:val="21"/>
                <w:szCs w:val="21"/>
                <w:highlight w:val="none"/>
              </w:rPr>
              <w:t>分（须提供合同原件、中标通知书原件、竣工验收证明材料原件和中标公示网页版）；</w:t>
            </w:r>
          </w:p>
          <w:p>
            <w:pPr>
              <w:spacing w:before="0" w:beforeAutospacing="0" w:after="0" w:afterAutospacing="0" w:line="400" w:lineRule="exact"/>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2、项目经理业绩（</w:t>
            </w:r>
            <w:r>
              <w:rPr>
                <w:rFonts w:hint="eastAsia" w:ascii="宋体" w:hAnsi="宋体" w:cs="Calibri"/>
                <w:color w:val="auto"/>
                <w:kern w:val="2"/>
                <w:sz w:val="21"/>
                <w:szCs w:val="21"/>
                <w:highlight w:val="none"/>
                <w:lang w:val="en-US" w:eastAsia="zh-CN"/>
              </w:rPr>
              <w:t>10</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eastAsia" w:ascii="宋体" w:hAnsi="宋体" w:cs="Calibri"/>
                <w:color w:val="auto"/>
                <w:kern w:val="2"/>
                <w:sz w:val="21"/>
                <w:szCs w:val="21"/>
                <w:highlight w:val="none"/>
                <w:lang w:eastAsia="zh-CN"/>
              </w:rPr>
            </w:pPr>
            <w:r>
              <w:rPr>
                <w:rFonts w:hint="eastAsia" w:ascii="宋体" w:hAnsi="宋体" w:cs="Calibri"/>
                <w:color w:val="auto"/>
                <w:kern w:val="2"/>
                <w:sz w:val="21"/>
                <w:szCs w:val="21"/>
                <w:highlight w:val="none"/>
              </w:rPr>
              <w:t>近年来拟派建造师承建过类似项目每项得</w:t>
            </w:r>
            <w:r>
              <w:rPr>
                <w:rFonts w:hint="eastAsia" w:ascii="宋体" w:hAnsi="宋体" w:cs="Calibri"/>
                <w:color w:val="auto"/>
                <w:kern w:val="2"/>
                <w:sz w:val="21"/>
                <w:szCs w:val="21"/>
                <w:highlight w:val="none"/>
                <w:lang w:val="en-US" w:eastAsia="zh-CN"/>
              </w:rPr>
              <w:t>5</w:t>
            </w:r>
            <w:r>
              <w:rPr>
                <w:rFonts w:hint="eastAsia" w:ascii="宋体" w:hAnsi="宋体" w:cs="Calibri"/>
                <w:color w:val="auto"/>
                <w:kern w:val="2"/>
                <w:sz w:val="21"/>
                <w:szCs w:val="21"/>
                <w:highlight w:val="none"/>
              </w:rPr>
              <w:t>分，本项最高</w:t>
            </w:r>
            <w:r>
              <w:rPr>
                <w:rFonts w:hint="eastAsia" w:ascii="宋体" w:hAnsi="宋体" w:cs="Calibri"/>
                <w:color w:val="auto"/>
                <w:kern w:val="2"/>
                <w:sz w:val="21"/>
                <w:szCs w:val="21"/>
                <w:highlight w:val="none"/>
                <w:lang w:val="en-US" w:eastAsia="zh-CN"/>
              </w:rPr>
              <w:t>10</w:t>
            </w:r>
            <w:r>
              <w:rPr>
                <w:rFonts w:hint="eastAsia" w:ascii="宋体" w:hAnsi="宋体" w:cs="Calibri"/>
                <w:color w:val="auto"/>
                <w:kern w:val="2"/>
                <w:sz w:val="21"/>
                <w:szCs w:val="21"/>
                <w:highlight w:val="none"/>
              </w:rPr>
              <w:t>分（须提供合同原件、中标通知书原件、竣工验收证明材料原件和中标公示网页版，若上述资料不显示项目经理姓名，还须同时提供相关证明文件）</w:t>
            </w:r>
            <w:r>
              <w:rPr>
                <w:rFonts w:hint="eastAsia" w:ascii="宋体" w:hAnsi="宋体" w:cs="Calibri"/>
                <w:color w:val="auto"/>
                <w:kern w:val="2"/>
                <w:sz w:val="21"/>
                <w:szCs w:val="21"/>
                <w:highlight w:val="none"/>
                <w:lang w:eastAsia="zh-CN"/>
              </w:rPr>
              <w:t>。</w:t>
            </w:r>
          </w:p>
          <w:p>
            <w:pPr>
              <w:spacing w:before="0" w:beforeAutospacing="0" w:after="0" w:afterAutospacing="0" w:line="400" w:lineRule="exact"/>
              <w:ind w:left="0" w:right="0" w:firstLine="422" w:firstLineChars="200"/>
              <w:rPr>
                <w:rFonts w:hint="eastAsia" w:ascii="宋体" w:hAnsi="宋体" w:cs="Calibri"/>
                <w:color w:val="auto"/>
                <w:kern w:val="2"/>
                <w:sz w:val="21"/>
                <w:szCs w:val="21"/>
                <w:highlight w:val="none"/>
                <w:lang w:eastAsia="zh-CN"/>
              </w:rPr>
            </w:pPr>
            <w:r>
              <w:rPr>
                <w:rFonts w:hint="eastAsia" w:ascii="宋体" w:hAnsi="宋体" w:cs="Calibri"/>
                <w:b/>
                <w:bCs/>
                <w:color w:val="auto"/>
                <w:kern w:val="2"/>
                <w:sz w:val="21"/>
                <w:szCs w:val="21"/>
                <w:highlight w:val="none"/>
                <w:lang w:eastAsia="zh-CN"/>
              </w:rPr>
              <w:t>注：企业业绩与项目经理业绩不得重复。</w:t>
            </w:r>
          </w:p>
        </w:tc>
      </w:tr>
      <w:tr>
        <w:trPr>
          <w:trHeight w:val="667" w:hRule="atLeast"/>
          <w:jc w:val="center"/>
        </w:trPr>
        <w:tc>
          <w:tcPr>
            <w:tcW w:w="1071" w:type="dxa"/>
            <w:tcBorders>
              <w:top w:val="single" w:color="auto" w:sz="4" w:space="0"/>
              <w:bottom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2.2.</w:t>
            </w:r>
            <w:r>
              <w:rPr>
                <w:rFonts w:hint="eastAsia" w:ascii="宋体" w:hAnsi="宋体" w:cs="Calibri"/>
                <w:color w:val="auto"/>
                <w:kern w:val="2"/>
                <w:sz w:val="21"/>
                <w:szCs w:val="21"/>
                <w:highlight w:val="none"/>
                <w:lang w:val="en-US" w:eastAsia="zh-CN"/>
              </w:rPr>
              <w:t>2（3）</w:t>
            </w:r>
          </w:p>
        </w:tc>
        <w:tc>
          <w:tcPr>
            <w:tcW w:w="1362" w:type="dxa"/>
            <w:tcBorders>
              <w:top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履约信誉（0-1</w:t>
            </w:r>
            <w:r>
              <w:rPr>
                <w:rFonts w:hint="eastAsia" w:ascii="宋体" w:hAnsi="宋体" w:cs="Calibri"/>
                <w:color w:val="auto"/>
                <w:kern w:val="2"/>
                <w:sz w:val="21"/>
                <w:szCs w:val="21"/>
                <w:highlight w:val="none"/>
                <w:lang w:val="en-US" w:eastAsia="zh-CN"/>
              </w:rPr>
              <w:t>5</w:t>
            </w:r>
            <w:r>
              <w:rPr>
                <w:rFonts w:hint="eastAsia" w:ascii="宋体" w:hAnsi="宋体" w:cs="Calibri"/>
                <w:color w:val="auto"/>
                <w:kern w:val="2"/>
                <w:sz w:val="21"/>
                <w:szCs w:val="21"/>
                <w:highlight w:val="none"/>
              </w:rPr>
              <w:t>分）</w:t>
            </w:r>
          </w:p>
        </w:tc>
        <w:tc>
          <w:tcPr>
            <w:tcW w:w="7380" w:type="dxa"/>
            <w:tcBorders>
              <w:top w:val="single" w:color="auto" w:sz="4" w:space="0"/>
              <w:left w:val="single" w:color="auto" w:sz="4" w:space="0"/>
              <w:bottom w:val="single" w:color="auto" w:sz="4" w:space="0"/>
            </w:tcBorders>
            <w:vAlign w:val="center"/>
          </w:tcPr>
          <w:p>
            <w:pPr>
              <w:spacing w:before="0" w:beforeAutospacing="0" w:after="0" w:afterAutospacing="0" w:line="400" w:lineRule="exact"/>
              <w:ind w:left="0" w:right="0" w:firstLine="420" w:firstLineChars="2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1、企业信用（</w:t>
            </w:r>
            <w:r>
              <w:rPr>
                <w:rFonts w:hint="eastAsia" w:ascii="宋体" w:hAnsi="宋体" w:cs="Calibri"/>
                <w:color w:val="auto"/>
                <w:kern w:val="2"/>
                <w:sz w:val="21"/>
                <w:szCs w:val="21"/>
                <w:highlight w:val="none"/>
                <w:lang w:val="en-US" w:eastAsia="zh-CN"/>
              </w:rPr>
              <w:t>4</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default" w:ascii="宋体" w:hAnsi="宋体" w:cs="Calibri"/>
                <w:color w:val="auto"/>
                <w:kern w:val="2"/>
                <w:sz w:val="21"/>
                <w:szCs w:val="21"/>
                <w:highlight w:val="none"/>
              </w:rPr>
            </w:pPr>
            <w:r>
              <w:rPr>
                <w:rFonts w:hint="default" w:ascii="宋体" w:hAnsi="宋体" w:cs="Calibri"/>
                <w:color w:val="auto"/>
                <w:kern w:val="2"/>
                <w:sz w:val="21"/>
                <w:szCs w:val="21"/>
                <w:highlight w:val="none"/>
              </w:rPr>
              <w:t>投标人须提供工商企业信用信息公示报告（国家企业信用信息公示系统http//</w:t>
            </w:r>
            <w:r>
              <w:rPr>
                <w:rFonts w:hint="default" w:ascii="宋体" w:hAnsi="宋体" w:eastAsia="宋体" w:cs="Calibri"/>
                <w:color w:val="auto"/>
                <w:kern w:val="2"/>
                <w:sz w:val="21"/>
                <w:szCs w:val="21"/>
                <w:highlight w:val="none"/>
                <w:lang w:val="en-US" w:eastAsia="zh-CN" w:bidi="ar-SA"/>
              </w:rPr>
              <w:pict>
                <v:shape id="图片框 1026" o:spid="_x0000_s1027" type="#_x0000_t75" style="height:11.25pt;width:1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hint="default" w:ascii="宋体" w:hAnsi="宋体" w:cs="Calibri"/>
                <w:color w:val="auto"/>
                <w:kern w:val="2"/>
                <w:sz w:val="21"/>
                <w:szCs w:val="21"/>
                <w:highlight w:val="none"/>
              </w:rPr>
              <w:t>www.gsxt.got.cn，内容包含基础信息、行政许可信息、行政处罚信息、列入经营异常名录信息等）以网上截图为准。企业所在地税务主管部门出具的纳税情况证明等信用情况</w:t>
            </w:r>
            <w:r>
              <w:rPr>
                <w:rFonts w:hint="eastAsia" w:ascii="宋体" w:hAnsi="宋体" w:cs="Calibri"/>
                <w:color w:val="auto"/>
                <w:kern w:val="2"/>
                <w:sz w:val="21"/>
                <w:szCs w:val="21"/>
                <w:highlight w:val="none"/>
              </w:rPr>
              <w:t>。</w:t>
            </w:r>
            <w:r>
              <w:rPr>
                <w:rFonts w:hint="default" w:ascii="宋体" w:hAnsi="宋体" w:cs="Calibri"/>
                <w:color w:val="auto"/>
                <w:kern w:val="2"/>
                <w:sz w:val="21"/>
                <w:szCs w:val="21"/>
                <w:highlight w:val="none"/>
              </w:rPr>
              <w:t>无不良信息者每项得</w:t>
            </w:r>
            <w:r>
              <w:rPr>
                <w:rFonts w:hint="eastAsia" w:ascii="宋体" w:hAnsi="宋体" w:cs="Calibri"/>
                <w:color w:val="auto"/>
                <w:kern w:val="2"/>
                <w:sz w:val="21"/>
                <w:szCs w:val="21"/>
                <w:highlight w:val="none"/>
                <w:lang w:val="en-US" w:eastAsia="zh-CN"/>
              </w:rPr>
              <w:t>2</w:t>
            </w:r>
            <w:r>
              <w:rPr>
                <w:rFonts w:hint="default" w:ascii="宋体" w:hAnsi="宋体" w:cs="Calibri"/>
                <w:color w:val="auto"/>
                <w:kern w:val="2"/>
                <w:sz w:val="21"/>
                <w:szCs w:val="21"/>
                <w:highlight w:val="none"/>
              </w:rPr>
              <w:t>分，最多得</w:t>
            </w:r>
            <w:r>
              <w:rPr>
                <w:rFonts w:hint="eastAsia" w:ascii="宋体" w:hAnsi="宋体" w:cs="Calibri"/>
                <w:color w:val="auto"/>
                <w:kern w:val="2"/>
                <w:sz w:val="21"/>
                <w:szCs w:val="21"/>
                <w:highlight w:val="none"/>
                <w:lang w:val="en-US" w:eastAsia="zh-CN"/>
              </w:rPr>
              <w:t>4</w:t>
            </w:r>
            <w:r>
              <w:rPr>
                <w:rFonts w:hint="default" w:ascii="宋体" w:hAnsi="宋体" w:cs="Calibri"/>
                <w:color w:val="auto"/>
                <w:kern w:val="2"/>
                <w:sz w:val="21"/>
                <w:szCs w:val="21"/>
                <w:highlight w:val="none"/>
              </w:rPr>
              <w:t>分，未提供或有不良信息者不得分。</w:t>
            </w:r>
          </w:p>
          <w:p>
            <w:pPr>
              <w:spacing w:before="0" w:beforeAutospacing="0" w:after="0" w:afterAutospacing="0" w:line="400" w:lineRule="exact"/>
              <w:ind w:left="0" w:right="0" w:firstLine="420" w:firstLineChars="2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2、服务承诺（</w:t>
            </w:r>
            <w:r>
              <w:rPr>
                <w:rFonts w:hint="eastAsia" w:ascii="宋体" w:hAnsi="宋体" w:cs="Calibri"/>
                <w:kern w:val="2"/>
                <w:sz w:val="21"/>
                <w:szCs w:val="21"/>
                <w:highlight w:val="none"/>
                <w:lang w:eastAsia="zh-CN"/>
              </w:rPr>
              <w:t>含不拖欠农民工工资承诺、</w:t>
            </w:r>
            <w:r>
              <w:rPr>
                <w:rFonts w:hint="eastAsia" w:ascii="宋体" w:hAnsi="宋体" w:cs="Calibri"/>
                <w:kern w:val="2"/>
                <w:sz w:val="21"/>
                <w:szCs w:val="21"/>
                <w:highlight w:val="none"/>
              </w:rPr>
              <w:t>含扬尘治理等内容</w:t>
            </w:r>
            <w:r>
              <w:rPr>
                <w:rFonts w:hint="eastAsia" w:ascii="宋体" w:hAnsi="宋体" w:cs="Calibri"/>
                <w:color w:val="auto"/>
                <w:kern w:val="2"/>
                <w:sz w:val="21"/>
                <w:szCs w:val="21"/>
                <w:highlight w:val="none"/>
              </w:rPr>
              <w:t>）（</w:t>
            </w:r>
            <w:r>
              <w:rPr>
                <w:rFonts w:hint="eastAsia" w:ascii="宋体" w:hAnsi="宋体" w:cs="Calibri"/>
                <w:color w:val="auto"/>
                <w:kern w:val="2"/>
                <w:sz w:val="21"/>
                <w:szCs w:val="21"/>
                <w:highlight w:val="none"/>
                <w:lang w:val="en-US" w:eastAsia="zh-CN"/>
              </w:rPr>
              <w:t>11</w:t>
            </w:r>
            <w:r>
              <w:rPr>
                <w:rFonts w:hint="eastAsia" w:ascii="宋体" w:hAnsi="宋体" w:cs="Calibri"/>
                <w:color w:val="auto"/>
                <w:kern w:val="2"/>
                <w:sz w:val="21"/>
                <w:szCs w:val="21"/>
                <w:highlight w:val="none"/>
              </w:rPr>
              <w:t>分）</w:t>
            </w:r>
          </w:p>
          <w:p>
            <w:pPr>
              <w:spacing w:before="0" w:beforeAutospacing="0" w:after="0" w:afterAutospacing="0" w:line="400" w:lineRule="exact"/>
              <w:ind w:left="0" w:right="0" w:firstLine="420" w:firstLineChars="2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投标人针对招标项目的特点和要求，结合自身条件和潜力做出优惠和服务承诺。由评委根据投标文件表述的具体内容酌情打分。</w:t>
            </w:r>
          </w:p>
        </w:tc>
      </w:tr>
      <w:tr>
        <w:trPr>
          <w:trHeight w:val="667" w:hRule="atLeast"/>
          <w:jc w:val="center"/>
        </w:trPr>
        <w:tc>
          <w:tcPr>
            <w:tcW w:w="9813" w:type="dxa"/>
            <w:gridSpan w:val="3"/>
            <w:tcBorders>
              <w:top w:val="single" w:color="auto" w:sz="4" w:space="0"/>
              <w:bottom w:val="single" w:color="auto" w:sz="4" w:space="0"/>
            </w:tcBorders>
            <w:vAlign w:val="center"/>
          </w:tcPr>
          <w:p>
            <w:pPr>
              <w:spacing w:before="0" w:beforeAutospacing="0" w:after="0" w:afterAutospacing="0"/>
              <w:ind w:left="0" w:right="0" w:firstLine="420" w:firstLineChars="200"/>
              <w:rPr>
                <w:rFonts w:hint="default" w:ascii="宋体" w:hAnsi="宋体" w:cs="Calibri"/>
                <w:color w:val="auto"/>
                <w:kern w:val="2"/>
                <w:sz w:val="21"/>
                <w:szCs w:val="21"/>
                <w:highlight w:val="none"/>
              </w:rPr>
            </w:pPr>
          </w:p>
          <w:p>
            <w:pPr>
              <w:spacing w:before="0" w:beforeAutospacing="0" w:after="0" w:afterAutospacing="0"/>
              <w:ind w:left="0" w:right="0" w:firstLine="420" w:firstLineChars="2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需要补充的其他内容：</w:t>
            </w:r>
          </w:p>
          <w:p>
            <w:pPr>
              <w:spacing w:before="0" w:beforeAutospacing="0" w:after="0" w:afterAutospacing="0"/>
              <w:ind w:left="0" w:right="0" w:firstLine="420" w:firstLineChars="200"/>
              <w:rPr>
                <w:rFonts w:hint="default" w:ascii="宋体" w:hAnsi="宋体" w:cs="Calibri"/>
                <w:color w:val="auto"/>
                <w:kern w:val="2"/>
                <w:sz w:val="21"/>
                <w:szCs w:val="21"/>
                <w:highlight w:val="none"/>
              </w:rPr>
            </w:pPr>
          </w:p>
        </w:tc>
      </w:tr>
      <w:tr>
        <w:trPr>
          <w:trHeight w:val="667" w:hRule="atLeast"/>
          <w:jc w:val="center"/>
        </w:trPr>
        <w:tc>
          <w:tcPr>
            <w:tcW w:w="9813" w:type="dxa"/>
            <w:gridSpan w:val="3"/>
            <w:tcBorders>
              <w:top w:val="single" w:color="auto" w:sz="4" w:space="0"/>
            </w:tcBorders>
            <w:vAlign w:val="center"/>
          </w:tcPr>
          <w:p>
            <w:pPr>
              <w:spacing w:before="0" w:beforeAutospacing="0" w:after="0" w:afterAutospacing="0" w:line="340" w:lineRule="exact"/>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评标程序如下：</w:t>
            </w:r>
          </w:p>
          <w:p>
            <w:pPr>
              <w:spacing w:before="0" w:beforeAutospacing="0" w:after="0" w:afterAutospacing="0" w:line="340" w:lineRule="exact"/>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1、招标人按照第二章“投标人须知”第5.2.1-5.2.3项的规定对投标文件第一信封（商务及技术文件）进行开标。</w:t>
            </w:r>
          </w:p>
          <w:p>
            <w:pPr>
              <w:spacing w:before="0" w:beforeAutospacing="0" w:after="0" w:afterAutospacing="0" w:line="340" w:lineRule="exact"/>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cs="Calibri"/>
                <w:b/>
                <w:color w:val="auto"/>
                <w:kern w:val="2"/>
                <w:sz w:val="21"/>
                <w:szCs w:val="21"/>
                <w:highlight w:val="none"/>
              </w:rPr>
              <w:t>各项打分保留小数点后两位，小数点后第三位“四舍五入”。</w:t>
            </w:r>
          </w:p>
          <w:p>
            <w:pPr>
              <w:spacing w:before="0" w:beforeAutospacing="0" w:after="0" w:afterAutospacing="0" w:line="340" w:lineRule="exact"/>
              <w:ind w:left="0" w:right="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3、根据第一信封（商务及技术文件）的综合得分排序，选前三名（如并列第三名，则取前四名）进入到第二信封（投标报价）评审（招标人按照第二章“投标人须知”第5.2.4-5.2.6项的规定对投标文件第一信封（商务及技术文件）评审得分前 3 名的投标文件第二个信封（投标文件）进行开启）。按照投标报价由低到高的顺序推荐中标候选人的排名，中标候选人的人数为 1-3 名，投标报价相同时、综合得分高者优先。</w:t>
            </w:r>
          </w:p>
          <w:p>
            <w:pPr>
              <w:spacing w:before="0" w:beforeAutospacing="0" w:after="0" w:afterAutospacing="0" w:line="340" w:lineRule="exact"/>
              <w:ind w:left="0" w:right="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pPr>
              <w:spacing w:before="0" w:beforeAutospacing="0" w:after="0" w:afterAutospacing="0" w:line="340" w:lineRule="exact"/>
              <w:ind w:left="0" w:right="0"/>
              <w:rPr>
                <w:rFonts w:hint="default" w:ascii="宋体" w:hAnsi="宋体" w:cs="Calibri"/>
                <w:color w:val="auto"/>
                <w:kern w:val="2"/>
                <w:sz w:val="21"/>
                <w:szCs w:val="21"/>
                <w:highlight w:val="none"/>
              </w:rPr>
            </w:pPr>
            <w:r>
              <w:rPr>
                <w:rFonts w:hint="eastAsia" w:ascii="宋体" w:hAnsi="宋体" w:cs="Calibri"/>
                <w:b/>
                <w:color w:val="auto"/>
                <w:kern w:val="2"/>
                <w:sz w:val="21"/>
                <w:szCs w:val="21"/>
                <w:highlight w:val="none"/>
                <w:lang w:val="en-US" w:eastAsia="zh-CN"/>
              </w:rPr>
              <w:t>4</w:t>
            </w:r>
            <w:r>
              <w:rPr>
                <w:rFonts w:hint="eastAsia" w:ascii="宋体" w:hAnsi="宋体" w:cs="Calibri"/>
                <w:b/>
                <w:color w:val="auto"/>
                <w:kern w:val="2"/>
                <w:sz w:val="21"/>
                <w:szCs w:val="21"/>
                <w:highlight w:val="none"/>
              </w:rPr>
              <w:t>、本评分标准中所要求提供的各种证明材料，投标文件中须提供复印件，且在评标时按要求提供与复印件一致的原件，否则不得分。</w:t>
            </w:r>
          </w:p>
        </w:tc>
      </w:tr>
    </w:tbl>
    <w:p>
      <w:pPr>
        <w:spacing w:line="500" w:lineRule="exact"/>
        <w:rPr>
          <w:rFonts w:ascii="宋体" w:hAnsi="宋体"/>
          <w:b/>
          <w:color w:val="auto"/>
          <w:sz w:val="24"/>
          <w:highlight w:val="none"/>
        </w:rPr>
      </w:pPr>
      <w:r>
        <w:rPr>
          <w:rFonts w:hint="eastAsia" w:ascii="宋体" w:hAnsi="宋体"/>
          <w:b/>
          <w:color w:val="auto"/>
          <w:sz w:val="24"/>
          <w:highlight w:val="none"/>
        </w:rPr>
        <w:t>1.评标办法</w:t>
      </w:r>
    </w:p>
    <w:p>
      <w:pPr>
        <w:spacing w:line="344" w:lineRule="auto"/>
        <w:ind w:firstLine="480"/>
        <w:jc w:val="both"/>
        <w:rPr>
          <w:rFonts w:ascii="宋体" w:hAnsi="宋体" w:eastAsia="宋体"/>
          <w:sz w:val="24"/>
          <w:highlight w:val="none"/>
        </w:rPr>
      </w:pPr>
      <w:r>
        <w:rPr>
          <w:rFonts w:ascii="宋体" w:hAnsi="宋体" w:eastAsia="宋体"/>
          <w:sz w:val="24"/>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spacing w:line="500" w:lineRule="exact"/>
        <w:rPr>
          <w:rFonts w:ascii="宋体" w:hAnsi="宋体"/>
          <w:b/>
          <w:color w:val="auto"/>
          <w:sz w:val="24"/>
          <w:highlight w:val="none"/>
        </w:rPr>
      </w:pPr>
      <w:r>
        <w:rPr>
          <w:rFonts w:hint="eastAsia" w:ascii="宋体" w:hAnsi="宋体"/>
          <w:b/>
          <w:color w:val="auto"/>
          <w:sz w:val="24"/>
          <w:highlight w:val="none"/>
        </w:rPr>
        <w:t>2.评审标准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2.1初步评审标准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2.1.1形式评审标准：见评标办法前附表。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2.1.2资格评审标准：见评标办法前附表。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2.1.3响应性评审标准：见评标办法前附表。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 分值构成与评分标准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2.2.1 分值构成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施工组织设计：见评标办法前附表。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项目管理机构：见评标办法前附表。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履约信誉：见评标办法前附表。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2.2.2 施工组织设计评审标准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施工组织设计评审标准：见评标办法前附表。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2.2.3 项目管理机构评审标准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项目管理机构评审标准：见评标办法前附表。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2.2.4 技术能力评审标准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2.2.5履约信誉评审标准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履约信誉评审标准：见评标办法前附表。</w:t>
      </w:r>
    </w:p>
    <w:p>
      <w:pPr>
        <w:spacing w:line="500" w:lineRule="exact"/>
        <w:rPr>
          <w:rFonts w:ascii="宋体" w:hAnsi="宋体"/>
          <w:b/>
          <w:color w:val="auto"/>
          <w:sz w:val="24"/>
          <w:highlight w:val="none"/>
        </w:rPr>
      </w:pPr>
      <w:r>
        <w:rPr>
          <w:rFonts w:hint="eastAsia" w:ascii="宋体" w:hAnsi="宋体"/>
          <w:b/>
          <w:color w:val="auto"/>
          <w:sz w:val="24"/>
          <w:highlight w:val="none"/>
        </w:rPr>
        <w:t>3.评标程序</w:t>
      </w:r>
    </w:p>
    <w:p>
      <w:pPr>
        <w:spacing w:line="500" w:lineRule="exact"/>
        <w:rPr>
          <w:rFonts w:hint="eastAsia" w:ascii="宋体" w:hAnsi="宋体"/>
          <w:color w:val="auto"/>
          <w:sz w:val="24"/>
          <w:highlight w:val="none"/>
        </w:rPr>
      </w:pPr>
      <w:r>
        <w:rPr>
          <w:rFonts w:hint="eastAsia" w:ascii="宋体" w:hAnsi="宋体"/>
          <w:color w:val="auto"/>
          <w:sz w:val="24"/>
          <w:highlight w:val="none"/>
        </w:rPr>
        <w:t>3.1 第一个信封初步评审</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spacing w:line="500" w:lineRule="exact"/>
        <w:rPr>
          <w:rFonts w:hint="eastAsia" w:ascii="宋体" w:hAnsi="宋体"/>
          <w:color w:val="auto"/>
          <w:sz w:val="24"/>
          <w:highlight w:val="none"/>
        </w:rPr>
      </w:pPr>
      <w:r>
        <w:rPr>
          <w:rFonts w:hint="eastAsia" w:ascii="宋体" w:hAnsi="宋体"/>
          <w:color w:val="auto"/>
          <w:sz w:val="24"/>
          <w:highlight w:val="none"/>
          <w:lang w:val="en-US" w:eastAsia="zh-CN"/>
        </w:rPr>
        <w:t>3.2</w:t>
      </w:r>
      <w:r>
        <w:rPr>
          <w:rFonts w:hint="eastAsia" w:ascii="宋体" w:hAnsi="宋体"/>
          <w:color w:val="auto"/>
          <w:sz w:val="24"/>
          <w:highlight w:val="none"/>
        </w:rPr>
        <w:t>第一个信封详细评审</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评标委员会按本章第 2.2 款规定的量化因素和分值进行打分，并计算出各投标人的商务和技术得分。</w:t>
      </w:r>
    </w:p>
    <w:p>
      <w:pPr>
        <w:spacing w:line="500" w:lineRule="exact"/>
        <w:ind w:firstLine="240" w:firstLineChars="100"/>
        <w:rPr>
          <w:rFonts w:hint="eastAsia" w:ascii="宋体" w:hAnsi="宋体"/>
          <w:color w:val="auto"/>
          <w:sz w:val="24"/>
          <w:highlight w:val="none"/>
        </w:rPr>
      </w:pPr>
      <w:r>
        <w:rPr>
          <w:rFonts w:hint="eastAsia" w:ascii="宋体" w:hAnsi="宋体"/>
          <w:color w:val="auto"/>
          <w:sz w:val="24"/>
          <w:highlight w:val="none"/>
        </w:rPr>
        <w:t>（1）按本章第 2.2.2 项（1）目规定的评审因素和分值对施工组织设计部分计算出得分 A；</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（2）按本章第 2.2.2 项（2）目规定的评审因素和分值对主要人员部分计算出得</w:t>
      </w:r>
    </w:p>
    <w:p>
      <w:pPr>
        <w:spacing w:line="500" w:lineRule="exact"/>
        <w:rPr>
          <w:rFonts w:hint="eastAsia" w:ascii="宋体" w:hAnsi="宋体"/>
          <w:color w:val="auto"/>
          <w:sz w:val="24"/>
          <w:highlight w:val="none"/>
        </w:rPr>
      </w:pPr>
      <w:r>
        <w:rPr>
          <w:rFonts w:hint="eastAsia" w:ascii="宋体" w:hAnsi="宋体"/>
          <w:color w:val="auto"/>
          <w:sz w:val="24"/>
          <w:highlight w:val="none"/>
        </w:rPr>
        <w:t>分 B；</w:t>
      </w:r>
    </w:p>
    <w:p>
      <w:pPr>
        <w:spacing w:line="119" w:lineRule="exact"/>
        <w:rPr>
          <w:rFonts w:ascii="Times New Roman" w:hAnsi="Times New Roman" w:eastAsia="Times New Roman"/>
          <w:highlight w:val="none"/>
        </w:rPr>
      </w:pP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（3）按本章第 2.2.2 项（3）目规定的评审因素和分值对其他部分计算出得分 C。</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3.2.2  投标人的商务和技术得分分值计算保留小数点后两位，小数点后第三位“四舍五入”。</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3.2.3</w:t>
      </w:r>
      <w:r>
        <w:rPr>
          <w:rFonts w:hint="eastAsia" w:ascii="宋体" w:hAnsi="宋体"/>
          <w:color w:val="auto"/>
          <w:sz w:val="24"/>
          <w:highlight w:val="none"/>
        </w:rPr>
        <w:t>投标人的商务和技术得分=A+B+C。</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3.2.4</w:t>
      </w:r>
      <w:r>
        <w:rPr>
          <w:rFonts w:hint="eastAsia" w:ascii="宋体" w:hAnsi="宋体"/>
          <w:color w:val="auto"/>
          <w:sz w:val="24"/>
          <w:highlight w:val="none"/>
        </w:rPr>
        <w:t>评标委员会按照投标人的商务和技术得分由高到低排序，排名在评标办法前附表规定数量以内的投标人，其投标文件第一个信封（商务及技术文件）通过详细评审。</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3.2.5</w:t>
      </w:r>
      <w:r>
        <w:rPr>
          <w:rFonts w:hint="eastAsia" w:ascii="宋体" w:hAnsi="宋体"/>
          <w:color w:val="auto"/>
          <w:sz w:val="24"/>
          <w:highlight w:val="none"/>
        </w:rPr>
        <w:t>通过投标文件第一个信封（商务及技术文件）初步评审的投标人不少于 3个且未超过评标办法前附表第 3.2.4 项规定数量的，均通过投标文件第一个信封（商务及技术文件）详细评审，不再对投标人的商务和技术文件进行评分。</w:t>
      </w:r>
    </w:p>
    <w:p>
      <w:pPr>
        <w:spacing w:line="500" w:lineRule="exact"/>
        <w:rPr>
          <w:rFonts w:hint="eastAsia" w:ascii="宋体" w:hAnsi="宋体"/>
          <w:color w:val="auto"/>
          <w:sz w:val="24"/>
          <w:highlight w:val="none"/>
        </w:rPr>
      </w:pPr>
      <w:r>
        <w:rPr>
          <w:rFonts w:hint="eastAsia" w:ascii="宋体" w:hAnsi="宋体"/>
          <w:color w:val="auto"/>
          <w:sz w:val="24"/>
          <w:highlight w:val="none"/>
        </w:rPr>
        <w:t>3.3 第二个信封开标</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第一个信封（商务及技术文件）评审结束后，招标人将按照第二章“投标人须知”第 5.1 款规定的时间和地点对通过投标文件第一个信封（商务及技术文件）评审的投标文件第二个信封（报价文件）进行开标。</w:t>
      </w:r>
    </w:p>
    <w:p>
      <w:pPr>
        <w:spacing w:line="500" w:lineRule="exact"/>
        <w:rPr>
          <w:rFonts w:hint="eastAsia" w:ascii="宋体" w:hAnsi="宋体"/>
          <w:color w:val="auto"/>
          <w:sz w:val="24"/>
          <w:highlight w:val="none"/>
        </w:rPr>
      </w:pPr>
      <w:r>
        <w:rPr>
          <w:rFonts w:hint="eastAsia" w:ascii="宋体" w:hAnsi="宋体"/>
          <w:color w:val="auto"/>
          <w:sz w:val="24"/>
          <w:highlight w:val="none"/>
          <w:lang w:val="en-US" w:eastAsia="zh-CN"/>
        </w:rPr>
        <w:t>3.4</w:t>
      </w:r>
      <w:r>
        <w:rPr>
          <w:rFonts w:hint="eastAsia" w:ascii="宋体" w:hAnsi="宋体"/>
          <w:color w:val="auto"/>
          <w:sz w:val="24"/>
          <w:highlight w:val="none"/>
        </w:rPr>
        <w:t>第二个信封初步评审</w:t>
      </w:r>
    </w:p>
    <w:p>
      <w:pPr>
        <w:spacing w:line="5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3.4.1</w:t>
      </w:r>
      <w:r>
        <w:rPr>
          <w:rFonts w:hint="eastAsia" w:ascii="宋体" w:hAnsi="宋体"/>
          <w:color w:val="auto"/>
          <w:sz w:val="24"/>
          <w:highlight w:val="none"/>
        </w:rPr>
        <w:t>评标委员会依据本章第 2.1.1 项、第 2.1.3 项规定的评审标准对投标文件第二个信封（报价文件）进行初步评审。有一项不符合评审标准的，评标委员会应否决其投</w:t>
      </w:r>
      <w:r>
        <w:rPr>
          <w:rFonts w:hint="eastAsia" w:ascii="宋体" w:hAnsi="宋体"/>
          <w:color w:val="auto"/>
          <w:sz w:val="24"/>
          <w:highlight w:val="none"/>
          <w:lang w:val="en-US" w:eastAsia="zh-CN"/>
        </w:rPr>
        <w:t>标。</w:t>
      </w:r>
    </w:p>
    <w:p>
      <w:pPr>
        <w:spacing w:line="5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3.4.2投标报价有算术错误的，评标委员会按以下原则对投标报价进行修正，修正的</w:t>
      </w:r>
    </w:p>
    <w:p>
      <w:pPr>
        <w:spacing w:line="50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价格经投标人书面确认后具有约束力。投标人不接受修正价格的，评标委员会应否决其投标。</w:t>
      </w:r>
    </w:p>
    <w:p>
      <w:pPr>
        <w:numPr>
          <w:ilvl w:val="0"/>
          <w:numId w:val="9"/>
        </w:numPr>
        <w:spacing w:line="5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投标文件中的大写金额与小写金额不一致的，以大写金额为准；</w:t>
      </w:r>
    </w:p>
    <w:p>
      <w:pPr>
        <w:numPr>
          <w:numId w:val="0"/>
        </w:numPr>
        <w:spacing w:line="5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（2）总价金额与依据单价计算出的结果不一致的，以单价金额为准修正总价，但单价金额小数点有明显错误的除外;</w:t>
      </w:r>
    </w:p>
    <w:p>
      <w:pPr>
        <w:spacing w:line="5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（3）当单价与数量相乘不等于合价时，以单价计算为准，如果单价有明显的小数点位置差错，应以标出的合价为准，同时对单价予以修正；</w:t>
      </w:r>
    </w:p>
    <w:p>
      <w:pPr>
        <w:spacing w:line="5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（4）当各子目的合价累计不等于总价时，应以各子目合价累计数为准，修正总价。</w:t>
      </w:r>
    </w:p>
    <w:p>
      <w:pPr>
        <w:spacing w:line="162" w:lineRule="exact"/>
        <w:rPr>
          <w:rFonts w:ascii="Times New Roman" w:hAnsi="Times New Roman" w:eastAsia="Times New Roman"/>
          <w:highlight w:val="none"/>
        </w:rPr>
      </w:pPr>
    </w:p>
    <w:p>
      <w:pPr>
        <w:numPr>
          <w:numId w:val="0"/>
        </w:numPr>
        <w:tabs>
          <w:tab w:val="left" w:pos="1080"/>
        </w:tabs>
        <w:spacing w:line="324" w:lineRule="auto"/>
        <w:ind w:right="120" w:firstLine="480" w:firstLineChars="200"/>
        <w:jc w:val="both"/>
        <w:rPr>
          <w:rFonts w:ascii="Times New Roman" w:hAnsi="Times New Roman" w:eastAsia="Times New Roman"/>
          <w:sz w:val="24"/>
          <w:highlight w:val="none"/>
        </w:rPr>
      </w:pPr>
      <w:r>
        <w:rPr>
          <w:rFonts w:hint="eastAsia" w:ascii="宋体" w:hAnsi="宋体"/>
          <w:sz w:val="24"/>
          <w:highlight w:val="none"/>
          <w:lang w:val="en-US" w:eastAsia="zh-CN"/>
        </w:rPr>
        <w:t>3.4.3</w:t>
      </w:r>
      <w:r>
        <w:rPr>
          <w:rFonts w:ascii="宋体" w:hAnsi="宋体" w:eastAsia="宋体"/>
          <w:sz w:val="24"/>
          <w:highlight w:val="none"/>
        </w:rPr>
        <w:t>工程量清单中的投标报价有其他错误的，评标委员会按以下原则对投标报价进行修正，修正的价格经投标人书面确认后具有约束力。投标人不接受修正价格的，评标委员会应否决其投标。</w:t>
      </w:r>
    </w:p>
    <w:p>
      <w:pPr>
        <w:spacing w:line="57" w:lineRule="exact"/>
        <w:rPr>
          <w:rFonts w:ascii="Times New Roman" w:hAnsi="Times New Roman" w:eastAsia="Times New Roman"/>
          <w:sz w:val="24"/>
          <w:highlight w:val="none"/>
        </w:rPr>
      </w:pPr>
    </w:p>
    <w:p>
      <w:pPr>
        <w:spacing w:line="335" w:lineRule="auto"/>
        <w:ind w:firstLine="480"/>
        <w:rPr>
          <w:rFonts w:ascii="宋体" w:hAnsi="宋体" w:eastAsia="宋体"/>
          <w:sz w:val="24"/>
          <w:highlight w:val="none"/>
        </w:rPr>
      </w:pPr>
      <w:r>
        <w:rPr>
          <w:rFonts w:ascii="宋体" w:hAnsi="宋体" w:eastAsia="宋体"/>
          <w:sz w:val="24"/>
          <w:highlight w:val="none"/>
        </w:rPr>
        <w:t>（</w:t>
      </w:r>
      <w:r>
        <w:rPr>
          <w:rFonts w:ascii="Times New Roman" w:hAnsi="Times New Roman" w:eastAsia="Times New Roman"/>
          <w:sz w:val="24"/>
          <w:highlight w:val="none"/>
        </w:rPr>
        <w:t>1</w:t>
      </w:r>
      <w:r>
        <w:rPr>
          <w:rFonts w:ascii="宋体" w:hAnsi="宋体" w:eastAsia="宋体"/>
          <w:sz w:val="24"/>
          <w:highlight w:val="none"/>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7" w:lineRule="exact"/>
        <w:rPr>
          <w:rFonts w:ascii="Times New Roman" w:hAnsi="Times New Roman" w:eastAsia="Times New Roman"/>
          <w:sz w:val="24"/>
          <w:highlight w:val="none"/>
        </w:rPr>
      </w:pPr>
    </w:p>
    <w:p>
      <w:pPr>
        <w:spacing w:line="327" w:lineRule="auto"/>
        <w:ind w:firstLine="480"/>
        <w:rPr>
          <w:rFonts w:ascii="宋体" w:hAnsi="宋体" w:eastAsia="宋体"/>
          <w:sz w:val="24"/>
          <w:highlight w:val="none"/>
        </w:rPr>
      </w:pPr>
      <w:r>
        <w:rPr>
          <w:rFonts w:ascii="宋体" w:hAnsi="宋体" w:eastAsia="宋体"/>
          <w:sz w:val="24"/>
          <w:highlight w:val="none"/>
        </w:rPr>
        <w:t>（</w:t>
      </w:r>
      <w:r>
        <w:rPr>
          <w:rFonts w:ascii="Times New Roman" w:hAnsi="Times New Roman" w:eastAsia="Times New Roman"/>
          <w:sz w:val="24"/>
          <w:highlight w:val="none"/>
        </w:rPr>
        <w:t>2</w:t>
      </w:r>
      <w:r>
        <w:rPr>
          <w:rFonts w:ascii="宋体" w:hAnsi="宋体" w:eastAsia="宋体"/>
          <w:sz w:val="24"/>
          <w:highlight w:val="none"/>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6" w:lineRule="exact"/>
        <w:rPr>
          <w:rFonts w:ascii="Times New Roman" w:hAnsi="Times New Roman" w:eastAsia="Times New Roman"/>
          <w:sz w:val="24"/>
          <w:highlight w:val="none"/>
        </w:rPr>
      </w:pPr>
    </w:p>
    <w:p>
      <w:pPr>
        <w:spacing w:line="310" w:lineRule="auto"/>
        <w:ind w:right="120" w:firstLine="480"/>
        <w:jc w:val="both"/>
        <w:rPr>
          <w:rFonts w:ascii="宋体" w:hAnsi="宋体" w:eastAsia="宋体"/>
          <w:sz w:val="24"/>
          <w:highlight w:val="none"/>
        </w:rPr>
      </w:pPr>
      <w:r>
        <w:rPr>
          <w:rFonts w:ascii="宋体" w:hAnsi="宋体" w:eastAsia="宋体"/>
          <w:sz w:val="24"/>
          <w:highlight w:val="none"/>
        </w:rPr>
        <w:t>（</w:t>
      </w:r>
      <w:r>
        <w:rPr>
          <w:rFonts w:ascii="Times New Roman" w:hAnsi="Times New Roman" w:eastAsia="Times New Roman"/>
          <w:sz w:val="24"/>
          <w:highlight w:val="none"/>
        </w:rPr>
        <w:t>3</w:t>
      </w:r>
      <w:r>
        <w:rPr>
          <w:rFonts w:ascii="宋体" w:hAnsi="宋体" w:eastAsia="宋体"/>
          <w:sz w:val="24"/>
          <w:highlight w:val="none"/>
        </w:rPr>
        <w:t>）当单价与数量的乘积与合价（金额）虽然一致，但投标人修改了该子目的工程数量，则其合价按招标人给定的工程数量乘以投标人所报单价予以修正。</w:t>
      </w:r>
    </w:p>
    <w:p>
      <w:pPr>
        <w:spacing w:line="22" w:lineRule="exact"/>
        <w:rPr>
          <w:rFonts w:ascii="Times New Roman" w:hAnsi="Times New Roman" w:eastAsia="Times New Roman"/>
          <w:sz w:val="24"/>
          <w:highlight w:val="none"/>
        </w:rPr>
      </w:pP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修正后的最终投标报价若超过最高投标限价（如有），评标委员会应否决其投标。</w:t>
      </w:r>
    </w:p>
    <w:p>
      <w:pPr>
        <w:spacing w:line="500" w:lineRule="exact"/>
        <w:rPr>
          <w:rFonts w:hint="eastAsia" w:ascii="宋体" w:hAnsi="宋体"/>
          <w:color w:val="auto"/>
          <w:sz w:val="24"/>
          <w:highlight w:val="none"/>
        </w:rPr>
      </w:pPr>
      <w:r>
        <w:rPr>
          <w:rFonts w:hint="eastAsia" w:ascii="宋体" w:hAnsi="宋体"/>
          <w:color w:val="auto"/>
          <w:sz w:val="24"/>
          <w:highlight w:val="none"/>
        </w:rPr>
        <w:t>3.5第二个信封详细评审</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3.5.1评标委员会按本章第 2.2 款规定的量化因素和标准进行价格折算，计算出评标价，并编制价格比较一览表。</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3.5.2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spacing w:line="174" w:lineRule="exact"/>
        <w:rPr>
          <w:rFonts w:ascii="Times New Roman" w:hAnsi="Times New Roman" w:eastAsia="Times New Roman"/>
          <w:highlight w:val="none"/>
        </w:rPr>
      </w:pPr>
    </w:p>
    <w:p>
      <w:pPr>
        <w:spacing w:line="500" w:lineRule="exact"/>
        <w:rPr>
          <w:rFonts w:hint="eastAsia" w:ascii="宋体" w:hAnsi="宋体"/>
          <w:color w:val="auto"/>
          <w:sz w:val="24"/>
          <w:highlight w:val="none"/>
        </w:rPr>
      </w:pPr>
      <w:r>
        <w:rPr>
          <w:rFonts w:hint="eastAsia" w:ascii="宋体" w:hAnsi="宋体"/>
          <w:color w:val="auto"/>
          <w:sz w:val="24"/>
          <w:highlight w:val="none"/>
          <w:lang w:val="en-US" w:eastAsia="zh-CN"/>
        </w:rPr>
        <w:t>3.6</w:t>
      </w:r>
      <w:r>
        <w:rPr>
          <w:rFonts w:hint="eastAsia" w:ascii="宋体" w:hAnsi="宋体"/>
          <w:color w:val="auto"/>
          <w:sz w:val="24"/>
          <w:highlight w:val="none"/>
        </w:rPr>
        <w:t>投标文件相关信息的核查</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（1）有下列情形之一的，属于投标人相互串通投标：</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a.投标人之间协商投标报价等投标文件的实质性内容；</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b.投标人之间约定中标人；</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c.投标人之间约定部分投标人放弃投标或中标；</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d.属于同一集团、协会、商会等组织成员的投标人按照该组织要求协同投标；</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e.投标人之间为谋取中标或排斥特定投标人而采取的其他联合行动。</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（2）有下列情形之一的，视为投标人相互串通投标：</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a.不同投标人的投标文件由同一单位或个人编制；</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b.不同投标人委托同一单位或个人办理投标事宜；</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c.不同投标人的投标文件载明的项目管理成员为同一人；</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d.不同投标人的投标文件异常一致或投标报价呈规律性差异；</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e.不同投标人的投标文件相互混装；</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f.不同投标人的投标保证金从同一单位或个人的账户转出。</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（3）有下列情形之一的，属于招标人与投标人串通投标：</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a.招标人在开标前开启投标文件并将有关信息泄露给其他投标人;</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b.招标人直接或间接向投标人泄露标底、评标委员会成员等信息；c.招标人明示或暗示投标人压低或抬高投标报价；</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d.招标人授意投标人撤换、修改投标文件；</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e.招标人明示或暗示投标人为特定投标人中标提供方便；</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f.招标人与投标人为谋求特定投标人中标而采取的其他串通行为。</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（4）投标人有下列情形之一的，属于弄虚作假的行为：</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a.使用通过受让或租借等方式获取的资格、资质证书投标；</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b.使用伪造、变造的许可证件；</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c.提供虚假的财务状况或业绩；</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d.提供虚假的项目负责人或主要技术人员简历、劳动关系证明；</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e.提供虚假的信用状况；</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f.其他弄虚作假的行为。</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3.7</w:t>
      </w:r>
      <w:r>
        <w:rPr>
          <w:rFonts w:hint="eastAsia" w:ascii="宋体" w:hAnsi="宋体"/>
          <w:color w:val="auto"/>
          <w:sz w:val="24"/>
          <w:highlight w:val="none"/>
        </w:rPr>
        <w:t>投标文件的澄清和说明</w:t>
      </w:r>
    </w:p>
    <w:p>
      <w:pPr>
        <w:spacing w:line="327" w:lineRule="auto"/>
        <w:ind w:firstLine="480" w:firstLineChars="200"/>
        <w:rPr>
          <w:rFonts w:hint="eastAsia" w:ascii="宋体" w:hAnsi="宋体"/>
          <w:sz w:val="24"/>
          <w:highlight w:val="none"/>
          <w:lang w:val="en-US" w:eastAsia="zh-CN"/>
        </w:rPr>
      </w:pPr>
      <w:r>
        <w:rPr>
          <w:rFonts w:hint="eastAsia" w:ascii="宋体" w:hAnsi="宋体"/>
          <w:color w:val="auto"/>
          <w:sz w:val="24"/>
          <w:highlight w:val="none"/>
          <w:lang w:val="en-US" w:eastAsia="zh-CN"/>
        </w:rPr>
        <w:t>3.7.1</w:t>
      </w:r>
      <w:r>
        <w:rPr>
          <w:rFonts w:hint="eastAsia" w:ascii="宋体" w:hAnsi="宋体"/>
          <w:color w:val="auto"/>
          <w:sz w:val="24"/>
          <w:highlight w:val="none"/>
        </w:rPr>
        <w:t>在评标过程中，评标委员会可以书面形式要求投标人对投标文件中含义不明确</w:t>
      </w:r>
      <w:r>
        <w:rPr>
          <w:rFonts w:hint="eastAsia" w:ascii="宋体" w:hAnsi="宋体"/>
          <w:color w:val="auto"/>
          <w:sz w:val="24"/>
          <w:highlight w:val="none"/>
          <w:lang w:val="en-US" w:eastAsia="zh-CN"/>
        </w:rPr>
        <w:t>的内容、明显文字或计算错误进行书面澄清或说明。评标委员会不接受投标人主动提出的</w:t>
      </w:r>
      <w:r>
        <w:rPr>
          <w:rFonts w:hint="eastAsia" w:ascii="宋体" w:hAnsi="宋体"/>
          <w:sz w:val="24"/>
          <w:highlight w:val="none"/>
          <w:lang w:val="en-US" w:eastAsia="zh-CN"/>
        </w:rPr>
        <w:t>澄清、说明。投标人不按评标委员会要求澄清或说明的，评标委员会应否决其投标。</w:t>
      </w:r>
    </w:p>
    <w:p>
      <w:pPr>
        <w:spacing w:line="327"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3.7.2澄清和说明不得超出投标文件的范围或改变投标文件的实质性内容（算术性错误的修正除外）。投标人的书面澄清、说明属于投标文件的组成部分。</w:t>
      </w:r>
    </w:p>
    <w:p>
      <w:pPr>
        <w:spacing w:line="327"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3.7.3评标委员会不得暗示或诱导投标人作出澄清、说明，对投标人提交的澄清、说明有疑问的，可以要求投标人进一步澄清或说明，直至满足评标委员会的要求。</w:t>
      </w:r>
    </w:p>
    <w:p>
      <w:pPr>
        <w:spacing w:line="327"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3.7.4凡超出招标文件规定的或给发包人带来未曾要求的利益的变化、偏差或其他因素在评标时不予考虑。</w:t>
      </w:r>
    </w:p>
    <w:p>
      <w:pPr>
        <w:spacing w:line="327" w:lineRule="auto"/>
        <w:rPr>
          <w:rFonts w:hint="eastAsia" w:ascii="宋体" w:hAnsi="宋体"/>
          <w:sz w:val="24"/>
          <w:highlight w:val="none"/>
          <w:lang w:val="en-US" w:eastAsia="zh-CN"/>
        </w:rPr>
      </w:pPr>
      <w:r>
        <w:rPr>
          <w:rFonts w:hint="eastAsia" w:ascii="宋体" w:hAnsi="宋体"/>
          <w:sz w:val="24"/>
          <w:highlight w:val="none"/>
          <w:lang w:val="en-US" w:eastAsia="zh-CN"/>
        </w:rPr>
        <w:t>3.8不得否决投标的情形</w:t>
      </w:r>
    </w:p>
    <w:p>
      <w:pPr>
        <w:spacing w:line="327"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投标文件存在第二章“投标人须知”第 1.12.3 项所列情形的，均视为细微偏差，评标委员会不得否决投标人的投标，应按照第二章“投标人须知”第 1.12.4 项规定的原则处理。</w:t>
      </w:r>
    </w:p>
    <w:p>
      <w:pPr>
        <w:spacing w:line="327" w:lineRule="auto"/>
        <w:rPr>
          <w:rFonts w:ascii="宋体" w:hAnsi="宋体" w:eastAsia="宋体"/>
          <w:sz w:val="24"/>
          <w:highlight w:val="none"/>
        </w:rPr>
      </w:pPr>
      <w:r>
        <w:rPr>
          <w:rFonts w:hint="eastAsia" w:ascii="宋体" w:hAnsi="宋体"/>
          <w:sz w:val="24"/>
          <w:highlight w:val="none"/>
          <w:lang w:val="en-US" w:eastAsia="zh-CN"/>
        </w:rPr>
        <w:t>3.9</w:t>
      </w:r>
      <w:r>
        <w:rPr>
          <w:rFonts w:ascii="宋体" w:hAnsi="宋体" w:eastAsia="宋体"/>
          <w:sz w:val="24"/>
          <w:highlight w:val="none"/>
        </w:rPr>
        <w:t>评标结果</w:t>
      </w:r>
    </w:p>
    <w:p>
      <w:pPr>
        <w:spacing w:line="327" w:lineRule="auto"/>
        <w:ind w:firstLine="480"/>
        <w:rPr>
          <w:rFonts w:ascii="宋体" w:hAnsi="宋体" w:eastAsia="宋体"/>
          <w:sz w:val="24"/>
          <w:highlight w:val="none"/>
        </w:rPr>
      </w:pPr>
      <w:r>
        <w:rPr>
          <w:rFonts w:hint="eastAsia" w:ascii="宋体" w:hAnsi="宋体"/>
          <w:sz w:val="24"/>
          <w:highlight w:val="none"/>
          <w:lang w:val="en-US" w:eastAsia="zh-CN"/>
        </w:rPr>
        <w:t>3.9.1</w:t>
      </w:r>
      <w:r>
        <w:rPr>
          <w:rFonts w:ascii="宋体" w:hAnsi="宋体" w:eastAsia="宋体"/>
          <w:sz w:val="24"/>
          <w:highlight w:val="none"/>
        </w:rPr>
        <w:t>除第二章“投标人须知”前附表授权直接确定中标人外，评标委员会按照评标价由低到高的顺序推荐中标候选人，并标明排序。</w:t>
      </w:r>
    </w:p>
    <w:p>
      <w:pPr>
        <w:spacing w:line="327" w:lineRule="auto"/>
        <w:ind w:firstLine="480"/>
        <w:rPr>
          <w:rFonts w:ascii="宋体" w:hAnsi="宋体" w:eastAsia="宋体"/>
          <w:sz w:val="24"/>
          <w:highlight w:val="none"/>
        </w:rPr>
      </w:pPr>
      <w:r>
        <w:rPr>
          <w:rFonts w:hint="eastAsia" w:ascii="宋体" w:hAnsi="宋体"/>
          <w:sz w:val="24"/>
          <w:highlight w:val="none"/>
          <w:lang w:val="en-US" w:eastAsia="zh-CN"/>
        </w:rPr>
        <w:t>3.9.2</w:t>
      </w:r>
      <w:r>
        <w:rPr>
          <w:rFonts w:ascii="宋体" w:hAnsi="宋体" w:eastAsia="宋体"/>
          <w:sz w:val="24"/>
          <w:highlight w:val="none"/>
        </w:rPr>
        <w:t>评标委员会完成评标后，应向招标人提交书面评标报告。</w:t>
      </w:r>
    </w:p>
    <w:p>
      <w:pPr>
        <w:spacing w:line="500" w:lineRule="exact"/>
        <w:rPr>
          <w:rFonts w:hint="eastAsia" w:ascii="宋体" w:hAnsi="宋体"/>
          <w:color w:val="auto"/>
          <w:sz w:val="24"/>
          <w:highlight w:val="none"/>
        </w:rPr>
      </w:pPr>
    </w:p>
    <w:p>
      <w:pPr>
        <w:spacing w:line="340" w:lineRule="exact"/>
        <w:ind w:firstLine="480" w:firstLineChars="200"/>
        <w:rPr>
          <w:rFonts w:ascii="宋体" w:hAnsi="宋体"/>
          <w:color w:val="auto"/>
          <w:sz w:val="24"/>
          <w:highlight w:val="none"/>
        </w:rPr>
      </w:pPr>
    </w:p>
    <w:p>
      <w:pPr>
        <w:spacing w:line="340" w:lineRule="exact"/>
        <w:ind w:firstLine="480" w:firstLineChars="200"/>
        <w:rPr>
          <w:rFonts w:ascii="宋体" w:hAnsi="宋体"/>
          <w:color w:val="auto"/>
          <w:sz w:val="24"/>
          <w:highlight w:val="none"/>
        </w:rPr>
      </w:pP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需要注意的问题：</w:t>
      </w: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color w:val="auto"/>
          <w:sz w:val="24"/>
          <w:highlight w:val="none"/>
        </w:rPr>
      </w:pPr>
    </w:p>
    <w:p>
      <w:pPr>
        <w:rPr>
          <w:color w:val="auto"/>
          <w:sz w:val="24"/>
          <w:highlight w:val="none"/>
        </w:rPr>
      </w:pPr>
    </w:p>
    <w:p>
      <w:pPr>
        <w:tabs>
          <w:tab w:val="left" w:pos="4500"/>
        </w:tabs>
        <w:spacing w:line="520" w:lineRule="exact"/>
        <w:rPr>
          <w:b/>
          <w:bCs/>
          <w:color w:val="auto"/>
          <w:sz w:val="44"/>
          <w:highlight w:val="none"/>
        </w:rPr>
      </w:pPr>
    </w:p>
    <w:p>
      <w:pPr>
        <w:tabs>
          <w:tab w:val="left" w:pos="4500"/>
        </w:tabs>
        <w:spacing w:line="520" w:lineRule="exact"/>
        <w:rPr>
          <w:b/>
          <w:bCs/>
          <w:color w:val="auto"/>
          <w:sz w:val="44"/>
          <w:highlight w:val="none"/>
        </w:rPr>
      </w:pPr>
    </w:p>
    <w:p>
      <w:pPr>
        <w:tabs>
          <w:tab w:val="left" w:pos="4500"/>
        </w:tabs>
        <w:spacing w:line="520" w:lineRule="exact"/>
        <w:rPr>
          <w:b/>
          <w:bCs/>
          <w:color w:val="auto"/>
          <w:sz w:val="52"/>
          <w:szCs w:val="52"/>
          <w:highlight w:val="none"/>
        </w:rPr>
      </w:pPr>
    </w:p>
    <w:p>
      <w:pPr>
        <w:tabs>
          <w:tab w:val="left" w:pos="4500"/>
        </w:tabs>
        <w:spacing w:line="520" w:lineRule="exact"/>
        <w:rPr>
          <w:b/>
          <w:bCs/>
          <w:color w:val="auto"/>
          <w:sz w:val="44"/>
          <w:highlight w:val="none"/>
        </w:rPr>
      </w:pPr>
    </w:p>
    <w:p>
      <w:pPr>
        <w:tabs>
          <w:tab w:val="left" w:pos="4500"/>
        </w:tabs>
        <w:spacing w:line="520" w:lineRule="exact"/>
        <w:rPr>
          <w:b/>
          <w:bCs/>
          <w:color w:val="auto"/>
          <w:sz w:val="44"/>
          <w:highlight w:val="none"/>
        </w:rPr>
      </w:pPr>
    </w:p>
    <w:p>
      <w:pPr>
        <w:tabs>
          <w:tab w:val="left" w:pos="4500"/>
        </w:tabs>
        <w:spacing w:line="520" w:lineRule="exact"/>
        <w:rPr>
          <w:b/>
          <w:bCs/>
          <w:color w:val="auto"/>
          <w:sz w:val="44"/>
          <w:highlight w:val="none"/>
        </w:rPr>
      </w:pPr>
    </w:p>
    <w:p>
      <w:pPr>
        <w:pStyle w:val="2"/>
        <w:rPr>
          <w:highlight w:val="none"/>
        </w:rPr>
      </w:pPr>
    </w:p>
    <w:p>
      <w:pPr>
        <w:pStyle w:val="2"/>
        <w:ind w:left="0" w:leftChars="0" w:firstLine="0" w:firstLineChars="0"/>
        <w:rPr>
          <w:b/>
          <w:bCs/>
          <w:color w:val="auto"/>
          <w:sz w:val="44"/>
          <w:highlight w:val="none"/>
        </w:rPr>
      </w:pPr>
    </w:p>
    <w:p>
      <w:pPr>
        <w:adjustRightInd w:val="0"/>
        <w:snapToGrid w:val="0"/>
        <w:spacing w:line="360" w:lineRule="auto"/>
        <w:jc w:val="center"/>
        <w:outlineLvl w:val="0"/>
        <w:rPr>
          <w:rFonts w:ascii="黑体" w:eastAsia="黑体"/>
          <w:color w:val="auto"/>
          <w:sz w:val="44"/>
          <w:szCs w:val="44"/>
          <w:highlight w:val="none"/>
        </w:rPr>
      </w:pPr>
      <w:bookmarkStart w:id="203" w:name="_Toc13221"/>
      <w:r>
        <w:rPr>
          <w:rFonts w:hint="eastAsia" w:ascii="黑体" w:eastAsia="黑体"/>
          <w:color w:val="auto"/>
          <w:sz w:val="44"/>
          <w:szCs w:val="44"/>
          <w:highlight w:val="none"/>
        </w:rPr>
        <w:t>第四章 合同条款及</w:t>
      </w:r>
      <w:r>
        <w:rPr>
          <w:rFonts w:hint="eastAsia" w:ascii="黑体" w:eastAsia="黑体"/>
          <w:color w:val="auto"/>
          <w:sz w:val="44"/>
          <w:szCs w:val="44"/>
          <w:highlight w:val="none"/>
          <w:lang w:eastAsia="zh-CN"/>
        </w:rPr>
        <w:t>参考</w:t>
      </w:r>
      <w:r>
        <w:rPr>
          <w:rFonts w:hint="eastAsia" w:ascii="黑体" w:eastAsia="黑体"/>
          <w:color w:val="auto"/>
          <w:sz w:val="44"/>
          <w:szCs w:val="44"/>
          <w:highlight w:val="none"/>
        </w:rPr>
        <w:t>格式</w:t>
      </w:r>
      <w:bookmarkEnd w:id="203"/>
    </w:p>
    <w:p>
      <w:pPr>
        <w:adjustRightInd w:val="0"/>
        <w:snapToGrid w:val="0"/>
        <w:spacing w:line="360" w:lineRule="auto"/>
        <w:jc w:val="center"/>
        <w:outlineLvl w:val="0"/>
        <w:rPr>
          <w:rFonts w:ascii="黑体" w:eastAsia="黑体"/>
          <w:bCs/>
          <w:color w:val="auto"/>
          <w:sz w:val="36"/>
          <w:szCs w:val="36"/>
          <w:highlight w:val="none"/>
        </w:rPr>
      </w:pPr>
      <w:bookmarkStart w:id="204" w:name="_Toc9501"/>
      <w:r>
        <w:rPr>
          <w:rFonts w:hint="eastAsia" w:ascii="黑体" w:eastAsia="黑体"/>
          <w:bCs/>
          <w:color w:val="auto"/>
          <w:sz w:val="36"/>
          <w:szCs w:val="36"/>
          <w:highlight w:val="none"/>
        </w:rPr>
        <w:t>第一节 通用合同条款</w:t>
      </w:r>
      <w:bookmarkEnd w:id="204"/>
    </w:p>
    <w:p>
      <w:pPr>
        <w:adjustRightInd w:val="0"/>
        <w:snapToGrid w:val="0"/>
        <w:spacing w:line="360" w:lineRule="auto"/>
        <w:jc w:val="center"/>
        <w:rPr>
          <w:rFonts w:ascii="仿宋_GB2312" w:eastAsia="仿宋_GB2312"/>
          <w:color w:val="auto"/>
          <w:sz w:val="24"/>
          <w:highlight w:val="none"/>
        </w:rPr>
      </w:pPr>
    </w:p>
    <w:p>
      <w:pPr>
        <w:adjustRightInd w:val="0"/>
        <w:snapToGrid w:val="0"/>
        <w:spacing w:line="360" w:lineRule="auto"/>
        <w:jc w:val="center"/>
        <w:rPr>
          <w:rFonts w:ascii="黑体" w:eastAsia="黑体"/>
          <w:b/>
          <w:color w:val="auto"/>
          <w:sz w:val="44"/>
          <w:szCs w:val="44"/>
          <w:highlight w:val="none"/>
        </w:rPr>
      </w:pPr>
      <w:r>
        <w:rPr>
          <w:rFonts w:hint="eastAsia" w:ascii="仿宋_GB2312" w:eastAsia="仿宋_GB2312"/>
          <w:color w:val="auto"/>
          <w:sz w:val="24"/>
          <w:highlight w:val="none"/>
        </w:rPr>
        <w:t>参见中华人民共和国《标准施工招标文件》（</w:t>
      </w:r>
      <w:r>
        <w:rPr>
          <w:rFonts w:hint="eastAsia" w:ascii="仿宋_GB2312" w:eastAsia="仿宋_GB2312"/>
          <w:color w:val="auto"/>
          <w:sz w:val="24"/>
          <w:highlight w:val="none"/>
          <w:lang w:val="en-US" w:eastAsia="zh-CN"/>
        </w:rPr>
        <w:t>2018</w:t>
      </w:r>
      <w:r>
        <w:rPr>
          <w:rFonts w:hint="eastAsia" w:ascii="仿宋_GB2312" w:eastAsia="仿宋_GB2312"/>
          <w:color w:val="auto"/>
          <w:sz w:val="24"/>
          <w:highlight w:val="none"/>
        </w:rPr>
        <w:t>年版）</w:t>
      </w: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pageBreakBefore/>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第二节 专用合同条款</w:t>
      </w:r>
    </w:p>
    <w:p>
      <w:pPr>
        <w:tabs>
          <w:tab w:val="left" w:pos="4500"/>
        </w:tabs>
        <w:spacing w:line="520" w:lineRule="exact"/>
        <w:rPr>
          <w:rFonts w:hAnsi="宋体"/>
          <w:bCs/>
          <w:color w:val="auto"/>
          <w:sz w:val="24"/>
          <w:szCs w:val="28"/>
          <w:highlight w:val="none"/>
        </w:rPr>
      </w:pPr>
    </w:p>
    <w:p>
      <w:pPr>
        <w:adjustRightInd w:val="0"/>
        <w:snapToGrid w:val="0"/>
        <w:spacing w:beforeLines="100" w:afterLines="100" w:line="360" w:lineRule="auto"/>
        <w:jc w:val="center"/>
        <w:rPr>
          <w:rFonts w:eastAsia="黑体"/>
          <w:color w:val="auto"/>
          <w:sz w:val="32"/>
          <w:szCs w:val="32"/>
          <w:highlight w:val="none"/>
        </w:rPr>
      </w:pPr>
      <w:bookmarkStart w:id="205" w:name="_Toc132601562"/>
      <w:r>
        <w:rPr>
          <w:rFonts w:eastAsia="黑体"/>
          <w:color w:val="auto"/>
          <w:sz w:val="32"/>
          <w:szCs w:val="32"/>
          <w:highlight w:val="none"/>
        </w:rPr>
        <w:t>A．公路行业标准专用合同条款</w:t>
      </w:r>
    </w:p>
    <w:p>
      <w:pPr>
        <w:adjustRightInd w:val="0"/>
        <w:snapToGrid w:val="0"/>
        <w:spacing w:line="360" w:lineRule="auto"/>
        <w:rPr>
          <w:rFonts w:eastAsia="黑体"/>
          <w:color w:val="auto"/>
          <w:sz w:val="24"/>
          <w:highlight w:val="none"/>
        </w:rPr>
      </w:pPr>
      <w:r>
        <w:rPr>
          <w:rFonts w:eastAsia="黑体"/>
          <w:color w:val="auto"/>
          <w:sz w:val="24"/>
          <w:highlight w:val="none"/>
        </w:rPr>
        <w:t>1．一般约定</w:t>
      </w:r>
    </w:p>
    <w:p>
      <w:pPr>
        <w:adjustRightInd w:val="0"/>
        <w:snapToGrid w:val="0"/>
        <w:spacing w:line="360" w:lineRule="auto"/>
        <w:rPr>
          <w:rFonts w:eastAsia="黑体"/>
          <w:color w:val="auto"/>
          <w:sz w:val="24"/>
          <w:highlight w:val="none"/>
        </w:rPr>
      </w:pPr>
      <w:r>
        <w:rPr>
          <w:rFonts w:eastAsia="黑体"/>
          <w:color w:val="auto"/>
          <w:sz w:val="24"/>
          <w:highlight w:val="none"/>
        </w:rPr>
        <w:t>1.1词语定义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1.1.1合同</w:t>
      </w:r>
    </w:p>
    <w:p>
      <w:pPr>
        <w:adjustRightInd w:val="0"/>
        <w:snapToGrid w:val="0"/>
        <w:spacing w:line="360" w:lineRule="auto"/>
        <w:ind w:firstLine="720" w:firstLineChars="300"/>
        <w:rPr>
          <w:color w:val="auto"/>
          <w:sz w:val="24"/>
          <w:highlight w:val="none"/>
        </w:rPr>
      </w:pPr>
      <w:r>
        <w:rPr>
          <w:color w:val="auto"/>
          <w:sz w:val="24"/>
          <w:highlight w:val="none"/>
        </w:rPr>
        <w:t>1.1.1.6技术规范：指本合同所约定的技术标准和要求，是合同文件的组成部分。通</w:t>
      </w:r>
    </w:p>
    <w:p>
      <w:pPr>
        <w:adjustRightInd w:val="0"/>
        <w:snapToGrid w:val="0"/>
        <w:spacing w:line="360" w:lineRule="auto"/>
        <w:rPr>
          <w:color w:val="auto"/>
          <w:sz w:val="24"/>
          <w:highlight w:val="none"/>
        </w:rPr>
      </w:pPr>
      <w:r>
        <w:rPr>
          <w:color w:val="auto"/>
          <w:sz w:val="24"/>
          <w:highlight w:val="none"/>
        </w:rPr>
        <w:t>用合同条款中“技术标准和要求”一词具有相同含义。</w:t>
      </w:r>
    </w:p>
    <w:p>
      <w:pPr>
        <w:spacing w:line="333" w:lineRule="auto"/>
        <w:ind w:firstLine="720"/>
        <w:jc w:val="both"/>
        <w:rPr>
          <w:color w:val="auto"/>
          <w:sz w:val="24"/>
          <w:highlight w:val="none"/>
        </w:rPr>
      </w:pPr>
      <w:r>
        <w:rPr>
          <w:color w:val="auto"/>
          <w:sz w:val="24"/>
          <w:highlight w:val="none"/>
        </w:rPr>
        <w:t>1.1.1.8已标价工程量清单：</w:t>
      </w:r>
      <w:r>
        <w:rPr>
          <w:rFonts w:ascii="宋体" w:hAnsi="宋体" w:eastAsia="宋体"/>
          <w:sz w:val="24"/>
          <w:highlight w:val="none"/>
        </w:rPr>
        <w:t xml:space="preserve">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w:t>
      </w:r>
      <w:r>
        <w:rPr>
          <w:rFonts w:ascii="Times New Roman" w:hAnsi="Times New Roman" w:eastAsia="Times New Roman"/>
          <w:sz w:val="24"/>
          <w:highlight w:val="none"/>
        </w:rPr>
        <w:t>5.1</w:t>
      </w:r>
      <w:r>
        <w:rPr>
          <w:rFonts w:ascii="宋体" w:hAnsi="宋体" w:eastAsia="宋体"/>
          <w:sz w:val="24"/>
          <w:highlight w:val="none"/>
        </w:rPr>
        <w:t xml:space="preserve">～表 </w:t>
      </w:r>
      <w:r>
        <w:rPr>
          <w:rFonts w:ascii="Times New Roman" w:hAnsi="Times New Roman" w:eastAsia="Times New Roman"/>
          <w:sz w:val="24"/>
          <w:highlight w:val="none"/>
        </w:rPr>
        <w:t>5.5</w:t>
      </w:r>
      <w:r>
        <w:rPr>
          <w:rFonts w:ascii="宋体" w:hAnsi="宋体" w:eastAsia="宋体"/>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10目：</w:t>
      </w:r>
    </w:p>
    <w:p>
      <w:pPr>
        <w:adjustRightInd w:val="0"/>
        <w:snapToGrid w:val="0"/>
        <w:spacing w:line="360" w:lineRule="auto"/>
        <w:ind w:firstLine="720" w:firstLineChars="300"/>
        <w:rPr>
          <w:color w:val="auto"/>
          <w:sz w:val="24"/>
          <w:highlight w:val="none"/>
        </w:rPr>
      </w:pPr>
      <w:r>
        <w:rPr>
          <w:color w:val="auto"/>
          <w:sz w:val="24"/>
          <w:highlight w:val="none"/>
        </w:rPr>
        <w:t>1.1.1.10补遗书：</w:t>
      </w:r>
      <w:r>
        <w:rPr>
          <w:rFonts w:hint="eastAsia"/>
          <w:color w:val="auto"/>
          <w:sz w:val="24"/>
          <w:highlight w:val="none"/>
        </w:rPr>
        <w:t>1.1.1.10  补遗书：指发出招标文件之后由招标人向已取得招标文件的投标人发出的、编号的对招标文件所作的澄清、修改书。</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1.1.2合同当事人和人员</w:t>
      </w:r>
    </w:p>
    <w:p>
      <w:pPr>
        <w:adjustRightInd w:val="0"/>
        <w:snapToGrid w:val="0"/>
        <w:spacing w:line="360" w:lineRule="auto"/>
        <w:ind w:firstLine="720" w:firstLineChars="300"/>
        <w:rPr>
          <w:color w:val="auto"/>
          <w:sz w:val="24"/>
          <w:highlight w:val="none"/>
          <w:u w:val="single"/>
        </w:rPr>
      </w:pPr>
      <w:r>
        <w:rPr>
          <w:color w:val="auto"/>
          <w:sz w:val="24"/>
          <w:highlight w:val="none"/>
        </w:rPr>
        <w:t>1</w:t>
      </w:r>
      <w:r>
        <w:rPr>
          <w:rFonts w:hint="eastAsia"/>
          <w:color w:val="auto"/>
          <w:sz w:val="24"/>
          <w:highlight w:val="none"/>
        </w:rPr>
        <w:t>.</w:t>
      </w:r>
      <w:r>
        <w:rPr>
          <w:color w:val="auto"/>
          <w:sz w:val="24"/>
          <w:highlight w:val="none"/>
        </w:rPr>
        <w:t>1.2.2发包人：</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rFonts w:hint="eastAsia"/>
          <w:color w:val="auto"/>
          <w:sz w:val="24"/>
          <w:highlight w:val="none"/>
        </w:rPr>
        <w:t>1.1</w:t>
      </w:r>
      <w:r>
        <w:rPr>
          <w:color w:val="auto"/>
          <w:sz w:val="24"/>
          <w:highlight w:val="none"/>
        </w:rPr>
        <w:t>.2.6监理人</w:t>
      </w:r>
      <w:r>
        <w:rPr>
          <w:rFonts w:hint="eastAsia"/>
          <w:color w:val="auto"/>
          <w:sz w:val="24"/>
          <w:highlight w:val="none"/>
        </w:rPr>
        <w:t>：</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1.2.8目：</w:t>
      </w:r>
    </w:p>
    <w:p>
      <w:pPr>
        <w:adjustRightInd w:val="0"/>
        <w:snapToGrid w:val="0"/>
        <w:spacing w:line="360" w:lineRule="auto"/>
        <w:ind w:firstLine="720" w:firstLineChars="300"/>
        <w:rPr>
          <w:rFonts w:hint="eastAsia"/>
          <w:color w:val="auto"/>
          <w:sz w:val="24"/>
          <w:highlight w:val="none"/>
        </w:rPr>
      </w:pPr>
      <w:r>
        <w:rPr>
          <w:color w:val="auto"/>
          <w:sz w:val="24"/>
          <w:highlight w:val="none"/>
        </w:rPr>
        <w:t>1.1.2.8</w:t>
      </w:r>
      <w:r>
        <w:rPr>
          <w:rFonts w:hint="eastAsia"/>
          <w:color w:val="auto"/>
          <w:sz w:val="24"/>
          <w:highlight w:val="none"/>
        </w:rPr>
        <w:t>承包人项目总工：指由承包人书面委派常驻现场负责管理本合同工程</w:t>
      </w:r>
    </w:p>
    <w:p>
      <w:pPr>
        <w:adjustRightInd w:val="0"/>
        <w:snapToGrid w:val="0"/>
        <w:spacing w:line="360" w:lineRule="auto"/>
        <w:rPr>
          <w:color w:val="auto"/>
          <w:sz w:val="24"/>
          <w:highlight w:val="none"/>
        </w:rPr>
      </w:pPr>
      <w:r>
        <w:rPr>
          <w:rFonts w:hint="eastAsia"/>
          <w:color w:val="auto"/>
          <w:sz w:val="24"/>
          <w:highlight w:val="none"/>
        </w:rPr>
        <w:t>的总工程师或技术总负责人。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3工程和设备</w:t>
      </w:r>
    </w:p>
    <w:p>
      <w:pPr>
        <w:adjustRightInd w:val="0"/>
        <w:snapToGrid w:val="0"/>
        <w:spacing w:line="360" w:lineRule="auto"/>
        <w:ind w:firstLine="720" w:firstLineChars="300"/>
        <w:rPr>
          <w:color w:val="auto"/>
          <w:sz w:val="24"/>
          <w:highlight w:val="none"/>
        </w:rPr>
      </w:pPr>
      <w:r>
        <w:rPr>
          <w:color w:val="auto"/>
          <w:sz w:val="24"/>
          <w:highlight w:val="none"/>
        </w:rPr>
        <w:t>1.1.3.4单位工程：指在建设项目中，根据签订的合同，具有独立施工条件的工程。</w:t>
      </w:r>
    </w:p>
    <w:p>
      <w:pPr>
        <w:adjustRightInd w:val="0"/>
        <w:snapToGrid w:val="0"/>
        <w:spacing w:line="360" w:lineRule="auto"/>
        <w:ind w:firstLine="720" w:firstLineChars="300"/>
        <w:rPr>
          <w:color w:val="auto"/>
          <w:sz w:val="24"/>
          <w:highlight w:val="none"/>
        </w:rPr>
      </w:pPr>
      <w:r>
        <w:rPr>
          <w:color w:val="auto"/>
          <w:sz w:val="24"/>
          <w:highlight w:val="none"/>
        </w:rPr>
        <w:t>1.1.3.10永久占地：指为实施本合同工程而需要的一切永久占用的土地，包括公路两侧路权范围内的用地。</w:t>
      </w:r>
    </w:p>
    <w:p>
      <w:pPr>
        <w:adjustRightInd w:val="0"/>
        <w:snapToGrid w:val="0"/>
        <w:spacing w:line="360" w:lineRule="auto"/>
        <w:ind w:firstLine="720" w:firstLineChars="300"/>
        <w:rPr>
          <w:color w:val="auto"/>
          <w:sz w:val="24"/>
          <w:highlight w:val="none"/>
        </w:rPr>
      </w:pPr>
      <w:r>
        <w:rPr>
          <w:color w:val="auto"/>
          <w:sz w:val="24"/>
          <w:highlight w:val="none"/>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color w:val="auto"/>
          <w:sz w:val="24"/>
          <w:highlight w:val="none"/>
        </w:rPr>
      </w:pPr>
      <w:r>
        <w:rPr>
          <w:color w:val="auto"/>
          <w:sz w:val="24"/>
          <w:highlight w:val="none"/>
        </w:rPr>
        <w:t>本项增加第1．1.3．12、1．1.3．13目：</w:t>
      </w:r>
    </w:p>
    <w:p>
      <w:pPr>
        <w:adjustRightInd w:val="0"/>
        <w:snapToGrid w:val="0"/>
        <w:spacing w:line="360" w:lineRule="auto"/>
        <w:ind w:firstLine="720" w:firstLineChars="3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1.3.12分部工程：指在单位工程中，按结构部位、路段长度及施工特点或施工任务划分的若干个工程。</w:t>
      </w:r>
    </w:p>
    <w:p>
      <w:pPr>
        <w:adjustRightInd w:val="0"/>
        <w:snapToGrid w:val="0"/>
        <w:spacing w:line="360" w:lineRule="auto"/>
        <w:ind w:firstLine="720" w:firstLineChars="300"/>
        <w:rPr>
          <w:color w:val="auto"/>
          <w:sz w:val="24"/>
          <w:highlight w:val="none"/>
        </w:rPr>
      </w:pPr>
      <w:r>
        <w:rPr>
          <w:color w:val="auto"/>
          <w:sz w:val="24"/>
          <w:highlight w:val="none"/>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1.1.4日期</w:t>
      </w:r>
    </w:p>
    <w:p>
      <w:pPr>
        <w:adjustRightInd w:val="0"/>
        <w:snapToGrid w:val="0"/>
        <w:spacing w:line="360" w:lineRule="auto"/>
        <w:ind w:firstLine="720" w:firstLineChars="300"/>
        <w:rPr>
          <w:color w:val="auto"/>
          <w:sz w:val="24"/>
          <w:highlight w:val="none"/>
        </w:rPr>
      </w:pPr>
      <w:r>
        <w:rPr>
          <w:color w:val="auto"/>
          <w:sz w:val="24"/>
          <w:highlight w:val="none"/>
        </w:rPr>
        <w:t>1.1.4.5缺陷责任期：自实际竣工日期起计算</w:t>
      </w:r>
      <w:r>
        <w:rPr>
          <w:rFonts w:hint="eastAsia"/>
          <w:color w:val="auto"/>
          <w:sz w:val="24"/>
          <w:highlight w:val="none"/>
          <w:lang w:val="en-US" w:eastAsia="zh-CN"/>
        </w:rPr>
        <w:t>2</w:t>
      </w:r>
      <w:r>
        <w:rPr>
          <w:color w:val="auto"/>
          <w:sz w:val="24"/>
          <w:highlight w:val="none"/>
        </w:rPr>
        <w:t>年。</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1.6其他</w:t>
      </w:r>
    </w:p>
    <w:p>
      <w:pPr>
        <w:adjustRightInd w:val="0"/>
        <w:snapToGrid w:val="0"/>
        <w:spacing w:line="360" w:lineRule="auto"/>
        <w:ind w:firstLine="720" w:firstLineChars="300"/>
        <w:rPr>
          <w:color w:val="auto"/>
          <w:sz w:val="24"/>
          <w:highlight w:val="none"/>
        </w:rPr>
      </w:pPr>
      <w:r>
        <w:rPr>
          <w:color w:val="auto"/>
          <w:sz w:val="24"/>
          <w:highlight w:val="none"/>
        </w:rPr>
        <w:t>本项增加第1．1.6.2至1．1.6.5目：</w:t>
      </w:r>
    </w:p>
    <w:p>
      <w:pPr>
        <w:numPr>
          <w:ilvl w:val="1"/>
          <w:numId w:val="10"/>
        </w:numPr>
        <w:tabs>
          <w:tab w:val="left" w:pos="1500"/>
        </w:tabs>
        <w:spacing w:line="298" w:lineRule="auto"/>
        <w:ind w:right="120" w:firstLine="724"/>
        <w:jc w:val="both"/>
        <w:rPr>
          <w:rFonts w:ascii="Times New Roman" w:hAnsi="Times New Roman" w:eastAsia="Times New Roman"/>
          <w:sz w:val="24"/>
          <w:highlight w:val="none"/>
        </w:rPr>
      </w:pPr>
      <w:r>
        <w:rPr>
          <w:rFonts w:ascii="宋体" w:hAnsi="宋体" w:eastAsia="宋体"/>
          <w:sz w:val="24"/>
          <w:highlight w:val="none"/>
        </w:rPr>
        <w:t>竣工验收：指《公路工程竣（交）工验收办法》中的竣工验收。通用合同条款中</w:t>
      </w:r>
      <w:r>
        <w:rPr>
          <w:rFonts w:ascii="Times New Roman" w:hAnsi="Times New Roman" w:eastAsia="Times New Roman"/>
          <w:sz w:val="24"/>
          <w:highlight w:val="none"/>
        </w:rPr>
        <w:t>“</w:t>
      </w:r>
      <w:r>
        <w:rPr>
          <w:rFonts w:ascii="宋体" w:hAnsi="宋体" w:eastAsia="宋体"/>
          <w:sz w:val="24"/>
          <w:highlight w:val="none"/>
        </w:rPr>
        <w:t>国家验收</w:t>
      </w:r>
      <w:r>
        <w:rPr>
          <w:rFonts w:ascii="Times New Roman" w:hAnsi="Times New Roman" w:eastAsia="Times New Roman"/>
          <w:sz w:val="24"/>
          <w:highlight w:val="none"/>
        </w:rPr>
        <w:t>”</w:t>
      </w:r>
      <w:r>
        <w:rPr>
          <w:rFonts w:ascii="宋体" w:hAnsi="宋体" w:eastAsia="宋体"/>
          <w:sz w:val="24"/>
          <w:highlight w:val="none"/>
        </w:rPr>
        <w:t>一词具有相同含义。</w:t>
      </w:r>
    </w:p>
    <w:p>
      <w:pPr>
        <w:spacing w:line="74" w:lineRule="exact"/>
        <w:rPr>
          <w:rFonts w:ascii="Times New Roman" w:hAnsi="Times New Roman" w:eastAsia="Times New Roman"/>
          <w:sz w:val="24"/>
          <w:highlight w:val="none"/>
        </w:rPr>
      </w:pPr>
    </w:p>
    <w:p>
      <w:pPr>
        <w:numPr>
          <w:ilvl w:val="1"/>
          <w:numId w:val="10"/>
        </w:numPr>
        <w:tabs>
          <w:tab w:val="left" w:pos="1476"/>
        </w:tabs>
        <w:spacing w:line="298" w:lineRule="auto"/>
        <w:ind w:right="120" w:firstLine="724"/>
        <w:jc w:val="both"/>
        <w:rPr>
          <w:rFonts w:ascii="Times New Roman" w:hAnsi="Times New Roman" w:eastAsia="Times New Roman"/>
          <w:sz w:val="24"/>
          <w:highlight w:val="none"/>
        </w:rPr>
      </w:pPr>
      <w:r>
        <w:rPr>
          <w:rFonts w:ascii="宋体" w:hAnsi="宋体" w:eastAsia="宋体"/>
          <w:sz w:val="24"/>
          <w:highlight w:val="none"/>
        </w:rPr>
        <w:t>交工：指《公路工程竣（交）工验收办法》中的交工。通用合同条款中</w:t>
      </w:r>
      <w:r>
        <w:rPr>
          <w:rFonts w:ascii="Times New Roman" w:hAnsi="Times New Roman" w:eastAsia="Times New Roman"/>
          <w:sz w:val="24"/>
          <w:highlight w:val="none"/>
        </w:rPr>
        <w:t>“</w:t>
      </w:r>
      <w:r>
        <w:rPr>
          <w:rFonts w:ascii="宋体" w:hAnsi="宋体" w:eastAsia="宋体"/>
          <w:sz w:val="24"/>
          <w:highlight w:val="none"/>
        </w:rPr>
        <w:t>竣工</w:t>
      </w:r>
      <w:r>
        <w:rPr>
          <w:rFonts w:ascii="Times New Roman" w:hAnsi="Times New Roman" w:eastAsia="Times New Roman"/>
          <w:sz w:val="24"/>
          <w:highlight w:val="none"/>
        </w:rPr>
        <w:t>”</w:t>
      </w:r>
      <w:r>
        <w:rPr>
          <w:rFonts w:ascii="宋体" w:hAnsi="宋体" w:eastAsia="宋体"/>
          <w:sz w:val="24"/>
          <w:highlight w:val="none"/>
        </w:rPr>
        <w:t>一词具有相同含义。</w:t>
      </w:r>
    </w:p>
    <w:p>
      <w:pPr>
        <w:spacing w:line="76" w:lineRule="exact"/>
        <w:rPr>
          <w:rFonts w:ascii="Times New Roman" w:hAnsi="Times New Roman" w:eastAsia="Times New Roman"/>
          <w:sz w:val="24"/>
          <w:highlight w:val="none"/>
        </w:rPr>
      </w:pPr>
    </w:p>
    <w:p>
      <w:pPr>
        <w:numPr>
          <w:ilvl w:val="1"/>
          <w:numId w:val="10"/>
        </w:numPr>
        <w:tabs>
          <w:tab w:val="left" w:pos="1476"/>
        </w:tabs>
        <w:spacing w:line="296" w:lineRule="auto"/>
        <w:ind w:right="120" w:firstLine="724"/>
        <w:jc w:val="both"/>
        <w:rPr>
          <w:rFonts w:ascii="Times New Roman" w:hAnsi="Times New Roman" w:eastAsia="Times New Roman"/>
          <w:sz w:val="24"/>
          <w:highlight w:val="none"/>
        </w:rPr>
      </w:pPr>
      <w:r>
        <w:rPr>
          <w:rFonts w:ascii="宋体" w:hAnsi="宋体" w:eastAsia="宋体"/>
          <w:sz w:val="24"/>
          <w:highlight w:val="none"/>
        </w:rPr>
        <w:t>交工验收：指《公路工程竣（交）工验收办法》中的交工验收。通用合同条款中</w:t>
      </w:r>
      <w:r>
        <w:rPr>
          <w:rFonts w:ascii="Times New Roman" w:hAnsi="Times New Roman" w:eastAsia="Times New Roman"/>
          <w:sz w:val="24"/>
          <w:highlight w:val="none"/>
        </w:rPr>
        <w:t>“</w:t>
      </w:r>
      <w:r>
        <w:rPr>
          <w:rFonts w:ascii="宋体" w:hAnsi="宋体" w:eastAsia="宋体"/>
          <w:sz w:val="24"/>
          <w:highlight w:val="none"/>
        </w:rPr>
        <w:t>竣工验收</w:t>
      </w:r>
      <w:r>
        <w:rPr>
          <w:rFonts w:ascii="Times New Roman" w:hAnsi="Times New Roman" w:eastAsia="Times New Roman"/>
          <w:sz w:val="24"/>
          <w:highlight w:val="none"/>
        </w:rPr>
        <w:t>”</w:t>
      </w:r>
      <w:r>
        <w:rPr>
          <w:rFonts w:ascii="宋体" w:hAnsi="宋体" w:eastAsia="宋体"/>
          <w:sz w:val="24"/>
          <w:highlight w:val="none"/>
        </w:rPr>
        <w:t>一词具有相同含义。</w:t>
      </w:r>
    </w:p>
    <w:p>
      <w:pPr>
        <w:spacing w:line="79" w:lineRule="exact"/>
        <w:rPr>
          <w:rFonts w:ascii="Times New Roman" w:hAnsi="Times New Roman" w:eastAsia="Times New Roman"/>
          <w:sz w:val="24"/>
          <w:highlight w:val="none"/>
        </w:rPr>
      </w:pPr>
    </w:p>
    <w:p>
      <w:pPr>
        <w:numPr>
          <w:ilvl w:val="1"/>
          <w:numId w:val="10"/>
        </w:numPr>
        <w:tabs>
          <w:tab w:val="left" w:pos="1476"/>
        </w:tabs>
        <w:spacing w:line="298" w:lineRule="auto"/>
        <w:ind w:right="120" w:firstLine="724"/>
        <w:jc w:val="both"/>
        <w:rPr>
          <w:rFonts w:ascii="Times New Roman" w:hAnsi="Times New Roman" w:eastAsia="Times New Roman"/>
          <w:sz w:val="24"/>
          <w:highlight w:val="none"/>
        </w:rPr>
      </w:pPr>
      <w:r>
        <w:rPr>
          <w:rFonts w:ascii="宋体" w:hAnsi="宋体" w:eastAsia="宋体"/>
          <w:sz w:val="24"/>
          <w:highlight w:val="none"/>
        </w:rPr>
        <w:t>交工验收证书：指《公路工程竣（交）工验收办法》中的交工验收证书。通用合同条款中</w:t>
      </w:r>
      <w:r>
        <w:rPr>
          <w:rFonts w:ascii="Times New Roman" w:hAnsi="Times New Roman" w:eastAsia="Times New Roman"/>
          <w:sz w:val="24"/>
          <w:highlight w:val="none"/>
        </w:rPr>
        <w:t>“</w:t>
      </w:r>
      <w:r>
        <w:rPr>
          <w:rFonts w:ascii="宋体" w:hAnsi="宋体" w:eastAsia="宋体"/>
          <w:sz w:val="24"/>
          <w:highlight w:val="none"/>
        </w:rPr>
        <w:t>工程接收证书</w:t>
      </w:r>
      <w:r>
        <w:rPr>
          <w:rFonts w:ascii="Times New Roman" w:hAnsi="Times New Roman" w:eastAsia="Times New Roman"/>
          <w:sz w:val="24"/>
          <w:highlight w:val="none"/>
        </w:rPr>
        <w:t>”</w:t>
      </w:r>
      <w:r>
        <w:rPr>
          <w:rFonts w:ascii="宋体" w:hAnsi="宋体" w:eastAsia="宋体"/>
          <w:sz w:val="24"/>
          <w:highlight w:val="none"/>
        </w:rPr>
        <w:t>一词具有相同含义。</w:t>
      </w:r>
    </w:p>
    <w:p>
      <w:pPr>
        <w:spacing w:line="74" w:lineRule="exact"/>
        <w:rPr>
          <w:rFonts w:ascii="Times New Roman" w:hAnsi="Times New Roman" w:eastAsia="Times New Roman"/>
          <w:sz w:val="24"/>
          <w:highlight w:val="none"/>
        </w:rPr>
      </w:pPr>
    </w:p>
    <w:p>
      <w:pPr>
        <w:numPr>
          <w:ilvl w:val="1"/>
          <w:numId w:val="10"/>
        </w:numPr>
        <w:tabs>
          <w:tab w:val="left" w:pos="1476"/>
        </w:tabs>
        <w:spacing w:line="324" w:lineRule="auto"/>
        <w:ind w:right="120" w:firstLine="724"/>
        <w:jc w:val="both"/>
        <w:rPr>
          <w:rFonts w:ascii="Times New Roman" w:hAnsi="Times New Roman" w:eastAsia="Times New Roman"/>
          <w:sz w:val="24"/>
          <w:highlight w:val="none"/>
        </w:rPr>
      </w:pPr>
      <w:r>
        <w:rPr>
          <w:rFonts w:ascii="宋体" w:hAnsi="宋体" w:eastAsia="宋体"/>
          <w:sz w:val="24"/>
          <w:highlight w:val="none"/>
        </w:rPr>
        <w:t>转包：指承包人违反法律和不履行合同规定的责任和义务，将中标工程全部委托或以专业分包的名义将中标工程肢解后全部委托给其他施工企业施工的行为。</w:t>
      </w:r>
    </w:p>
    <w:p>
      <w:pPr>
        <w:spacing w:line="67" w:lineRule="exact"/>
        <w:rPr>
          <w:rFonts w:ascii="Times New Roman" w:hAnsi="Times New Roman" w:eastAsia="Times New Roman"/>
          <w:sz w:val="24"/>
          <w:highlight w:val="none"/>
        </w:rPr>
      </w:pPr>
    </w:p>
    <w:p>
      <w:pPr>
        <w:numPr>
          <w:ilvl w:val="1"/>
          <w:numId w:val="10"/>
        </w:numPr>
        <w:tabs>
          <w:tab w:val="left" w:pos="1476"/>
        </w:tabs>
        <w:spacing w:line="343" w:lineRule="auto"/>
        <w:ind w:firstLine="724"/>
        <w:rPr>
          <w:rFonts w:ascii="Times New Roman" w:hAnsi="Times New Roman" w:eastAsia="Times New Roman"/>
          <w:sz w:val="23"/>
          <w:highlight w:val="none"/>
        </w:rPr>
      </w:pPr>
      <w:r>
        <w:rPr>
          <w:rFonts w:ascii="宋体" w:hAnsi="宋体" w:eastAsia="宋体"/>
          <w:sz w:val="23"/>
          <w:highlight w:val="none"/>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spacing w:line="50" w:lineRule="exact"/>
        <w:rPr>
          <w:rFonts w:ascii="Times New Roman" w:hAnsi="Times New Roman" w:eastAsia="Times New Roman"/>
          <w:sz w:val="23"/>
          <w:highlight w:val="none"/>
        </w:rPr>
      </w:pPr>
    </w:p>
    <w:p>
      <w:pPr>
        <w:numPr>
          <w:ilvl w:val="1"/>
          <w:numId w:val="10"/>
        </w:numPr>
        <w:tabs>
          <w:tab w:val="left" w:pos="1476"/>
        </w:tabs>
        <w:spacing w:line="324" w:lineRule="auto"/>
        <w:ind w:firstLine="724"/>
        <w:jc w:val="both"/>
        <w:rPr>
          <w:rFonts w:ascii="Times New Roman" w:hAnsi="Times New Roman" w:eastAsia="Times New Roman"/>
          <w:sz w:val="24"/>
          <w:highlight w:val="none"/>
        </w:rPr>
      </w:pPr>
      <w:r>
        <w:rPr>
          <w:rFonts w:ascii="宋体" w:hAnsi="宋体" w:eastAsia="宋体"/>
          <w:sz w:val="24"/>
          <w:highlight w:val="none"/>
        </w:rPr>
        <w:t>劳务分包：指承包人与具有施工劳务资质的劳务企业签订劳务分包合同，由劳务企业提供劳务人员及机具，由承包人统一组织施工、统一控制工程质量、施工进度、材料采购、生产安全的施工行为。</w:t>
      </w:r>
    </w:p>
    <w:p>
      <w:pPr>
        <w:spacing w:line="66" w:lineRule="exact"/>
        <w:rPr>
          <w:rFonts w:ascii="Times New Roman" w:hAnsi="Times New Roman" w:eastAsia="Times New Roman"/>
          <w:sz w:val="24"/>
          <w:highlight w:val="none"/>
        </w:rPr>
      </w:pPr>
    </w:p>
    <w:p>
      <w:pPr>
        <w:numPr>
          <w:ilvl w:val="1"/>
          <w:numId w:val="10"/>
        </w:numPr>
        <w:tabs>
          <w:tab w:val="left" w:pos="1476"/>
        </w:tabs>
        <w:spacing w:line="303" w:lineRule="auto"/>
        <w:ind w:right="120" w:firstLine="724"/>
        <w:jc w:val="both"/>
        <w:rPr>
          <w:rFonts w:ascii="Times New Roman" w:hAnsi="Times New Roman" w:eastAsia="Times New Roman"/>
          <w:sz w:val="24"/>
          <w:highlight w:val="none"/>
        </w:rPr>
      </w:pPr>
      <w:r>
        <w:rPr>
          <w:rFonts w:ascii="宋体" w:hAnsi="宋体" w:eastAsia="宋体"/>
          <w:sz w:val="24"/>
          <w:highlight w:val="none"/>
        </w:rPr>
        <w:t>雇用民工：指承包人与具有相应劳动能力的自然人签订劳动合同，由承包人统一组织管理，从事分项工程施工或配套工程施工的行为。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color w:val="auto"/>
          <w:sz w:val="24"/>
          <w:highlight w:val="none"/>
        </w:rPr>
      </w:pPr>
      <w:r>
        <w:rPr>
          <w:rFonts w:eastAsia="黑体"/>
          <w:color w:val="auto"/>
          <w:sz w:val="24"/>
          <w:highlight w:val="none"/>
        </w:rPr>
        <w:t>1.4合同文件的优先顺序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组成合同的各项文件应互相解释，互为说明。除项目专用合同条款另有约定外，解释合同文件的优先顺序如下：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补遗书；</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投标函及投标函附录；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公路行业标准专用合同条款；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w:t>
      </w:r>
      <w:r>
        <w:rPr>
          <w:color w:val="auto"/>
          <w:sz w:val="24"/>
          <w:highlight w:val="none"/>
        </w:rPr>
        <w:t>资格预审申请文件中有关人员、设备投入的承诺</w:t>
      </w:r>
      <w:r>
        <w:rPr>
          <w:rFonts w:hint="eastAsia"/>
          <w:color w:val="auto"/>
          <w:sz w:val="24"/>
          <w:highlight w:val="none"/>
        </w:rPr>
        <w:t>和目标承诺书；</w:t>
      </w:r>
    </w:p>
    <w:p>
      <w:pPr>
        <w:adjustRightInd w:val="0"/>
        <w:snapToGrid w:val="0"/>
        <w:spacing w:line="360" w:lineRule="auto"/>
        <w:ind w:firstLine="480" w:firstLineChars="200"/>
        <w:rPr>
          <w:color w:val="auto"/>
          <w:sz w:val="24"/>
          <w:highlight w:val="none"/>
        </w:rPr>
      </w:pPr>
      <w:r>
        <w:rPr>
          <w:rFonts w:hint="eastAsia"/>
          <w:color w:val="auto"/>
          <w:sz w:val="24"/>
          <w:highlight w:val="none"/>
        </w:rPr>
        <w:t>（12）根据承诺提供的详细人员、设备清单；</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）其他合同文件。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1.5合同协议书</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制备本合同文件的费用由发包人承担。在合同协议书签订并生效之前，投标函和中标通知书将约束双方。</w:t>
      </w:r>
    </w:p>
    <w:p>
      <w:pPr>
        <w:adjustRightInd w:val="0"/>
        <w:snapToGrid w:val="0"/>
        <w:spacing w:beforeLines="100" w:line="360" w:lineRule="auto"/>
        <w:rPr>
          <w:rFonts w:eastAsia="黑体"/>
          <w:color w:val="auto"/>
          <w:sz w:val="24"/>
          <w:highlight w:val="none"/>
        </w:rPr>
      </w:pPr>
      <w:r>
        <w:rPr>
          <w:rFonts w:eastAsia="黑体"/>
          <w:color w:val="auto"/>
          <w:sz w:val="24"/>
          <w:highlight w:val="none"/>
        </w:rPr>
        <w:t>1.6图纸和承包人文件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1.6.1图纸的提供</w:t>
      </w:r>
    </w:p>
    <w:p>
      <w:pPr>
        <w:adjustRightInd w:val="0"/>
        <w:snapToGrid w:val="0"/>
        <w:spacing w:line="360" w:lineRule="auto"/>
        <w:ind w:firstLine="480" w:firstLineChars="200"/>
        <w:rPr>
          <w:color w:val="auto"/>
          <w:sz w:val="24"/>
          <w:highlight w:val="none"/>
        </w:rPr>
      </w:pPr>
      <w:r>
        <w:rPr>
          <w:rFonts w:hint="eastAsia"/>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1.6.2承包人提供的文件</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1.6.3图纸的修改</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图纸需要修改和补充的，应由监理人取得发包人同意后，在该工程或工程相应部位施工前</w:t>
      </w:r>
      <w:r>
        <w:rPr>
          <w:rFonts w:hint="eastAsia"/>
          <w:color w:val="auto"/>
          <w:sz w:val="24"/>
          <w:highlight w:val="none"/>
          <w:u w:val="single"/>
        </w:rPr>
        <w:t xml:space="preserve">     </w:t>
      </w:r>
      <w:r>
        <w:rPr>
          <w:color w:val="auto"/>
          <w:sz w:val="24"/>
          <w:highlight w:val="none"/>
        </w:rPr>
        <w:t>天（在项目专用条款数据表中予以规定）签发图纸修改图给承包人。承包人应按修改后的图纸施工。</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1.6.4图纸的错误</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1.9严禁贿赔</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spacing w:line="343" w:lineRule="auto"/>
        <w:ind w:firstLine="391"/>
        <w:jc w:val="both"/>
        <w:rPr>
          <w:rFonts w:ascii="宋体" w:hAnsi="宋体" w:eastAsia="宋体"/>
          <w:sz w:val="24"/>
          <w:highlight w:val="none"/>
        </w:rPr>
      </w:pPr>
      <w:r>
        <w:rPr>
          <w:rFonts w:ascii="宋体" w:hAnsi="宋体" w:eastAsia="宋体"/>
          <w:sz w:val="24"/>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adjustRightInd w:val="0"/>
        <w:snapToGrid w:val="0"/>
        <w:spacing w:beforeLines="100" w:line="360" w:lineRule="auto"/>
        <w:rPr>
          <w:rFonts w:eastAsia="黑体"/>
          <w:color w:val="auto"/>
          <w:sz w:val="24"/>
          <w:highlight w:val="none"/>
        </w:rPr>
      </w:pPr>
      <w:r>
        <w:rPr>
          <w:rFonts w:eastAsia="黑体"/>
          <w:color w:val="auto"/>
          <w:sz w:val="24"/>
          <w:highlight w:val="none"/>
        </w:rPr>
        <w:t>2</w:t>
      </w:r>
      <w:r>
        <w:rPr>
          <w:rFonts w:hint="eastAsia" w:eastAsia="黑体"/>
          <w:color w:val="auto"/>
          <w:sz w:val="24"/>
          <w:highlight w:val="none"/>
        </w:rPr>
        <w:t>．</w:t>
      </w:r>
      <w:r>
        <w:rPr>
          <w:rFonts w:eastAsia="黑体"/>
          <w:color w:val="auto"/>
          <w:sz w:val="24"/>
          <w:highlight w:val="none"/>
        </w:rPr>
        <w:t>发包人义务</w:t>
      </w:r>
    </w:p>
    <w:p>
      <w:pPr>
        <w:adjustRightInd w:val="0"/>
        <w:snapToGrid w:val="0"/>
        <w:spacing w:line="360" w:lineRule="auto"/>
        <w:rPr>
          <w:rFonts w:eastAsia="黑体"/>
          <w:color w:val="auto"/>
          <w:sz w:val="24"/>
          <w:highlight w:val="none"/>
        </w:rPr>
      </w:pPr>
      <w:r>
        <w:rPr>
          <w:rFonts w:eastAsia="黑体"/>
          <w:color w:val="auto"/>
          <w:sz w:val="24"/>
          <w:highlight w:val="none"/>
        </w:rPr>
        <w:t>2.3提供施工场地</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2.3.1提供永久占地</w:t>
      </w:r>
    </w:p>
    <w:p>
      <w:pPr>
        <w:numPr>
          <w:ilvl w:val="0"/>
          <w:numId w:val="11"/>
        </w:numPr>
        <w:adjustRightInd w:val="0"/>
        <w:snapToGrid w:val="0"/>
        <w:spacing w:line="360" w:lineRule="auto"/>
        <w:ind w:firstLine="480" w:firstLineChars="200"/>
        <w:rPr>
          <w:color w:val="auto"/>
          <w:sz w:val="24"/>
          <w:highlight w:val="none"/>
        </w:rPr>
      </w:pPr>
      <w:r>
        <w:rPr>
          <w:color w:val="auto"/>
          <w:sz w:val="24"/>
          <w:highlight w:val="none"/>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w:t>
      </w:r>
      <w:r>
        <w:rPr>
          <w:rFonts w:hint="eastAsia"/>
          <w:color w:val="auto"/>
          <w:sz w:val="24"/>
          <w:highlight w:val="none"/>
          <w:lang w:eastAsia="zh-CN"/>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由于发包人未能按照本项规定办妥永久占地征用手续，影响承包人及时使用，由此导致费用增加和（或）工期延误由发包人承担。如果由于承包人未能按照本项规定提交占地计划，因而影响发包人办理永久占地征用手续而导致延误工期或增加费用，则应由承包人自行负责。</w:t>
      </w:r>
    </w:p>
    <w:p>
      <w:pPr>
        <w:adjustRightInd w:val="0"/>
        <w:snapToGrid w:val="0"/>
        <w:spacing w:beforeLines="100" w:line="360" w:lineRule="auto"/>
        <w:rPr>
          <w:rFonts w:eastAsia="黑体"/>
          <w:color w:val="auto"/>
          <w:sz w:val="24"/>
          <w:highlight w:val="none"/>
        </w:rPr>
      </w:pPr>
      <w:r>
        <w:rPr>
          <w:rFonts w:eastAsia="黑体"/>
          <w:color w:val="auto"/>
          <w:sz w:val="24"/>
          <w:highlight w:val="none"/>
        </w:rPr>
        <w:t>3</w:t>
      </w:r>
      <w:r>
        <w:rPr>
          <w:rFonts w:hint="eastAsia" w:eastAsia="黑体"/>
          <w:color w:val="auto"/>
          <w:sz w:val="24"/>
          <w:highlight w:val="none"/>
        </w:rPr>
        <w:t>．</w:t>
      </w:r>
      <w:r>
        <w:rPr>
          <w:rFonts w:eastAsia="黑体"/>
          <w:color w:val="auto"/>
          <w:sz w:val="24"/>
          <w:highlight w:val="none"/>
        </w:rPr>
        <w:t>监理人</w:t>
      </w:r>
    </w:p>
    <w:p>
      <w:pPr>
        <w:adjustRightInd w:val="0"/>
        <w:snapToGrid w:val="0"/>
        <w:spacing w:line="360" w:lineRule="auto"/>
        <w:rPr>
          <w:rFonts w:eastAsia="黑体"/>
          <w:color w:val="auto"/>
          <w:sz w:val="24"/>
          <w:highlight w:val="none"/>
        </w:rPr>
      </w:pPr>
      <w:r>
        <w:rPr>
          <w:rFonts w:eastAsia="黑体"/>
          <w:color w:val="auto"/>
          <w:sz w:val="24"/>
          <w:highlight w:val="none"/>
        </w:rPr>
        <w:t>3.1监理人的职责和权力</w:t>
      </w:r>
    </w:p>
    <w:p>
      <w:pPr>
        <w:adjustRightInd w:val="0"/>
        <w:snapToGrid w:val="0"/>
        <w:spacing w:line="360" w:lineRule="auto"/>
        <w:ind w:firstLine="480" w:firstLineChars="200"/>
        <w:rPr>
          <w:color w:val="auto"/>
          <w:sz w:val="24"/>
          <w:highlight w:val="none"/>
        </w:rPr>
      </w:pPr>
      <w:r>
        <w:rPr>
          <w:color w:val="auto"/>
          <w:sz w:val="24"/>
          <w:highlight w:val="none"/>
        </w:rPr>
        <w:t>3.1</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监理人在行使下列权力前需要经发包人事先批准：</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根据第4.3款，同意分包本工程的某非主体和关键性工作；</w:t>
      </w:r>
    </w:p>
    <w:p>
      <w:pPr>
        <w:adjustRightInd w:val="0"/>
        <w:snapToGrid w:val="0"/>
        <w:spacing w:line="360" w:lineRule="auto"/>
        <w:ind w:firstLine="480" w:firstLineChars="200"/>
        <w:rPr>
          <w:color w:val="auto"/>
          <w:sz w:val="24"/>
          <w:highlight w:val="none"/>
        </w:rPr>
      </w:pPr>
      <w:r>
        <w:rPr>
          <w:color w:val="auto"/>
          <w:sz w:val="24"/>
          <w:highlight w:val="none"/>
        </w:rPr>
        <w:t>（2）确定第4.11款下产生的费用增加额；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3）根据第11</w:t>
      </w:r>
      <w:r>
        <w:rPr>
          <w:rFonts w:hint="eastAsia"/>
          <w:color w:val="auto"/>
          <w:sz w:val="24"/>
          <w:highlight w:val="none"/>
        </w:rPr>
        <w:t>.</w:t>
      </w:r>
      <w:r>
        <w:rPr>
          <w:color w:val="auto"/>
          <w:sz w:val="24"/>
          <w:highlight w:val="none"/>
        </w:rPr>
        <w:t>1款、12.3款、12.4款发布开工通知、暂停施工指示或复工通矢日；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决定第11.3款、11.4款下的工期延长；</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审查批准技术规范或设计的变更；</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根据第15.3款发出的变更指令，其单项工程变更涉及的金额超过了该单项工程原合同价的</w:t>
      </w:r>
      <w:r>
        <w:rPr>
          <w:rFonts w:hint="eastAsia"/>
          <w:color w:val="auto"/>
          <w:sz w:val="24"/>
          <w:highlight w:val="none"/>
          <w:u w:val="single"/>
        </w:rPr>
        <w:t xml:space="preserve">    </w:t>
      </w:r>
      <w:r>
        <w:rPr>
          <w:color w:val="auto"/>
          <w:sz w:val="24"/>
          <w:highlight w:val="none"/>
        </w:rPr>
        <w:t>％或累计变更超过了原总合同价的</w:t>
      </w:r>
      <w:r>
        <w:rPr>
          <w:rFonts w:hint="eastAsia"/>
          <w:color w:val="auto"/>
          <w:sz w:val="24"/>
          <w:highlight w:val="none"/>
          <w:u w:val="single"/>
        </w:rPr>
        <w:t xml:space="preserve">    </w:t>
      </w:r>
      <w:r>
        <w:rPr>
          <w:color w:val="auto"/>
          <w:sz w:val="24"/>
          <w:highlight w:val="none"/>
        </w:rPr>
        <w:t>％（在项目专用条款数据表中予以规定）；</w:t>
      </w:r>
    </w:p>
    <w:p>
      <w:pPr>
        <w:adjustRightInd w:val="0"/>
        <w:snapToGrid w:val="0"/>
        <w:spacing w:line="360" w:lineRule="auto"/>
        <w:ind w:firstLine="480" w:firstLineChars="200"/>
        <w:rPr>
          <w:color w:val="auto"/>
          <w:sz w:val="24"/>
          <w:highlight w:val="none"/>
        </w:rPr>
      </w:pPr>
      <w:r>
        <w:rPr>
          <w:color w:val="auto"/>
          <w:sz w:val="24"/>
          <w:highlight w:val="none"/>
        </w:rPr>
        <w:t>（7）确定第23.1款项下的索赔额；</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按照第15.6款决定有关暂列金额的使用；</w:t>
      </w:r>
    </w:p>
    <w:p>
      <w:pPr>
        <w:adjustRightInd w:val="0"/>
        <w:snapToGrid w:val="0"/>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w:t>
      </w:r>
      <w:r>
        <w:rPr>
          <w:color w:val="auto"/>
          <w:sz w:val="24"/>
          <w:highlight w:val="none"/>
        </w:rPr>
        <w:t>确定第15.8款项下的暂估价金额；</w:t>
      </w:r>
    </w:p>
    <w:p>
      <w:pPr>
        <w:adjustRightInd w:val="0"/>
        <w:snapToGrid w:val="0"/>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确定第15.4款下变更工作的单价。</w:t>
      </w:r>
    </w:p>
    <w:p>
      <w:pPr>
        <w:adjustRightInd w:val="0"/>
        <w:snapToGrid w:val="0"/>
        <w:spacing w:line="360" w:lineRule="auto"/>
        <w:ind w:firstLine="480" w:firstLineChars="200"/>
        <w:rPr>
          <w:color w:val="auto"/>
          <w:sz w:val="24"/>
          <w:highlight w:val="none"/>
        </w:rPr>
      </w:pPr>
      <w:r>
        <w:rPr>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3.5商定或确定</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3.5</w:t>
      </w:r>
      <w:r>
        <w:rPr>
          <w:rFonts w:hint="eastAsia" w:eastAsia="黑体"/>
          <w:color w:val="auto"/>
          <w:sz w:val="24"/>
          <w:highlight w:val="none"/>
        </w:rPr>
        <w:t>.</w:t>
      </w:r>
      <w:r>
        <w:rPr>
          <w:rFonts w:eastAsia="黑体"/>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承包人</w:t>
      </w:r>
    </w:p>
    <w:p>
      <w:pPr>
        <w:adjustRightInd w:val="0"/>
        <w:snapToGrid w:val="0"/>
        <w:spacing w:line="360" w:lineRule="auto"/>
        <w:rPr>
          <w:rFonts w:eastAsia="黑体"/>
          <w:color w:val="auto"/>
          <w:sz w:val="24"/>
          <w:highlight w:val="none"/>
        </w:rPr>
      </w:pPr>
      <w:r>
        <w:rPr>
          <w:rFonts w:eastAsia="黑体"/>
          <w:color w:val="auto"/>
          <w:sz w:val="24"/>
          <w:highlight w:val="none"/>
        </w:rPr>
        <w:t>4.1承包人的一般义务</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1.2依法纳税</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承包人应按有关法律规定纳税。应缴纳的税费应按项目专用合同条款的约定：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包括在工程量清单第100章相应的支付子目中；</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分摊在工程量清单各工程子目的单价或总额价内。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4.1.8为他人提供方便</w:t>
      </w:r>
    </w:p>
    <w:p>
      <w:pPr>
        <w:adjustRightInd w:val="0"/>
        <w:snapToGrid w:val="0"/>
        <w:spacing w:line="360" w:lineRule="auto"/>
        <w:ind w:firstLine="480" w:firstLineChars="200"/>
        <w:rPr>
          <w:color w:val="auto"/>
          <w:sz w:val="24"/>
          <w:highlight w:val="none"/>
        </w:rPr>
      </w:pPr>
      <w:r>
        <w:rPr>
          <w:color w:val="auto"/>
          <w:sz w:val="24"/>
          <w:highlight w:val="none"/>
        </w:rPr>
        <w:t>承包人为他人提供条件的内容：</w:t>
      </w:r>
      <w:r>
        <w:rPr>
          <w:rFonts w:hint="eastAsia" w:ascii="宋体" w:hAnsi="宋体"/>
          <w:color w:val="auto"/>
          <w:sz w:val="24"/>
          <w:highlight w:val="none"/>
          <w:u w:val="single"/>
        </w:rPr>
        <w:t xml:space="preserve">  （见项目专用合同条款）  </w:t>
      </w:r>
    </w:p>
    <w:p>
      <w:pPr>
        <w:adjustRightInd w:val="0"/>
        <w:snapToGrid w:val="0"/>
        <w:spacing w:line="360" w:lineRule="auto"/>
        <w:ind w:firstLine="480" w:firstLineChars="200"/>
        <w:rPr>
          <w:rFonts w:eastAsia="黑体"/>
          <w:color w:val="auto"/>
          <w:sz w:val="24"/>
          <w:highlight w:val="none"/>
          <w:u w:val="single"/>
        </w:rPr>
      </w:pPr>
      <w:r>
        <w:rPr>
          <w:color w:val="auto"/>
          <w:sz w:val="24"/>
          <w:highlight w:val="none"/>
        </w:rPr>
        <w:t>承包人为他人提供条件可能发生费用的处理方法：</w:t>
      </w:r>
      <w:r>
        <w:rPr>
          <w:rFonts w:hint="eastAsia" w:ascii="宋体" w:hAnsi="宋体"/>
          <w:color w:val="auto"/>
          <w:sz w:val="24"/>
          <w:highlight w:val="none"/>
          <w:u w:val="single"/>
        </w:rPr>
        <w:t xml:space="preserve">  （见项目专用合同条款）</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4.1.9工程的维护和照管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w:t>
      </w:r>
      <w:r>
        <w:rPr>
          <w:rFonts w:hint="eastAsia" w:eastAsia="黑体"/>
          <w:color w:val="auto"/>
          <w:sz w:val="24"/>
          <w:highlight w:val="none"/>
        </w:rPr>
        <w:t>.</w:t>
      </w:r>
      <w:r>
        <w:rPr>
          <w:rFonts w:eastAsia="黑体"/>
          <w:color w:val="auto"/>
          <w:sz w:val="24"/>
          <w:highlight w:val="none"/>
        </w:rPr>
        <w:t>10其他义务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color w:val="auto"/>
          <w:sz w:val="24"/>
          <w:highlight w:val="none"/>
        </w:rPr>
      </w:pPr>
      <w:r>
        <w:rPr>
          <w:rFonts w:hint="eastAsia"/>
          <w:color w:val="auto"/>
          <w:sz w:val="24"/>
          <w:highlight w:val="none"/>
        </w:rPr>
        <w:t>工</w:t>
      </w:r>
      <w:r>
        <w:rPr>
          <w:color w:val="auto"/>
          <w:sz w:val="24"/>
          <w:highlight w:val="none"/>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承包人应履行项目专用合同条款约定的其他义务。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4.2履约担保</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联合体的履约担保应由联合体牵头人提交，其金额应达到投标函附录中规定的金额。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4.3分包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4.3.2项细化为：</w:t>
      </w:r>
    </w:p>
    <w:p>
      <w:pPr>
        <w:adjustRightInd w:val="0"/>
        <w:snapToGrid w:val="0"/>
        <w:spacing w:line="360" w:lineRule="auto"/>
        <w:ind w:firstLine="480" w:firstLineChars="200"/>
        <w:rPr>
          <w:color w:val="auto"/>
          <w:sz w:val="24"/>
          <w:highlight w:val="none"/>
        </w:rPr>
      </w:pPr>
      <w:r>
        <w:rPr>
          <w:color w:val="auto"/>
          <w:sz w:val="24"/>
          <w:highlight w:val="none"/>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4.3.3项至4.3.5项细化为：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4.3.3专业分包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在工程施工过程中，承包人如有专业分包计划，则必须遵守以下规定：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允许专业分包的工程范围仅限于分部工程或分项工程、适合专业化队伍施工的工程，专业分包的工程量不得超过总工程量的30%</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专业分包人的资格能力（含安全生产能力）应与其分包工程的标准和规模相适应，具备相应的专业承包资质；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专业分包工程不得再次分包或转包；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（4）承包人应对专业分包工程的工程质量及专业分包人职工的行为、违约和疏忽承担责任；</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所有专</w:t>
      </w:r>
      <w:r>
        <w:rPr>
          <w:rFonts w:hint="eastAsia"/>
          <w:color w:val="auto"/>
          <w:sz w:val="24"/>
          <w:highlight w:val="none"/>
        </w:rPr>
        <w:t>业</w:t>
      </w:r>
      <w:r>
        <w:rPr>
          <w:color w:val="auto"/>
          <w:sz w:val="24"/>
          <w:highlight w:val="none"/>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4.3.4劳务分包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在工程施工过程中，承包人如有劳务分包计划，则必须遵守以下规定：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承包人应当对劳务分包人员进行安全培训和管理，劳务分包人不得将其分包的劳务作业再次分包或转包；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（4）承包人应对劳务分包人职工的行为、违约和疏忽所造成的后果负完全连带责任。</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beforeLines="100" w:line="360" w:lineRule="auto"/>
        <w:rPr>
          <w:rFonts w:eastAsia="黑体"/>
          <w:color w:val="auto"/>
          <w:sz w:val="24"/>
          <w:highlight w:val="none"/>
        </w:rPr>
      </w:pPr>
      <w:r>
        <w:rPr>
          <w:rFonts w:eastAsia="黑体"/>
          <w:color w:val="auto"/>
          <w:sz w:val="24"/>
          <w:highlight w:val="none"/>
        </w:rPr>
        <w:t>4.4联合体</w:t>
      </w:r>
    </w:p>
    <w:p>
      <w:pPr>
        <w:adjustRightInd w:val="0"/>
        <w:snapToGrid w:val="0"/>
        <w:spacing w:line="360" w:lineRule="auto"/>
        <w:ind w:firstLine="480" w:firstLineChars="200"/>
        <w:rPr>
          <w:color w:val="auto"/>
          <w:sz w:val="24"/>
          <w:highlight w:val="none"/>
        </w:rPr>
      </w:pPr>
      <w:r>
        <w:rPr>
          <w:color w:val="auto"/>
          <w:sz w:val="24"/>
          <w:highlight w:val="none"/>
        </w:rPr>
        <w:t>本款增加第4.4.4项：</w:t>
      </w:r>
    </w:p>
    <w:p>
      <w:pPr>
        <w:adjustRightInd w:val="0"/>
        <w:snapToGrid w:val="0"/>
        <w:spacing w:line="360" w:lineRule="auto"/>
        <w:ind w:firstLine="480" w:firstLineChars="200"/>
        <w:rPr>
          <w:color w:val="auto"/>
          <w:sz w:val="24"/>
          <w:highlight w:val="none"/>
        </w:rPr>
      </w:pPr>
      <w:r>
        <w:rPr>
          <w:color w:val="auto"/>
          <w:sz w:val="24"/>
          <w:highlight w:val="none"/>
        </w:rPr>
        <w:t>4.4.4未经发包人事先同意，联合体的组成与结构不得变动。</w:t>
      </w:r>
    </w:p>
    <w:p>
      <w:pPr>
        <w:adjustRightInd w:val="0"/>
        <w:snapToGrid w:val="0"/>
        <w:spacing w:beforeLines="100" w:line="360" w:lineRule="auto"/>
        <w:rPr>
          <w:rFonts w:eastAsia="黑体"/>
          <w:color w:val="auto"/>
          <w:sz w:val="24"/>
          <w:highlight w:val="none"/>
        </w:rPr>
      </w:pPr>
      <w:r>
        <w:rPr>
          <w:rFonts w:eastAsia="黑体"/>
          <w:color w:val="auto"/>
          <w:sz w:val="24"/>
          <w:highlight w:val="none"/>
        </w:rPr>
        <w:t>4.6承包人人员的管理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4.6.3项细化为：</w:t>
      </w:r>
    </w:p>
    <w:p>
      <w:pPr>
        <w:adjustRightInd w:val="0"/>
        <w:snapToGrid w:val="0"/>
        <w:spacing w:line="360" w:lineRule="auto"/>
        <w:ind w:firstLine="480" w:firstLineChars="200"/>
        <w:rPr>
          <w:color w:val="auto"/>
          <w:sz w:val="24"/>
          <w:highlight w:val="none"/>
        </w:rPr>
      </w:pPr>
      <w:r>
        <w:rPr>
          <w:color w:val="auto"/>
          <w:sz w:val="24"/>
          <w:highlight w:val="none"/>
        </w:rPr>
        <w:t>承包人安排在施工场地的主要管理人员和技术骨干应与投标文件（如承包人未奎投标阶段对人员进行新增或更新，则以资格预审申请文件为准）所承诺的名单</w:t>
      </w:r>
      <w:r>
        <w:rPr>
          <w:rFonts w:hint="eastAsia"/>
          <w:color w:val="auto"/>
          <w:sz w:val="24"/>
          <w:highlight w:val="none"/>
        </w:rPr>
        <w:t>一致，</w:t>
      </w:r>
      <w:r>
        <w:rPr>
          <w:color w:val="auto"/>
          <w:sz w:val="24"/>
          <w:highlight w:val="none"/>
        </w:rPr>
        <w:t>并保持相对稳定。未经监理人批准，上述人员不应无故不到位或被替换；若确</w:t>
      </w:r>
      <w:r>
        <w:rPr>
          <w:rFonts w:hint="eastAsia"/>
          <w:color w:val="auto"/>
          <w:sz w:val="24"/>
          <w:highlight w:val="none"/>
        </w:rPr>
        <w:t>实无</w:t>
      </w:r>
      <w:r>
        <w:rPr>
          <w:color w:val="auto"/>
          <w:sz w:val="24"/>
          <w:highlight w:val="none"/>
        </w:rPr>
        <w:t>法到位或需替换，需经监理人审核并报发包人批准后，用同等资质和</w:t>
      </w:r>
      <w:r>
        <w:rPr>
          <w:rFonts w:hint="eastAsia"/>
          <w:color w:val="auto"/>
          <w:sz w:val="24"/>
          <w:highlight w:val="none"/>
        </w:rPr>
        <w:t>经历的人</w:t>
      </w:r>
      <w:r>
        <w:rPr>
          <w:color w:val="auto"/>
          <w:sz w:val="24"/>
          <w:highlight w:val="none"/>
        </w:rPr>
        <w:t>员替换。</w:t>
      </w:r>
    </w:p>
    <w:p>
      <w:pPr>
        <w:adjustRightInd w:val="0"/>
        <w:snapToGrid w:val="0"/>
        <w:spacing w:line="360" w:lineRule="auto"/>
        <w:ind w:firstLine="480" w:firstLineChars="200"/>
        <w:rPr>
          <w:color w:val="auto"/>
          <w:sz w:val="24"/>
          <w:highlight w:val="none"/>
        </w:rPr>
      </w:pPr>
      <w:r>
        <w:rPr>
          <w:color w:val="auto"/>
          <w:sz w:val="24"/>
          <w:highlight w:val="none"/>
        </w:rPr>
        <w:t>本款增加第4.6.5项：</w:t>
      </w:r>
    </w:p>
    <w:p>
      <w:pPr>
        <w:adjustRightInd w:val="0"/>
        <w:snapToGrid w:val="0"/>
        <w:spacing w:line="360" w:lineRule="auto"/>
        <w:ind w:firstLine="480" w:firstLineChars="200"/>
        <w:rPr>
          <w:color w:val="auto"/>
          <w:sz w:val="24"/>
          <w:highlight w:val="none"/>
        </w:rPr>
      </w:pPr>
      <w:r>
        <w:rPr>
          <w:color w:val="auto"/>
          <w:sz w:val="24"/>
          <w:highlight w:val="none"/>
        </w:rPr>
        <w:t>4.6.5尽管承包人</w:t>
      </w:r>
      <w:r>
        <w:rPr>
          <w:rFonts w:hint="eastAsia"/>
          <w:color w:val="auto"/>
          <w:sz w:val="24"/>
          <w:highlight w:val="none"/>
        </w:rPr>
        <w:t>已</w:t>
      </w:r>
      <w:r>
        <w:rPr>
          <w:color w:val="auto"/>
          <w:sz w:val="24"/>
          <w:highlight w:val="none"/>
        </w:rPr>
        <w:t>按投标文件（如承包人未在投标阶段对人员进行新增或更新，则以</w:t>
      </w:r>
      <w:r>
        <w:rPr>
          <w:rFonts w:hint="eastAsia"/>
          <w:color w:val="auto"/>
          <w:sz w:val="24"/>
          <w:highlight w:val="none"/>
        </w:rPr>
        <w:t>资</w:t>
      </w:r>
      <w:r>
        <w:rPr>
          <w:color w:val="auto"/>
          <w:sz w:val="24"/>
          <w:highlight w:val="none"/>
        </w:rPr>
        <w:t>格预</w:t>
      </w:r>
      <w:r>
        <w:rPr>
          <w:rFonts w:hint="eastAsia"/>
          <w:color w:val="auto"/>
          <w:sz w:val="24"/>
          <w:highlight w:val="none"/>
        </w:rPr>
        <w:t>审</w:t>
      </w:r>
      <w:r>
        <w:rPr>
          <w:color w:val="auto"/>
          <w:sz w:val="24"/>
          <w:highlight w:val="none"/>
        </w:rPr>
        <w:t>申请文件为准）中所</w:t>
      </w:r>
      <w:r>
        <w:rPr>
          <w:rFonts w:hint="eastAsia"/>
          <w:color w:val="auto"/>
          <w:sz w:val="24"/>
          <w:highlight w:val="none"/>
        </w:rPr>
        <w:t>列</w:t>
      </w:r>
      <w:r>
        <w:rPr>
          <w:color w:val="auto"/>
          <w:sz w:val="24"/>
          <w:highlight w:val="none"/>
        </w:rPr>
        <w:t>的数量派遣了上述各类人员，但若监</w:t>
      </w:r>
      <w:r>
        <w:rPr>
          <w:rFonts w:hint="eastAsia"/>
          <w:color w:val="auto"/>
          <w:sz w:val="24"/>
          <w:highlight w:val="none"/>
        </w:rPr>
        <w:t>理人</w:t>
      </w:r>
      <w:r>
        <w:rPr>
          <w:color w:val="auto"/>
          <w:sz w:val="24"/>
          <w:highlight w:val="none"/>
        </w:rPr>
        <w:t>认为这些人员仍不足以适应现场施工的需要且不能保证工程质量时，监理人有权要参承包人继续增派或雇用这类人员，并书面通知承包人和抄送发包人。承包人</w:t>
      </w:r>
      <w:r>
        <w:rPr>
          <w:rFonts w:hint="eastAsia"/>
          <w:color w:val="auto"/>
          <w:sz w:val="24"/>
          <w:highlight w:val="none"/>
        </w:rPr>
        <w:t>在接到</w:t>
      </w:r>
      <w:r>
        <w:rPr>
          <w:color w:val="auto"/>
          <w:sz w:val="24"/>
          <w:highlight w:val="none"/>
        </w:rPr>
        <w:t>上述通</w:t>
      </w:r>
      <w:r>
        <w:rPr>
          <w:rFonts w:hint="eastAsia"/>
          <w:color w:val="auto"/>
          <w:sz w:val="24"/>
          <w:highlight w:val="none"/>
        </w:rPr>
        <w:t>知</w:t>
      </w:r>
      <w:r>
        <w:rPr>
          <w:color w:val="auto"/>
          <w:sz w:val="24"/>
          <w:highlight w:val="none"/>
        </w:rPr>
        <w:t>后应立即执行监理人的上述指示，不得无故拖延，监理人应考虑承包</w:t>
      </w:r>
      <w:r>
        <w:rPr>
          <w:rFonts w:hint="eastAsia"/>
          <w:color w:val="auto"/>
          <w:sz w:val="24"/>
          <w:highlight w:val="none"/>
        </w:rPr>
        <w:t>人</w:t>
      </w:r>
      <w:r>
        <w:rPr>
          <w:color w:val="auto"/>
          <w:sz w:val="24"/>
          <w:highlight w:val="none"/>
        </w:rPr>
        <w:t>因此增加的费用。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4.7撤换承包人项目经理和其他人员</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承包人应对其项目经理和其他人员进行有效管理。监理人要求撤换不能胜任本职工作、行为不端或玩忽职守的承包人项目经理和其他人员的，承包人应予以撤</w:t>
      </w:r>
      <w:r>
        <w:rPr>
          <w:rFonts w:hint="eastAsia"/>
          <w:color w:val="auto"/>
          <w:sz w:val="24"/>
          <w:highlight w:val="none"/>
        </w:rPr>
        <w:t>换，</w:t>
      </w:r>
      <w:r>
        <w:rPr>
          <w:color w:val="auto"/>
          <w:sz w:val="24"/>
          <w:highlight w:val="none"/>
        </w:rPr>
        <w:t>同时委派经发包人与监理人同意的新的项目经理和其他人员。</w:t>
      </w:r>
    </w:p>
    <w:p>
      <w:pPr>
        <w:adjustRightInd w:val="0"/>
        <w:snapToGrid w:val="0"/>
        <w:spacing w:beforeLines="100" w:line="360" w:lineRule="auto"/>
        <w:rPr>
          <w:rFonts w:eastAsia="黑体"/>
          <w:color w:val="auto"/>
          <w:sz w:val="24"/>
          <w:highlight w:val="none"/>
        </w:rPr>
      </w:pPr>
      <w:r>
        <w:rPr>
          <w:rFonts w:eastAsia="黑体"/>
          <w:color w:val="auto"/>
          <w:sz w:val="24"/>
          <w:highlight w:val="none"/>
        </w:rPr>
        <w:t>4.8保障承包人人员的合法权益</w:t>
      </w:r>
    </w:p>
    <w:p>
      <w:pPr>
        <w:adjustRightInd w:val="0"/>
        <w:snapToGrid w:val="0"/>
        <w:spacing w:line="360" w:lineRule="auto"/>
        <w:ind w:firstLine="480" w:firstLineChars="200"/>
        <w:rPr>
          <w:color w:val="auto"/>
          <w:sz w:val="24"/>
          <w:highlight w:val="none"/>
        </w:rPr>
      </w:pPr>
      <w:r>
        <w:rPr>
          <w:color w:val="auto"/>
          <w:sz w:val="24"/>
          <w:highlight w:val="none"/>
        </w:rPr>
        <w:t>本款增加第4.8.7项：</w:t>
      </w:r>
    </w:p>
    <w:p>
      <w:pPr>
        <w:adjustRightInd w:val="0"/>
        <w:snapToGrid w:val="0"/>
        <w:spacing w:line="360" w:lineRule="auto"/>
        <w:ind w:firstLine="480" w:firstLineChars="200"/>
        <w:rPr>
          <w:color w:val="auto"/>
          <w:sz w:val="24"/>
          <w:highlight w:val="none"/>
        </w:rPr>
      </w:pPr>
      <w:r>
        <w:rPr>
          <w:color w:val="auto"/>
          <w:sz w:val="24"/>
          <w:highlight w:val="none"/>
        </w:rPr>
        <w:t>4.8.7承包人应自费采取必须的卫生防护措施，经常保持现场及其驻地整洁和</w:t>
      </w:r>
      <w:r>
        <w:rPr>
          <w:rFonts w:hint="eastAsia"/>
          <w:color w:val="auto"/>
          <w:sz w:val="24"/>
          <w:highlight w:val="none"/>
        </w:rPr>
        <w:t>卫</w:t>
      </w:r>
      <w:r>
        <w:rPr>
          <w:color w:val="auto"/>
          <w:sz w:val="24"/>
          <w:highlight w:val="none"/>
        </w:rPr>
        <w:t>生，以保护职员和工人的健康，并应与当地卫生部门合作，根据要求在整个合同</w:t>
      </w:r>
      <w:r>
        <w:rPr>
          <w:rFonts w:hint="eastAsia"/>
          <w:color w:val="auto"/>
          <w:sz w:val="24"/>
          <w:highlight w:val="none"/>
        </w:rPr>
        <w:t>执</w:t>
      </w:r>
      <w:r>
        <w:rPr>
          <w:color w:val="auto"/>
          <w:sz w:val="24"/>
          <w:highlight w:val="none"/>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4.10承包人现场查勘</w:t>
      </w:r>
    </w:p>
    <w:p>
      <w:pPr>
        <w:adjustRightInd w:val="0"/>
        <w:snapToGrid w:val="0"/>
        <w:spacing w:line="360" w:lineRule="auto"/>
        <w:ind w:firstLine="480" w:firstLineChars="200"/>
        <w:rPr>
          <w:color w:val="auto"/>
          <w:sz w:val="24"/>
          <w:highlight w:val="none"/>
        </w:rPr>
      </w:pPr>
      <w:r>
        <w:rPr>
          <w:color w:val="auto"/>
          <w:sz w:val="24"/>
          <w:highlight w:val="none"/>
        </w:rPr>
        <w:t>4.10.1项补充：</w:t>
      </w:r>
    </w:p>
    <w:p>
      <w:pPr>
        <w:adjustRightInd w:val="0"/>
        <w:snapToGrid w:val="0"/>
        <w:spacing w:line="360" w:lineRule="auto"/>
        <w:ind w:firstLine="480" w:firstLineChars="200"/>
        <w:rPr>
          <w:color w:val="auto"/>
          <w:sz w:val="24"/>
          <w:highlight w:val="none"/>
        </w:rPr>
      </w:pPr>
      <w:r>
        <w:rPr>
          <w:color w:val="auto"/>
          <w:sz w:val="24"/>
          <w:highlight w:val="none"/>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4.11不利物质条件</w:t>
      </w:r>
    </w:p>
    <w:p>
      <w:pPr>
        <w:adjustRightInd w:val="0"/>
        <w:snapToGrid w:val="0"/>
        <w:spacing w:line="360" w:lineRule="auto"/>
        <w:ind w:firstLine="480" w:firstLineChars="200"/>
        <w:rPr>
          <w:color w:val="auto"/>
          <w:sz w:val="24"/>
          <w:highlight w:val="none"/>
        </w:rPr>
      </w:pPr>
      <w:r>
        <w:rPr>
          <w:color w:val="auto"/>
          <w:sz w:val="24"/>
          <w:highlight w:val="none"/>
        </w:rPr>
        <w:t>4.11.1不利物质条件的范围：</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本款增加第4.11.3项：</w:t>
      </w:r>
    </w:p>
    <w:p>
      <w:pPr>
        <w:adjustRightInd w:val="0"/>
        <w:snapToGrid w:val="0"/>
        <w:spacing w:line="360" w:lineRule="auto"/>
        <w:ind w:firstLine="480" w:firstLineChars="200"/>
        <w:rPr>
          <w:color w:val="auto"/>
          <w:sz w:val="24"/>
          <w:highlight w:val="none"/>
        </w:rPr>
      </w:pPr>
      <w:r>
        <w:rPr>
          <w:color w:val="auto"/>
          <w:sz w:val="24"/>
          <w:highlight w:val="none"/>
        </w:rPr>
        <w:t>4.11.3可预见的不利物质条件</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增加第4.12款：</w:t>
      </w:r>
    </w:p>
    <w:p>
      <w:pPr>
        <w:adjustRightInd w:val="0"/>
        <w:snapToGrid w:val="0"/>
        <w:spacing w:line="360" w:lineRule="auto"/>
        <w:rPr>
          <w:rFonts w:eastAsia="黑体"/>
          <w:color w:val="auto"/>
          <w:sz w:val="24"/>
          <w:highlight w:val="none"/>
        </w:rPr>
      </w:pPr>
      <w:r>
        <w:rPr>
          <w:rFonts w:eastAsia="黑体"/>
          <w:color w:val="auto"/>
          <w:sz w:val="24"/>
          <w:highlight w:val="none"/>
        </w:rPr>
        <w:t>4.12投标文件的完备性</w:t>
      </w:r>
    </w:p>
    <w:p>
      <w:pPr>
        <w:adjustRightInd w:val="0"/>
        <w:snapToGrid w:val="0"/>
        <w:spacing w:line="360" w:lineRule="auto"/>
        <w:ind w:firstLine="480" w:firstLineChars="200"/>
        <w:rPr>
          <w:color w:val="auto"/>
          <w:sz w:val="24"/>
          <w:highlight w:val="none"/>
        </w:rPr>
      </w:pPr>
      <w:r>
        <w:rPr>
          <w:color w:val="auto"/>
          <w:sz w:val="24"/>
          <w:highlight w:val="none"/>
        </w:rPr>
        <w:t>合同双方一致认为，承包人在递交投标文件前，对本合同工程的投标文件和已标价工程量清单中开列的单价和总额价</w:t>
      </w:r>
      <w:r>
        <w:rPr>
          <w:rFonts w:hint="eastAsia"/>
          <w:color w:val="auto"/>
          <w:sz w:val="24"/>
          <w:highlight w:val="none"/>
        </w:rPr>
        <w:t>已</w:t>
      </w:r>
      <w:r>
        <w:rPr>
          <w:color w:val="auto"/>
          <w:sz w:val="24"/>
          <w:highlight w:val="none"/>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5</w:t>
      </w:r>
      <w:r>
        <w:rPr>
          <w:rFonts w:hint="eastAsia" w:eastAsia="黑体"/>
          <w:color w:val="auto"/>
          <w:sz w:val="24"/>
          <w:highlight w:val="none"/>
        </w:rPr>
        <w:t>．</w:t>
      </w:r>
      <w:r>
        <w:rPr>
          <w:rFonts w:eastAsia="黑体"/>
          <w:color w:val="auto"/>
          <w:sz w:val="24"/>
          <w:highlight w:val="none"/>
        </w:rPr>
        <w:t>材料和工程设备</w:t>
      </w:r>
    </w:p>
    <w:p>
      <w:pPr>
        <w:adjustRightInd w:val="0"/>
        <w:snapToGrid w:val="0"/>
        <w:spacing w:line="360" w:lineRule="auto"/>
        <w:rPr>
          <w:rFonts w:eastAsia="黑体"/>
          <w:color w:val="auto"/>
          <w:sz w:val="24"/>
          <w:highlight w:val="none"/>
        </w:rPr>
      </w:pPr>
      <w:r>
        <w:rPr>
          <w:rFonts w:eastAsia="黑体"/>
          <w:color w:val="auto"/>
          <w:sz w:val="24"/>
          <w:highlight w:val="none"/>
        </w:rPr>
        <w:t>5.2发包人提供的材料和工程设备</w:t>
      </w:r>
    </w:p>
    <w:p>
      <w:pPr>
        <w:adjustRightInd w:val="0"/>
        <w:snapToGrid w:val="0"/>
        <w:spacing w:line="360" w:lineRule="auto"/>
        <w:ind w:firstLine="480" w:firstLineChars="200"/>
        <w:rPr>
          <w:color w:val="auto"/>
          <w:sz w:val="24"/>
          <w:highlight w:val="none"/>
        </w:rPr>
      </w:pPr>
      <w:r>
        <w:rPr>
          <w:color w:val="auto"/>
          <w:sz w:val="24"/>
          <w:highlight w:val="none"/>
        </w:rPr>
        <w:t>5.2.3项补充：</w:t>
      </w:r>
    </w:p>
    <w:p>
      <w:pPr>
        <w:adjustRightInd w:val="0"/>
        <w:snapToGrid w:val="0"/>
        <w:spacing w:line="360" w:lineRule="auto"/>
        <w:ind w:firstLine="480" w:firstLineChars="200"/>
        <w:rPr>
          <w:color w:val="auto"/>
          <w:sz w:val="24"/>
          <w:highlight w:val="none"/>
        </w:rPr>
      </w:pPr>
      <w:r>
        <w:rPr>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6</w:t>
      </w:r>
      <w:r>
        <w:rPr>
          <w:rFonts w:hint="eastAsia" w:eastAsia="黑体"/>
          <w:color w:val="auto"/>
          <w:sz w:val="24"/>
          <w:highlight w:val="none"/>
        </w:rPr>
        <w:t>．</w:t>
      </w:r>
      <w:r>
        <w:rPr>
          <w:rFonts w:eastAsia="黑体"/>
          <w:color w:val="auto"/>
          <w:sz w:val="24"/>
          <w:highlight w:val="none"/>
        </w:rPr>
        <w:t>施工设备和临时设施</w:t>
      </w:r>
    </w:p>
    <w:p>
      <w:pPr>
        <w:adjustRightInd w:val="0"/>
        <w:snapToGrid w:val="0"/>
        <w:spacing w:line="360" w:lineRule="auto"/>
        <w:rPr>
          <w:rFonts w:eastAsia="黑体"/>
          <w:color w:val="auto"/>
          <w:sz w:val="24"/>
          <w:highlight w:val="none"/>
        </w:rPr>
      </w:pPr>
      <w:r>
        <w:rPr>
          <w:rFonts w:eastAsia="黑体"/>
          <w:color w:val="auto"/>
          <w:sz w:val="24"/>
          <w:highlight w:val="none"/>
        </w:rPr>
        <w:t>6.2发包人提供的施工设备和临时设施</w:t>
      </w:r>
    </w:p>
    <w:p>
      <w:pPr>
        <w:adjustRightInd w:val="0"/>
        <w:snapToGrid w:val="0"/>
        <w:spacing w:line="360" w:lineRule="auto"/>
        <w:ind w:firstLine="480" w:firstLineChars="200"/>
        <w:rPr>
          <w:color w:val="auto"/>
          <w:sz w:val="24"/>
          <w:highlight w:val="none"/>
        </w:rPr>
      </w:pPr>
      <w:r>
        <w:rPr>
          <w:color w:val="auto"/>
          <w:sz w:val="24"/>
          <w:highlight w:val="none"/>
        </w:rPr>
        <w:t>发包人是否提供施工设备或临时设施：</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color w:val="auto"/>
          <w:sz w:val="24"/>
          <w:highlight w:val="none"/>
        </w:rPr>
      </w:pPr>
      <w:r>
        <w:rPr>
          <w:rFonts w:eastAsia="黑体"/>
          <w:color w:val="auto"/>
          <w:sz w:val="24"/>
          <w:highlight w:val="none"/>
        </w:rPr>
        <w:t>6.3要求承包人增加或更换施工设备</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承包人必须使投标文件（如承包人未在投标阶段对施工设备进行新增或更新，则以资格预审申请文件为准）承诺的施工设备按时到达现场，不得拖延、缺</w:t>
      </w:r>
      <w:r>
        <w:rPr>
          <w:rFonts w:hint="eastAsia"/>
          <w:color w:val="auto"/>
          <w:sz w:val="24"/>
          <w:highlight w:val="none"/>
        </w:rPr>
        <w:t>少</w:t>
      </w:r>
      <w:r>
        <w:rPr>
          <w:color w:val="auto"/>
          <w:sz w:val="24"/>
          <w:highlight w:val="none"/>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7．交通运输</w:t>
      </w:r>
    </w:p>
    <w:p>
      <w:pPr>
        <w:adjustRightInd w:val="0"/>
        <w:snapToGrid w:val="0"/>
        <w:spacing w:line="360" w:lineRule="auto"/>
        <w:rPr>
          <w:rFonts w:eastAsia="黑体"/>
          <w:color w:val="auto"/>
          <w:sz w:val="24"/>
          <w:highlight w:val="none"/>
        </w:rPr>
      </w:pPr>
      <w:r>
        <w:rPr>
          <w:rFonts w:eastAsia="黑体"/>
          <w:color w:val="auto"/>
          <w:sz w:val="24"/>
          <w:highlight w:val="none"/>
        </w:rPr>
        <w:t>7.1道路通行权和场外设施</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道路通行权由承包人办理并承担费用，需要发包人协调时，发包人应协助承包人办理相关手续。</w:t>
      </w:r>
    </w:p>
    <w:p>
      <w:pPr>
        <w:adjustRightInd w:val="0"/>
        <w:snapToGrid w:val="0"/>
        <w:spacing w:beforeLines="100" w:line="360" w:lineRule="auto"/>
        <w:rPr>
          <w:rFonts w:eastAsia="黑体"/>
          <w:color w:val="auto"/>
          <w:sz w:val="24"/>
          <w:highlight w:val="none"/>
        </w:rPr>
      </w:pPr>
      <w:r>
        <w:rPr>
          <w:rFonts w:eastAsia="黑体"/>
          <w:color w:val="auto"/>
          <w:sz w:val="24"/>
          <w:highlight w:val="none"/>
        </w:rPr>
        <w:t>8</w:t>
      </w:r>
      <w:r>
        <w:rPr>
          <w:rFonts w:hint="eastAsia" w:eastAsia="黑体"/>
          <w:color w:val="auto"/>
          <w:sz w:val="24"/>
          <w:highlight w:val="none"/>
        </w:rPr>
        <w:t>．</w:t>
      </w:r>
      <w:r>
        <w:rPr>
          <w:rFonts w:eastAsia="黑体"/>
          <w:color w:val="auto"/>
          <w:sz w:val="24"/>
          <w:highlight w:val="none"/>
        </w:rPr>
        <w:t>测量放线</w:t>
      </w:r>
    </w:p>
    <w:p>
      <w:pPr>
        <w:adjustRightInd w:val="0"/>
        <w:snapToGrid w:val="0"/>
        <w:spacing w:line="360" w:lineRule="auto"/>
        <w:rPr>
          <w:rFonts w:eastAsia="黑体"/>
          <w:color w:val="auto"/>
          <w:sz w:val="24"/>
          <w:highlight w:val="none"/>
        </w:rPr>
      </w:pPr>
      <w:r>
        <w:rPr>
          <w:rFonts w:eastAsia="黑体"/>
          <w:color w:val="auto"/>
          <w:sz w:val="24"/>
          <w:highlight w:val="none"/>
        </w:rPr>
        <w:t>8.1施工控制网</w:t>
      </w:r>
    </w:p>
    <w:p>
      <w:pPr>
        <w:adjustRightInd w:val="0"/>
        <w:snapToGrid w:val="0"/>
        <w:spacing w:line="360" w:lineRule="auto"/>
        <w:ind w:firstLine="480" w:firstLineChars="200"/>
        <w:rPr>
          <w:color w:val="auto"/>
          <w:sz w:val="24"/>
          <w:highlight w:val="none"/>
        </w:rPr>
      </w:pPr>
      <w:r>
        <w:rPr>
          <w:color w:val="auto"/>
          <w:sz w:val="24"/>
          <w:highlight w:val="none"/>
        </w:rPr>
        <w:t>8.1．1项约定为：</w:t>
      </w:r>
    </w:p>
    <w:p>
      <w:pPr>
        <w:adjustRightInd w:val="0"/>
        <w:snapToGrid w:val="0"/>
        <w:spacing w:line="360" w:lineRule="auto"/>
        <w:ind w:firstLine="480" w:firstLineChars="200"/>
        <w:rPr>
          <w:color w:val="auto"/>
          <w:sz w:val="24"/>
          <w:highlight w:val="none"/>
        </w:rPr>
      </w:pPr>
      <w:r>
        <w:rPr>
          <w:color w:val="auto"/>
          <w:sz w:val="24"/>
          <w:highlight w:val="none"/>
        </w:rPr>
        <w:t>发包人向承包人提供测量基准点、基准线和水准点及其书面资料的时间</w:t>
      </w:r>
      <w:r>
        <w:rPr>
          <w:rFonts w:hint="eastAsia"/>
          <w:color w:val="auto"/>
          <w:sz w:val="24"/>
          <w:highlight w:val="none"/>
        </w:rPr>
        <w:t>：</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。承包人向监理人报送施工控制网资料的时间：</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color w:val="auto"/>
          <w:sz w:val="24"/>
          <w:highlight w:val="none"/>
        </w:rPr>
      </w:pPr>
      <w:r>
        <w:rPr>
          <w:rFonts w:eastAsia="黑体"/>
          <w:color w:val="auto"/>
          <w:sz w:val="24"/>
          <w:highlight w:val="none"/>
        </w:rPr>
        <w:t>8.2施工测量</w:t>
      </w:r>
    </w:p>
    <w:p>
      <w:pPr>
        <w:adjustRightInd w:val="0"/>
        <w:snapToGrid w:val="0"/>
        <w:spacing w:line="360" w:lineRule="auto"/>
        <w:ind w:firstLine="480" w:firstLineChars="200"/>
        <w:rPr>
          <w:color w:val="auto"/>
          <w:sz w:val="24"/>
          <w:highlight w:val="none"/>
        </w:rPr>
      </w:pPr>
      <w:r>
        <w:rPr>
          <w:color w:val="auto"/>
          <w:sz w:val="24"/>
          <w:highlight w:val="none"/>
        </w:rPr>
        <w:t>8.2.1项补充：</w:t>
      </w:r>
    </w:p>
    <w:p>
      <w:pPr>
        <w:adjustRightInd w:val="0"/>
        <w:snapToGrid w:val="0"/>
        <w:spacing w:line="360" w:lineRule="auto"/>
        <w:ind w:firstLine="480" w:firstLineChars="200"/>
        <w:rPr>
          <w:color w:val="auto"/>
          <w:sz w:val="24"/>
          <w:highlight w:val="none"/>
        </w:rPr>
      </w:pPr>
      <w:r>
        <w:rPr>
          <w:color w:val="auto"/>
          <w:sz w:val="24"/>
          <w:highlight w:val="none"/>
        </w:rPr>
        <w:t>承包人应负责施工测量放线工作的准确性。</w:t>
      </w:r>
    </w:p>
    <w:p>
      <w:pPr>
        <w:adjustRightInd w:val="0"/>
        <w:snapToGrid w:val="0"/>
        <w:spacing w:beforeLines="100" w:line="360" w:lineRule="auto"/>
        <w:rPr>
          <w:rFonts w:eastAsia="黑体"/>
          <w:color w:val="auto"/>
          <w:sz w:val="24"/>
          <w:highlight w:val="none"/>
        </w:rPr>
      </w:pPr>
      <w:r>
        <w:rPr>
          <w:rFonts w:eastAsia="黑体"/>
          <w:color w:val="auto"/>
          <w:sz w:val="24"/>
          <w:highlight w:val="none"/>
        </w:rPr>
        <w:t>8.3基准资料错误的责任</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承包人应对发包人提供的基准资料进行核实，发现错误，应及时通知监理人和发包人，否则应承担相应责任。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8.4监理人使用施工控制网</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经监理人批准，其他相关承包人也可免费使用施工控制网。</w:t>
      </w:r>
    </w:p>
    <w:p>
      <w:pPr>
        <w:adjustRightInd w:val="0"/>
        <w:snapToGrid w:val="0"/>
        <w:spacing w:beforeLines="100" w:line="360" w:lineRule="auto"/>
        <w:rPr>
          <w:rFonts w:eastAsia="黑体"/>
          <w:color w:val="auto"/>
          <w:sz w:val="24"/>
          <w:highlight w:val="none"/>
        </w:rPr>
      </w:pPr>
      <w:r>
        <w:rPr>
          <w:rFonts w:eastAsia="黑体"/>
          <w:color w:val="auto"/>
          <w:sz w:val="24"/>
          <w:highlight w:val="none"/>
        </w:rPr>
        <w:t>9</w:t>
      </w:r>
      <w:r>
        <w:rPr>
          <w:rFonts w:hint="eastAsia" w:eastAsia="黑体"/>
          <w:color w:val="auto"/>
          <w:sz w:val="24"/>
          <w:highlight w:val="none"/>
        </w:rPr>
        <w:t>．</w:t>
      </w:r>
      <w:r>
        <w:rPr>
          <w:rFonts w:eastAsia="黑体"/>
          <w:color w:val="auto"/>
          <w:sz w:val="24"/>
          <w:highlight w:val="none"/>
        </w:rPr>
        <w:t>施工安全、治安保卫和环境保护</w:t>
      </w:r>
    </w:p>
    <w:p>
      <w:pPr>
        <w:adjustRightInd w:val="0"/>
        <w:snapToGrid w:val="0"/>
        <w:spacing w:line="360" w:lineRule="auto"/>
        <w:rPr>
          <w:rFonts w:eastAsia="黑体"/>
          <w:color w:val="auto"/>
          <w:sz w:val="24"/>
          <w:highlight w:val="none"/>
        </w:rPr>
      </w:pPr>
      <w:r>
        <w:rPr>
          <w:rFonts w:eastAsia="黑体"/>
          <w:color w:val="auto"/>
          <w:sz w:val="24"/>
          <w:highlight w:val="none"/>
        </w:rPr>
        <w:t>9.1发包人的施工安全责任</w:t>
      </w:r>
    </w:p>
    <w:p>
      <w:pPr>
        <w:adjustRightInd w:val="0"/>
        <w:snapToGrid w:val="0"/>
        <w:spacing w:line="360" w:lineRule="auto"/>
        <w:ind w:firstLine="480" w:firstLineChars="200"/>
        <w:rPr>
          <w:color w:val="auto"/>
          <w:sz w:val="24"/>
          <w:highlight w:val="none"/>
        </w:rPr>
      </w:pPr>
      <w:r>
        <w:rPr>
          <w:color w:val="auto"/>
          <w:sz w:val="24"/>
          <w:highlight w:val="none"/>
        </w:rPr>
        <w:t>9.1.3项补充：</w:t>
      </w:r>
    </w:p>
    <w:p>
      <w:pPr>
        <w:adjustRightInd w:val="0"/>
        <w:snapToGrid w:val="0"/>
        <w:spacing w:line="360" w:lineRule="auto"/>
        <w:ind w:firstLine="480" w:firstLineChars="200"/>
        <w:rPr>
          <w:color w:val="auto"/>
          <w:sz w:val="24"/>
          <w:highlight w:val="none"/>
        </w:rPr>
      </w:pPr>
      <w:r>
        <w:rPr>
          <w:color w:val="auto"/>
          <w:sz w:val="24"/>
          <w:highlight w:val="none"/>
        </w:rPr>
        <w:t>如果承包人或其雇员也对上述人身伤亡或财产损失负有部分责任时，承包人也应承担相应赔偿责任。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9.2承包人的施工安全责任</w:t>
      </w:r>
    </w:p>
    <w:p>
      <w:pPr>
        <w:adjustRightInd w:val="0"/>
        <w:snapToGrid w:val="0"/>
        <w:spacing w:line="360" w:lineRule="auto"/>
        <w:ind w:firstLine="480" w:firstLineChars="200"/>
        <w:rPr>
          <w:color w:val="auto"/>
          <w:sz w:val="24"/>
          <w:highlight w:val="none"/>
        </w:rPr>
      </w:pPr>
      <w:r>
        <w:rPr>
          <w:color w:val="auto"/>
          <w:sz w:val="24"/>
          <w:highlight w:val="none"/>
        </w:rPr>
        <w:t>9.2.1项细化为：</w:t>
      </w:r>
    </w:p>
    <w:p>
      <w:pPr>
        <w:adjustRightInd w:val="0"/>
        <w:snapToGrid w:val="0"/>
        <w:spacing w:line="360" w:lineRule="auto"/>
        <w:ind w:firstLine="480" w:firstLineChars="200"/>
        <w:rPr>
          <w:color w:val="auto"/>
          <w:sz w:val="24"/>
          <w:highlight w:val="none"/>
        </w:rPr>
      </w:pPr>
      <w:r>
        <w:rPr>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color w:val="auto"/>
          <w:sz w:val="24"/>
          <w:highlight w:val="none"/>
        </w:rPr>
      </w:pPr>
      <w:r>
        <w:rPr>
          <w:color w:val="auto"/>
          <w:sz w:val="24"/>
          <w:highlight w:val="none"/>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color w:val="auto"/>
          <w:sz w:val="24"/>
          <w:highlight w:val="none"/>
        </w:rPr>
      </w:pPr>
      <w:r>
        <w:rPr>
          <w:color w:val="auto"/>
          <w:sz w:val="24"/>
          <w:highlight w:val="none"/>
        </w:rPr>
        <w:t>本项目需要编制专项施工方案的工程包括但不限于以下内容：</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不良地质条件下有潜在危险性的土方、石方开挖；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2）滑坡和高边坡处理；</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桩基础、挡墙基础、深水基础及围堰工程；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4）桥梁工程中的梁、拱、柱等构件施工等；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5）隧道工程中的不良地质隧道、高瓦斯隧道等；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）水</w:t>
      </w:r>
      <w:r>
        <w:rPr>
          <w:color w:val="auto"/>
          <w:sz w:val="24"/>
          <w:highlight w:val="none"/>
        </w:rPr>
        <w:t>上工程中的打桩船作业、施工船作业、外海孤岛作业、边通航边施工作业等；</w:t>
      </w:r>
    </w:p>
    <w:p>
      <w:pPr>
        <w:adjustRightInd w:val="0"/>
        <w:snapToGrid w:val="0"/>
        <w:spacing w:line="360" w:lineRule="auto"/>
        <w:ind w:firstLine="480" w:firstLineChars="200"/>
        <w:rPr>
          <w:color w:val="auto"/>
          <w:sz w:val="24"/>
          <w:highlight w:val="none"/>
        </w:rPr>
      </w:pPr>
      <w:r>
        <w:rPr>
          <w:color w:val="auto"/>
          <w:sz w:val="24"/>
          <w:highlight w:val="none"/>
        </w:rPr>
        <w:t>（7）水下工程中的水下焊接、混凝土浇注、爆破工程等；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8</w:t>
      </w:r>
      <w:r>
        <w:rPr>
          <w:rFonts w:hint="eastAsia"/>
          <w:color w:val="auto"/>
          <w:sz w:val="24"/>
          <w:highlight w:val="none"/>
        </w:rPr>
        <w:t>）</w:t>
      </w:r>
      <w:r>
        <w:rPr>
          <w:color w:val="auto"/>
          <w:sz w:val="24"/>
          <w:highlight w:val="none"/>
        </w:rPr>
        <w:t>爆破工程；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9）大型临时工程中的大型支架、模板、便桥的架设与拆除；桥梁、码头的加固与拆除；</w:t>
      </w:r>
    </w:p>
    <w:p>
      <w:pPr>
        <w:adjustRightInd w:val="0"/>
        <w:snapToGrid w:val="0"/>
        <w:spacing w:line="360" w:lineRule="auto"/>
        <w:ind w:firstLine="480" w:firstLineChars="200"/>
        <w:rPr>
          <w:color w:val="auto"/>
          <w:sz w:val="24"/>
          <w:highlight w:val="none"/>
        </w:rPr>
      </w:pPr>
      <w:r>
        <w:rPr>
          <w:rFonts w:hint="eastAsia"/>
          <w:color w:val="auto"/>
          <w:sz w:val="24"/>
          <w:highlight w:val="none"/>
        </w:rPr>
        <w:t>（10）</w:t>
      </w:r>
      <w:r>
        <w:rPr>
          <w:color w:val="auto"/>
          <w:sz w:val="24"/>
          <w:highlight w:val="none"/>
        </w:rPr>
        <w:t>其他危险性较大的工程。</w:t>
      </w:r>
    </w:p>
    <w:p>
      <w:pPr>
        <w:adjustRightInd w:val="0"/>
        <w:snapToGrid w:val="0"/>
        <w:spacing w:line="360" w:lineRule="auto"/>
        <w:ind w:firstLine="480" w:firstLineChars="200"/>
        <w:rPr>
          <w:color w:val="auto"/>
          <w:sz w:val="24"/>
          <w:highlight w:val="none"/>
        </w:rPr>
      </w:pPr>
      <w:r>
        <w:rPr>
          <w:color w:val="auto"/>
          <w:sz w:val="24"/>
          <w:highlight w:val="none"/>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color w:val="auto"/>
          <w:sz w:val="24"/>
          <w:highlight w:val="none"/>
        </w:rPr>
      </w:pPr>
      <w:r>
        <w:rPr>
          <w:color w:val="auto"/>
          <w:sz w:val="24"/>
          <w:highlight w:val="none"/>
        </w:rPr>
        <w:t>本款增加第9.2.8至9.2.11项：</w:t>
      </w:r>
    </w:p>
    <w:p>
      <w:pPr>
        <w:adjustRightInd w:val="0"/>
        <w:snapToGrid w:val="0"/>
        <w:spacing w:line="360" w:lineRule="auto"/>
        <w:ind w:firstLine="480" w:firstLineChars="200"/>
        <w:rPr>
          <w:color w:val="auto"/>
          <w:sz w:val="24"/>
          <w:highlight w:val="none"/>
        </w:rPr>
      </w:pPr>
      <w:r>
        <w:rPr>
          <w:color w:val="auto"/>
          <w:sz w:val="24"/>
          <w:highlight w:val="none"/>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按《公路水运工程安全生产监督管理办法》规定的最低数量和资质条件配备专职安全生产管理人员；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所有施工机具设备和高空作业设备均应定期检查，并有安全员的签字记录；</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color w:val="auto"/>
          <w:sz w:val="24"/>
          <w:highlight w:val="none"/>
        </w:rPr>
      </w:pPr>
      <w:r>
        <w:rPr>
          <w:color w:val="auto"/>
          <w:sz w:val="24"/>
          <w:highlight w:val="none"/>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color w:val="auto"/>
          <w:sz w:val="24"/>
          <w:highlight w:val="none"/>
        </w:rPr>
      </w:pPr>
      <w:r>
        <w:rPr>
          <w:color w:val="auto"/>
          <w:sz w:val="24"/>
          <w:highlight w:val="none"/>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color w:val="auto"/>
          <w:sz w:val="24"/>
          <w:highlight w:val="none"/>
        </w:rPr>
      </w:pPr>
      <w:r>
        <w:rPr>
          <w:color w:val="auto"/>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color w:val="auto"/>
          <w:sz w:val="24"/>
          <w:highlight w:val="none"/>
        </w:rPr>
      </w:pPr>
      <w:r>
        <w:rPr>
          <w:rFonts w:eastAsia="黑体"/>
          <w:color w:val="auto"/>
          <w:sz w:val="24"/>
          <w:highlight w:val="none"/>
        </w:rPr>
        <w:t>9.4环境保护</w:t>
      </w:r>
    </w:p>
    <w:p>
      <w:pPr>
        <w:adjustRightInd w:val="0"/>
        <w:snapToGrid w:val="0"/>
        <w:spacing w:line="360" w:lineRule="auto"/>
        <w:ind w:firstLine="480" w:firstLineChars="200"/>
        <w:rPr>
          <w:color w:val="auto"/>
          <w:sz w:val="24"/>
          <w:highlight w:val="none"/>
        </w:rPr>
      </w:pPr>
      <w:r>
        <w:rPr>
          <w:color w:val="auto"/>
          <w:sz w:val="24"/>
          <w:highlight w:val="none"/>
        </w:rPr>
        <w:t>本款增加第9.4.7至9.4.9项：</w:t>
      </w:r>
    </w:p>
    <w:p>
      <w:pPr>
        <w:adjustRightInd w:val="0"/>
        <w:snapToGrid w:val="0"/>
        <w:spacing w:line="360" w:lineRule="auto"/>
        <w:ind w:firstLine="480" w:firstLineChars="200"/>
        <w:rPr>
          <w:color w:val="auto"/>
          <w:sz w:val="24"/>
          <w:highlight w:val="none"/>
        </w:rPr>
      </w:pPr>
      <w:r>
        <w:rPr>
          <w:color w:val="auto"/>
          <w:sz w:val="24"/>
          <w:highlight w:val="none"/>
        </w:rPr>
        <w:t>9.4.7承包人应切实执行技术规范中有关环境保护方面的条款和规定。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拌和设备应有较好的密封，或有防尘设备。</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施工通道、沥青混凝土拌和站及灰土拌和站应经常进行洒水降尘。</w:t>
      </w:r>
    </w:p>
    <w:p>
      <w:pPr>
        <w:adjustRightInd w:val="0"/>
        <w:snapToGrid w:val="0"/>
        <w:spacing w:line="360" w:lineRule="auto"/>
        <w:ind w:firstLine="480" w:firstLineChars="200"/>
        <w:rPr>
          <w:color w:val="auto"/>
          <w:sz w:val="24"/>
          <w:highlight w:val="none"/>
        </w:rPr>
      </w:pPr>
      <w:r>
        <w:rPr>
          <w:color w:val="auto"/>
          <w:sz w:val="24"/>
          <w:highlight w:val="none"/>
        </w:rPr>
        <w:t>c．路面施工应注意保持水份，以免扬尘。</w:t>
      </w:r>
    </w:p>
    <w:p>
      <w:pPr>
        <w:adjustRightInd w:val="0"/>
        <w:snapToGrid w:val="0"/>
        <w:spacing w:line="360" w:lineRule="auto"/>
        <w:ind w:firstLine="480" w:firstLineChars="200"/>
        <w:rPr>
          <w:color w:val="auto"/>
          <w:sz w:val="24"/>
          <w:highlight w:val="none"/>
        </w:rPr>
      </w:pPr>
      <w:r>
        <w:rPr>
          <w:color w:val="auto"/>
          <w:sz w:val="24"/>
          <w:highlight w:val="none"/>
        </w:rPr>
        <w:t>d</w:t>
      </w:r>
      <w:r>
        <w:rPr>
          <w:rFonts w:hint="eastAsia"/>
          <w:color w:val="auto"/>
          <w:sz w:val="24"/>
          <w:highlight w:val="none"/>
        </w:rPr>
        <w:t>．</w:t>
      </w:r>
      <w:r>
        <w:rPr>
          <w:color w:val="auto"/>
          <w:sz w:val="24"/>
          <w:highlight w:val="none"/>
        </w:rPr>
        <w:t>隧道出渣和桥梁钻孔灌注桩施工时排除的泥浆要进行妥善处理，严禁向河流或农田排放。</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color w:val="auto"/>
          <w:sz w:val="24"/>
          <w:highlight w:val="none"/>
        </w:rPr>
      </w:pPr>
      <w:r>
        <w:rPr>
          <w:color w:val="auto"/>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color w:val="auto"/>
          <w:sz w:val="24"/>
          <w:highlight w:val="none"/>
        </w:rPr>
      </w:pPr>
      <w:r>
        <w:rPr>
          <w:color w:val="auto"/>
          <w:sz w:val="24"/>
          <w:highlight w:val="none"/>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color w:val="auto"/>
          <w:sz w:val="24"/>
          <w:highlight w:val="none"/>
        </w:rPr>
      </w:pPr>
      <w:r>
        <w:rPr>
          <w:rFonts w:eastAsia="黑体"/>
          <w:color w:val="auto"/>
          <w:sz w:val="24"/>
          <w:highlight w:val="none"/>
        </w:rPr>
        <w:t>10</w:t>
      </w:r>
      <w:r>
        <w:rPr>
          <w:rFonts w:hint="eastAsia" w:eastAsia="黑体"/>
          <w:color w:val="auto"/>
          <w:sz w:val="24"/>
          <w:highlight w:val="none"/>
        </w:rPr>
        <w:t>．</w:t>
      </w:r>
      <w:r>
        <w:rPr>
          <w:rFonts w:eastAsia="黑体"/>
          <w:color w:val="auto"/>
          <w:sz w:val="24"/>
          <w:highlight w:val="none"/>
        </w:rPr>
        <w:t>进度计划</w:t>
      </w:r>
    </w:p>
    <w:p>
      <w:pPr>
        <w:adjustRightInd w:val="0"/>
        <w:snapToGrid w:val="0"/>
        <w:spacing w:line="360" w:lineRule="auto"/>
        <w:rPr>
          <w:rFonts w:eastAsia="黑体"/>
          <w:color w:val="auto"/>
          <w:sz w:val="24"/>
          <w:highlight w:val="none"/>
        </w:rPr>
      </w:pPr>
      <w:r>
        <w:rPr>
          <w:rFonts w:eastAsia="黑体"/>
          <w:color w:val="auto"/>
          <w:sz w:val="24"/>
          <w:highlight w:val="none"/>
        </w:rPr>
        <w:t>10.1合同进度计划</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承包人编制施工方案的内容：</w:t>
      </w:r>
      <w:r>
        <w:rPr>
          <w:rFonts w:hint="eastAsia"/>
          <w:color w:val="auto"/>
          <w:sz w:val="24"/>
          <w:highlight w:val="none"/>
          <w:u w:val="single"/>
        </w:rPr>
        <w:t xml:space="preserve">  </w:t>
      </w:r>
      <w:r>
        <w:rPr>
          <w:color w:val="auto"/>
          <w:sz w:val="24"/>
          <w:highlight w:val="none"/>
          <w:u w:val="single"/>
        </w:rPr>
        <w:t>（见项目专用合同条款）</w:t>
      </w:r>
      <w:r>
        <w:rPr>
          <w:rFonts w:hint="eastAsia"/>
          <w:color w:val="auto"/>
          <w:sz w:val="24"/>
          <w:highlight w:val="none"/>
          <w:u w:val="single"/>
        </w:rPr>
        <w:t xml:space="preserve">  </w:t>
      </w:r>
    </w:p>
    <w:p>
      <w:pPr>
        <w:adjustRightInd w:val="0"/>
        <w:snapToGrid w:val="0"/>
        <w:spacing w:line="360" w:lineRule="auto"/>
        <w:ind w:firstLine="480" w:firstLineChars="200"/>
        <w:rPr>
          <w:color w:val="auto"/>
          <w:sz w:val="24"/>
          <w:highlight w:val="none"/>
        </w:rPr>
      </w:pPr>
      <w:r>
        <w:rPr>
          <w:color w:val="auto"/>
          <w:sz w:val="24"/>
          <w:highlight w:val="none"/>
        </w:rPr>
        <w:t>承包人向监理人报送施工进度计划和施工方案说明的期限：</w:t>
      </w:r>
      <w:r>
        <w:rPr>
          <w:rFonts w:hint="eastAsia"/>
          <w:color w:val="auto"/>
          <w:sz w:val="24"/>
          <w:highlight w:val="none"/>
          <w:u w:val="single"/>
        </w:rPr>
        <w:t>签订合同协议书后</w:t>
      </w:r>
      <w:r>
        <w:rPr>
          <w:color w:val="auto"/>
          <w:sz w:val="24"/>
          <w:highlight w:val="none"/>
          <w:u w:val="single"/>
        </w:rPr>
        <w:t>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监理人应在</w:t>
      </w:r>
      <w:r>
        <w:rPr>
          <w:rFonts w:hint="eastAsia"/>
          <w:color w:val="auto"/>
          <w:sz w:val="24"/>
          <w:highlight w:val="none"/>
          <w:u w:val="single"/>
        </w:rPr>
        <w:t>14</w:t>
      </w:r>
      <w:r>
        <w:rPr>
          <w:color w:val="auto"/>
          <w:sz w:val="24"/>
          <w:highlight w:val="none"/>
        </w:rPr>
        <w:t>天内对承包人施工进度计划和施工方案说明予以批复或提出修改意见。</w:t>
      </w:r>
    </w:p>
    <w:p>
      <w:pPr>
        <w:adjustRightInd w:val="0"/>
        <w:snapToGrid w:val="0"/>
        <w:spacing w:line="360" w:lineRule="auto"/>
        <w:ind w:firstLine="480" w:firstLineChars="200"/>
        <w:rPr>
          <w:color w:val="auto"/>
          <w:sz w:val="24"/>
          <w:highlight w:val="none"/>
        </w:rPr>
      </w:pPr>
      <w:r>
        <w:rPr>
          <w:color w:val="auto"/>
          <w:sz w:val="24"/>
          <w:highlight w:val="none"/>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color w:val="auto"/>
          <w:sz w:val="24"/>
          <w:highlight w:val="none"/>
        </w:rPr>
      </w:pPr>
      <w:r>
        <w:rPr>
          <w:rFonts w:eastAsia="黑体"/>
          <w:color w:val="auto"/>
          <w:sz w:val="24"/>
          <w:highlight w:val="none"/>
        </w:rPr>
        <w:t>10.2合同进度计划的修订</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承包人提交合同进度计划修订申请报告，并附有关措施和相关资料的期限：</w:t>
      </w:r>
      <w:r>
        <w:rPr>
          <w:color w:val="auto"/>
          <w:sz w:val="24"/>
          <w:highlight w:val="none"/>
          <w:u w:val="single"/>
        </w:rPr>
        <w:t>实际进度发生滞后的当月25日前</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监理人批复修订合同进度计划的期限：</w:t>
      </w:r>
      <w:r>
        <w:rPr>
          <w:rFonts w:hint="eastAsia"/>
          <w:color w:val="auto"/>
          <w:sz w:val="24"/>
          <w:highlight w:val="none"/>
          <w:u w:val="single"/>
        </w:rPr>
        <w:t>收到修订合同进度计划后14天内</w:t>
      </w:r>
      <w:r>
        <w:rPr>
          <w:color w:val="auto"/>
          <w:sz w:val="24"/>
          <w:highlight w:val="none"/>
        </w:rPr>
        <w:t>。</w:t>
      </w:r>
    </w:p>
    <w:p>
      <w:pPr>
        <w:adjustRightInd w:val="0"/>
        <w:snapToGrid w:val="0"/>
        <w:spacing w:line="360" w:lineRule="auto"/>
        <w:rPr>
          <w:color w:val="auto"/>
          <w:sz w:val="24"/>
          <w:highlight w:val="none"/>
        </w:rPr>
      </w:pPr>
      <w:r>
        <w:rPr>
          <w:color w:val="auto"/>
          <w:sz w:val="24"/>
          <w:highlight w:val="none"/>
        </w:rPr>
        <w:t>增加第10.3、10.4款：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10.3年度施工计划</w:t>
      </w:r>
    </w:p>
    <w:p>
      <w:pPr>
        <w:adjustRightInd w:val="0"/>
        <w:snapToGrid w:val="0"/>
        <w:spacing w:line="360" w:lineRule="auto"/>
        <w:ind w:firstLine="480" w:firstLineChars="200"/>
        <w:rPr>
          <w:color w:val="auto"/>
          <w:sz w:val="24"/>
          <w:highlight w:val="none"/>
        </w:rPr>
      </w:pPr>
      <w:r>
        <w:rPr>
          <w:color w:val="auto"/>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10.4合同用款计划</w:t>
      </w:r>
    </w:p>
    <w:p>
      <w:pPr>
        <w:adjustRightInd w:val="0"/>
        <w:snapToGrid w:val="0"/>
        <w:spacing w:line="360" w:lineRule="auto"/>
        <w:ind w:firstLine="480" w:firstLineChars="200"/>
        <w:rPr>
          <w:color w:val="auto"/>
          <w:sz w:val="24"/>
          <w:highlight w:val="none"/>
        </w:rPr>
      </w:pPr>
      <w:r>
        <w:rPr>
          <w:color w:val="auto"/>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color w:val="auto"/>
          <w:sz w:val="24"/>
          <w:highlight w:val="none"/>
        </w:rPr>
      </w:pPr>
      <w:r>
        <w:rPr>
          <w:rFonts w:eastAsia="黑体"/>
          <w:color w:val="auto"/>
          <w:sz w:val="24"/>
          <w:highlight w:val="none"/>
        </w:rPr>
        <w:t>11．开工和竣工</w:t>
      </w:r>
    </w:p>
    <w:p>
      <w:pPr>
        <w:adjustRightInd w:val="0"/>
        <w:snapToGrid w:val="0"/>
        <w:spacing w:line="360" w:lineRule="auto"/>
        <w:rPr>
          <w:rFonts w:eastAsia="黑体"/>
          <w:color w:val="auto"/>
          <w:sz w:val="24"/>
          <w:highlight w:val="none"/>
        </w:rPr>
      </w:pPr>
      <w:r>
        <w:rPr>
          <w:rFonts w:eastAsia="黑体"/>
          <w:color w:val="auto"/>
          <w:sz w:val="24"/>
          <w:highlight w:val="none"/>
        </w:rPr>
        <w:t>11.1开工</w:t>
      </w:r>
    </w:p>
    <w:p>
      <w:pPr>
        <w:adjustRightInd w:val="0"/>
        <w:snapToGrid w:val="0"/>
        <w:spacing w:line="360" w:lineRule="auto"/>
        <w:ind w:firstLine="480" w:firstLineChars="200"/>
        <w:rPr>
          <w:color w:val="auto"/>
          <w:sz w:val="24"/>
          <w:highlight w:val="none"/>
        </w:rPr>
      </w:pPr>
      <w:r>
        <w:rPr>
          <w:color w:val="auto"/>
          <w:sz w:val="24"/>
          <w:highlight w:val="none"/>
        </w:rPr>
        <w:t>11</w:t>
      </w:r>
      <w:r>
        <w:rPr>
          <w:rFonts w:hint="eastAsia"/>
          <w:color w:val="auto"/>
          <w:sz w:val="24"/>
          <w:highlight w:val="none"/>
        </w:rPr>
        <w:t>.</w:t>
      </w:r>
      <w:r>
        <w:rPr>
          <w:color w:val="auto"/>
          <w:sz w:val="24"/>
          <w:highlight w:val="none"/>
        </w:rPr>
        <w:t>1.2项补充：</w:t>
      </w:r>
    </w:p>
    <w:p>
      <w:pPr>
        <w:adjustRightInd w:val="0"/>
        <w:snapToGrid w:val="0"/>
        <w:spacing w:line="360" w:lineRule="auto"/>
        <w:ind w:firstLine="480" w:firstLineChars="200"/>
        <w:rPr>
          <w:color w:val="auto"/>
          <w:sz w:val="24"/>
          <w:highlight w:val="none"/>
        </w:rPr>
      </w:pPr>
      <w:r>
        <w:rPr>
          <w:color w:val="auto"/>
          <w:sz w:val="24"/>
          <w:highlight w:val="none"/>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11.3发包人的工期延误</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color w:val="auto"/>
          <w:sz w:val="24"/>
          <w:highlight w:val="none"/>
        </w:rPr>
      </w:pPr>
      <w:r>
        <w:rPr>
          <w:rFonts w:eastAsia="黑体"/>
          <w:color w:val="auto"/>
          <w:sz w:val="24"/>
          <w:highlight w:val="none"/>
        </w:rPr>
        <w:t>11.4异常恶劣的气候条件</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11.5承包人的工期延误</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color w:val="auto"/>
          <w:sz w:val="24"/>
          <w:highlight w:val="none"/>
        </w:rPr>
        <w:t>10</w:t>
      </w:r>
      <w:r>
        <w:rPr>
          <w:color w:val="auto"/>
          <w:sz w:val="24"/>
          <w:highlight w:val="none"/>
        </w:rPr>
        <w:t>％。发包人可以从应付或到期应付给承包人的任何款项中或采用其他方法扣除此违约金。</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承包人支付逾期竣工违约金，不免除承包人完成工程及修补缺陷的义务。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如果在合同工程完工之前，己对合同工程内按时完工的单位工程签发了工程接收证书，则合同工程的逾期竣工违约金，应按</w:t>
      </w:r>
      <w:r>
        <w:rPr>
          <w:rFonts w:hint="eastAsia"/>
          <w:color w:val="auto"/>
          <w:sz w:val="24"/>
          <w:highlight w:val="none"/>
        </w:rPr>
        <w:t>已</w:t>
      </w:r>
      <w:r>
        <w:rPr>
          <w:color w:val="auto"/>
          <w:sz w:val="24"/>
          <w:highlight w:val="none"/>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11.6工期提前</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64" w:firstLineChars="200"/>
        <w:rPr>
          <w:color w:val="auto"/>
          <w:spacing w:val="-4"/>
          <w:sz w:val="24"/>
          <w:highlight w:val="none"/>
        </w:rPr>
      </w:pPr>
      <w:r>
        <w:rPr>
          <w:color w:val="auto"/>
          <w:spacing w:val="-4"/>
          <w:sz w:val="24"/>
          <w:highlight w:val="none"/>
        </w:rPr>
        <w:t>如果承包人提前竣工，发包人支付奖金的计算方法为：每提前一天支付</w:t>
      </w:r>
      <w:r>
        <w:rPr>
          <w:rFonts w:hint="eastAsia"/>
          <w:color w:val="auto"/>
          <w:spacing w:val="-4"/>
          <w:sz w:val="24"/>
          <w:highlight w:val="none"/>
          <w:u w:val="single"/>
        </w:rPr>
        <w:t xml:space="preserve">    </w:t>
      </w:r>
      <w:r>
        <w:rPr>
          <w:color w:val="auto"/>
          <w:spacing w:val="-4"/>
          <w:sz w:val="24"/>
          <w:highlight w:val="none"/>
        </w:rPr>
        <w:t>元人民币（在项目专用合同条款中约定），时间自工程接收证书中写明的实际竣工日期起至预定的竣工日期止，按天计算。但奖金最高限额不超过签约合同价的</w:t>
      </w:r>
      <w:r>
        <w:rPr>
          <w:rFonts w:hint="eastAsia"/>
          <w:color w:val="auto"/>
          <w:spacing w:val="-4"/>
          <w:sz w:val="24"/>
          <w:highlight w:val="none"/>
          <w:u w:val="single"/>
        </w:rPr>
        <w:t xml:space="preserve">    </w:t>
      </w:r>
      <w:r>
        <w:rPr>
          <w:color w:val="auto"/>
          <w:spacing w:val="-4"/>
          <w:sz w:val="24"/>
          <w:highlight w:val="none"/>
        </w:rPr>
        <w:t>％（在项目专用合同条款中约定）。</w:t>
      </w:r>
    </w:p>
    <w:p>
      <w:pPr>
        <w:adjustRightInd w:val="0"/>
        <w:snapToGrid w:val="0"/>
        <w:spacing w:line="360" w:lineRule="auto"/>
        <w:rPr>
          <w:color w:val="auto"/>
          <w:sz w:val="24"/>
          <w:highlight w:val="none"/>
        </w:rPr>
      </w:pPr>
      <w:r>
        <w:rPr>
          <w:color w:val="auto"/>
          <w:sz w:val="24"/>
          <w:highlight w:val="none"/>
        </w:rPr>
        <w:t>增加第11.7款：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11.7</w:t>
      </w:r>
      <w:r>
        <w:rPr>
          <w:rFonts w:hint="eastAsia" w:eastAsia="黑体"/>
          <w:color w:val="auto"/>
          <w:sz w:val="24"/>
          <w:highlight w:val="none"/>
        </w:rPr>
        <w:t>工</w:t>
      </w:r>
      <w:r>
        <w:rPr>
          <w:rFonts w:eastAsia="黑体"/>
          <w:color w:val="auto"/>
          <w:sz w:val="24"/>
          <w:highlight w:val="none"/>
        </w:rPr>
        <w:t>作时</w:t>
      </w:r>
      <w:r>
        <w:rPr>
          <w:rFonts w:hint="eastAsia" w:eastAsia="黑体"/>
          <w:color w:val="auto"/>
          <w:sz w:val="24"/>
          <w:highlight w:val="none"/>
        </w:rPr>
        <w:t>间</w:t>
      </w:r>
      <w:r>
        <w:rPr>
          <w:rFonts w:eastAsia="黑体"/>
          <w:color w:val="auto"/>
          <w:sz w:val="24"/>
          <w:highlight w:val="none"/>
        </w:rPr>
        <w:t>的限制</w:t>
      </w:r>
    </w:p>
    <w:p>
      <w:pPr>
        <w:adjustRightInd w:val="0"/>
        <w:snapToGrid w:val="0"/>
        <w:spacing w:line="360" w:lineRule="auto"/>
        <w:ind w:firstLine="480" w:firstLineChars="200"/>
        <w:rPr>
          <w:color w:val="auto"/>
          <w:sz w:val="24"/>
          <w:highlight w:val="none"/>
        </w:rPr>
      </w:pPr>
      <w:r>
        <w:rPr>
          <w:color w:val="auto"/>
          <w:sz w:val="24"/>
          <w:highlight w:val="none"/>
        </w:rPr>
        <w:t>承包人在夜间或国家规定的节假日进行永久工程的施工，应向监理人报告，以便监理人履行监理职责和义务。</w:t>
      </w:r>
    </w:p>
    <w:p>
      <w:pPr>
        <w:adjustRightInd w:val="0"/>
        <w:snapToGrid w:val="0"/>
        <w:spacing w:line="360" w:lineRule="auto"/>
        <w:ind w:firstLine="480" w:firstLineChars="200"/>
        <w:rPr>
          <w:color w:val="auto"/>
          <w:sz w:val="24"/>
          <w:highlight w:val="none"/>
        </w:rPr>
      </w:pPr>
      <w:r>
        <w:rPr>
          <w:color w:val="auto"/>
          <w:sz w:val="24"/>
          <w:highlight w:val="none"/>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color w:val="auto"/>
          <w:sz w:val="24"/>
          <w:highlight w:val="none"/>
        </w:rPr>
      </w:pPr>
      <w:r>
        <w:rPr>
          <w:color w:val="auto"/>
          <w:sz w:val="24"/>
          <w:highlight w:val="none"/>
        </w:rPr>
        <w:t>本款规定不适用于习惯上或施工本身要求实行连续生产的作业。</w:t>
      </w:r>
    </w:p>
    <w:p>
      <w:pPr>
        <w:adjustRightInd w:val="0"/>
        <w:snapToGrid w:val="0"/>
        <w:spacing w:beforeLines="100" w:line="360" w:lineRule="auto"/>
        <w:rPr>
          <w:rFonts w:eastAsia="黑体"/>
          <w:color w:val="auto"/>
          <w:sz w:val="24"/>
          <w:highlight w:val="none"/>
        </w:rPr>
      </w:pPr>
      <w:r>
        <w:rPr>
          <w:rFonts w:eastAsia="黑体"/>
          <w:color w:val="auto"/>
          <w:sz w:val="24"/>
          <w:highlight w:val="none"/>
        </w:rPr>
        <w:t>12</w:t>
      </w:r>
      <w:r>
        <w:rPr>
          <w:rFonts w:hint="eastAsia" w:eastAsia="黑体"/>
          <w:color w:val="auto"/>
          <w:sz w:val="24"/>
          <w:highlight w:val="none"/>
        </w:rPr>
        <w:t>．</w:t>
      </w:r>
      <w:r>
        <w:rPr>
          <w:rFonts w:eastAsia="黑体"/>
          <w:color w:val="auto"/>
          <w:sz w:val="24"/>
          <w:highlight w:val="none"/>
        </w:rPr>
        <w:t>暂停施工</w:t>
      </w:r>
    </w:p>
    <w:p>
      <w:pPr>
        <w:adjustRightInd w:val="0"/>
        <w:snapToGrid w:val="0"/>
        <w:spacing w:line="360" w:lineRule="auto"/>
        <w:ind w:firstLine="480" w:firstLineChars="200"/>
        <w:rPr>
          <w:color w:val="auto"/>
          <w:sz w:val="24"/>
          <w:highlight w:val="none"/>
        </w:rPr>
      </w:pPr>
      <w:r>
        <w:rPr>
          <w:color w:val="auto"/>
          <w:sz w:val="24"/>
          <w:highlight w:val="none"/>
        </w:rPr>
        <w:t>12.1承包人暂停施工的责任</w:t>
      </w:r>
    </w:p>
    <w:p>
      <w:pPr>
        <w:adjustRightInd w:val="0"/>
        <w:snapToGrid w:val="0"/>
        <w:spacing w:line="360" w:lineRule="auto"/>
        <w:ind w:firstLine="480" w:firstLineChars="200"/>
        <w:rPr>
          <w:color w:val="auto"/>
          <w:sz w:val="24"/>
          <w:highlight w:val="none"/>
        </w:rPr>
      </w:pPr>
      <w:r>
        <w:rPr>
          <w:color w:val="auto"/>
          <w:sz w:val="24"/>
          <w:highlight w:val="none"/>
        </w:rPr>
        <w:t>12.1（5</w:t>
      </w:r>
      <w:r>
        <w:rPr>
          <w:rFonts w:hint="eastAsia"/>
          <w:color w:val="auto"/>
          <w:sz w:val="24"/>
          <w:highlight w:val="none"/>
        </w:rPr>
        <w:t>）</w:t>
      </w:r>
      <w:r>
        <w:rPr>
          <w:color w:val="auto"/>
          <w:sz w:val="24"/>
          <w:highlight w:val="none"/>
        </w:rPr>
        <w:t>项补充：</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现场气候条件导致的必要停工（第11.4款规定的异常恶劣的气候条件除外）；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项目专用合同条款约定由承包人承担的其他暂停施工。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13．工程质量</w:t>
      </w:r>
    </w:p>
    <w:p>
      <w:pPr>
        <w:adjustRightInd w:val="0"/>
        <w:snapToGrid w:val="0"/>
        <w:spacing w:line="360" w:lineRule="auto"/>
        <w:rPr>
          <w:rFonts w:eastAsia="黑体"/>
          <w:color w:val="auto"/>
          <w:sz w:val="24"/>
          <w:highlight w:val="none"/>
        </w:rPr>
      </w:pPr>
      <w:r>
        <w:rPr>
          <w:rFonts w:eastAsia="黑体"/>
          <w:color w:val="auto"/>
          <w:sz w:val="24"/>
          <w:highlight w:val="none"/>
        </w:rPr>
        <w:t>13.1工程质量要求</w:t>
      </w:r>
    </w:p>
    <w:p>
      <w:pPr>
        <w:adjustRightInd w:val="0"/>
        <w:snapToGrid w:val="0"/>
        <w:spacing w:line="360" w:lineRule="auto"/>
        <w:ind w:firstLine="480" w:firstLineChars="200"/>
        <w:rPr>
          <w:color w:val="auto"/>
          <w:sz w:val="24"/>
          <w:highlight w:val="none"/>
        </w:rPr>
      </w:pPr>
      <w:r>
        <w:rPr>
          <w:color w:val="auto"/>
          <w:sz w:val="24"/>
          <w:highlight w:val="none"/>
        </w:rPr>
        <w:t>13.1</w:t>
      </w:r>
      <w:r>
        <w:rPr>
          <w:rFonts w:hint="eastAsia"/>
          <w:color w:val="auto"/>
          <w:sz w:val="24"/>
          <w:highlight w:val="none"/>
        </w:rPr>
        <w:t>.</w:t>
      </w:r>
      <w:r>
        <w:rPr>
          <w:color w:val="auto"/>
          <w:sz w:val="24"/>
          <w:highlight w:val="none"/>
        </w:rPr>
        <w:t>1项约定为：</w:t>
      </w:r>
    </w:p>
    <w:p>
      <w:pPr>
        <w:adjustRightInd w:val="0"/>
        <w:snapToGrid w:val="0"/>
        <w:spacing w:line="360" w:lineRule="auto"/>
        <w:ind w:firstLine="480" w:firstLineChars="200"/>
        <w:rPr>
          <w:color w:val="auto"/>
          <w:sz w:val="24"/>
          <w:highlight w:val="none"/>
        </w:rPr>
      </w:pPr>
      <w:r>
        <w:rPr>
          <w:color w:val="auto"/>
          <w:sz w:val="24"/>
          <w:highlight w:val="none"/>
        </w:rPr>
        <w:t>工程质量验收按技术规范及交通部《公路工程质量验收评定标准》执行。本款增加第13．1.4至13．1.6项：</w:t>
      </w:r>
    </w:p>
    <w:p>
      <w:pPr>
        <w:adjustRightInd w:val="0"/>
        <w:snapToGrid w:val="0"/>
        <w:spacing w:line="360" w:lineRule="auto"/>
        <w:ind w:firstLine="480" w:firstLineChars="200"/>
        <w:rPr>
          <w:color w:val="auto"/>
          <w:sz w:val="24"/>
          <w:highlight w:val="none"/>
        </w:rPr>
      </w:pPr>
      <w:r>
        <w:rPr>
          <w:color w:val="auto"/>
          <w:sz w:val="24"/>
          <w:highlight w:val="none"/>
        </w:rPr>
        <w:t>13.1.4承包人对工程质量终身负责。</w:t>
      </w:r>
    </w:p>
    <w:p>
      <w:pPr>
        <w:adjustRightInd w:val="0"/>
        <w:snapToGrid w:val="0"/>
        <w:spacing w:line="360" w:lineRule="auto"/>
        <w:ind w:firstLine="480" w:firstLineChars="200"/>
        <w:rPr>
          <w:color w:val="auto"/>
          <w:sz w:val="24"/>
          <w:highlight w:val="none"/>
        </w:rPr>
      </w:pPr>
      <w:r>
        <w:rPr>
          <w:color w:val="auto"/>
          <w:sz w:val="24"/>
          <w:highlight w:val="none"/>
        </w:rPr>
        <w:t>13</w:t>
      </w:r>
      <w:r>
        <w:rPr>
          <w:rFonts w:hint="eastAsia"/>
          <w:color w:val="auto"/>
          <w:sz w:val="24"/>
          <w:highlight w:val="none"/>
        </w:rPr>
        <w:t>.</w:t>
      </w:r>
      <w:r>
        <w:rPr>
          <w:color w:val="auto"/>
          <w:sz w:val="24"/>
          <w:highlight w:val="none"/>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color w:val="auto"/>
          <w:sz w:val="24"/>
          <w:highlight w:val="none"/>
        </w:rPr>
      </w:pPr>
      <w:r>
        <w:rPr>
          <w:color w:val="auto"/>
          <w:sz w:val="24"/>
          <w:highlight w:val="none"/>
        </w:rPr>
        <w:t>13.1.6发包人对存在质量问题或质量隐患的工程有权直接发布或授权监理人发布停工令、复工令。</w:t>
      </w:r>
    </w:p>
    <w:p>
      <w:pPr>
        <w:adjustRightInd w:val="0"/>
        <w:snapToGrid w:val="0"/>
        <w:spacing w:beforeLines="100" w:line="360" w:lineRule="auto"/>
        <w:rPr>
          <w:rFonts w:eastAsia="黑体"/>
          <w:color w:val="auto"/>
          <w:sz w:val="24"/>
          <w:highlight w:val="none"/>
        </w:rPr>
      </w:pPr>
      <w:r>
        <w:rPr>
          <w:rFonts w:eastAsia="黑体"/>
          <w:color w:val="auto"/>
          <w:sz w:val="24"/>
          <w:highlight w:val="none"/>
        </w:rPr>
        <w:t>13.2承包人的质量管理</w:t>
      </w:r>
    </w:p>
    <w:p>
      <w:pPr>
        <w:adjustRightInd w:val="0"/>
        <w:snapToGrid w:val="0"/>
        <w:spacing w:line="360" w:lineRule="auto"/>
        <w:ind w:firstLine="480" w:firstLineChars="200"/>
        <w:rPr>
          <w:color w:val="auto"/>
          <w:sz w:val="24"/>
          <w:highlight w:val="none"/>
        </w:rPr>
      </w:pPr>
      <w:r>
        <w:rPr>
          <w:color w:val="auto"/>
          <w:sz w:val="24"/>
          <w:highlight w:val="none"/>
        </w:rPr>
        <w:t>13.2.1项补充：</w:t>
      </w:r>
    </w:p>
    <w:p>
      <w:pPr>
        <w:adjustRightInd w:val="0"/>
        <w:snapToGrid w:val="0"/>
        <w:spacing w:line="360" w:lineRule="auto"/>
        <w:ind w:firstLine="480" w:firstLineChars="200"/>
        <w:rPr>
          <w:color w:val="auto"/>
          <w:sz w:val="24"/>
          <w:highlight w:val="none"/>
        </w:rPr>
      </w:pPr>
      <w:r>
        <w:rPr>
          <w:color w:val="auto"/>
          <w:sz w:val="24"/>
          <w:highlight w:val="none"/>
        </w:rPr>
        <w:t>承包人提交工程质量保证措施文件的期限：</w:t>
      </w:r>
      <w:r>
        <w:rPr>
          <w:color w:val="auto"/>
          <w:sz w:val="24"/>
          <w:highlight w:val="none"/>
          <w:u w:val="single"/>
        </w:rPr>
        <w:t>签订合同协议书后28天之内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本款增加第13.2.3至13.2.5项：</w:t>
      </w:r>
    </w:p>
    <w:p>
      <w:pPr>
        <w:adjustRightInd w:val="0"/>
        <w:snapToGrid w:val="0"/>
        <w:spacing w:line="360" w:lineRule="auto"/>
        <w:ind w:firstLine="480" w:firstLineChars="200"/>
        <w:rPr>
          <w:color w:val="auto"/>
          <w:sz w:val="24"/>
          <w:highlight w:val="none"/>
        </w:rPr>
      </w:pPr>
      <w:r>
        <w:rPr>
          <w:color w:val="auto"/>
          <w:sz w:val="24"/>
          <w:highlight w:val="none"/>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color w:val="auto"/>
          <w:sz w:val="24"/>
          <w:highlight w:val="none"/>
        </w:rPr>
      </w:pPr>
      <w:r>
        <w:rPr>
          <w:color w:val="auto"/>
          <w:sz w:val="24"/>
          <w:highlight w:val="none"/>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color w:val="auto"/>
          <w:sz w:val="24"/>
          <w:highlight w:val="none"/>
        </w:rPr>
      </w:pPr>
      <w:r>
        <w:rPr>
          <w:color w:val="auto"/>
          <w:sz w:val="24"/>
          <w:highlight w:val="none"/>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color w:val="auto"/>
          <w:sz w:val="24"/>
          <w:highlight w:val="none"/>
        </w:rPr>
      </w:pPr>
      <w:r>
        <w:rPr>
          <w:rFonts w:eastAsia="黑体"/>
          <w:color w:val="auto"/>
          <w:sz w:val="24"/>
          <w:highlight w:val="none"/>
        </w:rPr>
        <w:t>13.4监理人的质量检查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color w:val="auto"/>
          <w:sz w:val="24"/>
          <w:highlight w:val="none"/>
        </w:rPr>
      </w:pPr>
      <w:r>
        <w:rPr>
          <w:color w:val="auto"/>
          <w:sz w:val="24"/>
          <w:highlight w:val="none"/>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13.5工程隐蔽部位覆盖前的检查</w:t>
      </w:r>
    </w:p>
    <w:p>
      <w:pPr>
        <w:adjustRightInd w:val="0"/>
        <w:snapToGrid w:val="0"/>
        <w:spacing w:line="360" w:lineRule="auto"/>
        <w:ind w:firstLine="480" w:firstLineChars="200"/>
        <w:rPr>
          <w:color w:val="auto"/>
          <w:sz w:val="24"/>
          <w:highlight w:val="none"/>
        </w:rPr>
      </w:pPr>
      <w:r>
        <w:rPr>
          <w:color w:val="auto"/>
          <w:sz w:val="24"/>
          <w:highlight w:val="none"/>
        </w:rPr>
        <w:t>13.5.1通知监理人检查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13.6清除不合格工程</w:t>
      </w:r>
    </w:p>
    <w:p>
      <w:pPr>
        <w:adjustRightInd w:val="0"/>
        <w:snapToGrid w:val="0"/>
        <w:spacing w:line="360" w:lineRule="auto"/>
        <w:ind w:firstLine="480" w:firstLineChars="200"/>
        <w:rPr>
          <w:color w:val="auto"/>
          <w:sz w:val="24"/>
          <w:highlight w:val="none"/>
        </w:rPr>
      </w:pPr>
      <w:r>
        <w:rPr>
          <w:color w:val="auto"/>
          <w:sz w:val="24"/>
          <w:highlight w:val="none"/>
        </w:rPr>
        <w:t>13.6.1项细化为：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14</w:t>
      </w:r>
      <w:r>
        <w:rPr>
          <w:rFonts w:hint="eastAsia" w:eastAsia="黑体"/>
          <w:color w:val="auto"/>
          <w:sz w:val="24"/>
          <w:highlight w:val="none"/>
        </w:rPr>
        <w:t>．</w:t>
      </w:r>
      <w:r>
        <w:rPr>
          <w:rFonts w:eastAsia="黑体"/>
          <w:color w:val="auto"/>
          <w:sz w:val="24"/>
          <w:highlight w:val="none"/>
        </w:rPr>
        <w:t>试验和检验</w:t>
      </w:r>
    </w:p>
    <w:p>
      <w:pPr>
        <w:adjustRightInd w:val="0"/>
        <w:snapToGrid w:val="0"/>
        <w:spacing w:line="360" w:lineRule="auto"/>
        <w:rPr>
          <w:color w:val="auto"/>
          <w:sz w:val="24"/>
          <w:highlight w:val="none"/>
        </w:rPr>
      </w:pPr>
      <w:r>
        <w:rPr>
          <w:rFonts w:hAnsi="宋体"/>
          <w:color w:val="auto"/>
          <w:sz w:val="24"/>
          <w:highlight w:val="none"/>
        </w:rPr>
        <w:t>增加第</w:t>
      </w:r>
      <w:r>
        <w:rPr>
          <w:color w:val="auto"/>
          <w:sz w:val="24"/>
          <w:highlight w:val="none"/>
        </w:rPr>
        <w:t>14.4</w:t>
      </w:r>
      <w:r>
        <w:rPr>
          <w:rFonts w:hAnsi="宋体"/>
          <w:color w:val="auto"/>
          <w:sz w:val="24"/>
          <w:highlight w:val="none"/>
        </w:rPr>
        <w:t>款：</w:t>
      </w:r>
    </w:p>
    <w:p>
      <w:pPr>
        <w:adjustRightInd w:val="0"/>
        <w:snapToGrid w:val="0"/>
        <w:spacing w:line="360" w:lineRule="auto"/>
        <w:rPr>
          <w:rFonts w:eastAsia="黑体"/>
          <w:color w:val="auto"/>
          <w:sz w:val="24"/>
          <w:highlight w:val="none"/>
        </w:rPr>
      </w:pPr>
      <w:r>
        <w:rPr>
          <w:rFonts w:eastAsia="黑体"/>
          <w:color w:val="auto"/>
          <w:sz w:val="24"/>
          <w:highlight w:val="none"/>
        </w:rPr>
        <w:t>14.4试验和检验费用</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承包人应负责提供进行试验和检验所需的全部样品，并承担其费用。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15</w:t>
      </w:r>
      <w:r>
        <w:rPr>
          <w:rFonts w:hint="eastAsia" w:eastAsia="黑体"/>
          <w:color w:val="auto"/>
          <w:sz w:val="24"/>
          <w:highlight w:val="none"/>
        </w:rPr>
        <w:t>．</w:t>
      </w:r>
      <w:r>
        <w:rPr>
          <w:rFonts w:eastAsia="黑体"/>
          <w:color w:val="auto"/>
          <w:sz w:val="24"/>
          <w:highlight w:val="none"/>
        </w:rPr>
        <w:t>变更</w:t>
      </w:r>
    </w:p>
    <w:p>
      <w:pPr>
        <w:adjustRightInd w:val="0"/>
        <w:snapToGrid w:val="0"/>
        <w:spacing w:line="360" w:lineRule="auto"/>
        <w:rPr>
          <w:rFonts w:eastAsia="黑体"/>
          <w:color w:val="auto"/>
          <w:sz w:val="24"/>
          <w:highlight w:val="none"/>
        </w:rPr>
      </w:pPr>
      <w:r>
        <w:rPr>
          <w:rFonts w:eastAsia="黑体"/>
          <w:color w:val="auto"/>
          <w:sz w:val="24"/>
          <w:highlight w:val="none"/>
        </w:rPr>
        <w:t>15.1变更的范围和内容</w:t>
      </w:r>
    </w:p>
    <w:p>
      <w:pPr>
        <w:adjustRightInd w:val="0"/>
        <w:snapToGrid w:val="0"/>
        <w:spacing w:line="360" w:lineRule="auto"/>
        <w:ind w:firstLine="480" w:firstLineChars="200"/>
        <w:rPr>
          <w:color w:val="auto"/>
          <w:sz w:val="24"/>
          <w:highlight w:val="none"/>
        </w:rPr>
      </w:pPr>
      <w:r>
        <w:rPr>
          <w:color w:val="auto"/>
          <w:sz w:val="24"/>
          <w:highlight w:val="none"/>
        </w:rPr>
        <w:t>15.1（1）项细化为：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取消合同中任何一项工作，但被取消的工作不能转由发包人或其他人实施，由于承包人违约造成的情况除外；</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设计变更程序应执行交通部《公路工程设计变更管理办法》的相关规定。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15.4变更的估价原则</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除项目专用合同条款另有约定外，因变更引起的价格调整按照本款约定处理。</w:t>
      </w:r>
    </w:p>
    <w:p>
      <w:pPr>
        <w:adjustRightInd w:val="0"/>
        <w:snapToGrid w:val="0"/>
        <w:spacing w:line="360" w:lineRule="auto"/>
        <w:ind w:firstLine="480" w:firstLineChars="200"/>
        <w:rPr>
          <w:color w:val="auto"/>
          <w:sz w:val="24"/>
          <w:highlight w:val="none"/>
        </w:rPr>
      </w:pPr>
      <w:r>
        <w:rPr>
          <w:color w:val="auto"/>
          <w:sz w:val="24"/>
          <w:highlight w:val="none"/>
        </w:rPr>
        <w:t>15.4.1如果取消某项工作，则该项工作的总额价不予支付；</w:t>
      </w:r>
    </w:p>
    <w:p>
      <w:pPr>
        <w:adjustRightInd w:val="0"/>
        <w:snapToGrid w:val="0"/>
        <w:spacing w:line="360" w:lineRule="auto"/>
        <w:ind w:firstLine="480" w:firstLineChars="200"/>
        <w:rPr>
          <w:color w:val="auto"/>
          <w:sz w:val="24"/>
          <w:highlight w:val="none"/>
        </w:rPr>
      </w:pPr>
      <w:r>
        <w:rPr>
          <w:color w:val="auto"/>
          <w:sz w:val="24"/>
          <w:highlight w:val="none"/>
        </w:rPr>
        <w:t>15.4.2已标价工程量清单中有适用于变更工作的子目的，采用该子目的单价。</w:t>
      </w:r>
    </w:p>
    <w:p>
      <w:pPr>
        <w:adjustRightInd w:val="0"/>
        <w:snapToGrid w:val="0"/>
        <w:spacing w:line="360" w:lineRule="auto"/>
        <w:ind w:firstLine="480" w:firstLineChars="200"/>
        <w:rPr>
          <w:color w:val="auto"/>
          <w:sz w:val="24"/>
          <w:highlight w:val="none"/>
        </w:rPr>
      </w:pPr>
      <w:r>
        <w:rPr>
          <w:color w:val="auto"/>
          <w:sz w:val="24"/>
          <w:highlight w:val="none"/>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15.5承包人的合理化建议</w:t>
      </w:r>
    </w:p>
    <w:p>
      <w:pPr>
        <w:adjustRightInd w:val="0"/>
        <w:snapToGrid w:val="0"/>
        <w:spacing w:line="360" w:lineRule="auto"/>
        <w:ind w:firstLine="480" w:firstLineChars="200"/>
        <w:rPr>
          <w:color w:val="auto"/>
          <w:sz w:val="24"/>
          <w:highlight w:val="none"/>
        </w:rPr>
      </w:pPr>
      <w:r>
        <w:rPr>
          <w:color w:val="auto"/>
          <w:sz w:val="24"/>
          <w:highlight w:val="none"/>
        </w:rPr>
        <w:t>15.5.2项约定为：</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承包人提出的合理化建议缩短了工期，发包人按专用合同条款第11.6款的规定给予奖励。</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承包人提出的合理化建议降低了合同价格或者提高了工程经济效益的，发包人按所节约成本或增加收益的</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（在项目专用条款数据表中约定）给予奖励。</w:t>
      </w:r>
    </w:p>
    <w:p>
      <w:pPr>
        <w:adjustRightInd w:val="0"/>
        <w:snapToGrid w:val="0"/>
        <w:spacing w:line="360" w:lineRule="auto"/>
        <w:ind w:firstLine="480" w:firstLineChars="200"/>
        <w:rPr>
          <w:color w:val="auto"/>
          <w:sz w:val="24"/>
          <w:highlight w:val="none"/>
        </w:rPr>
      </w:pPr>
      <w:r>
        <w:rPr>
          <w:color w:val="auto"/>
          <w:sz w:val="24"/>
          <w:highlight w:val="none"/>
        </w:rPr>
        <w:t>15.6暂列金额</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color w:val="auto"/>
          <w:sz w:val="24"/>
          <w:highlight w:val="none"/>
        </w:rPr>
      </w:pPr>
      <w:r>
        <w:rPr>
          <w:color w:val="auto"/>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color w:val="auto"/>
          <w:sz w:val="24"/>
          <w:highlight w:val="none"/>
        </w:rPr>
      </w:pPr>
      <w:r>
        <w:rPr>
          <w:color w:val="auto"/>
          <w:sz w:val="24"/>
          <w:highlight w:val="none"/>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color w:val="auto"/>
          <w:sz w:val="24"/>
          <w:highlight w:val="none"/>
        </w:rPr>
      </w:pPr>
      <w:r>
        <w:rPr>
          <w:rFonts w:eastAsia="黑体"/>
          <w:color w:val="auto"/>
          <w:sz w:val="24"/>
          <w:highlight w:val="none"/>
        </w:rPr>
        <w:t>15.8暂估价</w:t>
      </w:r>
    </w:p>
    <w:p>
      <w:pPr>
        <w:adjustRightInd w:val="0"/>
        <w:snapToGrid w:val="0"/>
        <w:spacing w:line="360" w:lineRule="auto"/>
        <w:ind w:firstLine="480" w:firstLineChars="200"/>
        <w:rPr>
          <w:color w:val="auto"/>
          <w:sz w:val="24"/>
          <w:highlight w:val="none"/>
        </w:rPr>
      </w:pPr>
      <w:r>
        <w:rPr>
          <w:color w:val="auto"/>
          <w:sz w:val="24"/>
          <w:highlight w:val="none"/>
        </w:rPr>
        <w:t>15.8.1项补充：</w:t>
      </w:r>
    </w:p>
    <w:p>
      <w:pPr>
        <w:adjustRightInd w:val="0"/>
        <w:snapToGrid w:val="0"/>
        <w:spacing w:line="360" w:lineRule="auto"/>
        <w:ind w:firstLine="480" w:firstLineChars="200"/>
        <w:rPr>
          <w:color w:val="auto"/>
          <w:sz w:val="24"/>
          <w:highlight w:val="none"/>
        </w:rPr>
      </w:pPr>
      <w:r>
        <w:rPr>
          <w:color w:val="auto"/>
          <w:sz w:val="24"/>
          <w:highlight w:val="none"/>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承包人应与特殊分包人或供应商签订分包合同。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color w:val="auto"/>
          <w:sz w:val="24"/>
          <w:highlight w:val="none"/>
        </w:rPr>
      </w:pPr>
      <w:r>
        <w:rPr>
          <w:color w:val="auto"/>
          <w:sz w:val="24"/>
          <w:highlight w:val="none"/>
        </w:rPr>
        <w:t>如果特殊分包合同中含有与上述规定有悖的条款，承包人有权拒绝与此特殊分包人（或供应商）签订合同。</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对于特殊分包人或供应商已完成的工程或已提供的货物、材料、设备，承包人应有权得到下述款项：</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按照监理人的指令，并根据特殊分包合同的约定，由承包人己支付或应支付的实际价款；</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16</w:t>
      </w:r>
      <w:r>
        <w:rPr>
          <w:rFonts w:hint="eastAsia" w:eastAsia="黑体"/>
          <w:color w:val="auto"/>
          <w:sz w:val="24"/>
          <w:highlight w:val="none"/>
        </w:rPr>
        <w:t>．</w:t>
      </w:r>
      <w:r>
        <w:rPr>
          <w:rFonts w:eastAsia="黑体"/>
          <w:color w:val="auto"/>
          <w:sz w:val="24"/>
          <w:highlight w:val="none"/>
        </w:rPr>
        <w:t>价格调整</w:t>
      </w:r>
    </w:p>
    <w:p>
      <w:pPr>
        <w:adjustRightInd w:val="0"/>
        <w:snapToGrid w:val="0"/>
        <w:spacing w:line="360" w:lineRule="auto"/>
        <w:rPr>
          <w:rFonts w:eastAsia="黑体"/>
          <w:color w:val="auto"/>
          <w:sz w:val="24"/>
          <w:highlight w:val="none"/>
        </w:rPr>
      </w:pPr>
      <w:r>
        <w:rPr>
          <w:rFonts w:eastAsia="黑体"/>
          <w:color w:val="auto"/>
          <w:sz w:val="24"/>
          <w:highlight w:val="none"/>
        </w:rPr>
        <w:t>16.1物价波动引起的价格调整</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因物价波动引起的价格调整按照</w:t>
      </w:r>
      <w:r>
        <w:rPr>
          <w:rFonts w:hint="eastAsia"/>
          <w:color w:val="auto"/>
          <w:sz w:val="24"/>
          <w:highlight w:val="none"/>
          <w:u w:val="single"/>
        </w:rPr>
        <w:t xml:space="preserve">  第16.1.1或16.1.2项  </w:t>
      </w:r>
      <w:r>
        <w:rPr>
          <w:color w:val="auto"/>
          <w:sz w:val="24"/>
          <w:highlight w:val="none"/>
        </w:rPr>
        <w:t>约定的原则处理；或者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承包人在合同在执行期间（包括工期拖延期间）人工、材料和设备价格的上涨而引起工程施工成本增加</w:t>
      </w:r>
      <w:r>
        <w:rPr>
          <w:rFonts w:hint="eastAsia"/>
          <w:color w:val="auto"/>
          <w:sz w:val="24"/>
          <w:highlight w:val="none"/>
        </w:rPr>
        <w:t>或减少</w:t>
      </w:r>
      <w:r>
        <w:rPr>
          <w:color w:val="auto"/>
          <w:sz w:val="24"/>
          <w:highlight w:val="none"/>
        </w:rPr>
        <w:t>的风险，</w:t>
      </w:r>
      <w:r>
        <w:rPr>
          <w:rFonts w:hint="eastAsia"/>
          <w:color w:val="auto"/>
          <w:sz w:val="24"/>
          <w:highlight w:val="none"/>
        </w:rPr>
        <w:t>由业主和承包商协商解决</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16.1.1采用价格指数调整价格差额</w:t>
      </w:r>
    </w:p>
    <w:p>
      <w:pPr>
        <w:adjustRightInd w:val="0"/>
        <w:snapToGrid w:val="0"/>
        <w:spacing w:line="360" w:lineRule="auto"/>
        <w:ind w:firstLine="480" w:firstLineChars="200"/>
        <w:rPr>
          <w:color w:val="auto"/>
          <w:sz w:val="24"/>
          <w:highlight w:val="none"/>
        </w:rPr>
      </w:pPr>
      <w:r>
        <w:rPr>
          <w:color w:val="auto"/>
          <w:sz w:val="24"/>
          <w:highlight w:val="none"/>
        </w:rPr>
        <w:t>16.1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1价格调整公式</w:t>
      </w:r>
    </w:p>
    <w:p>
      <w:pPr>
        <w:adjustRightInd w:val="0"/>
        <w:snapToGrid w:val="0"/>
        <w:spacing w:line="360" w:lineRule="auto"/>
        <w:ind w:firstLine="480" w:firstLineChars="200"/>
        <w:rPr>
          <w:color w:val="auto"/>
          <w:sz w:val="24"/>
          <w:highlight w:val="none"/>
        </w:rPr>
      </w:pPr>
      <w:r>
        <w:rPr>
          <w:color w:val="auto"/>
          <w:sz w:val="24"/>
          <w:highlight w:val="none"/>
        </w:rPr>
        <w:t>本目细化为：</w:t>
      </w:r>
    </w:p>
    <w:p>
      <w:pPr>
        <w:adjustRightInd w:val="0"/>
        <w:snapToGrid w:val="0"/>
        <w:spacing w:line="360" w:lineRule="auto"/>
        <w:ind w:firstLine="480" w:firstLineChars="200"/>
        <w:rPr>
          <w:color w:val="auto"/>
          <w:sz w:val="24"/>
          <w:highlight w:val="none"/>
        </w:rPr>
      </w:pPr>
      <w:r>
        <w:rPr>
          <w:color w:val="auto"/>
          <w:sz w:val="24"/>
          <w:highlight w:val="none"/>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color w:val="auto"/>
          <w:sz w:val="40"/>
          <w:highlight w:val="none"/>
        </w:rPr>
      </w:pPr>
      <w:r>
        <w:rPr>
          <w:rFonts w:hint="eastAsia" w:ascii="黑体" w:eastAsia="黑体"/>
          <w:color w:val="auto"/>
          <w:sz w:val="34"/>
          <w:highlight w:val="none"/>
        </w:rPr>
        <w:t>△</w:t>
      </w:r>
      <w:r>
        <w:rPr>
          <w:rFonts w:eastAsia="黑体"/>
          <w:i/>
          <w:color w:val="auto"/>
          <w:sz w:val="34"/>
          <w:highlight w:val="none"/>
        </w:rPr>
        <w:t>P</w:t>
      </w:r>
      <w:r>
        <w:rPr>
          <w:rFonts w:hint="eastAsia" w:ascii="黑体" w:eastAsia="黑体"/>
          <w:color w:val="auto"/>
          <w:sz w:val="40"/>
          <w:highlight w:val="none"/>
        </w:rPr>
        <w:t>=</w:t>
      </w:r>
      <w:r>
        <w:rPr>
          <w:rFonts w:eastAsia="黑体"/>
          <w:i/>
          <w:color w:val="auto"/>
          <w:sz w:val="32"/>
          <w:highlight w:val="none"/>
        </w:rPr>
        <w:t>P</w:t>
      </w:r>
      <w:r>
        <w:rPr>
          <w:rFonts w:eastAsia="黑体"/>
          <w:color w:val="auto"/>
          <w:sz w:val="32"/>
          <w:highlight w:val="none"/>
          <w:vertAlign w:val="subscript"/>
        </w:rPr>
        <w:t>0</w:t>
      </w:r>
      <w:r>
        <w:rPr>
          <w:rFonts w:ascii="黑体" w:hAnsi="Times New Roman" w:eastAsia="黑体" w:cs="Times New Roman"/>
          <w:color w:val="auto"/>
          <w:kern w:val="2"/>
          <w:position w:val="-34"/>
          <w:sz w:val="40"/>
          <w:szCs w:val="24"/>
          <w:highlight w:val="none"/>
          <w:lang w:val="en-US" w:eastAsia="zh-CN" w:bidi="ar-SA"/>
        </w:rPr>
        <w:object>
          <v:shape id="_x0000_s1028" type="#_x0000_t75" style="height:40.1pt;width:277.8pt;rotation:0f;" o:ole="t"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o:OLEObject Type="Embed" ProgID="" ShapeID="_x0000_s1028" DrawAspect="Content" ObjectID="_1027" r:id="rId11"/>
        </w:object>
      </w:r>
    </w:p>
    <w:p>
      <w:pPr>
        <w:adjustRightInd w:val="0"/>
        <w:snapToGrid w:val="0"/>
        <w:spacing w:line="360" w:lineRule="auto"/>
        <w:ind w:firstLine="480" w:firstLineChars="200"/>
        <w:rPr>
          <w:color w:val="auto"/>
          <w:sz w:val="24"/>
          <w:highlight w:val="none"/>
        </w:rPr>
      </w:pPr>
      <w:r>
        <w:rPr>
          <w:color w:val="auto"/>
          <w:sz w:val="24"/>
          <w:highlight w:val="none"/>
        </w:rPr>
        <w:t>式中：</w:t>
      </w:r>
      <w:r>
        <w:rPr>
          <w:rFonts w:hint="eastAsia" w:ascii="黑体" w:eastAsia="黑体"/>
          <w:color w:val="auto"/>
          <w:sz w:val="28"/>
          <w:szCs w:val="28"/>
          <w:highlight w:val="none"/>
        </w:rPr>
        <w:t>△</w:t>
      </w:r>
      <w:r>
        <w:rPr>
          <w:rFonts w:eastAsia="黑体"/>
          <w:i/>
          <w:color w:val="auto"/>
          <w:sz w:val="28"/>
          <w:szCs w:val="28"/>
          <w:highlight w:val="none"/>
        </w:rPr>
        <w:t>P</w:t>
      </w:r>
      <w:r>
        <w:rPr>
          <w:color w:val="auto"/>
          <w:sz w:val="24"/>
          <w:highlight w:val="none"/>
        </w:rPr>
        <w:t>一需调整的价格差额；</w:t>
      </w:r>
    </w:p>
    <w:p>
      <w:pPr>
        <w:adjustRightInd w:val="0"/>
        <w:snapToGrid w:val="0"/>
        <w:spacing w:line="360" w:lineRule="auto"/>
        <w:ind w:firstLine="480" w:firstLineChars="200"/>
        <w:rPr>
          <w:color w:val="auto"/>
          <w:sz w:val="24"/>
          <w:highlight w:val="none"/>
        </w:rPr>
      </w:pPr>
      <w:r>
        <w:rPr>
          <w:color w:val="auto"/>
          <w:sz w:val="24"/>
          <w:highlight w:val="none"/>
        </w:rPr>
        <w:t>P。一第17.3.3项、第17.5.2项和第17.6.2项约定的付款证书中承包人应得到的</w:t>
      </w:r>
      <w:r>
        <w:rPr>
          <w:rFonts w:hint="eastAsia"/>
          <w:color w:val="auto"/>
          <w:sz w:val="24"/>
          <w:highlight w:val="none"/>
        </w:rPr>
        <w:t>已</w:t>
      </w:r>
      <w:r>
        <w:rPr>
          <w:color w:val="auto"/>
          <w:sz w:val="24"/>
          <w:highlight w:val="none"/>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定值权重（即不调部分的权重）；</w:t>
      </w:r>
    </w:p>
    <w:p>
      <w:pPr>
        <w:adjustRightInd w:val="0"/>
        <w:snapToGrid w:val="0"/>
        <w:spacing w:line="360" w:lineRule="auto"/>
        <w:ind w:firstLine="480" w:firstLineChars="200"/>
        <w:rPr>
          <w:color w:val="auto"/>
          <w:sz w:val="24"/>
          <w:highlight w:val="none"/>
        </w:rPr>
      </w:pPr>
      <w:r>
        <w:rPr>
          <w:color w:val="auto"/>
          <w:sz w:val="24"/>
          <w:highlight w:val="none"/>
        </w:rPr>
        <w:t>B</w:t>
      </w:r>
      <w:r>
        <w:rPr>
          <w:color w:val="auto"/>
          <w:sz w:val="24"/>
          <w:highlight w:val="none"/>
          <w:vertAlign w:val="subscript"/>
        </w:rPr>
        <w:t>1</w:t>
      </w:r>
      <w:r>
        <w:rPr>
          <w:rFonts w:hint="eastAsia"/>
          <w:color w:val="auto"/>
          <w:sz w:val="24"/>
          <w:highlight w:val="none"/>
        </w:rPr>
        <w:t>；</w:t>
      </w:r>
      <w:r>
        <w:rPr>
          <w:color w:val="auto"/>
          <w:sz w:val="24"/>
          <w:highlight w:val="none"/>
        </w:rPr>
        <w:t>B</w:t>
      </w:r>
      <w:r>
        <w:rPr>
          <w:rFonts w:hint="eastAsia"/>
          <w:color w:val="auto"/>
          <w:sz w:val="24"/>
          <w:highlight w:val="none"/>
          <w:vertAlign w:val="subscript"/>
        </w:rPr>
        <w:t>2</w:t>
      </w:r>
      <w:r>
        <w:rPr>
          <w:rFonts w:hint="eastAsia"/>
          <w:color w:val="auto"/>
          <w:sz w:val="24"/>
          <w:highlight w:val="none"/>
        </w:rPr>
        <w:t>；</w:t>
      </w:r>
      <w:r>
        <w:rPr>
          <w:color w:val="auto"/>
          <w:sz w:val="24"/>
          <w:highlight w:val="none"/>
        </w:rPr>
        <w:t>B</w:t>
      </w:r>
      <w:r>
        <w:rPr>
          <w:rFonts w:hint="eastAsia"/>
          <w:color w:val="auto"/>
          <w:sz w:val="24"/>
          <w:highlight w:val="none"/>
          <w:vertAlign w:val="subscript"/>
        </w:rPr>
        <w:t>3</w:t>
      </w:r>
      <w:r>
        <w:rPr>
          <w:color w:val="auto"/>
          <w:sz w:val="24"/>
          <w:highlight w:val="none"/>
        </w:rPr>
        <w:t>...... B</w:t>
      </w:r>
      <w:r>
        <w:rPr>
          <w:rFonts w:hint="eastAsia"/>
          <w:color w:val="auto"/>
          <w:sz w:val="24"/>
          <w:highlight w:val="none"/>
          <w:vertAlign w:val="subscript"/>
        </w:rPr>
        <w:t>n</w:t>
      </w:r>
      <w:r>
        <w:rPr>
          <w:rFonts w:hint="eastAsia"/>
          <w:color w:val="auto"/>
          <w:sz w:val="24"/>
          <w:highlight w:val="none"/>
        </w:rPr>
        <w:t>--</w:t>
      </w:r>
      <w:r>
        <w:rPr>
          <w:color w:val="auto"/>
          <w:sz w:val="24"/>
          <w:highlight w:val="none"/>
        </w:rPr>
        <w:t>各可调因子的变值权重（即可调部分的权重）为各可调因子在投标函投标总报价中所占的比例；</w:t>
      </w:r>
    </w:p>
    <w:p>
      <w:pPr>
        <w:adjustRightInd w:val="0"/>
        <w:snapToGrid w:val="0"/>
        <w:spacing w:line="360" w:lineRule="auto"/>
        <w:ind w:firstLine="480" w:firstLineChars="200"/>
        <w:rPr>
          <w:color w:val="auto"/>
          <w:sz w:val="24"/>
          <w:highlight w:val="none"/>
        </w:rPr>
      </w:pPr>
      <w:r>
        <w:rPr>
          <w:color w:val="auto"/>
          <w:sz w:val="24"/>
          <w:highlight w:val="none"/>
        </w:rPr>
        <w:t>A=1</w:t>
      </w:r>
      <w:r>
        <w:rPr>
          <w:rFonts w:hint="eastAsia"/>
          <w:color w:val="auto"/>
          <w:sz w:val="24"/>
          <w:highlight w:val="none"/>
        </w:rPr>
        <w:t>－</w:t>
      </w:r>
      <w:r>
        <w:rPr>
          <w:color w:val="auto"/>
          <w:sz w:val="24"/>
          <w:highlight w:val="none"/>
        </w:rPr>
        <w:t>（B</w:t>
      </w:r>
      <w:r>
        <w:rPr>
          <w:color w:val="auto"/>
          <w:sz w:val="24"/>
          <w:highlight w:val="none"/>
          <w:vertAlign w:val="subscript"/>
        </w:rPr>
        <w:t>1</w:t>
      </w:r>
      <w:r>
        <w:rPr>
          <w:color w:val="auto"/>
          <w:sz w:val="24"/>
          <w:highlight w:val="none"/>
        </w:rPr>
        <w:t>＋B</w:t>
      </w:r>
      <w:r>
        <w:rPr>
          <w:rFonts w:hint="eastAsia"/>
          <w:color w:val="auto"/>
          <w:sz w:val="24"/>
          <w:highlight w:val="none"/>
          <w:vertAlign w:val="subscript"/>
        </w:rPr>
        <w:t>2</w:t>
      </w:r>
      <w:r>
        <w:rPr>
          <w:color w:val="auto"/>
          <w:sz w:val="24"/>
          <w:highlight w:val="none"/>
        </w:rPr>
        <w:t>＋B</w:t>
      </w:r>
      <w:r>
        <w:rPr>
          <w:rFonts w:hint="eastAsia"/>
          <w:color w:val="auto"/>
          <w:sz w:val="24"/>
          <w:highlight w:val="none"/>
          <w:vertAlign w:val="subscript"/>
        </w:rPr>
        <w:t>3</w:t>
      </w:r>
      <w:r>
        <w:rPr>
          <w:color w:val="auto"/>
          <w:sz w:val="24"/>
          <w:highlight w:val="none"/>
        </w:rPr>
        <w:t>＋……＋B</w:t>
      </w:r>
      <w:r>
        <w:rPr>
          <w:rFonts w:hint="eastAsia"/>
          <w:color w:val="auto"/>
          <w:sz w:val="24"/>
          <w:highlight w:val="none"/>
          <w:vertAlign w:val="subscript"/>
        </w:rPr>
        <w:t>n</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tl</w:t>
      </w:r>
      <w:r>
        <w:rPr>
          <w:rFonts w:hint="eastAsia"/>
          <w:color w:val="auto"/>
          <w:sz w:val="24"/>
          <w:highlight w:val="none"/>
        </w:rPr>
        <w:t>；</w:t>
      </w:r>
      <w:r>
        <w:rPr>
          <w:color w:val="auto"/>
          <w:sz w:val="24"/>
          <w:highlight w:val="none"/>
        </w:rPr>
        <w:t>F</w:t>
      </w:r>
      <w:r>
        <w:rPr>
          <w:color w:val="auto"/>
          <w:sz w:val="24"/>
          <w:highlight w:val="none"/>
          <w:vertAlign w:val="subscript"/>
        </w:rPr>
        <w:t>t2</w:t>
      </w:r>
      <w:r>
        <w:rPr>
          <w:rFonts w:hint="eastAsia"/>
          <w:color w:val="auto"/>
          <w:sz w:val="24"/>
          <w:highlight w:val="none"/>
        </w:rPr>
        <w:t>；</w:t>
      </w:r>
      <w:r>
        <w:rPr>
          <w:color w:val="auto"/>
          <w:sz w:val="24"/>
          <w:highlight w:val="none"/>
        </w:rPr>
        <w:t>F</w:t>
      </w:r>
      <w:r>
        <w:rPr>
          <w:color w:val="auto"/>
          <w:sz w:val="24"/>
          <w:highlight w:val="none"/>
          <w:vertAlign w:val="subscript"/>
        </w:rPr>
        <w:t>t3</w:t>
      </w:r>
      <w:r>
        <w:rPr>
          <w:color w:val="auto"/>
          <w:sz w:val="24"/>
          <w:highlight w:val="none"/>
        </w:rPr>
        <w:t>...... F</w:t>
      </w:r>
      <w:r>
        <w:rPr>
          <w:color w:val="auto"/>
          <w:sz w:val="24"/>
          <w:highlight w:val="none"/>
          <w:vertAlign w:val="subscript"/>
        </w:rPr>
        <w:t>tn</w:t>
      </w:r>
      <w:r>
        <w:rPr>
          <w:rFonts w:hint="eastAsia"/>
          <w:color w:val="auto"/>
          <w:sz w:val="24"/>
          <w:highlight w:val="none"/>
        </w:rPr>
        <w:t>--</w:t>
      </w:r>
      <w:r>
        <w:rPr>
          <w:color w:val="auto"/>
          <w:sz w:val="24"/>
          <w:highlight w:val="none"/>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ol</w:t>
      </w:r>
      <w:r>
        <w:rPr>
          <w:color w:val="auto"/>
          <w:sz w:val="24"/>
          <w:highlight w:val="none"/>
        </w:rPr>
        <w:t>；F</w:t>
      </w:r>
      <w:r>
        <w:rPr>
          <w:color w:val="auto"/>
          <w:sz w:val="24"/>
          <w:highlight w:val="none"/>
          <w:vertAlign w:val="subscript"/>
        </w:rPr>
        <w:t>o</w:t>
      </w:r>
      <w:r>
        <w:rPr>
          <w:rFonts w:hint="eastAsia"/>
          <w:color w:val="auto"/>
          <w:sz w:val="24"/>
          <w:highlight w:val="none"/>
          <w:vertAlign w:val="subscript"/>
        </w:rPr>
        <w:t>2</w:t>
      </w:r>
      <w:r>
        <w:rPr>
          <w:color w:val="auto"/>
          <w:sz w:val="24"/>
          <w:highlight w:val="none"/>
        </w:rPr>
        <w:t>；F</w:t>
      </w:r>
      <w:r>
        <w:rPr>
          <w:color w:val="auto"/>
          <w:sz w:val="24"/>
          <w:highlight w:val="none"/>
          <w:vertAlign w:val="subscript"/>
        </w:rPr>
        <w:t>o3</w:t>
      </w:r>
      <w:r>
        <w:rPr>
          <w:color w:val="auto"/>
          <w:sz w:val="24"/>
          <w:highlight w:val="none"/>
        </w:rPr>
        <w:t>...... F</w:t>
      </w:r>
      <w:r>
        <w:rPr>
          <w:color w:val="auto"/>
          <w:sz w:val="24"/>
          <w:highlight w:val="none"/>
          <w:vertAlign w:val="subscript"/>
        </w:rPr>
        <w:t>on</w:t>
      </w:r>
      <w:r>
        <w:rPr>
          <w:rFonts w:hint="eastAsia"/>
          <w:color w:val="auto"/>
          <w:sz w:val="24"/>
          <w:highlight w:val="none"/>
        </w:rPr>
        <w:t>--</w:t>
      </w:r>
      <w:r>
        <w:rPr>
          <w:color w:val="auto"/>
          <w:sz w:val="24"/>
          <w:highlight w:val="none"/>
        </w:rPr>
        <w:t>各可调因子的基本价格指数，指基准日期的各可调因子的价格指数。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在采用价格调整公式进行调价时，还应遵守以下规定：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合同价格在投标所在年份不作调整，此后每年按价格调整公式调整一次。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color w:val="auto"/>
          <w:sz w:val="24"/>
          <w:highlight w:val="none"/>
        </w:rPr>
      </w:pPr>
      <w:r>
        <w:rPr>
          <w:color w:val="auto"/>
          <w:sz w:val="24"/>
          <w:highlight w:val="none"/>
        </w:rPr>
        <w:t>16.1.1.4承包人工期延误后的价格调整</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color w:val="auto"/>
          <w:sz w:val="24"/>
          <w:highlight w:val="none"/>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计量与支付</w:t>
      </w:r>
    </w:p>
    <w:p>
      <w:pPr>
        <w:adjustRightInd w:val="0"/>
        <w:snapToGrid w:val="0"/>
        <w:spacing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1计量</w:t>
      </w:r>
    </w:p>
    <w:p>
      <w:pPr>
        <w:adjustRightInd w:val="0"/>
        <w:snapToGrid w:val="0"/>
        <w:spacing w:line="360" w:lineRule="auto"/>
        <w:ind w:firstLine="480" w:firstLineChars="200"/>
        <w:rPr>
          <w:color w:val="auto"/>
          <w:sz w:val="24"/>
          <w:highlight w:val="none"/>
        </w:rPr>
      </w:pPr>
      <w:r>
        <w:rPr>
          <w:color w:val="auto"/>
          <w:sz w:val="24"/>
          <w:highlight w:val="none"/>
        </w:rPr>
        <w:t>17.1.2计量方法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color w:val="auto"/>
          <w:sz w:val="24"/>
          <w:highlight w:val="none"/>
        </w:rPr>
      </w:pPr>
      <w:r>
        <w:rPr>
          <w:color w:val="auto"/>
          <w:sz w:val="24"/>
          <w:highlight w:val="none"/>
        </w:rPr>
        <w:t>17.1.4单价子目的计量</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color w:val="auto"/>
          <w:sz w:val="24"/>
          <w:highlight w:val="none"/>
        </w:rPr>
      </w:pPr>
      <w:r>
        <w:rPr>
          <w:rFonts w:hint="eastAsia"/>
          <w:color w:val="auto"/>
          <w:sz w:val="24"/>
          <w:highlight w:val="none"/>
        </w:rPr>
        <w:t>17.1.6 路面养护期计量方法</w:t>
      </w:r>
    </w:p>
    <w:p>
      <w:pPr>
        <w:adjustRightInd w:val="0"/>
        <w:snapToGrid w:val="0"/>
        <w:spacing w:line="360" w:lineRule="auto"/>
        <w:ind w:firstLine="480" w:firstLineChars="200"/>
        <w:rPr>
          <w:color w:val="auto"/>
          <w:sz w:val="24"/>
          <w:highlight w:val="none"/>
        </w:rPr>
      </w:pPr>
      <w:r>
        <w:rPr>
          <w:rFonts w:hint="eastAsia"/>
          <w:color w:val="auto"/>
          <w:sz w:val="24"/>
          <w:highlight w:val="none"/>
        </w:rPr>
        <w:t>（一）路面养护所有工作内容包含在综合报价中，不单独计量支付。</w:t>
      </w:r>
    </w:p>
    <w:p>
      <w:pPr>
        <w:adjustRightInd w:val="0"/>
        <w:snapToGrid w:val="0"/>
        <w:spacing w:line="360" w:lineRule="auto"/>
        <w:ind w:firstLine="480" w:firstLineChars="200"/>
        <w:rPr>
          <w:color w:val="auto"/>
          <w:sz w:val="24"/>
          <w:highlight w:val="none"/>
        </w:rPr>
      </w:pPr>
      <w:r>
        <w:rPr>
          <w:rFonts w:hint="eastAsia"/>
          <w:color w:val="auto"/>
          <w:sz w:val="24"/>
          <w:highlight w:val="none"/>
        </w:rPr>
        <w:t>（二</w:t>
      </w:r>
      <w:r>
        <w:rPr>
          <w:color w:val="auto"/>
          <w:sz w:val="24"/>
          <w:highlight w:val="none"/>
        </w:rPr>
        <w:t>）</w:t>
      </w:r>
      <w:r>
        <w:rPr>
          <w:rFonts w:hint="eastAsia"/>
          <w:color w:val="auto"/>
          <w:sz w:val="24"/>
          <w:highlight w:val="none"/>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color w:val="auto"/>
          <w:sz w:val="24"/>
          <w:highlight w:val="none"/>
        </w:rPr>
      </w:pPr>
      <w:r>
        <w:rPr>
          <w:rFonts w:hint="eastAsia"/>
          <w:color w:val="auto"/>
          <w:sz w:val="24"/>
          <w:highlight w:val="none"/>
        </w:rPr>
        <w:t>（1）除了合同另有规定外，所有计量单位均为公制；</w:t>
      </w:r>
    </w:p>
    <w:p>
      <w:pPr>
        <w:adjustRightInd w:val="0"/>
        <w:snapToGrid w:val="0"/>
        <w:spacing w:line="360" w:lineRule="auto"/>
        <w:ind w:firstLine="480" w:firstLineChars="200"/>
        <w:rPr>
          <w:color w:val="auto"/>
          <w:sz w:val="24"/>
          <w:highlight w:val="none"/>
        </w:rPr>
      </w:pPr>
      <w:r>
        <w:rPr>
          <w:rFonts w:hint="eastAsia"/>
          <w:color w:val="auto"/>
          <w:sz w:val="24"/>
          <w:highlight w:val="none"/>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color w:val="auto"/>
          <w:sz w:val="24"/>
          <w:highlight w:val="none"/>
        </w:rPr>
      </w:pPr>
      <w:r>
        <w:rPr>
          <w:rFonts w:hint="eastAsia"/>
          <w:color w:val="auto"/>
          <w:sz w:val="24"/>
          <w:highlight w:val="none"/>
        </w:rPr>
        <w:t>（3）每次计量支付基数为年度养护费用的百分比值，分别按照养护年度第一次计量40%，第二次计量60%；</w:t>
      </w:r>
    </w:p>
    <w:p>
      <w:pPr>
        <w:adjustRightInd w:val="0"/>
        <w:snapToGrid w:val="0"/>
        <w:spacing w:line="360" w:lineRule="auto"/>
        <w:ind w:firstLine="480" w:firstLineChars="200"/>
        <w:rPr>
          <w:color w:val="auto"/>
          <w:sz w:val="24"/>
          <w:highlight w:val="none"/>
        </w:rPr>
      </w:pPr>
      <w:r>
        <w:rPr>
          <w:rFonts w:hint="eastAsia"/>
          <w:color w:val="auto"/>
          <w:sz w:val="24"/>
          <w:highlight w:val="none"/>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color w:val="auto"/>
          <w:sz w:val="24"/>
          <w:highlight w:val="none"/>
        </w:rPr>
      </w:pPr>
      <w:r>
        <w:rPr>
          <w:rFonts w:hint="eastAsia"/>
          <w:color w:val="auto"/>
          <w:sz w:val="24"/>
          <w:highlight w:val="none"/>
        </w:rPr>
        <w:t>第一养护年度，IRI指数须达到：IRI≤1.3</w:t>
      </w:r>
    </w:p>
    <w:p>
      <w:pPr>
        <w:adjustRightInd w:val="0"/>
        <w:snapToGrid w:val="0"/>
        <w:spacing w:line="360" w:lineRule="auto"/>
        <w:ind w:firstLine="480" w:firstLineChars="200"/>
        <w:rPr>
          <w:color w:val="auto"/>
          <w:sz w:val="24"/>
          <w:highlight w:val="none"/>
        </w:rPr>
      </w:pPr>
      <w:r>
        <w:rPr>
          <w:rFonts w:hint="eastAsia"/>
          <w:color w:val="auto"/>
          <w:sz w:val="24"/>
          <w:highlight w:val="none"/>
        </w:rPr>
        <w:t>a.当1.3＜IRI≤1.4时，扣除该期计量的10%；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b.当1.4＜IRI≤1.5时，以1.4为基数，再扣除该期计量的10%，责令承包人更换技术和质量负责人，并向其公司通报；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c.当IRI＞1.5时，将视为承包人违约，扣除该期计量，解除合同，并追究承包人的违约责任。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第二养护年度，IRI指数须≤1.4</w:t>
      </w:r>
    </w:p>
    <w:p>
      <w:pPr>
        <w:adjustRightInd w:val="0"/>
        <w:snapToGrid w:val="0"/>
        <w:spacing w:line="360" w:lineRule="auto"/>
        <w:ind w:firstLine="480" w:firstLineChars="200"/>
        <w:rPr>
          <w:color w:val="auto"/>
          <w:sz w:val="24"/>
          <w:highlight w:val="none"/>
        </w:rPr>
      </w:pPr>
      <w:r>
        <w:rPr>
          <w:rFonts w:hint="eastAsia"/>
          <w:color w:val="auto"/>
          <w:sz w:val="24"/>
          <w:highlight w:val="none"/>
        </w:rPr>
        <w:t>a.当1.4＜IRI≤1.5时，扣除该期计量的10%；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b.当1.5＜IRI≤1.6时，以1.5为基数，再扣除该期计量的10%，责令承包人更换技术和质量负责人，并向其公司通报；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c.当IRI＞1.6时，将视为承包人违约，扣除该期计量，解除合同，并追究承包人的违约责任。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第三养护年度，IRI指数须达到：IRI≤1.5</w:t>
      </w:r>
    </w:p>
    <w:p>
      <w:pPr>
        <w:adjustRightInd w:val="0"/>
        <w:snapToGrid w:val="0"/>
        <w:spacing w:line="360" w:lineRule="auto"/>
        <w:ind w:firstLine="480" w:firstLineChars="200"/>
        <w:rPr>
          <w:color w:val="auto"/>
          <w:sz w:val="24"/>
          <w:highlight w:val="none"/>
        </w:rPr>
      </w:pPr>
      <w:r>
        <w:rPr>
          <w:rFonts w:hint="eastAsia"/>
          <w:color w:val="auto"/>
          <w:sz w:val="24"/>
          <w:highlight w:val="none"/>
        </w:rPr>
        <w:t>a.当1.5＜IRI≤1.6时，扣除该期计量的10%；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b.当1.6＜IRI≤1.7时，以1.6为基数，再扣除该期计量的10%，责令承包人更换技术和质量负责人，并向其公司通报；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c.当IRI＞1.7时，将视为承包人违约，扣除该期计量，解除合同，并追究承包人的违约责任。</w:t>
      </w:r>
    </w:p>
    <w:p>
      <w:pPr>
        <w:spacing w:line="360" w:lineRule="auto"/>
        <w:ind w:firstLine="470" w:firstLineChars="196"/>
        <w:rPr>
          <w:color w:val="auto"/>
          <w:sz w:val="24"/>
          <w:highlight w:val="none"/>
        </w:rPr>
      </w:pPr>
      <w:r>
        <w:rPr>
          <w:rFonts w:hint="eastAsia"/>
          <w:color w:val="auto"/>
          <w:sz w:val="24"/>
          <w:highlight w:val="none"/>
        </w:rPr>
        <w:t>每次检测IRI值小于规定值的，给予全额计量。</w:t>
      </w:r>
    </w:p>
    <w:p>
      <w:pPr>
        <w:spacing w:line="360" w:lineRule="auto"/>
        <w:ind w:firstLine="470" w:firstLineChars="196"/>
        <w:rPr>
          <w:color w:val="auto"/>
          <w:sz w:val="24"/>
          <w:highlight w:val="none"/>
        </w:rPr>
      </w:pPr>
      <w:r>
        <w:rPr>
          <w:rFonts w:hint="eastAsia"/>
          <w:color w:val="auto"/>
          <w:sz w:val="24"/>
          <w:highlight w:val="none"/>
        </w:rPr>
        <w:t>（5）在一个计量周期内，每一季度综合养护指数值均不低于96分的，给予全额计量；一个计量周期内，两次季度平均综合养护指数值低于96分的：</w:t>
      </w:r>
    </w:p>
    <w:p>
      <w:pPr>
        <w:spacing w:line="360" w:lineRule="auto"/>
        <w:ind w:firstLine="470" w:firstLineChars="196"/>
        <w:rPr>
          <w:color w:val="auto"/>
          <w:sz w:val="24"/>
          <w:highlight w:val="none"/>
        </w:rPr>
      </w:pPr>
      <w:r>
        <w:rPr>
          <w:rFonts w:hint="eastAsia"/>
          <w:color w:val="auto"/>
          <w:sz w:val="24"/>
          <w:highlight w:val="none"/>
        </w:rPr>
        <w:t>当96.0＞综合养护指数值≥94.0时，每降低0.5分，扣除当期计量的5％；</w:t>
      </w:r>
    </w:p>
    <w:p>
      <w:pPr>
        <w:spacing w:line="360" w:lineRule="auto"/>
        <w:ind w:firstLine="470" w:firstLineChars="196"/>
        <w:rPr>
          <w:color w:val="auto"/>
          <w:sz w:val="24"/>
          <w:highlight w:val="none"/>
        </w:rPr>
      </w:pPr>
      <w:r>
        <w:rPr>
          <w:rFonts w:hint="eastAsia"/>
          <w:color w:val="auto"/>
          <w:sz w:val="24"/>
          <w:highlight w:val="none"/>
        </w:rPr>
        <w:t>当94.0＞综合养护指数值≥92.0时，以94分为基数，每降低0.5分，再扣除当期计量的10％，并要求承包商在规定的时间内更换项目经理和技术负责人；</w:t>
      </w:r>
    </w:p>
    <w:p>
      <w:pPr>
        <w:spacing w:line="360" w:lineRule="auto"/>
        <w:ind w:firstLine="470" w:firstLineChars="196"/>
        <w:rPr>
          <w:color w:val="auto"/>
          <w:sz w:val="24"/>
          <w:highlight w:val="none"/>
        </w:rPr>
      </w:pPr>
      <w:r>
        <w:rPr>
          <w:rFonts w:hint="eastAsia"/>
          <w:color w:val="auto"/>
          <w:sz w:val="24"/>
          <w:highlight w:val="none"/>
        </w:rPr>
        <w:t>当任一季度综合养护指数值≤92时，将视为承包商违约，业主将扣除承包商本期所有计量，并予以解除合同。</w:t>
      </w:r>
    </w:p>
    <w:p>
      <w:pPr>
        <w:spacing w:line="360" w:lineRule="auto"/>
        <w:ind w:firstLine="470" w:firstLineChars="196"/>
        <w:rPr>
          <w:color w:val="auto"/>
          <w:sz w:val="24"/>
          <w:highlight w:val="none"/>
        </w:rPr>
      </w:pPr>
      <w:r>
        <w:rPr>
          <w:rFonts w:hint="eastAsia"/>
          <w:color w:val="auto"/>
          <w:sz w:val="24"/>
          <w:highlight w:val="none"/>
        </w:rPr>
        <w:t>（6）以上国际平整度指数（IRI</w:t>
      </w:r>
      <w:r>
        <w:rPr>
          <w:color w:val="auto"/>
          <w:sz w:val="24"/>
          <w:highlight w:val="none"/>
        </w:rPr>
        <w:t>）</w:t>
      </w:r>
      <w:r>
        <w:rPr>
          <w:rFonts w:hint="eastAsia"/>
          <w:color w:val="auto"/>
          <w:sz w:val="24"/>
          <w:highlight w:val="none"/>
        </w:rPr>
        <w:t>和综合养护指数实行双控，任一指标低于规定值，均按照上述要求处罚，并且实行以上处罚时不免除合同规定的其它处罚。</w:t>
      </w:r>
    </w:p>
    <w:p>
      <w:pPr>
        <w:spacing w:line="360" w:lineRule="auto"/>
        <w:ind w:firstLine="470" w:firstLineChars="196"/>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color w:val="auto"/>
          <w:sz w:val="24"/>
          <w:highlight w:val="none"/>
        </w:rPr>
      </w:pPr>
      <w:r>
        <w:rPr>
          <w:rFonts w:eastAsia="黑体"/>
          <w:color w:val="auto"/>
          <w:sz w:val="24"/>
          <w:highlight w:val="none"/>
        </w:rPr>
        <w:t>17.2预付款</w:t>
      </w:r>
    </w:p>
    <w:p>
      <w:pPr>
        <w:adjustRightInd w:val="0"/>
        <w:snapToGrid w:val="0"/>
        <w:spacing w:line="360" w:lineRule="auto"/>
        <w:ind w:firstLine="480" w:firstLineChars="200"/>
        <w:rPr>
          <w:color w:val="auto"/>
          <w:sz w:val="24"/>
          <w:highlight w:val="none"/>
        </w:rPr>
      </w:pPr>
      <w:r>
        <w:rPr>
          <w:color w:val="auto"/>
          <w:sz w:val="24"/>
          <w:highlight w:val="none"/>
        </w:rPr>
        <w:t>17.2.1预付款</w:t>
      </w:r>
    </w:p>
    <w:p>
      <w:pPr>
        <w:adjustRightInd w:val="0"/>
        <w:snapToGrid w:val="0"/>
        <w:spacing w:line="360" w:lineRule="auto"/>
        <w:ind w:firstLine="480" w:firstLineChars="200"/>
        <w:rPr>
          <w:color w:val="auto"/>
          <w:sz w:val="24"/>
          <w:highlight w:val="none"/>
        </w:rPr>
      </w:pPr>
      <w:r>
        <w:rPr>
          <w:color w:val="auto"/>
          <w:sz w:val="24"/>
          <w:highlight w:val="none"/>
        </w:rPr>
        <w:t>本项约定的预付款包括开工预付款和材料、设备预付款。具体额度和预付办法如下：</w:t>
      </w:r>
    </w:p>
    <w:p>
      <w:pPr>
        <w:adjustRightInd w:val="0"/>
        <w:snapToGrid w:val="0"/>
        <w:spacing w:line="360" w:lineRule="auto"/>
        <w:ind w:firstLine="480" w:firstLineChars="200"/>
        <w:rPr>
          <w:color w:val="auto"/>
          <w:sz w:val="24"/>
          <w:highlight w:val="none"/>
        </w:rPr>
      </w:pPr>
      <w:r>
        <w:rPr>
          <w:color w:val="auto"/>
          <w:sz w:val="24"/>
          <w:highlight w:val="none"/>
        </w:rPr>
        <w:t>（1）开工预付款的金额在项目专用合同条款数据表中约定。在承包人签订了合同协议书且承包人承诺的主要设备进场后，监理人应在当期进度付款证书中向承包人支付开工预付款。</w:t>
      </w:r>
    </w:p>
    <w:p>
      <w:pPr>
        <w:adjustRightInd w:val="0"/>
        <w:snapToGrid w:val="0"/>
        <w:spacing w:line="360" w:lineRule="auto"/>
        <w:ind w:firstLine="480" w:firstLineChars="200"/>
        <w:rPr>
          <w:color w:val="auto"/>
          <w:sz w:val="24"/>
          <w:highlight w:val="none"/>
        </w:rPr>
      </w:pPr>
      <w:r>
        <w:rPr>
          <w:color w:val="auto"/>
          <w:sz w:val="24"/>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材料、设备预付款的额度为项目专用合同条款中所列主要材料、设备单据费用（进口的材料、设备为到岸价，国内采购的为出厂价或销售价，</w:t>
      </w:r>
      <w:r>
        <w:rPr>
          <w:rFonts w:hint="eastAsia"/>
          <w:color w:val="auto"/>
          <w:sz w:val="24"/>
          <w:highlight w:val="none"/>
        </w:rPr>
        <w:t>地方材料为堆场价）的百分比支付。其预付条件为：</w:t>
      </w:r>
      <w:r>
        <w:rPr>
          <w:color w:val="auto"/>
          <w:sz w:val="24"/>
          <w:highlight w:val="none"/>
        </w:rPr>
        <w:t>其预付条件为：</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材料、设备符合规范要求并经监理人认可；</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承包人已出具材料、设备费用凭证或支付单据；以及</w:t>
      </w:r>
    </w:p>
    <w:p>
      <w:pPr>
        <w:adjustRightInd w:val="0"/>
        <w:snapToGrid w:val="0"/>
        <w:spacing w:line="360" w:lineRule="auto"/>
        <w:ind w:firstLine="480" w:firstLineChars="200"/>
        <w:rPr>
          <w:color w:val="auto"/>
          <w:sz w:val="24"/>
          <w:highlight w:val="none"/>
        </w:rPr>
      </w:pPr>
      <w:r>
        <w:rPr>
          <w:color w:val="auto"/>
          <w:sz w:val="24"/>
          <w:highlight w:val="none"/>
        </w:rPr>
        <w:t>c</w:t>
      </w:r>
      <w:r>
        <w:rPr>
          <w:rFonts w:hint="eastAsia"/>
          <w:color w:val="auto"/>
          <w:sz w:val="24"/>
          <w:highlight w:val="none"/>
        </w:rPr>
        <w:t>．</w:t>
      </w:r>
      <w:r>
        <w:rPr>
          <w:color w:val="auto"/>
          <w:sz w:val="24"/>
          <w:highlight w:val="none"/>
        </w:rPr>
        <w:t>材料、设备已在现场交货，且存储良好，监理人认为材料、设备的存储方法符合要求。</w:t>
      </w:r>
    </w:p>
    <w:p>
      <w:pPr>
        <w:adjustRightInd w:val="0"/>
        <w:snapToGrid w:val="0"/>
        <w:spacing w:line="360" w:lineRule="auto"/>
        <w:ind w:firstLine="480" w:firstLineChars="200"/>
        <w:rPr>
          <w:color w:val="auto"/>
          <w:sz w:val="24"/>
          <w:highlight w:val="none"/>
        </w:rPr>
      </w:pPr>
      <w:r>
        <w:rPr>
          <w:color w:val="auto"/>
          <w:sz w:val="24"/>
          <w:highlight w:val="none"/>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color w:val="auto"/>
          <w:sz w:val="24"/>
          <w:highlight w:val="none"/>
        </w:rPr>
      </w:pPr>
      <w:r>
        <w:rPr>
          <w:color w:val="auto"/>
          <w:sz w:val="24"/>
          <w:highlight w:val="none"/>
        </w:rPr>
        <w:t>17.2.2预付款保函</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color w:val="auto"/>
          <w:sz w:val="24"/>
          <w:highlight w:val="none"/>
        </w:rPr>
      </w:pPr>
      <w:r>
        <w:rPr>
          <w:color w:val="auto"/>
          <w:sz w:val="24"/>
          <w:highlight w:val="none"/>
        </w:rPr>
        <w:t>17</w:t>
      </w:r>
      <w:r>
        <w:rPr>
          <w:rFonts w:hint="eastAsia"/>
          <w:color w:val="auto"/>
          <w:sz w:val="24"/>
          <w:highlight w:val="none"/>
          <w:lang w:val="en-US" w:eastAsia="zh-CN"/>
        </w:rPr>
        <w:t>.</w:t>
      </w:r>
      <w:r>
        <w:rPr>
          <w:color w:val="auto"/>
          <w:sz w:val="24"/>
          <w:highlight w:val="none"/>
        </w:rPr>
        <w:t>2.3预付款的扣回与还清本项约定为：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开工预付款在进度付款证书的累计金额未达到合同价格的</w:t>
      </w:r>
      <w:r>
        <w:rPr>
          <w:rFonts w:hint="eastAsia"/>
          <w:color w:val="auto"/>
          <w:sz w:val="24"/>
          <w:highlight w:val="none"/>
          <w:u w:val="single"/>
          <w:lang w:val="en-US" w:eastAsia="zh-CN"/>
        </w:rPr>
        <w:t xml:space="preserve">   </w:t>
      </w:r>
      <w:r>
        <w:rPr>
          <w:color w:val="auto"/>
          <w:sz w:val="24"/>
          <w:highlight w:val="none"/>
        </w:rPr>
        <w:t>%之前不予扣回，在达到合同价格</w:t>
      </w:r>
      <w:r>
        <w:rPr>
          <w:rFonts w:hint="eastAsia"/>
          <w:color w:val="auto"/>
          <w:sz w:val="24"/>
          <w:highlight w:val="none"/>
          <w:u w:val="single"/>
          <w:lang w:val="en-US" w:eastAsia="zh-CN"/>
        </w:rPr>
        <w:t xml:space="preserve">    </w:t>
      </w:r>
      <w:r>
        <w:rPr>
          <w:color w:val="auto"/>
          <w:sz w:val="24"/>
          <w:highlight w:val="none"/>
        </w:rPr>
        <w:t>%之后，开始按工程进度以固定比例（即每完成合同价格的</w:t>
      </w:r>
      <w:r>
        <w:rPr>
          <w:rFonts w:hint="eastAsia"/>
          <w:color w:val="auto"/>
          <w:sz w:val="24"/>
          <w:highlight w:val="none"/>
          <w:u w:val="single"/>
          <w:lang w:val="en-US" w:eastAsia="zh-CN"/>
        </w:rPr>
        <w:t xml:space="preserve">   </w:t>
      </w:r>
      <w:r>
        <w:rPr>
          <w:color w:val="auto"/>
          <w:sz w:val="24"/>
          <w:highlight w:val="none"/>
        </w:rPr>
        <w:t>％，扣回开工预付款的</w:t>
      </w:r>
      <w:r>
        <w:rPr>
          <w:rFonts w:hint="eastAsia"/>
          <w:color w:val="auto"/>
          <w:sz w:val="24"/>
          <w:highlight w:val="none"/>
          <w:u w:val="single"/>
          <w:lang w:val="en-US" w:eastAsia="zh-CN"/>
        </w:rPr>
        <w:t xml:space="preserve">   </w:t>
      </w:r>
      <w:r>
        <w:rPr>
          <w:color w:val="auto"/>
          <w:sz w:val="24"/>
          <w:highlight w:val="none"/>
        </w:rPr>
        <w:t>%）分期从各月的进度付款证书中扣回，全部金额在进度付款证书的累计金额达到合同价格的</w:t>
      </w:r>
      <w:r>
        <w:rPr>
          <w:rFonts w:hint="eastAsia"/>
          <w:color w:val="auto"/>
          <w:sz w:val="24"/>
          <w:highlight w:val="none"/>
          <w:u w:val="single"/>
          <w:lang w:val="en-US" w:eastAsia="zh-CN"/>
        </w:rPr>
        <w:t xml:space="preserve">   </w:t>
      </w:r>
      <w:r>
        <w:rPr>
          <w:color w:val="auto"/>
          <w:sz w:val="24"/>
          <w:highlight w:val="none"/>
        </w:rPr>
        <w:t>%时扣完。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17.3工程进度付款</w:t>
      </w:r>
    </w:p>
    <w:p>
      <w:pPr>
        <w:adjustRightInd w:val="0"/>
        <w:snapToGrid w:val="0"/>
        <w:spacing w:line="360" w:lineRule="auto"/>
        <w:ind w:firstLine="480" w:firstLineChars="200"/>
        <w:rPr>
          <w:color w:val="auto"/>
          <w:sz w:val="24"/>
          <w:highlight w:val="none"/>
        </w:rPr>
      </w:pPr>
      <w:r>
        <w:rPr>
          <w:color w:val="auto"/>
          <w:sz w:val="24"/>
          <w:highlight w:val="none"/>
        </w:rPr>
        <w:t>17.3.2进度付款申请单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承包人在每个付款周期末，向监理人提交进度付款申请单的份数：</w:t>
      </w:r>
      <w:r>
        <w:rPr>
          <w:rFonts w:hint="eastAsia"/>
          <w:color w:val="auto"/>
          <w:sz w:val="24"/>
          <w:highlight w:val="none"/>
          <w:u w:val="single"/>
        </w:rPr>
        <w:t xml:space="preserve">     </w:t>
      </w:r>
      <w:r>
        <w:rPr>
          <w:color w:val="auto"/>
          <w:sz w:val="24"/>
          <w:highlight w:val="none"/>
        </w:rPr>
        <w:t>份（在项目专用条款数据表中约定）。</w:t>
      </w:r>
    </w:p>
    <w:p>
      <w:pPr>
        <w:adjustRightInd w:val="0"/>
        <w:snapToGrid w:val="0"/>
        <w:spacing w:line="360" w:lineRule="auto"/>
        <w:ind w:firstLine="480" w:firstLineChars="200"/>
        <w:rPr>
          <w:color w:val="auto"/>
          <w:sz w:val="24"/>
          <w:highlight w:val="none"/>
        </w:rPr>
      </w:pPr>
      <w:r>
        <w:rPr>
          <w:color w:val="auto"/>
          <w:sz w:val="24"/>
          <w:highlight w:val="none"/>
        </w:rPr>
        <w:t>本项（6）目细化为：</w:t>
      </w:r>
    </w:p>
    <w:p>
      <w:pPr>
        <w:adjustRightInd w:val="0"/>
        <w:snapToGrid w:val="0"/>
        <w:spacing w:line="360" w:lineRule="auto"/>
        <w:ind w:firstLine="480" w:firstLineChars="200"/>
        <w:rPr>
          <w:color w:val="auto"/>
          <w:sz w:val="24"/>
          <w:highlight w:val="none"/>
        </w:rPr>
      </w:pPr>
      <w:r>
        <w:rPr>
          <w:color w:val="auto"/>
          <w:sz w:val="24"/>
          <w:highlight w:val="none"/>
        </w:rPr>
        <w:t>（6）根据第16条应增加和扣减的价格调整金额；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7）根据合同应增加和扣减的其他金额。</w:t>
      </w:r>
    </w:p>
    <w:p>
      <w:pPr>
        <w:adjustRightInd w:val="0"/>
        <w:snapToGrid w:val="0"/>
        <w:spacing w:line="360" w:lineRule="auto"/>
        <w:ind w:firstLine="480" w:firstLineChars="200"/>
        <w:rPr>
          <w:color w:val="auto"/>
          <w:sz w:val="24"/>
          <w:highlight w:val="none"/>
        </w:rPr>
      </w:pPr>
      <w:r>
        <w:rPr>
          <w:color w:val="auto"/>
          <w:sz w:val="24"/>
          <w:highlight w:val="none"/>
        </w:rPr>
        <w:t>17.3.3进度付款证书和支付时间</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目补充：</w:t>
      </w:r>
    </w:p>
    <w:p>
      <w:pPr>
        <w:adjustRightInd w:val="0"/>
        <w:snapToGrid w:val="0"/>
        <w:spacing w:line="360" w:lineRule="auto"/>
        <w:ind w:firstLine="480" w:firstLineChars="200"/>
        <w:rPr>
          <w:color w:val="auto"/>
          <w:sz w:val="24"/>
          <w:highlight w:val="none"/>
        </w:rPr>
      </w:pPr>
      <w:r>
        <w:rPr>
          <w:color w:val="auto"/>
          <w:sz w:val="24"/>
          <w:highlight w:val="none"/>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目约定为：</w:t>
      </w:r>
    </w:p>
    <w:p>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发包人应在监理人收到进度付款申请单且承包人提交了合格的增值税专用发票</w:t>
      </w:r>
    </w:p>
    <w:p>
      <w:pPr>
        <w:adjustRightInd w:val="0"/>
        <w:snapToGrid w:val="0"/>
        <w:spacing w:line="360" w:lineRule="auto"/>
        <w:rPr>
          <w:rFonts w:hint="eastAsia"/>
          <w:color w:val="auto"/>
          <w:sz w:val="24"/>
          <w:highlight w:val="none"/>
        </w:rPr>
      </w:pPr>
      <w:r>
        <w:rPr>
          <w:rFonts w:hint="eastAsia"/>
          <w:color w:val="auto"/>
          <w:sz w:val="24"/>
          <w:highlight w:val="none"/>
        </w:rPr>
        <w:t>后的 28 天内，将进度应付款支付给承包人。</w:t>
      </w:r>
    </w:p>
    <w:p>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本款补充第 17.3.5 项：</w:t>
      </w:r>
    </w:p>
    <w:p>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17.3.5 农民工工资保证金</w:t>
      </w:r>
    </w:p>
    <w:p>
      <w:pPr>
        <w:spacing w:line="140" w:lineRule="exact"/>
        <w:rPr>
          <w:rFonts w:ascii="Times New Roman" w:hAnsi="Times New Roman" w:eastAsia="Times New Roman"/>
          <w:highlight w:val="none"/>
        </w:rPr>
      </w:pPr>
    </w:p>
    <w:p>
      <w:pPr>
        <w:spacing w:line="239" w:lineRule="auto"/>
        <w:ind w:left="480"/>
        <w:rPr>
          <w:rFonts w:ascii="宋体" w:hAnsi="宋体" w:eastAsia="宋体"/>
          <w:sz w:val="23"/>
          <w:highlight w:val="none"/>
        </w:rPr>
      </w:pPr>
      <w:r>
        <w:rPr>
          <w:rFonts w:ascii="宋体" w:hAnsi="宋体" w:eastAsia="宋体"/>
          <w:sz w:val="23"/>
          <w:highlight w:val="none"/>
        </w:rPr>
        <w:t>（</w:t>
      </w:r>
      <w:r>
        <w:rPr>
          <w:rFonts w:ascii="Times New Roman" w:hAnsi="Times New Roman" w:eastAsia="Times New Roman"/>
          <w:sz w:val="23"/>
          <w:highlight w:val="none"/>
        </w:rPr>
        <w:t>1</w:t>
      </w:r>
      <w:r>
        <w:rPr>
          <w:rFonts w:ascii="宋体" w:hAnsi="宋体" w:eastAsia="宋体"/>
          <w:sz w:val="23"/>
          <w:highlight w:val="none"/>
        </w:rPr>
        <w:t>）为确保施工过程中农民工工资实时、足额发放到位，承包人应按照项目专</w:t>
      </w:r>
    </w:p>
    <w:p>
      <w:pPr>
        <w:spacing w:line="129" w:lineRule="exact"/>
        <w:rPr>
          <w:rFonts w:ascii="Times New Roman" w:hAnsi="Times New Roman" w:eastAsia="Times New Roman"/>
          <w:highlight w:val="none"/>
        </w:rPr>
      </w:pPr>
    </w:p>
    <w:p>
      <w:pPr>
        <w:spacing w:line="0" w:lineRule="atLeast"/>
        <w:rPr>
          <w:rFonts w:ascii="宋体" w:hAnsi="宋体" w:eastAsia="宋体"/>
          <w:sz w:val="24"/>
          <w:highlight w:val="none"/>
        </w:rPr>
      </w:pPr>
      <w:r>
        <w:rPr>
          <w:rFonts w:ascii="宋体" w:hAnsi="宋体" w:eastAsia="宋体"/>
          <w:sz w:val="24"/>
          <w:highlight w:val="none"/>
        </w:rPr>
        <w:t>用合同条款约定的时间和金额缴存农民工工资保证金。</w:t>
      </w:r>
    </w:p>
    <w:p>
      <w:pPr>
        <w:spacing w:line="158" w:lineRule="exact"/>
        <w:rPr>
          <w:rFonts w:ascii="Times New Roman" w:hAnsi="Times New Roman" w:eastAsia="Times New Roman"/>
          <w:highlight w:val="none"/>
        </w:rPr>
      </w:pPr>
    </w:p>
    <w:p>
      <w:pPr>
        <w:spacing w:line="239" w:lineRule="auto"/>
        <w:ind w:left="480"/>
        <w:rPr>
          <w:rFonts w:ascii="宋体" w:hAnsi="宋体" w:eastAsia="宋体"/>
          <w:sz w:val="23"/>
          <w:highlight w:val="none"/>
        </w:rPr>
      </w:pPr>
      <w:r>
        <w:rPr>
          <w:rFonts w:ascii="宋体" w:hAnsi="宋体" w:eastAsia="宋体"/>
          <w:sz w:val="23"/>
          <w:highlight w:val="none"/>
        </w:rPr>
        <w:t>（</w:t>
      </w:r>
      <w:r>
        <w:rPr>
          <w:rFonts w:ascii="Times New Roman" w:hAnsi="Times New Roman" w:eastAsia="Times New Roman"/>
          <w:sz w:val="23"/>
          <w:highlight w:val="none"/>
        </w:rPr>
        <w:t>2</w:t>
      </w:r>
      <w:r>
        <w:rPr>
          <w:rFonts w:ascii="宋体" w:hAnsi="宋体" w:eastAsia="宋体"/>
          <w:sz w:val="23"/>
          <w:highlight w:val="none"/>
        </w:rPr>
        <w:t>）农民工工资保证金可采用银行保函或现金、支票形式。采用银行保函时，</w:t>
      </w:r>
    </w:p>
    <w:p>
      <w:pPr>
        <w:spacing w:line="130" w:lineRule="exact"/>
        <w:rPr>
          <w:rFonts w:ascii="Times New Roman" w:hAnsi="Times New Roman" w:eastAsia="Times New Roman"/>
          <w:highlight w:val="none"/>
        </w:rPr>
      </w:pPr>
    </w:p>
    <w:p>
      <w:pPr>
        <w:spacing w:line="0" w:lineRule="atLeast"/>
        <w:rPr>
          <w:rFonts w:ascii="宋体" w:hAnsi="宋体" w:eastAsia="宋体"/>
          <w:sz w:val="24"/>
          <w:highlight w:val="none"/>
        </w:rPr>
      </w:pPr>
      <w:r>
        <w:rPr>
          <w:rFonts w:ascii="宋体" w:hAnsi="宋体" w:eastAsia="宋体"/>
          <w:sz w:val="24"/>
          <w:highlight w:val="none"/>
        </w:rPr>
        <w:t>出具保函的银行须具有相应担保能力，且按照发包人批准的格式出具，所需费用由</w:t>
      </w:r>
    </w:p>
    <w:p>
      <w:pPr>
        <w:spacing w:line="146" w:lineRule="exact"/>
        <w:rPr>
          <w:rFonts w:ascii="Times New Roman" w:hAnsi="Times New Roman" w:eastAsia="Times New Roman"/>
          <w:highlight w:val="none"/>
        </w:rPr>
      </w:pPr>
    </w:p>
    <w:p>
      <w:pPr>
        <w:spacing w:line="0" w:lineRule="atLeast"/>
        <w:rPr>
          <w:rFonts w:ascii="宋体" w:hAnsi="宋体" w:eastAsia="宋体"/>
          <w:sz w:val="24"/>
          <w:highlight w:val="none"/>
        </w:rPr>
      </w:pPr>
      <w:r>
        <w:rPr>
          <w:rFonts w:ascii="宋体" w:hAnsi="宋体" w:eastAsia="宋体"/>
          <w:sz w:val="24"/>
          <w:highlight w:val="none"/>
        </w:rPr>
        <w:t>承包人承担。</w:t>
      </w:r>
    </w:p>
    <w:p>
      <w:pPr>
        <w:spacing w:line="158" w:lineRule="exact"/>
        <w:rPr>
          <w:rFonts w:ascii="Times New Roman" w:hAnsi="Times New Roman" w:eastAsia="Times New Roman"/>
          <w:highlight w:val="none"/>
        </w:rPr>
      </w:pPr>
    </w:p>
    <w:p>
      <w:pPr>
        <w:spacing w:line="239" w:lineRule="auto"/>
        <w:ind w:left="480"/>
        <w:rPr>
          <w:rFonts w:ascii="宋体" w:hAnsi="宋体" w:eastAsia="宋体"/>
          <w:sz w:val="23"/>
          <w:highlight w:val="none"/>
        </w:rPr>
      </w:pPr>
      <w:r>
        <w:rPr>
          <w:rFonts w:ascii="宋体" w:hAnsi="宋体" w:eastAsia="宋体"/>
          <w:sz w:val="23"/>
          <w:highlight w:val="none"/>
        </w:rPr>
        <w:t>（</w:t>
      </w:r>
      <w:r>
        <w:rPr>
          <w:rFonts w:ascii="Times New Roman" w:hAnsi="Times New Roman" w:eastAsia="Times New Roman"/>
          <w:sz w:val="23"/>
          <w:highlight w:val="none"/>
        </w:rPr>
        <w:t>3</w:t>
      </w:r>
      <w:r>
        <w:rPr>
          <w:rFonts w:ascii="宋体" w:hAnsi="宋体" w:eastAsia="宋体"/>
          <w:sz w:val="23"/>
          <w:highlight w:val="none"/>
        </w:rPr>
        <w:t>）农民工工资保证金的扣留条件、返还时间按照项目专用合同条款的约定执</w:t>
      </w:r>
    </w:p>
    <w:p>
      <w:pPr>
        <w:spacing w:line="129" w:lineRule="exact"/>
        <w:rPr>
          <w:rFonts w:ascii="Times New Roman" w:hAnsi="Times New Roman" w:eastAsia="Times New Roman"/>
          <w:highlight w:val="none"/>
        </w:rPr>
      </w:pPr>
    </w:p>
    <w:p>
      <w:pPr>
        <w:spacing w:line="0" w:lineRule="atLeast"/>
        <w:rPr>
          <w:rFonts w:ascii="宋体" w:hAnsi="宋体" w:eastAsia="宋体"/>
          <w:sz w:val="24"/>
          <w:highlight w:val="none"/>
        </w:rPr>
      </w:pPr>
      <w:r>
        <w:rPr>
          <w:rFonts w:ascii="宋体" w:hAnsi="宋体" w:eastAsia="宋体"/>
          <w:sz w:val="24"/>
          <w:highlight w:val="none"/>
        </w:rPr>
        <w:t>行。</w:t>
      </w:r>
    </w:p>
    <w:p>
      <w:pPr>
        <w:adjustRightInd w:val="0"/>
        <w:snapToGrid w:val="0"/>
        <w:spacing w:beforeLines="100" w:line="360" w:lineRule="auto"/>
        <w:rPr>
          <w:rFonts w:eastAsia="黑体"/>
          <w:color w:val="auto"/>
          <w:sz w:val="24"/>
          <w:highlight w:val="none"/>
        </w:rPr>
      </w:pPr>
      <w:r>
        <w:rPr>
          <w:rFonts w:eastAsia="黑体"/>
          <w:color w:val="auto"/>
          <w:sz w:val="24"/>
          <w:highlight w:val="none"/>
        </w:rPr>
        <w:t>17.4质量保证金</w:t>
      </w:r>
    </w:p>
    <w:p>
      <w:pPr>
        <w:numPr>
          <w:ilvl w:val="0"/>
          <w:numId w:val="12"/>
        </w:numPr>
        <w:tabs>
          <w:tab w:val="left" w:pos="1200"/>
        </w:tabs>
        <w:spacing w:line="335" w:lineRule="auto"/>
        <w:ind w:right="80" w:firstLine="484"/>
        <w:jc w:val="both"/>
        <w:rPr>
          <w:rFonts w:ascii="Times New Roman" w:hAnsi="Times New Roman" w:eastAsia="Times New Roman"/>
          <w:sz w:val="24"/>
          <w:highlight w:val="none"/>
        </w:rPr>
      </w:pPr>
      <w:r>
        <w:rPr>
          <w:rFonts w:ascii="宋体" w:hAnsi="宋体" w:eastAsia="宋体"/>
          <w:sz w:val="24"/>
          <w:highlight w:val="none"/>
        </w:rPr>
        <w:t xml:space="preserve">交工验收证书签发后 </w:t>
      </w:r>
      <w:r>
        <w:rPr>
          <w:rFonts w:ascii="Times New Roman" w:hAnsi="Times New Roman" w:eastAsia="Times New Roman"/>
          <w:sz w:val="24"/>
          <w:highlight w:val="none"/>
        </w:rPr>
        <w:t>14</w:t>
      </w:r>
      <w:r>
        <w:rPr>
          <w:rFonts w:ascii="宋体" w:hAnsi="宋体" w:eastAsia="宋体"/>
          <w:sz w:val="24"/>
          <w:highlight w:val="none"/>
        </w:rPr>
        <w:t xml:space="preserve">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spacing w:line="56" w:lineRule="exact"/>
        <w:rPr>
          <w:rFonts w:ascii="Times New Roman" w:hAnsi="Times New Roman" w:eastAsia="Times New Roman"/>
          <w:sz w:val="24"/>
          <w:highlight w:val="none"/>
        </w:rPr>
      </w:pPr>
    </w:p>
    <w:p>
      <w:pPr>
        <w:spacing w:line="316" w:lineRule="auto"/>
        <w:ind w:right="80" w:firstLine="480"/>
        <w:jc w:val="both"/>
        <w:rPr>
          <w:rFonts w:ascii="宋体" w:hAnsi="宋体" w:eastAsia="宋体"/>
          <w:sz w:val="24"/>
          <w:highlight w:val="none"/>
        </w:rPr>
      </w:pPr>
      <w:r>
        <w:rPr>
          <w:rFonts w:ascii="宋体" w:hAnsi="宋体" w:eastAsia="宋体"/>
          <w:sz w:val="24"/>
          <w:highlight w:val="none"/>
        </w:rPr>
        <w:t>质量保证金采用现金、支票形式提交的，发包人应在项目专用合同条款数据表中明确是否计付利息以及利息的计算方式。</w:t>
      </w:r>
    </w:p>
    <w:p>
      <w:pPr>
        <w:spacing w:line="52" w:lineRule="exact"/>
        <w:rPr>
          <w:rFonts w:ascii="Times New Roman" w:hAnsi="Times New Roman" w:eastAsia="Times New Roman"/>
          <w:sz w:val="24"/>
          <w:highlight w:val="none"/>
        </w:rPr>
      </w:pPr>
    </w:p>
    <w:p>
      <w:pPr>
        <w:numPr>
          <w:ilvl w:val="0"/>
          <w:numId w:val="12"/>
        </w:numPr>
        <w:tabs>
          <w:tab w:val="left" w:pos="1200"/>
        </w:tabs>
        <w:spacing w:line="0" w:lineRule="atLeast"/>
        <w:ind w:left="1200" w:hanging="716"/>
        <w:jc w:val="both"/>
        <w:rPr>
          <w:rFonts w:ascii="Times New Roman" w:hAnsi="Times New Roman" w:eastAsia="Times New Roman"/>
          <w:sz w:val="23"/>
          <w:highlight w:val="none"/>
        </w:rPr>
      </w:pPr>
      <w:r>
        <w:rPr>
          <w:rFonts w:ascii="宋体" w:hAnsi="宋体" w:eastAsia="宋体"/>
          <w:sz w:val="23"/>
          <w:highlight w:val="none"/>
        </w:rPr>
        <w:t xml:space="preserve">在第 </w:t>
      </w:r>
      <w:r>
        <w:rPr>
          <w:rFonts w:ascii="Times New Roman" w:hAnsi="Times New Roman" w:eastAsia="Times New Roman"/>
          <w:sz w:val="23"/>
          <w:highlight w:val="none"/>
        </w:rPr>
        <w:t>1.1.4.5</w:t>
      </w:r>
      <w:r>
        <w:rPr>
          <w:rFonts w:ascii="宋体" w:hAnsi="宋体" w:eastAsia="宋体"/>
          <w:sz w:val="23"/>
          <w:highlight w:val="none"/>
        </w:rPr>
        <w:t xml:space="preserve"> 目约定的缺陷责任期满，且质量监督机构已按规定对工程质</w:t>
      </w:r>
    </w:p>
    <w:p>
      <w:pPr>
        <w:spacing w:line="109" w:lineRule="exact"/>
        <w:rPr>
          <w:rFonts w:ascii="Times New Roman" w:hAnsi="Times New Roman" w:eastAsia="Times New Roman"/>
          <w:highlight w:val="none"/>
        </w:rPr>
      </w:pPr>
    </w:p>
    <w:p>
      <w:pPr>
        <w:spacing w:line="0" w:lineRule="atLeast"/>
        <w:rPr>
          <w:rFonts w:ascii="宋体" w:hAnsi="宋体" w:eastAsia="宋体"/>
          <w:sz w:val="24"/>
          <w:highlight w:val="none"/>
        </w:rPr>
      </w:pPr>
      <w:r>
        <w:rPr>
          <w:rFonts w:ascii="宋体" w:hAnsi="宋体" w:eastAsia="宋体"/>
          <w:sz w:val="24"/>
          <w:highlight w:val="none"/>
        </w:rPr>
        <w:t>量检测鉴定合格，承包人向发包人申请到期应返还承包人剩余的质量保证金金额，</w:t>
      </w:r>
    </w:p>
    <w:p>
      <w:pPr>
        <w:spacing w:line="153" w:lineRule="exact"/>
        <w:rPr>
          <w:rFonts w:ascii="Times New Roman" w:hAnsi="Times New Roman" w:eastAsia="Times New Roman"/>
          <w:highlight w:val="none"/>
        </w:rPr>
      </w:pPr>
    </w:p>
    <w:p>
      <w:pPr>
        <w:spacing w:line="310" w:lineRule="auto"/>
        <w:rPr>
          <w:rFonts w:ascii="宋体" w:hAnsi="宋体" w:eastAsia="宋体"/>
          <w:sz w:val="24"/>
          <w:highlight w:val="none"/>
        </w:rPr>
      </w:pPr>
      <w:r>
        <w:rPr>
          <w:rFonts w:ascii="宋体" w:hAnsi="宋体" w:eastAsia="宋体"/>
          <w:sz w:val="24"/>
          <w:highlight w:val="none"/>
        </w:rPr>
        <w:t xml:space="preserve">发包人应在 </w:t>
      </w:r>
      <w:r>
        <w:rPr>
          <w:rFonts w:ascii="Times New Roman" w:hAnsi="Times New Roman" w:eastAsia="Times New Roman"/>
          <w:sz w:val="24"/>
          <w:highlight w:val="none"/>
        </w:rPr>
        <w:t>14</w:t>
      </w:r>
      <w:r>
        <w:rPr>
          <w:rFonts w:ascii="宋体" w:hAnsi="宋体" w:eastAsia="宋体"/>
          <w:sz w:val="24"/>
          <w:highlight w:val="none"/>
        </w:rPr>
        <w:t xml:space="preserve"> 天内会同承包人按照合同约定的内容核实承包人是否完成缺陷责任。如无异议，发包人应当在核实后将剩余保证金返还承包人。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17.5竣工结算</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17.5.1竣工付款申请单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承包人向监理人提交竣工付款申请单（包括相关证明材料）的份数：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rFonts w:hint="eastAsia"/>
          <w:color w:val="auto"/>
          <w:sz w:val="24"/>
          <w:highlight w:val="none"/>
          <w:u w:val="single"/>
        </w:rPr>
        <w:t xml:space="preserve"> </w:t>
      </w:r>
      <w:r>
        <w:rPr>
          <w:color w:val="auto"/>
          <w:sz w:val="24"/>
          <w:highlight w:val="none"/>
          <w:u w:val="single"/>
        </w:rPr>
        <w:t>工程接收证书签发后42天内</w:t>
      </w:r>
      <w:r>
        <w:rPr>
          <w:rFonts w:hint="eastAsia"/>
          <w:color w:val="auto"/>
          <w:sz w:val="24"/>
          <w:highlight w:val="none"/>
          <w:u w:val="single"/>
        </w:rPr>
        <w:t xml:space="preserve"> </w:t>
      </w:r>
      <w:r>
        <w:rPr>
          <w:rFonts w:hint="eastAsia"/>
          <w:color w:val="auto"/>
          <w:sz w:val="24"/>
          <w:highlight w:val="none"/>
        </w:rPr>
        <w:t>。</w:t>
      </w:r>
    </w:p>
    <w:p>
      <w:pPr>
        <w:adjustRightInd w:val="0"/>
        <w:snapToGrid w:val="0"/>
        <w:spacing w:beforeLines="100" w:line="360" w:lineRule="auto"/>
        <w:rPr>
          <w:rFonts w:eastAsia="黑体"/>
          <w:color w:val="auto"/>
          <w:sz w:val="24"/>
          <w:highlight w:val="none"/>
        </w:rPr>
      </w:pPr>
      <w:r>
        <w:rPr>
          <w:rFonts w:eastAsia="黑体"/>
          <w:color w:val="auto"/>
          <w:sz w:val="24"/>
          <w:highlight w:val="none"/>
        </w:rPr>
        <w:t>17.6最终结清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17.6.1最终结清申请单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承包人向监理人提交最终结清申请单（包括相关证明材料）的份数：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color w:val="auto"/>
          <w:sz w:val="24"/>
          <w:highlight w:val="none"/>
          <w:u w:val="single"/>
        </w:rPr>
        <w:t>缺陷责任期终止证书签发后28天内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最终结清申请单中的总金额应认为是代表了根据合同规定应付给承包人的全部款项的最后结算。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18．竣工验收</w:t>
      </w:r>
    </w:p>
    <w:p>
      <w:pPr>
        <w:adjustRightInd w:val="0"/>
        <w:snapToGrid w:val="0"/>
        <w:spacing w:line="360" w:lineRule="auto"/>
        <w:rPr>
          <w:rFonts w:eastAsia="黑体"/>
          <w:color w:val="auto"/>
          <w:sz w:val="24"/>
          <w:highlight w:val="none"/>
        </w:rPr>
      </w:pPr>
      <w:r>
        <w:rPr>
          <w:rFonts w:eastAsia="黑体"/>
          <w:color w:val="auto"/>
          <w:sz w:val="24"/>
          <w:highlight w:val="none"/>
        </w:rPr>
        <w:t>18.1竣工验收的含义</w:t>
      </w:r>
    </w:p>
    <w:p>
      <w:pPr>
        <w:adjustRightInd w:val="0"/>
        <w:snapToGrid w:val="0"/>
        <w:spacing w:line="360" w:lineRule="auto"/>
        <w:ind w:firstLine="480" w:firstLineChars="200"/>
        <w:rPr>
          <w:color w:val="auto"/>
          <w:sz w:val="24"/>
          <w:highlight w:val="none"/>
        </w:rPr>
      </w:pPr>
      <w:r>
        <w:rPr>
          <w:color w:val="auto"/>
          <w:sz w:val="24"/>
          <w:highlight w:val="none"/>
        </w:rPr>
        <w:t>本款增加第18.1.4项：</w:t>
      </w:r>
    </w:p>
    <w:p>
      <w:pPr>
        <w:adjustRightInd w:val="0"/>
        <w:snapToGrid w:val="0"/>
        <w:spacing w:line="360" w:lineRule="auto"/>
        <w:ind w:firstLine="480" w:firstLineChars="200"/>
        <w:rPr>
          <w:color w:val="auto"/>
          <w:sz w:val="24"/>
          <w:highlight w:val="none"/>
        </w:rPr>
      </w:pPr>
      <w:r>
        <w:rPr>
          <w:color w:val="auto"/>
          <w:sz w:val="24"/>
          <w:highlight w:val="none"/>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color w:val="auto"/>
          <w:sz w:val="24"/>
          <w:highlight w:val="none"/>
        </w:rPr>
      </w:pPr>
      <w:r>
        <w:rPr>
          <w:rFonts w:eastAsia="黑体"/>
          <w:color w:val="auto"/>
          <w:sz w:val="24"/>
          <w:highlight w:val="none"/>
        </w:rPr>
        <w:t>18.3验收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18.3.2项补充：</w:t>
      </w:r>
    </w:p>
    <w:p>
      <w:pPr>
        <w:adjustRightInd w:val="0"/>
        <w:snapToGrid w:val="0"/>
        <w:spacing w:line="360" w:lineRule="auto"/>
        <w:ind w:firstLine="480" w:firstLineChars="200"/>
        <w:rPr>
          <w:color w:val="auto"/>
          <w:sz w:val="24"/>
          <w:highlight w:val="none"/>
        </w:rPr>
      </w:pPr>
      <w:r>
        <w:rPr>
          <w:color w:val="auto"/>
          <w:sz w:val="24"/>
          <w:highlight w:val="none"/>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color w:val="auto"/>
          <w:sz w:val="24"/>
          <w:highlight w:val="none"/>
        </w:rPr>
      </w:pPr>
      <w:r>
        <w:rPr>
          <w:color w:val="auto"/>
          <w:sz w:val="24"/>
          <w:highlight w:val="none"/>
        </w:rPr>
        <w:t>18.3.5项约定为：</w:t>
      </w:r>
    </w:p>
    <w:p>
      <w:pPr>
        <w:adjustRightInd w:val="0"/>
        <w:snapToGrid w:val="0"/>
        <w:spacing w:line="360" w:lineRule="auto"/>
        <w:ind w:firstLine="480" w:firstLineChars="200"/>
        <w:rPr>
          <w:color w:val="auto"/>
          <w:sz w:val="24"/>
          <w:highlight w:val="none"/>
        </w:rPr>
      </w:pPr>
      <w:r>
        <w:rPr>
          <w:color w:val="auto"/>
          <w:sz w:val="24"/>
          <w:highlight w:val="none"/>
        </w:rPr>
        <w:t>经验收合格工程的实际竣工日期，以最终提交竣工验收申请报告的日期为准，并在工程接收证书中写明。</w:t>
      </w:r>
    </w:p>
    <w:p>
      <w:pPr>
        <w:adjustRightInd w:val="0"/>
        <w:snapToGrid w:val="0"/>
        <w:spacing w:line="360" w:lineRule="auto"/>
        <w:ind w:firstLine="480" w:firstLineChars="200"/>
        <w:rPr>
          <w:color w:val="auto"/>
          <w:sz w:val="24"/>
          <w:highlight w:val="none"/>
        </w:rPr>
      </w:pPr>
      <w:r>
        <w:rPr>
          <w:color w:val="auto"/>
          <w:sz w:val="24"/>
          <w:highlight w:val="none"/>
        </w:rPr>
        <w:t>本款增加第18.3.7项：</w:t>
      </w:r>
    </w:p>
    <w:p>
      <w:pPr>
        <w:adjustRightInd w:val="0"/>
        <w:snapToGrid w:val="0"/>
        <w:spacing w:line="360" w:lineRule="auto"/>
        <w:ind w:firstLine="480" w:firstLineChars="200"/>
        <w:rPr>
          <w:color w:val="auto"/>
          <w:sz w:val="24"/>
          <w:highlight w:val="none"/>
        </w:rPr>
      </w:pPr>
      <w:r>
        <w:rPr>
          <w:color w:val="auto"/>
          <w:sz w:val="24"/>
          <w:highlight w:val="none"/>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18.5施工期运行</w:t>
      </w:r>
    </w:p>
    <w:p>
      <w:pPr>
        <w:adjustRightInd w:val="0"/>
        <w:snapToGrid w:val="0"/>
        <w:spacing w:line="360" w:lineRule="auto"/>
        <w:ind w:firstLine="480" w:firstLineChars="200"/>
        <w:rPr>
          <w:color w:val="auto"/>
          <w:sz w:val="24"/>
          <w:highlight w:val="none"/>
        </w:rPr>
      </w:pPr>
      <w:r>
        <w:rPr>
          <w:color w:val="auto"/>
          <w:sz w:val="24"/>
          <w:highlight w:val="none"/>
        </w:rPr>
        <w:t>18.5.1项约定：</w:t>
      </w:r>
    </w:p>
    <w:p>
      <w:pPr>
        <w:adjustRightInd w:val="0"/>
        <w:snapToGrid w:val="0"/>
        <w:spacing w:line="360" w:lineRule="auto"/>
        <w:ind w:firstLine="480" w:firstLineChars="200"/>
        <w:rPr>
          <w:color w:val="auto"/>
          <w:sz w:val="24"/>
          <w:highlight w:val="none"/>
          <w:u w:val="single"/>
        </w:rPr>
      </w:pPr>
      <w:r>
        <w:rPr>
          <w:color w:val="auto"/>
          <w:sz w:val="24"/>
          <w:highlight w:val="none"/>
        </w:rPr>
        <w:t>单位工程或工程设备是否需投入施工期运行：</w:t>
      </w:r>
      <w:r>
        <w:rPr>
          <w:rFonts w:hint="eastAsia"/>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hint="eastAsia" w:eastAsia="黑体"/>
          <w:color w:val="auto"/>
          <w:sz w:val="24"/>
          <w:highlight w:val="none"/>
        </w:rPr>
        <w:t>18.6试运行</w:t>
      </w:r>
    </w:p>
    <w:p>
      <w:pPr>
        <w:adjustRightInd w:val="0"/>
        <w:snapToGrid w:val="0"/>
        <w:spacing w:line="360" w:lineRule="auto"/>
        <w:ind w:firstLine="480" w:firstLineChars="200"/>
        <w:rPr>
          <w:color w:val="auto"/>
          <w:sz w:val="24"/>
          <w:highlight w:val="none"/>
        </w:rPr>
      </w:pPr>
      <w:r>
        <w:rPr>
          <w:color w:val="auto"/>
          <w:sz w:val="24"/>
          <w:highlight w:val="none"/>
        </w:rPr>
        <w:t>18.6.1项约定：</w:t>
      </w:r>
    </w:p>
    <w:p>
      <w:pPr>
        <w:adjustRightInd w:val="0"/>
        <w:snapToGrid w:val="0"/>
        <w:spacing w:line="360" w:lineRule="auto"/>
        <w:ind w:firstLine="480" w:firstLineChars="200"/>
        <w:rPr>
          <w:color w:val="auto"/>
          <w:sz w:val="24"/>
          <w:highlight w:val="none"/>
          <w:u w:val="single"/>
        </w:rPr>
      </w:pPr>
      <w:r>
        <w:rPr>
          <w:color w:val="auto"/>
          <w:sz w:val="24"/>
          <w:highlight w:val="none"/>
        </w:rPr>
        <w:t>本工程及工程设备是否进行试运行：</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试运行的内容：</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试运行的费用约定：</w:t>
      </w:r>
      <w:r>
        <w:rPr>
          <w:rFonts w:hint="eastAsia"/>
          <w:color w:val="auto"/>
          <w:sz w:val="24"/>
          <w:highlight w:val="none"/>
          <w:u w:val="single"/>
        </w:rPr>
        <w:t xml:space="preserve">  （见项目专用合同条款）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本条增加第18.9款：</w:t>
      </w:r>
    </w:p>
    <w:p>
      <w:pPr>
        <w:adjustRightInd w:val="0"/>
        <w:snapToGrid w:val="0"/>
        <w:spacing w:line="360" w:lineRule="auto"/>
        <w:rPr>
          <w:rFonts w:eastAsia="黑体"/>
          <w:color w:val="auto"/>
          <w:sz w:val="24"/>
          <w:highlight w:val="none"/>
        </w:rPr>
      </w:pPr>
      <w:r>
        <w:rPr>
          <w:rFonts w:eastAsia="黑体"/>
          <w:color w:val="auto"/>
          <w:sz w:val="24"/>
          <w:highlight w:val="none"/>
        </w:rPr>
        <w:t>18.9竣工文件</w:t>
      </w:r>
    </w:p>
    <w:p>
      <w:pPr>
        <w:adjustRightInd w:val="0"/>
        <w:snapToGrid w:val="0"/>
        <w:spacing w:line="360" w:lineRule="auto"/>
        <w:ind w:firstLine="480" w:firstLineChars="200"/>
        <w:rPr>
          <w:color w:val="auto"/>
          <w:sz w:val="24"/>
          <w:highlight w:val="none"/>
        </w:rPr>
      </w:pPr>
      <w:r>
        <w:rPr>
          <w:color w:val="auto"/>
          <w:sz w:val="24"/>
          <w:highlight w:val="none"/>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w:t>
      </w:r>
      <w:r>
        <w:rPr>
          <w:rFonts w:eastAsia="黑体"/>
          <w:color w:val="auto"/>
          <w:sz w:val="24"/>
          <w:highlight w:val="none"/>
        </w:rPr>
        <w:t>缺陷责任与保修责任</w:t>
      </w:r>
    </w:p>
    <w:p>
      <w:pPr>
        <w:adjustRightInd w:val="0"/>
        <w:snapToGrid w:val="0"/>
        <w:spacing w:line="360" w:lineRule="auto"/>
        <w:rPr>
          <w:rFonts w:eastAsia="黑体"/>
          <w:color w:val="auto"/>
          <w:sz w:val="24"/>
          <w:highlight w:val="none"/>
        </w:rPr>
      </w:pPr>
      <w:r>
        <w:rPr>
          <w:rFonts w:eastAsia="黑体"/>
          <w:color w:val="auto"/>
          <w:sz w:val="24"/>
          <w:highlight w:val="none"/>
        </w:rPr>
        <w:t>19.2缺陷责任</w:t>
      </w:r>
    </w:p>
    <w:p>
      <w:pPr>
        <w:adjustRightInd w:val="0"/>
        <w:snapToGrid w:val="0"/>
        <w:spacing w:line="360" w:lineRule="auto"/>
        <w:ind w:firstLine="480" w:firstLineChars="200"/>
        <w:rPr>
          <w:color w:val="auto"/>
          <w:sz w:val="24"/>
          <w:highlight w:val="none"/>
        </w:rPr>
      </w:pPr>
      <w:r>
        <w:rPr>
          <w:color w:val="auto"/>
          <w:sz w:val="24"/>
          <w:highlight w:val="none"/>
        </w:rPr>
        <w:t>19.2.2项补充：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color w:val="auto"/>
          <w:sz w:val="24"/>
          <w:highlight w:val="none"/>
        </w:rPr>
      </w:pPr>
      <w:r>
        <w:rPr>
          <w:color w:val="auto"/>
          <w:sz w:val="24"/>
          <w:highlight w:val="none"/>
        </w:rPr>
        <w:t>19.2.3项补充：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在缺陷责任期内，下述原因造成的缺陷修复和查验费用应由承包人自行负责：</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承包人所用的材料、设备或操作工艺不符合合同要求；</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承包人的疏忽或未遵守合同中对承包人规定的义务。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19.3缺陷责任期的延长</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19.5承包人的进入权</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color w:val="auto"/>
          <w:sz w:val="24"/>
          <w:highlight w:val="none"/>
        </w:rPr>
      </w:pPr>
      <w:r>
        <w:rPr>
          <w:rFonts w:eastAsia="黑体"/>
          <w:color w:val="auto"/>
          <w:sz w:val="24"/>
          <w:highlight w:val="none"/>
        </w:rPr>
        <w:t>19.7保修责任</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在全部工程竣工验收前，已经发包人提前验收的单位工程，其保修期的起算日期相应提前。</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工程保修期终止后28天内，监理人签发保修期终止证书。</w:t>
      </w: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8路面保修</w:t>
      </w:r>
    </w:p>
    <w:p>
      <w:pPr>
        <w:adjustRightInd w:val="0"/>
        <w:snapToGrid w:val="0"/>
        <w:spacing w:line="360" w:lineRule="auto"/>
        <w:ind w:firstLine="480" w:firstLineChars="200"/>
        <w:rPr>
          <w:color w:val="auto"/>
          <w:sz w:val="24"/>
          <w:highlight w:val="none"/>
        </w:rPr>
      </w:pPr>
      <w:r>
        <w:rPr>
          <w:rFonts w:hint="eastAsia"/>
          <w:color w:val="auto"/>
          <w:sz w:val="24"/>
          <w:highlight w:val="none"/>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color w:val="auto"/>
          <w:sz w:val="24"/>
          <w:highlight w:val="none"/>
        </w:rPr>
      </w:pPr>
      <w:r>
        <w:rPr>
          <w:rFonts w:eastAsia="黑体"/>
          <w:color w:val="auto"/>
          <w:sz w:val="24"/>
          <w:highlight w:val="none"/>
        </w:rPr>
        <w:t>20</w:t>
      </w:r>
      <w:r>
        <w:rPr>
          <w:rFonts w:hint="eastAsia" w:eastAsia="黑体"/>
          <w:color w:val="auto"/>
          <w:sz w:val="24"/>
          <w:highlight w:val="none"/>
        </w:rPr>
        <w:t>．</w:t>
      </w:r>
      <w:r>
        <w:rPr>
          <w:rFonts w:eastAsia="黑体"/>
          <w:color w:val="auto"/>
          <w:sz w:val="24"/>
          <w:highlight w:val="none"/>
        </w:rPr>
        <w:t>保险</w:t>
      </w:r>
    </w:p>
    <w:p>
      <w:pPr>
        <w:adjustRightInd w:val="0"/>
        <w:snapToGrid w:val="0"/>
        <w:spacing w:line="360" w:lineRule="auto"/>
        <w:rPr>
          <w:rFonts w:eastAsia="黑体"/>
          <w:color w:val="auto"/>
          <w:sz w:val="24"/>
          <w:highlight w:val="none"/>
        </w:rPr>
      </w:pPr>
      <w:r>
        <w:rPr>
          <w:rFonts w:eastAsia="黑体"/>
          <w:color w:val="auto"/>
          <w:sz w:val="24"/>
          <w:highlight w:val="none"/>
        </w:rPr>
        <w:t>20.1工程保险</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建筑工程一切险的投保内容：为永久工程、临时工程和设备及</w:t>
      </w:r>
      <w:r>
        <w:rPr>
          <w:rFonts w:hint="eastAsia"/>
          <w:color w:val="auto"/>
          <w:sz w:val="24"/>
          <w:highlight w:val="none"/>
        </w:rPr>
        <w:t>已</w:t>
      </w:r>
      <w:r>
        <w:rPr>
          <w:color w:val="auto"/>
          <w:sz w:val="24"/>
          <w:highlight w:val="none"/>
        </w:rPr>
        <w:t>运至施工工地用于永久工程的材料和设备所投的保险。</w:t>
      </w:r>
    </w:p>
    <w:p>
      <w:pPr>
        <w:adjustRightInd w:val="0"/>
        <w:snapToGrid w:val="0"/>
        <w:spacing w:line="360" w:lineRule="auto"/>
        <w:ind w:firstLine="480" w:firstLineChars="200"/>
        <w:rPr>
          <w:color w:val="auto"/>
          <w:sz w:val="24"/>
          <w:highlight w:val="none"/>
        </w:rPr>
      </w:pPr>
      <w:r>
        <w:rPr>
          <w:color w:val="auto"/>
          <w:sz w:val="24"/>
          <w:highlight w:val="none"/>
        </w:rPr>
        <w:t>保险金额：工程量清单第100章（不含建筑工程一切险及第三者责任险的保险费）至700章的合计金额。</w:t>
      </w:r>
    </w:p>
    <w:p>
      <w:pPr>
        <w:adjustRightInd w:val="0"/>
        <w:snapToGrid w:val="0"/>
        <w:spacing w:line="360" w:lineRule="auto"/>
        <w:ind w:firstLine="480" w:firstLineChars="200"/>
        <w:rPr>
          <w:color w:val="auto"/>
          <w:sz w:val="24"/>
          <w:highlight w:val="none"/>
        </w:rPr>
      </w:pPr>
      <w:r>
        <w:rPr>
          <w:color w:val="auto"/>
          <w:sz w:val="24"/>
          <w:highlight w:val="none"/>
        </w:rPr>
        <w:t>保险费率：在项目专用条款数据中约定</w:t>
      </w:r>
      <w:r>
        <w:rPr>
          <w:rFonts w:hint="eastAsia"/>
          <w:color w:val="auto"/>
          <w:sz w:val="24"/>
          <w:highlight w:val="none"/>
          <w:lang w:eastAsia="zh-CN"/>
        </w:rPr>
        <w:t>。</w:t>
      </w:r>
    </w:p>
    <w:p>
      <w:pPr>
        <w:adjustRightInd w:val="0"/>
        <w:snapToGrid w:val="0"/>
        <w:spacing w:line="360" w:lineRule="auto"/>
        <w:ind w:firstLine="480" w:firstLineChars="200"/>
        <w:rPr>
          <w:color w:val="auto"/>
          <w:sz w:val="24"/>
          <w:highlight w:val="none"/>
        </w:rPr>
      </w:pPr>
      <w:r>
        <w:rPr>
          <w:color w:val="auto"/>
          <w:sz w:val="24"/>
          <w:highlight w:val="none"/>
        </w:rPr>
        <w:t>保险期限：开工日起直至本合同工程签发缺陷责任期终止证书止（即合同工期＋缺陷责任期）</w:t>
      </w:r>
      <w:r>
        <w:rPr>
          <w:rFonts w:hint="eastAsia"/>
          <w:color w:val="auto"/>
          <w:sz w:val="24"/>
          <w:highlight w:val="none"/>
          <w:lang w:eastAsia="zh-CN"/>
        </w:rPr>
        <w:t>。</w:t>
      </w:r>
    </w:p>
    <w:p>
      <w:pPr>
        <w:adjustRightInd w:val="0"/>
        <w:snapToGrid w:val="0"/>
        <w:spacing w:line="360" w:lineRule="auto"/>
        <w:ind w:firstLine="480" w:firstLineChars="200"/>
        <w:rPr>
          <w:color w:val="auto"/>
          <w:sz w:val="24"/>
          <w:highlight w:val="none"/>
        </w:rPr>
      </w:pPr>
      <w:r>
        <w:rPr>
          <w:color w:val="auto"/>
          <w:sz w:val="24"/>
          <w:highlight w:val="none"/>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20.4第三者责任险</w:t>
      </w:r>
    </w:p>
    <w:p>
      <w:pPr>
        <w:adjustRightInd w:val="0"/>
        <w:snapToGrid w:val="0"/>
        <w:spacing w:line="360" w:lineRule="auto"/>
        <w:ind w:firstLine="480" w:firstLineChars="200"/>
        <w:rPr>
          <w:color w:val="auto"/>
          <w:sz w:val="24"/>
          <w:highlight w:val="none"/>
        </w:rPr>
      </w:pPr>
      <w:r>
        <w:rPr>
          <w:color w:val="auto"/>
          <w:sz w:val="24"/>
          <w:highlight w:val="none"/>
        </w:rPr>
        <w:t>20.4.2项约定为：</w:t>
      </w:r>
    </w:p>
    <w:p>
      <w:pPr>
        <w:adjustRightInd w:val="0"/>
        <w:snapToGrid w:val="0"/>
        <w:spacing w:line="360" w:lineRule="auto"/>
        <w:ind w:firstLine="480" w:firstLineChars="200"/>
        <w:rPr>
          <w:color w:val="auto"/>
          <w:sz w:val="24"/>
          <w:highlight w:val="none"/>
        </w:rPr>
      </w:pPr>
      <w:r>
        <w:rPr>
          <w:color w:val="auto"/>
          <w:sz w:val="24"/>
          <w:highlight w:val="none"/>
        </w:rPr>
        <w:t>第三者责任险的保险费由承包人报价时列入工程量清单第 100 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20.5其他保险</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20.6对各项保险的一般要求</w:t>
      </w:r>
    </w:p>
    <w:p>
      <w:pPr>
        <w:adjustRightInd w:val="0"/>
        <w:snapToGrid w:val="0"/>
        <w:spacing w:line="360" w:lineRule="auto"/>
        <w:ind w:firstLine="480" w:firstLineChars="200"/>
        <w:rPr>
          <w:color w:val="auto"/>
          <w:sz w:val="24"/>
          <w:highlight w:val="none"/>
        </w:rPr>
      </w:pPr>
      <w:r>
        <w:rPr>
          <w:color w:val="auto"/>
          <w:sz w:val="24"/>
          <w:highlight w:val="none"/>
        </w:rPr>
        <w:t>20.6.1保险凭证</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承包人向发包人提交各项保险生效的证据和保险单副本的期限：</w:t>
      </w:r>
      <w:r>
        <w:rPr>
          <w:rFonts w:hint="eastAsia"/>
          <w:color w:val="auto"/>
          <w:sz w:val="24"/>
          <w:highlight w:val="none"/>
          <w:u w:val="single"/>
        </w:rPr>
        <w:t xml:space="preserve">  开工后56天内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20.6.3持续保险</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在整个合同期内，承包人应按合同条款保证足够的保险额。</w:t>
      </w:r>
    </w:p>
    <w:p>
      <w:pPr>
        <w:adjustRightInd w:val="0"/>
        <w:snapToGrid w:val="0"/>
        <w:spacing w:line="360" w:lineRule="auto"/>
        <w:ind w:firstLine="480" w:firstLineChars="200"/>
        <w:rPr>
          <w:color w:val="auto"/>
          <w:sz w:val="24"/>
          <w:highlight w:val="none"/>
        </w:rPr>
      </w:pPr>
      <w:r>
        <w:rPr>
          <w:color w:val="auto"/>
          <w:sz w:val="24"/>
          <w:highlight w:val="none"/>
        </w:rPr>
        <w:t>20.6.4保险</w:t>
      </w:r>
      <w:r>
        <w:rPr>
          <w:rFonts w:hint="eastAsia"/>
          <w:color w:val="auto"/>
          <w:sz w:val="24"/>
          <w:highlight w:val="none"/>
        </w:rPr>
        <w:t>金</w:t>
      </w:r>
      <w:r>
        <w:rPr>
          <w:color w:val="auto"/>
          <w:sz w:val="24"/>
          <w:highlight w:val="none"/>
        </w:rPr>
        <w:t>不足的补偿</w:t>
      </w:r>
    </w:p>
    <w:p>
      <w:pPr>
        <w:adjustRightInd w:val="0"/>
        <w:snapToGrid w:val="0"/>
        <w:spacing w:line="360" w:lineRule="auto"/>
        <w:ind w:firstLine="480" w:firstLineChars="200"/>
        <w:rPr>
          <w:color w:val="auto"/>
          <w:sz w:val="24"/>
          <w:highlight w:val="none"/>
        </w:rPr>
      </w:pPr>
      <w:r>
        <w:rPr>
          <w:color w:val="auto"/>
          <w:sz w:val="24"/>
          <w:highlight w:val="none"/>
        </w:rPr>
        <w:t xml:space="preserve">本项细化为： </w:t>
      </w:r>
    </w:p>
    <w:p>
      <w:pPr>
        <w:adjustRightInd w:val="0"/>
        <w:snapToGrid w:val="0"/>
        <w:spacing w:line="360" w:lineRule="auto"/>
        <w:ind w:firstLine="480" w:firstLineChars="200"/>
        <w:rPr>
          <w:color w:val="auto"/>
          <w:sz w:val="24"/>
          <w:highlight w:val="none"/>
        </w:rPr>
      </w:pPr>
      <w:r>
        <w:rPr>
          <w:color w:val="auto"/>
          <w:sz w:val="24"/>
          <w:highlight w:val="none"/>
        </w:rPr>
        <w:t>保险金不足以补偿损失的（包括免赔额和超过赔偿限额的部分），应由承包人和（或）发包人按合同约定负责补偿。</w:t>
      </w:r>
    </w:p>
    <w:p>
      <w:pPr>
        <w:adjustRightInd w:val="0"/>
        <w:snapToGrid w:val="0"/>
        <w:spacing w:line="360" w:lineRule="auto"/>
        <w:ind w:firstLine="480" w:firstLineChars="200"/>
        <w:rPr>
          <w:color w:val="auto"/>
          <w:sz w:val="24"/>
          <w:highlight w:val="none"/>
        </w:rPr>
      </w:pPr>
      <w:r>
        <w:rPr>
          <w:color w:val="auto"/>
          <w:sz w:val="24"/>
          <w:highlight w:val="none"/>
        </w:rPr>
        <w:t>20.6.5未按约定投保的补救</w:t>
      </w:r>
    </w:p>
    <w:p>
      <w:pPr>
        <w:adjustRightInd w:val="0"/>
        <w:snapToGrid w:val="0"/>
        <w:spacing w:line="360" w:lineRule="auto"/>
        <w:ind w:firstLine="480" w:firstLineChars="200"/>
        <w:rPr>
          <w:color w:val="auto"/>
          <w:sz w:val="24"/>
          <w:highlight w:val="none"/>
        </w:rPr>
      </w:pPr>
      <w:r>
        <w:rPr>
          <w:color w:val="auto"/>
          <w:sz w:val="24"/>
          <w:highlight w:val="none"/>
        </w:rPr>
        <w:t>本项（2）目细化为：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21．不可抗力</w:t>
      </w:r>
    </w:p>
    <w:p>
      <w:pPr>
        <w:adjustRightInd w:val="0"/>
        <w:snapToGrid w:val="0"/>
        <w:spacing w:line="360" w:lineRule="auto"/>
        <w:rPr>
          <w:rFonts w:eastAsia="黑体"/>
          <w:color w:val="auto"/>
          <w:sz w:val="24"/>
          <w:highlight w:val="none"/>
        </w:rPr>
      </w:pPr>
      <w:r>
        <w:rPr>
          <w:rFonts w:eastAsia="黑体"/>
          <w:color w:val="auto"/>
          <w:sz w:val="24"/>
          <w:highlight w:val="none"/>
        </w:rPr>
        <w:t>21.1不可抗力的确认</w:t>
      </w:r>
    </w:p>
    <w:p>
      <w:pPr>
        <w:adjustRightInd w:val="0"/>
        <w:snapToGrid w:val="0"/>
        <w:spacing w:line="360" w:lineRule="auto"/>
        <w:ind w:firstLine="480" w:firstLineChars="200"/>
        <w:rPr>
          <w:color w:val="auto"/>
          <w:sz w:val="24"/>
          <w:highlight w:val="none"/>
        </w:rPr>
      </w:pPr>
      <w:r>
        <w:rPr>
          <w:color w:val="auto"/>
          <w:sz w:val="24"/>
          <w:highlight w:val="none"/>
        </w:rPr>
        <w:t>21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1项细化为：</w:t>
      </w:r>
    </w:p>
    <w:p>
      <w:pPr>
        <w:adjustRightInd w:val="0"/>
        <w:snapToGrid w:val="0"/>
        <w:spacing w:line="360" w:lineRule="auto"/>
        <w:ind w:firstLine="480" w:firstLineChars="200"/>
        <w:rPr>
          <w:color w:val="auto"/>
          <w:sz w:val="24"/>
          <w:highlight w:val="none"/>
        </w:rPr>
      </w:pPr>
      <w:r>
        <w:rPr>
          <w:color w:val="auto"/>
          <w:sz w:val="24"/>
          <w:highlight w:val="none"/>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地震、海啸、火山爆发、泥石流、暴雨（雪）、台风、龙卷风、水灾等自然灾害；</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战争、骚乱、暴动，但纯属承包人或其分包人派遣与雇用的人员由于本合同工程施工原因引起者除外；</w:t>
      </w:r>
    </w:p>
    <w:p>
      <w:pPr>
        <w:adjustRightInd w:val="0"/>
        <w:snapToGrid w:val="0"/>
        <w:spacing w:line="360" w:lineRule="auto"/>
        <w:ind w:firstLine="480" w:firstLineChars="200"/>
        <w:rPr>
          <w:color w:val="auto"/>
          <w:sz w:val="24"/>
          <w:highlight w:val="none"/>
        </w:rPr>
      </w:pPr>
      <w:r>
        <w:rPr>
          <w:color w:val="auto"/>
          <w:sz w:val="24"/>
          <w:highlight w:val="none"/>
        </w:rPr>
        <w:t>（3）核反应、辐射或放射性污染；</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空中飞行物体坠落或非发包人或承包人责任造成的爆炸、火灾；</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瘟疫；</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项目专用合同条款约定的其他情形。</w:t>
      </w:r>
    </w:p>
    <w:p>
      <w:pPr>
        <w:adjustRightInd w:val="0"/>
        <w:snapToGrid w:val="0"/>
        <w:spacing w:beforeLines="100" w:line="360" w:lineRule="auto"/>
        <w:rPr>
          <w:rFonts w:eastAsia="黑体"/>
          <w:color w:val="auto"/>
          <w:sz w:val="24"/>
          <w:highlight w:val="none"/>
        </w:rPr>
      </w:pPr>
      <w:r>
        <w:rPr>
          <w:rFonts w:eastAsia="黑体"/>
          <w:color w:val="auto"/>
          <w:sz w:val="24"/>
          <w:highlight w:val="none"/>
        </w:rPr>
        <w:t>21.3不可抗力后果及其处理</w:t>
      </w:r>
    </w:p>
    <w:p>
      <w:pPr>
        <w:adjustRightInd w:val="0"/>
        <w:snapToGrid w:val="0"/>
        <w:spacing w:line="360" w:lineRule="auto"/>
        <w:ind w:firstLine="480" w:firstLineChars="200"/>
        <w:rPr>
          <w:color w:val="auto"/>
          <w:sz w:val="24"/>
          <w:highlight w:val="none"/>
        </w:rPr>
      </w:pPr>
      <w:r>
        <w:rPr>
          <w:color w:val="auto"/>
          <w:sz w:val="24"/>
          <w:highlight w:val="none"/>
        </w:rPr>
        <w:t>21.3.4因不可抗力解除合同本项细化为：</w:t>
      </w:r>
    </w:p>
    <w:p>
      <w:pPr>
        <w:adjustRightInd w:val="0"/>
        <w:snapToGrid w:val="0"/>
        <w:spacing w:line="360" w:lineRule="auto"/>
        <w:ind w:firstLine="480" w:firstLineChars="200"/>
        <w:rPr>
          <w:color w:val="auto"/>
          <w:sz w:val="24"/>
          <w:highlight w:val="none"/>
        </w:rPr>
      </w:pPr>
      <w:r>
        <w:rPr>
          <w:color w:val="auto"/>
          <w:sz w:val="24"/>
          <w:highlight w:val="none"/>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w:t>
      </w:r>
      <w:r>
        <w:rPr>
          <w:rFonts w:hint="eastAsia" w:eastAsia="黑体"/>
          <w:color w:val="auto"/>
          <w:sz w:val="24"/>
          <w:highlight w:val="none"/>
        </w:rPr>
        <w:t>．</w:t>
      </w:r>
      <w:r>
        <w:rPr>
          <w:rFonts w:eastAsia="黑体"/>
          <w:color w:val="auto"/>
          <w:sz w:val="24"/>
          <w:highlight w:val="none"/>
        </w:rPr>
        <w:t>违约</w:t>
      </w:r>
    </w:p>
    <w:p>
      <w:pPr>
        <w:adjustRightInd w:val="0"/>
        <w:snapToGrid w:val="0"/>
        <w:spacing w:line="360" w:lineRule="auto"/>
        <w:rPr>
          <w:rFonts w:eastAsia="黑体"/>
          <w:color w:val="auto"/>
          <w:sz w:val="24"/>
          <w:highlight w:val="none"/>
        </w:rPr>
      </w:pPr>
      <w:r>
        <w:rPr>
          <w:rFonts w:eastAsia="黑体"/>
          <w:color w:val="auto"/>
          <w:sz w:val="24"/>
          <w:highlight w:val="none"/>
        </w:rPr>
        <w:t>22.1承包人违约</w:t>
      </w:r>
    </w:p>
    <w:p>
      <w:pPr>
        <w:adjustRightInd w:val="0"/>
        <w:snapToGrid w:val="0"/>
        <w:spacing w:line="360" w:lineRule="auto"/>
        <w:ind w:firstLine="480" w:firstLineChars="200"/>
        <w:rPr>
          <w:color w:val="auto"/>
          <w:sz w:val="24"/>
          <w:highlight w:val="none"/>
        </w:rPr>
      </w:pPr>
      <w:r>
        <w:rPr>
          <w:color w:val="auto"/>
          <w:sz w:val="24"/>
          <w:highlight w:val="none"/>
        </w:rPr>
        <w:t>22.1.1承包人违约的情形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承包人未能按期开工；</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w:t>
      </w:r>
      <w:r>
        <w:rPr>
          <w:rFonts w:hint="eastAsia"/>
          <w:color w:val="auto"/>
          <w:sz w:val="24"/>
          <w:highlight w:val="none"/>
        </w:rPr>
        <w:t>）</w:t>
      </w:r>
      <w:r>
        <w:rPr>
          <w:color w:val="auto"/>
          <w:sz w:val="24"/>
          <w:highlight w:val="none"/>
        </w:rPr>
        <w:t>承包人不按合同约定履行义务的其他情况。</w:t>
      </w:r>
    </w:p>
    <w:p>
      <w:pPr>
        <w:adjustRightInd w:val="0"/>
        <w:snapToGrid w:val="0"/>
        <w:spacing w:line="360" w:lineRule="auto"/>
        <w:ind w:firstLine="480" w:firstLineChars="200"/>
        <w:rPr>
          <w:color w:val="auto"/>
          <w:sz w:val="24"/>
          <w:highlight w:val="none"/>
        </w:rPr>
      </w:pPr>
      <w:r>
        <w:rPr>
          <w:color w:val="auto"/>
          <w:sz w:val="24"/>
          <w:highlight w:val="none"/>
        </w:rPr>
        <w:t>22.1.2对承包人违约的处理</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22.2发包人违约</w:t>
      </w:r>
    </w:p>
    <w:p>
      <w:pPr>
        <w:adjustRightInd w:val="0"/>
        <w:snapToGrid w:val="0"/>
        <w:spacing w:line="360" w:lineRule="auto"/>
        <w:ind w:firstLine="480" w:firstLineChars="200"/>
        <w:rPr>
          <w:color w:val="auto"/>
          <w:sz w:val="24"/>
          <w:highlight w:val="none"/>
        </w:rPr>
      </w:pPr>
      <w:r>
        <w:rPr>
          <w:color w:val="auto"/>
          <w:sz w:val="24"/>
          <w:highlight w:val="none"/>
        </w:rPr>
        <w:t>22.2.4解除合同后的付款</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color w:val="auto"/>
          <w:sz w:val="24"/>
          <w:highlight w:val="none"/>
        </w:rPr>
      </w:pPr>
      <w:r>
        <w:rPr>
          <w:rFonts w:eastAsia="黑体"/>
          <w:color w:val="auto"/>
          <w:sz w:val="24"/>
          <w:highlight w:val="none"/>
        </w:rPr>
        <w:t>23</w:t>
      </w:r>
      <w:r>
        <w:rPr>
          <w:rFonts w:hint="eastAsia" w:eastAsia="黑体"/>
          <w:color w:val="auto"/>
          <w:sz w:val="24"/>
          <w:highlight w:val="none"/>
        </w:rPr>
        <w:t>．</w:t>
      </w:r>
      <w:r>
        <w:rPr>
          <w:rFonts w:eastAsia="黑体"/>
          <w:color w:val="auto"/>
          <w:sz w:val="24"/>
          <w:highlight w:val="none"/>
        </w:rPr>
        <w:t>索赔</w:t>
      </w:r>
    </w:p>
    <w:p>
      <w:pPr>
        <w:adjustRightInd w:val="0"/>
        <w:snapToGrid w:val="0"/>
        <w:spacing w:line="360" w:lineRule="auto"/>
        <w:rPr>
          <w:rFonts w:eastAsia="黑体"/>
          <w:color w:val="auto"/>
          <w:sz w:val="24"/>
          <w:highlight w:val="none"/>
        </w:rPr>
      </w:pPr>
      <w:r>
        <w:rPr>
          <w:rFonts w:eastAsia="黑体"/>
          <w:color w:val="auto"/>
          <w:sz w:val="24"/>
          <w:highlight w:val="none"/>
        </w:rPr>
        <w:t>23.1承包人索赔的提出</w:t>
      </w:r>
    </w:p>
    <w:p>
      <w:pPr>
        <w:adjustRightInd w:val="0"/>
        <w:snapToGrid w:val="0"/>
        <w:spacing w:line="360" w:lineRule="auto"/>
        <w:ind w:firstLine="480" w:firstLineChars="200"/>
        <w:rPr>
          <w:color w:val="auto"/>
          <w:sz w:val="24"/>
          <w:highlight w:val="none"/>
        </w:rPr>
      </w:pPr>
      <w:r>
        <w:rPr>
          <w:color w:val="auto"/>
          <w:sz w:val="24"/>
          <w:highlight w:val="none"/>
        </w:rPr>
        <w:t>本款</w:t>
      </w:r>
      <w:r>
        <w:rPr>
          <w:rFonts w:hint="eastAsia"/>
          <w:color w:val="auto"/>
          <w:sz w:val="24"/>
          <w:highlight w:val="none"/>
        </w:rPr>
        <w:t>（</w:t>
      </w:r>
      <w:r>
        <w:rPr>
          <w:color w:val="auto"/>
          <w:sz w:val="24"/>
          <w:highlight w:val="none"/>
        </w:rPr>
        <w:t>4）项细化为：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color w:val="auto"/>
          <w:sz w:val="24"/>
          <w:highlight w:val="none"/>
        </w:rPr>
      </w:pPr>
      <w:r>
        <w:rPr>
          <w:rFonts w:eastAsia="黑体"/>
          <w:color w:val="auto"/>
          <w:sz w:val="24"/>
          <w:highlight w:val="none"/>
        </w:rPr>
        <w:t>23.2承包人索赔处理程序</w:t>
      </w:r>
    </w:p>
    <w:p>
      <w:pPr>
        <w:adjustRightInd w:val="0"/>
        <w:snapToGrid w:val="0"/>
        <w:spacing w:line="360" w:lineRule="auto"/>
        <w:ind w:firstLine="480" w:firstLineChars="200"/>
        <w:rPr>
          <w:color w:val="auto"/>
          <w:sz w:val="24"/>
          <w:highlight w:val="none"/>
        </w:rPr>
      </w:pPr>
      <w:r>
        <w:rPr>
          <w:color w:val="auto"/>
          <w:sz w:val="24"/>
          <w:highlight w:val="none"/>
        </w:rPr>
        <w:t>本款（2</w:t>
      </w:r>
      <w:r>
        <w:rPr>
          <w:rFonts w:hint="eastAsia"/>
          <w:color w:val="auto"/>
          <w:sz w:val="24"/>
          <w:highlight w:val="none"/>
        </w:rPr>
        <w:t>）</w:t>
      </w:r>
      <w:r>
        <w:rPr>
          <w:color w:val="auto"/>
          <w:sz w:val="24"/>
          <w:highlight w:val="none"/>
        </w:rPr>
        <w:t>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24</w:t>
      </w:r>
      <w:r>
        <w:rPr>
          <w:rFonts w:hint="eastAsia" w:eastAsia="黑体"/>
          <w:color w:val="auto"/>
          <w:sz w:val="24"/>
          <w:highlight w:val="none"/>
        </w:rPr>
        <w:t>．</w:t>
      </w:r>
      <w:r>
        <w:rPr>
          <w:rFonts w:eastAsia="黑体"/>
          <w:color w:val="auto"/>
          <w:sz w:val="24"/>
          <w:highlight w:val="none"/>
        </w:rPr>
        <w:t>争议的解决</w:t>
      </w:r>
    </w:p>
    <w:p>
      <w:pPr>
        <w:adjustRightInd w:val="0"/>
        <w:snapToGrid w:val="0"/>
        <w:spacing w:line="360" w:lineRule="auto"/>
        <w:rPr>
          <w:rFonts w:eastAsia="黑体"/>
          <w:color w:val="auto"/>
          <w:sz w:val="24"/>
          <w:highlight w:val="none"/>
        </w:rPr>
      </w:pPr>
      <w:r>
        <w:rPr>
          <w:rFonts w:eastAsia="黑体"/>
          <w:color w:val="auto"/>
          <w:sz w:val="24"/>
          <w:highlight w:val="none"/>
        </w:rPr>
        <w:t>24.1争议的解决方式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争议的最终解决方式：</w:t>
      </w:r>
      <w:r>
        <w:rPr>
          <w:rFonts w:hint="eastAsia"/>
          <w:color w:val="auto"/>
          <w:sz w:val="24"/>
          <w:highlight w:val="none"/>
          <w:u w:val="single"/>
        </w:rPr>
        <w:t xml:space="preserve">   仲裁或诉讼   </w:t>
      </w:r>
      <w:r>
        <w:rPr>
          <w:color w:val="auto"/>
          <w:sz w:val="24"/>
          <w:highlight w:val="none"/>
        </w:rPr>
        <w:t>（在项目专用条款数据中约定）</w:t>
      </w:r>
    </w:p>
    <w:p>
      <w:pPr>
        <w:adjustRightInd w:val="0"/>
        <w:snapToGrid w:val="0"/>
        <w:spacing w:line="360" w:lineRule="auto"/>
        <w:ind w:firstLine="480" w:firstLineChars="200"/>
        <w:rPr>
          <w:color w:val="auto"/>
          <w:sz w:val="24"/>
          <w:highlight w:val="none"/>
        </w:rPr>
      </w:pPr>
      <w:r>
        <w:rPr>
          <w:color w:val="auto"/>
          <w:sz w:val="24"/>
          <w:highlight w:val="none"/>
        </w:rPr>
        <w:t>如采用仲裁，仲裁委员会名称：</w:t>
      </w:r>
      <w:r>
        <w:rPr>
          <w:color w:val="auto"/>
          <w:sz w:val="24"/>
          <w:highlight w:val="none"/>
          <w:u w:val="single"/>
        </w:rPr>
        <w:t>（在项目专用条款数据中约定）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24.3争议评审</w:t>
      </w:r>
    </w:p>
    <w:p>
      <w:pPr>
        <w:adjustRightInd w:val="0"/>
        <w:snapToGrid w:val="0"/>
        <w:spacing w:line="360" w:lineRule="auto"/>
        <w:ind w:firstLine="480" w:firstLineChars="200"/>
        <w:rPr>
          <w:color w:val="auto"/>
          <w:sz w:val="24"/>
          <w:highlight w:val="none"/>
        </w:rPr>
      </w:pPr>
      <w:r>
        <w:rPr>
          <w:color w:val="auto"/>
          <w:sz w:val="24"/>
          <w:highlight w:val="none"/>
        </w:rPr>
        <w:t>24.3</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本条增加第24.4</w:t>
      </w:r>
      <w:r>
        <w:rPr>
          <w:rFonts w:hint="eastAsia" w:eastAsia="黑体"/>
          <w:color w:val="auto"/>
          <w:sz w:val="24"/>
          <w:highlight w:val="none"/>
        </w:rPr>
        <w:t>、</w:t>
      </w:r>
      <w:r>
        <w:rPr>
          <w:rFonts w:eastAsia="黑体"/>
          <w:color w:val="auto"/>
          <w:sz w:val="24"/>
          <w:highlight w:val="none"/>
        </w:rPr>
        <w:t>24.5款（适用于采用仲裁方式最终解决争议的项目）：</w:t>
      </w:r>
    </w:p>
    <w:p>
      <w:pPr>
        <w:adjustRightInd w:val="0"/>
        <w:snapToGrid w:val="0"/>
        <w:spacing w:line="360" w:lineRule="auto"/>
        <w:rPr>
          <w:rFonts w:eastAsia="黑体"/>
          <w:color w:val="auto"/>
          <w:sz w:val="24"/>
          <w:highlight w:val="none"/>
        </w:rPr>
      </w:pPr>
      <w:r>
        <w:rPr>
          <w:rFonts w:eastAsia="黑体"/>
          <w:color w:val="auto"/>
          <w:sz w:val="24"/>
          <w:highlight w:val="none"/>
        </w:rPr>
        <w:t>24.4仲裁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仲裁裁决是终局性的并对发包人和承包人双方具有约束力。</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全部仲裁费用应由败诉方承担；或按仲裁委员会裁决的比例分担。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24.5诉讼</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任何一方不履行仲裁机构的裁决的，对方可以向有管辖权的人民法院申请执行。受申请的人民法院应当执行。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pStyle w:val="7"/>
        <w:snapToGrid w:val="0"/>
        <w:spacing w:line="300" w:lineRule="auto"/>
        <w:rPr>
          <w:b/>
          <w:bCs/>
          <w:color w:val="auto"/>
          <w:sz w:val="44"/>
          <w:highlight w:val="none"/>
        </w:rPr>
      </w:pPr>
    </w:p>
    <w:p>
      <w:pPr>
        <w:pStyle w:val="7"/>
        <w:snapToGrid w:val="0"/>
        <w:spacing w:line="300" w:lineRule="auto"/>
        <w:rPr>
          <w:b/>
          <w:bCs/>
          <w:color w:val="auto"/>
          <w:sz w:val="44"/>
          <w:highlight w:val="none"/>
        </w:rPr>
      </w:pPr>
    </w:p>
    <w:p>
      <w:pPr>
        <w:pStyle w:val="7"/>
        <w:snapToGrid w:val="0"/>
        <w:spacing w:line="300" w:lineRule="auto"/>
        <w:rPr>
          <w:b/>
          <w:bCs/>
          <w:color w:val="auto"/>
          <w:sz w:val="44"/>
          <w:highlight w:val="none"/>
        </w:rPr>
      </w:pPr>
    </w:p>
    <w:p>
      <w:pPr>
        <w:tabs>
          <w:tab w:val="left" w:pos="4500"/>
        </w:tabs>
        <w:spacing w:line="520" w:lineRule="exact"/>
        <w:jc w:val="center"/>
        <w:rPr>
          <w:rFonts w:hint="eastAsia" w:ascii="黑体" w:eastAsia="黑体"/>
          <w:bCs/>
          <w:color w:val="auto"/>
          <w:sz w:val="36"/>
          <w:szCs w:val="36"/>
          <w:highlight w:val="none"/>
        </w:rPr>
      </w:pPr>
    </w:p>
    <w:p>
      <w:pPr>
        <w:tabs>
          <w:tab w:val="left" w:pos="4500"/>
        </w:tabs>
        <w:spacing w:line="520" w:lineRule="exact"/>
        <w:jc w:val="center"/>
        <w:rPr>
          <w:rFonts w:hint="eastAsia" w:ascii="黑体" w:eastAsia="黑体"/>
          <w:bCs/>
          <w:color w:val="auto"/>
          <w:sz w:val="36"/>
          <w:szCs w:val="36"/>
          <w:highlight w:val="none"/>
        </w:rPr>
      </w:pPr>
    </w:p>
    <w:p>
      <w:pPr>
        <w:tabs>
          <w:tab w:val="left" w:pos="4500"/>
        </w:tabs>
        <w:spacing w:line="520" w:lineRule="exact"/>
        <w:jc w:val="center"/>
        <w:rPr>
          <w:rFonts w:hint="eastAsia" w:ascii="黑体" w:eastAsia="黑体"/>
          <w:bCs/>
          <w:color w:val="auto"/>
          <w:sz w:val="36"/>
          <w:szCs w:val="36"/>
          <w:highlight w:val="none"/>
        </w:rPr>
      </w:pPr>
    </w:p>
    <w:p>
      <w:pPr>
        <w:tabs>
          <w:tab w:val="left" w:pos="4500"/>
        </w:tabs>
        <w:spacing w:line="520" w:lineRule="exact"/>
        <w:jc w:val="center"/>
        <w:rPr>
          <w:rFonts w:hint="eastAsia" w:ascii="黑体" w:eastAsia="黑体"/>
          <w:bCs/>
          <w:color w:val="auto"/>
          <w:sz w:val="36"/>
          <w:szCs w:val="36"/>
          <w:highlight w:val="none"/>
        </w:rPr>
      </w:pPr>
    </w:p>
    <w:p>
      <w:pPr>
        <w:tabs>
          <w:tab w:val="left" w:pos="4500"/>
        </w:tabs>
        <w:spacing w:line="520" w:lineRule="exact"/>
        <w:jc w:val="center"/>
        <w:rPr>
          <w:rFonts w:hint="eastAsia" w:ascii="黑体" w:eastAsia="黑体"/>
          <w:bCs/>
          <w:color w:val="auto"/>
          <w:sz w:val="36"/>
          <w:szCs w:val="36"/>
          <w:highlight w:val="none"/>
        </w:rPr>
      </w:pPr>
    </w:p>
    <w:p>
      <w:pPr>
        <w:tabs>
          <w:tab w:val="left" w:pos="4500"/>
        </w:tabs>
        <w:spacing w:line="520" w:lineRule="exact"/>
        <w:jc w:val="center"/>
        <w:rPr>
          <w:rFonts w:hint="eastAsia" w:ascii="黑体" w:eastAsia="黑体"/>
          <w:bCs/>
          <w:color w:val="auto"/>
          <w:sz w:val="36"/>
          <w:szCs w:val="36"/>
          <w:highlight w:val="none"/>
        </w:rPr>
      </w:pPr>
    </w:p>
    <w:p>
      <w:pPr>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B.项目专用合同条款</w:t>
      </w:r>
    </w:p>
    <w:p>
      <w:pPr>
        <w:tabs>
          <w:tab w:val="left" w:pos="4500"/>
        </w:tabs>
        <w:spacing w:line="520" w:lineRule="exact"/>
        <w:jc w:val="center"/>
        <w:rPr>
          <w:rFonts w:ascii="黑体" w:eastAsia="黑体"/>
          <w:bCs/>
          <w:color w:val="auto"/>
          <w:sz w:val="36"/>
          <w:szCs w:val="36"/>
          <w:highlight w:val="none"/>
        </w:rPr>
      </w:pPr>
    </w:p>
    <w:p>
      <w:pPr>
        <w:tabs>
          <w:tab w:val="left" w:pos="460"/>
        </w:tabs>
        <w:spacing w:line="0" w:lineRule="atLeast"/>
        <w:rPr>
          <w:rFonts w:ascii="宋体" w:hAnsi="宋体" w:eastAsia="宋体"/>
          <w:sz w:val="24"/>
          <w:highlight w:val="none"/>
        </w:rPr>
      </w:pPr>
      <w:r>
        <w:rPr>
          <w:rFonts w:ascii="宋体" w:hAnsi="宋体" w:eastAsia="宋体"/>
          <w:sz w:val="24"/>
          <w:highlight w:val="none"/>
        </w:rPr>
        <w:t>说</w:t>
      </w:r>
      <w:r>
        <w:rPr>
          <w:rFonts w:ascii="Times New Roman" w:hAnsi="Times New Roman" w:eastAsia="Times New Roman"/>
          <w:highlight w:val="none"/>
        </w:rPr>
        <w:tab/>
      </w:r>
      <w:r>
        <w:rPr>
          <w:rFonts w:ascii="宋体" w:hAnsi="宋体" w:eastAsia="宋体"/>
          <w:sz w:val="24"/>
          <w:highlight w:val="none"/>
        </w:rPr>
        <w:t>明：</w:t>
      </w:r>
    </w:p>
    <w:p>
      <w:pPr>
        <w:spacing w:line="208" w:lineRule="exact"/>
        <w:rPr>
          <w:rFonts w:ascii="Times New Roman" w:hAnsi="Times New Roman" w:eastAsia="Times New Roman"/>
          <w:highlight w:val="none"/>
        </w:rPr>
      </w:pPr>
    </w:p>
    <w:p>
      <w:pPr>
        <w:spacing w:line="352" w:lineRule="auto"/>
        <w:ind w:right="80" w:firstLine="720"/>
        <w:jc w:val="both"/>
        <w:rPr>
          <w:rFonts w:ascii="宋体" w:hAnsi="宋体" w:eastAsia="宋体"/>
          <w:sz w:val="24"/>
          <w:highlight w:val="none"/>
        </w:rPr>
      </w:pPr>
      <w:r>
        <w:rPr>
          <w:rFonts w:ascii="Arial" w:hAnsi="Arial" w:eastAsia="Arial"/>
          <w:sz w:val="24"/>
          <w:highlight w:val="none"/>
        </w:rPr>
        <w:t>1.</w:t>
      </w:r>
      <w:r>
        <w:rPr>
          <w:rFonts w:ascii="宋体" w:hAnsi="宋体" w:eastAsia="宋体"/>
          <w:sz w:val="24"/>
          <w:highlight w:val="none"/>
        </w:rPr>
        <w:t>招标人在根据《公路工程标准施工招标文件》编制项目招标文件中的</w:t>
      </w:r>
      <w:r>
        <w:rPr>
          <w:rFonts w:ascii="Arial" w:hAnsi="Arial" w:eastAsia="Arial"/>
          <w:sz w:val="24"/>
          <w:highlight w:val="none"/>
        </w:rPr>
        <w:t>“</w:t>
      </w:r>
      <w:r>
        <w:rPr>
          <w:rFonts w:ascii="宋体" w:hAnsi="宋体" w:eastAsia="宋体"/>
          <w:sz w:val="24"/>
          <w:highlight w:val="none"/>
        </w:rPr>
        <w:t>项目专用合同条款</w:t>
      </w:r>
      <w:r>
        <w:rPr>
          <w:rFonts w:ascii="Arial" w:hAnsi="Arial" w:eastAsia="Arial"/>
          <w:sz w:val="24"/>
          <w:highlight w:val="none"/>
        </w:rPr>
        <w:t>”</w:t>
      </w:r>
      <w:r>
        <w:rPr>
          <w:rFonts w:ascii="宋体" w:hAnsi="宋体" w:eastAsia="宋体"/>
          <w:sz w:val="24"/>
          <w:highlight w:val="none"/>
        </w:rPr>
        <w:t>时，可根据招标项目的具体特点和实际需要，对</w:t>
      </w:r>
      <w:r>
        <w:rPr>
          <w:rFonts w:ascii="Arial" w:hAnsi="Arial" w:eastAsia="Arial"/>
          <w:sz w:val="24"/>
          <w:highlight w:val="none"/>
        </w:rPr>
        <w:t>“</w:t>
      </w:r>
      <w:r>
        <w:rPr>
          <w:rFonts w:ascii="宋体" w:hAnsi="宋体" w:eastAsia="宋体"/>
          <w:sz w:val="24"/>
          <w:highlight w:val="none"/>
        </w:rPr>
        <w:t>通用合同条款</w:t>
      </w:r>
      <w:r>
        <w:rPr>
          <w:rFonts w:ascii="Arial" w:hAnsi="Arial" w:eastAsia="Arial"/>
          <w:sz w:val="24"/>
          <w:highlight w:val="none"/>
        </w:rPr>
        <w:t>”</w:t>
      </w:r>
      <w:r>
        <w:rPr>
          <w:rFonts w:ascii="宋体" w:hAnsi="宋体" w:eastAsia="宋体"/>
          <w:sz w:val="24"/>
          <w:highlight w:val="none"/>
        </w:rPr>
        <w:t>及</w:t>
      </w:r>
      <w:r>
        <w:rPr>
          <w:rFonts w:ascii="Arial" w:hAnsi="Arial" w:eastAsia="Arial"/>
          <w:sz w:val="24"/>
          <w:highlight w:val="none"/>
        </w:rPr>
        <w:t>“</w:t>
      </w:r>
      <w:r>
        <w:rPr>
          <w:rFonts w:ascii="宋体" w:hAnsi="宋体" w:eastAsia="宋体"/>
          <w:sz w:val="24"/>
          <w:highlight w:val="none"/>
        </w:rPr>
        <w:t>公路工程专用合同条款</w:t>
      </w:r>
      <w:r>
        <w:rPr>
          <w:rFonts w:ascii="Arial" w:hAnsi="Arial" w:eastAsia="Arial"/>
          <w:sz w:val="24"/>
          <w:highlight w:val="none"/>
        </w:rPr>
        <w:t>”</w:t>
      </w:r>
      <w:r>
        <w:rPr>
          <w:rFonts w:ascii="宋体" w:hAnsi="宋体" w:eastAsia="宋体"/>
          <w:sz w:val="24"/>
          <w:highlight w:val="none"/>
        </w:rPr>
        <w:t>进行补充和细化，除</w:t>
      </w:r>
      <w:r>
        <w:rPr>
          <w:rFonts w:ascii="Arial" w:hAnsi="Arial" w:eastAsia="Arial"/>
          <w:sz w:val="24"/>
          <w:highlight w:val="none"/>
        </w:rPr>
        <w:t>“</w:t>
      </w:r>
      <w:r>
        <w:rPr>
          <w:rFonts w:ascii="宋体" w:hAnsi="宋体" w:eastAsia="宋体"/>
          <w:sz w:val="24"/>
          <w:highlight w:val="none"/>
        </w:rPr>
        <w:t>通用合同条款</w:t>
      </w:r>
      <w:r>
        <w:rPr>
          <w:rFonts w:ascii="Arial" w:hAnsi="Arial" w:eastAsia="Arial"/>
          <w:sz w:val="24"/>
          <w:highlight w:val="none"/>
        </w:rPr>
        <w:t>”</w:t>
      </w:r>
      <w:r>
        <w:rPr>
          <w:rFonts w:ascii="宋体" w:hAnsi="宋体" w:eastAsia="宋体"/>
          <w:sz w:val="24"/>
          <w:highlight w:val="none"/>
        </w:rPr>
        <w:t>明确</w:t>
      </w:r>
      <w:r>
        <w:rPr>
          <w:rFonts w:ascii="Arial" w:hAnsi="Arial" w:eastAsia="Arial"/>
          <w:sz w:val="24"/>
          <w:highlight w:val="none"/>
        </w:rPr>
        <w:t>“</w:t>
      </w:r>
      <w:r>
        <w:rPr>
          <w:rFonts w:ascii="宋体" w:hAnsi="宋体" w:eastAsia="宋体"/>
          <w:sz w:val="24"/>
          <w:highlight w:val="none"/>
        </w:rPr>
        <w:t>专用合同条款</w:t>
      </w:r>
      <w:r>
        <w:rPr>
          <w:rFonts w:ascii="Arial" w:hAnsi="Arial" w:eastAsia="Arial"/>
          <w:sz w:val="24"/>
          <w:highlight w:val="none"/>
        </w:rPr>
        <w:t>”</w:t>
      </w:r>
      <w:r>
        <w:rPr>
          <w:rFonts w:ascii="宋体" w:hAnsi="宋体" w:eastAsia="宋体"/>
          <w:sz w:val="24"/>
          <w:highlight w:val="none"/>
        </w:rPr>
        <w:t>可作出不同约定以及</w:t>
      </w:r>
      <w:r>
        <w:rPr>
          <w:rFonts w:ascii="Arial" w:hAnsi="Arial" w:eastAsia="Arial"/>
          <w:sz w:val="24"/>
          <w:highlight w:val="none"/>
        </w:rPr>
        <w:t>“</w:t>
      </w:r>
      <w:r>
        <w:rPr>
          <w:rFonts w:ascii="宋体" w:hAnsi="宋体" w:eastAsia="宋体"/>
          <w:sz w:val="24"/>
          <w:highlight w:val="none"/>
        </w:rPr>
        <w:t>公路工程专用合同条款</w:t>
      </w:r>
      <w:r>
        <w:rPr>
          <w:rFonts w:ascii="Arial" w:hAnsi="Arial" w:eastAsia="Arial"/>
          <w:sz w:val="24"/>
          <w:highlight w:val="none"/>
        </w:rPr>
        <w:t>”</w:t>
      </w:r>
      <w:r>
        <w:rPr>
          <w:rFonts w:ascii="宋体" w:hAnsi="宋体" w:eastAsia="宋体"/>
          <w:sz w:val="24"/>
          <w:highlight w:val="none"/>
        </w:rPr>
        <w:t>明确</w:t>
      </w:r>
      <w:r>
        <w:rPr>
          <w:rFonts w:ascii="Arial" w:hAnsi="Arial" w:eastAsia="Arial"/>
          <w:sz w:val="24"/>
          <w:highlight w:val="none"/>
        </w:rPr>
        <w:t>“</w:t>
      </w:r>
      <w:r>
        <w:rPr>
          <w:rFonts w:ascii="宋体" w:hAnsi="宋体" w:eastAsia="宋体"/>
          <w:sz w:val="24"/>
          <w:highlight w:val="none"/>
        </w:rPr>
        <w:t>项目专用合同条款</w:t>
      </w:r>
      <w:r>
        <w:rPr>
          <w:rFonts w:ascii="Arial" w:hAnsi="Arial" w:eastAsia="Arial"/>
          <w:sz w:val="24"/>
          <w:highlight w:val="none"/>
        </w:rPr>
        <w:t>”</w:t>
      </w:r>
      <w:r>
        <w:rPr>
          <w:rFonts w:ascii="宋体" w:hAnsi="宋体" w:eastAsia="宋体"/>
          <w:sz w:val="24"/>
          <w:highlight w:val="none"/>
        </w:rPr>
        <w:t>可作出不同约定外，补充和细化的内容不得与</w:t>
      </w:r>
      <w:r>
        <w:rPr>
          <w:rFonts w:ascii="Arial" w:hAnsi="Arial" w:eastAsia="Arial"/>
          <w:sz w:val="24"/>
          <w:highlight w:val="none"/>
        </w:rPr>
        <w:t>“</w:t>
      </w:r>
      <w:r>
        <w:rPr>
          <w:rFonts w:ascii="宋体" w:hAnsi="宋体" w:eastAsia="宋体"/>
          <w:sz w:val="24"/>
          <w:highlight w:val="none"/>
        </w:rPr>
        <w:t>通用合同条款</w:t>
      </w:r>
      <w:r>
        <w:rPr>
          <w:rFonts w:ascii="Arial" w:hAnsi="Arial" w:eastAsia="Arial"/>
          <w:sz w:val="24"/>
          <w:highlight w:val="none"/>
        </w:rPr>
        <w:t>”</w:t>
      </w:r>
      <w:r>
        <w:rPr>
          <w:rFonts w:ascii="宋体" w:hAnsi="宋体" w:eastAsia="宋体"/>
          <w:sz w:val="24"/>
          <w:highlight w:val="none"/>
        </w:rPr>
        <w:t>及</w:t>
      </w:r>
      <w:r>
        <w:rPr>
          <w:rFonts w:ascii="Arial" w:hAnsi="Arial" w:eastAsia="Arial"/>
          <w:sz w:val="24"/>
          <w:highlight w:val="none"/>
        </w:rPr>
        <w:t>“</w:t>
      </w:r>
      <w:r>
        <w:rPr>
          <w:rFonts w:ascii="宋体" w:hAnsi="宋体" w:eastAsia="宋体"/>
          <w:sz w:val="24"/>
          <w:highlight w:val="none"/>
        </w:rPr>
        <w:t>公路工程专用合同条款</w:t>
      </w:r>
      <w:r>
        <w:rPr>
          <w:rFonts w:ascii="Arial" w:hAnsi="Arial" w:eastAsia="Arial"/>
          <w:sz w:val="24"/>
          <w:highlight w:val="none"/>
        </w:rPr>
        <w:t>”</w:t>
      </w:r>
      <w:r>
        <w:rPr>
          <w:rFonts w:ascii="宋体" w:hAnsi="宋体" w:eastAsia="宋体"/>
          <w:sz w:val="24"/>
          <w:highlight w:val="none"/>
        </w:rPr>
        <w:t>强制性规定相抵触。同时，补充、细化或约定的内容，不得违反法律、行政法规的强制性规定和平等、自愿、公平和诚实信用原则。</w:t>
      </w:r>
    </w:p>
    <w:p>
      <w:pPr>
        <w:spacing w:line="110" w:lineRule="exact"/>
        <w:rPr>
          <w:rFonts w:ascii="Times New Roman" w:hAnsi="Times New Roman" w:eastAsia="Times New Roman"/>
          <w:highlight w:val="none"/>
        </w:rPr>
      </w:pPr>
    </w:p>
    <w:p>
      <w:pPr>
        <w:spacing w:line="0" w:lineRule="atLeast"/>
        <w:ind w:left="720"/>
        <w:rPr>
          <w:rFonts w:ascii="宋体" w:hAnsi="宋体" w:eastAsia="宋体"/>
          <w:sz w:val="24"/>
          <w:highlight w:val="none"/>
        </w:rPr>
      </w:pPr>
      <w:r>
        <w:rPr>
          <w:rFonts w:ascii="Arial" w:hAnsi="Arial" w:eastAsia="Arial"/>
          <w:sz w:val="24"/>
          <w:highlight w:val="none"/>
        </w:rPr>
        <w:t>2.</w:t>
      </w:r>
      <w:r>
        <w:rPr>
          <w:rFonts w:ascii="宋体" w:hAnsi="宋体" w:eastAsia="宋体"/>
          <w:sz w:val="24"/>
          <w:highlight w:val="none"/>
        </w:rPr>
        <w:t>项目专用合同条款的编号应与通用合同条款和公路工程专用合同条款一致。</w:t>
      </w:r>
    </w:p>
    <w:p>
      <w:pPr>
        <w:spacing w:line="267" w:lineRule="exact"/>
        <w:rPr>
          <w:rFonts w:ascii="Times New Roman" w:hAnsi="Times New Roman" w:eastAsia="Times New Roman"/>
          <w:highlight w:val="none"/>
        </w:rPr>
      </w:pPr>
    </w:p>
    <w:p>
      <w:pPr>
        <w:spacing w:line="0" w:lineRule="atLeast"/>
        <w:ind w:left="720"/>
        <w:rPr>
          <w:rFonts w:ascii="宋体" w:hAnsi="宋体" w:eastAsia="宋体"/>
          <w:sz w:val="24"/>
          <w:highlight w:val="none"/>
        </w:rPr>
      </w:pPr>
      <w:r>
        <w:rPr>
          <w:rFonts w:ascii="Arial" w:hAnsi="Arial" w:eastAsia="Arial"/>
          <w:sz w:val="24"/>
          <w:highlight w:val="none"/>
        </w:rPr>
        <w:t>3.</w:t>
      </w:r>
      <w:r>
        <w:rPr>
          <w:rFonts w:ascii="宋体" w:hAnsi="宋体" w:eastAsia="宋体"/>
          <w:sz w:val="24"/>
          <w:highlight w:val="none"/>
        </w:rPr>
        <w:t>项目专用合同条款可对下列内容进行补充和细化：</w:t>
      </w:r>
    </w:p>
    <w:p>
      <w:pPr>
        <w:spacing w:line="247" w:lineRule="exact"/>
        <w:rPr>
          <w:rFonts w:ascii="Times New Roman" w:hAnsi="Times New Roman" w:eastAsia="Times New Roman"/>
          <w:highlight w:val="none"/>
        </w:rPr>
      </w:pPr>
    </w:p>
    <w:p>
      <w:pPr>
        <w:spacing w:line="371" w:lineRule="auto"/>
        <w:ind w:firstLine="720"/>
        <w:jc w:val="both"/>
        <w:rPr>
          <w:rFonts w:ascii="宋体" w:hAnsi="宋体" w:eastAsia="宋体"/>
          <w:sz w:val="23"/>
          <w:highlight w:val="none"/>
        </w:rPr>
      </w:pPr>
      <w:r>
        <w:rPr>
          <w:rFonts w:ascii="宋体" w:hAnsi="宋体" w:eastAsia="宋体"/>
          <w:sz w:val="23"/>
          <w:highlight w:val="none"/>
        </w:rPr>
        <w:t>（</w:t>
      </w:r>
      <w:r>
        <w:rPr>
          <w:rFonts w:ascii="Arial" w:hAnsi="Arial" w:eastAsia="Arial"/>
          <w:sz w:val="23"/>
          <w:highlight w:val="none"/>
        </w:rPr>
        <w:t>1</w:t>
      </w:r>
      <w:r>
        <w:rPr>
          <w:rFonts w:ascii="宋体" w:hAnsi="宋体" w:eastAsia="宋体"/>
          <w:sz w:val="23"/>
          <w:highlight w:val="none"/>
        </w:rPr>
        <w:t>）</w:t>
      </w:r>
      <w:r>
        <w:rPr>
          <w:rFonts w:ascii="Arial" w:hAnsi="Arial" w:eastAsia="Arial"/>
          <w:sz w:val="23"/>
          <w:highlight w:val="none"/>
        </w:rPr>
        <w:t>“</w:t>
      </w:r>
      <w:r>
        <w:rPr>
          <w:rFonts w:ascii="宋体" w:hAnsi="宋体" w:eastAsia="宋体"/>
          <w:sz w:val="23"/>
          <w:highlight w:val="none"/>
        </w:rPr>
        <w:t>通用合同条款</w:t>
      </w:r>
      <w:r>
        <w:rPr>
          <w:rFonts w:ascii="Arial" w:hAnsi="Arial" w:eastAsia="Arial"/>
          <w:sz w:val="23"/>
          <w:highlight w:val="none"/>
        </w:rPr>
        <w:t>”</w:t>
      </w:r>
      <w:r>
        <w:rPr>
          <w:rFonts w:ascii="宋体" w:hAnsi="宋体" w:eastAsia="宋体"/>
          <w:sz w:val="23"/>
          <w:highlight w:val="none"/>
        </w:rPr>
        <w:t>中明确指出</w:t>
      </w:r>
      <w:r>
        <w:rPr>
          <w:rFonts w:ascii="Arial" w:hAnsi="Arial" w:eastAsia="Arial"/>
          <w:sz w:val="23"/>
          <w:highlight w:val="none"/>
        </w:rPr>
        <w:t>“</w:t>
      </w:r>
      <w:r>
        <w:rPr>
          <w:rFonts w:ascii="宋体" w:hAnsi="宋体" w:eastAsia="宋体"/>
          <w:sz w:val="23"/>
          <w:highlight w:val="none"/>
        </w:rPr>
        <w:t>专用合同条款</w:t>
      </w:r>
      <w:r>
        <w:rPr>
          <w:rFonts w:ascii="Arial" w:hAnsi="Arial" w:eastAsia="Arial"/>
          <w:sz w:val="23"/>
          <w:highlight w:val="none"/>
        </w:rPr>
        <w:t>”</w:t>
      </w:r>
      <w:r>
        <w:rPr>
          <w:rFonts w:ascii="宋体" w:hAnsi="宋体" w:eastAsia="宋体"/>
          <w:sz w:val="23"/>
          <w:highlight w:val="none"/>
        </w:rPr>
        <w:t>可对</w:t>
      </w:r>
      <w:r>
        <w:rPr>
          <w:rFonts w:ascii="Arial" w:hAnsi="Arial" w:eastAsia="Arial"/>
          <w:sz w:val="23"/>
          <w:highlight w:val="none"/>
        </w:rPr>
        <w:t>“</w:t>
      </w:r>
      <w:r>
        <w:rPr>
          <w:rFonts w:ascii="宋体" w:hAnsi="宋体" w:eastAsia="宋体"/>
          <w:sz w:val="23"/>
          <w:highlight w:val="none"/>
        </w:rPr>
        <w:t>通用合同条款</w:t>
      </w:r>
      <w:r>
        <w:rPr>
          <w:rFonts w:ascii="Arial" w:hAnsi="Arial" w:eastAsia="Arial"/>
          <w:sz w:val="23"/>
          <w:highlight w:val="none"/>
        </w:rPr>
        <w:t>”</w:t>
      </w:r>
      <w:r>
        <w:rPr>
          <w:rFonts w:ascii="宋体" w:hAnsi="宋体" w:eastAsia="宋体"/>
          <w:sz w:val="23"/>
          <w:highlight w:val="none"/>
        </w:rPr>
        <w:t>进行修改的内容（在</w:t>
      </w:r>
      <w:r>
        <w:rPr>
          <w:rFonts w:ascii="Arial" w:hAnsi="Arial" w:eastAsia="Arial"/>
          <w:sz w:val="23"/>
          <w:highlight w:val="none"/>
        </w:rPr>
        <w:t>“</w:t>
      </w:r>
      <w:r>
        <w:rPr>
          <w:rFonts w:ascii="宋体" w:hAnsi="宋体" w:eastAsia="宋体"/>
          <w:sz w:val="23"/>
          <w:highlight w:val="none"/>
        </w:rPr>
        <w:t>通用合同条款</w:t>
      </w:r>
      <w:r>
        <w:rPr>
          <w:rFonts w:ascii="Arial" w:hAnsi="Arial" w:eastAsia="Arial"/>
          <w:sz w:val="23"/>
          <w:highlight w:val="none"/>
        </w:rPr>
        <w:t>”</w:t>
      </w:r>
      <w:r>
        <w:rPr>
          <w:rFonts w:ascii="宋体" w:hAnsi="宋体" w:eastAsia="宋体"/>
          <w:sz w:val="23"/>
          <w:highlight w:val="none"/>
        </w:rPr>
        <w:t>中用</w:t>
      </w:r>
      <w:r>
        <w:rPr>
          <w:rFonts w:ascii="Arial" w:hAnsi="Arial" w:eastAsia="Arial"/>
          <w:sz w:val="23"/>
          <w:highlight w:val="none"/>
        </w:rPr>
        <w:t>“</w:t>
      </w:r>
      <w:r>
        <w:rPr>
          <w:rFonts w:ascii="宋体" w:hAnsi="宋体" w:eastAsia="宋体"/>
          <w:sz w:val="23"/>
          <w:highlight w:val="none"/>
        </w:rPr>
        <w:t>应按合同约定</w:t>
      </w:r>
      <w:r>
        <w:rPr>
          <w:rFonts w:ascii="Arial" w:hAnsi="Arial" w:eastAsia="Arial"/>
          <w:sz w:val="23"/>
          <w:highlight w:val="none"/>
        </w:rPr>
        <w:t>”“</w:t>
      </w:r>
      <w:r>
        <w:rPr>
          <w:rFonts w:ascii="宋体" w:hAnsi="宋体" w:eastAsia="宋体"/>
          <w:sz w:val="23"/>
          <w:highlight w:val="none"/>
        </w:rPr>
        <w:t>应按专用合同条款约定</w:t>
      </w:r>
      <w:r>
        <w:rPr>
          <w:rFonts w:ascii="Arial" w:hAnsi="Arial" w:eastAsia="Arial"/>
          <w:sz w:val="23"/>
          <w:highlight w:val="none"/>
        </w:rPr>
        <w:t>”“</w:t>
      </w:r>
      <w:r>
        <w:rPr>
          <w:rFonts w:ascii="宋体" w:hAnsi="宋体" w:eastAsia="宋体"/>
          <w:sz w:val="23"/>
          <w:highlight w:val="none"/>
        </w:rPr>
        <w:t>除合同另有约定外</w:t>
      </w:r>
      <w:r>
        <w:rPr>
          <w:rFonts w:ascii="Arial" w:hAnsi="Arial" w:eastAsia="Arial"/>
          <w:sz w:val="23"/>
          <w:highlight w:val="none"/>
        </w:rPr>
        <w:t>“”</w:t>
      </w:r>
      <w:r>
        <w:rPr>
          <w:rFonts w:ascii="宋体" w:hAnsi="宋体" w:eastAsia="宋体"/>
          <w:sz w:val="23"/>
          <w:highlight w:val="none"/>
        </w:rPr>
        <w:t>除专用合同条款另有约定外</w:t>
      </w:r>
      <w:r>
        <w:rPr>
          <w:rFonts w:ascii="Arial" w:hAnsi="Arial" w:eastAsia="Arial"/>
          <w:sz w:val="23"/>
          <w:highlight w:val="none"/>
        </w:rPr>
        <w:t>“”</w:t>
      </w:r>
      <w:r>
        <w:rPr>
          <w:rFonts w:ascii="宋体" w:hAnsi="宋体" w:eastAsia="宋体"/>
          <w:sz w:val="23"/>
          <w:highlight w:val="none"/>
        </w:rPr>
        <w:t>在专用合同条款中约定</w:t>
      </w:r>
      <w:r>
        <w:rPr>
          <w:rFonts w:ascii="Arial" w:hAnsi="Arial" w:eastAsia="Arial"/>
          <w:sz w:val="23"/>
          <w:highlight w:val="none"/>
        </w:rPr>
        <w:t>”</w:t>
      </w:r>
      <w:r>
        <w:rPr>
          <w:rFonts w:ascii="宋体" w:hAnsi="宋体" w:eastAsia="宋体"/>
          <w:sz w:val="23"/>
          <w:highlight w:val="none"/>
        </w:rPr>
        <w:t>等多种文字形式表达）；</w:t>
      </w:r>
    </w:p>
    <w:p>
      <w:pPr>
        <w:spacing w:line="80" w:lineRule="exact"/>
        <w:rPr>
          <w:rFonts w:ascii="Times New Roman" w:hAnsi="Times New Roman" w:eastAsia="Times New Roman"/>
          <w:highlight w:val="none"/>
        </w:rPr>
      </w:pPr>
    </w:p>
    <w:p>
      <w:pPr>
        <w:spacing w:line="349" w:lineRule="auto"/>
        <w:ind w:right="80" w:firstLine="720"/>
        <w:jc w:val="both"/>
        <w:rPr>
          <w:rFonts w:ascii="宋体" w:hAnsi="宋体" w:eastAsia="宋体"/>
          <w:sz w:val="24"/>
          <w:highlight w:val="none"/>
        </w:rPr>
      </w:pPr>
      <w:r>
        <w:rPr>
          <w:rFonts w:ascii="宋体" w:hAnsi="宋体" w:eastAsia="宋体"/>
          <w:sz w:val="24"/>
          <w:highlight w:val="none"/>
        </w:rPr>
        <w:t>（</w:t>
      </w:r>
      <w:r>
        <w:rPr>
          <w:rFonts w:ascii="Arial" w:hAnsi="Arial" w:eastAsia="Arial"/>
          <w:sz w:val="24"/>
          <w:highlight w:val="none"/>
        </w:rPr>
        <w:t>2</w:t>
      </w:r>
      <w:r>
        <w:rPr>
          <w:rFonts w:ascii="宋体" w:hAnsi="宋体" w:eastAsia="宋体"/>
          <w:sz w:val="24"/>
          <w:highlight w:val="none"/>
        </w:rPr>
        <w:t>）</w:t>
      </w:r>
      <w:r>
        <w:rPr>
          <w:rFonts w:ascii="Arial" w:hAnsi="Arial" w:eastAsia="Arial"/>
          <w:sz w:val="24"/>
          <w:highlight w:val="none"/>
        </w:rPr>
        <w:t>“</w:t>
      </w:r>
      <w:r>
        <w:rPr>
          <w:rFonts w:ascii="宋体" w:hAnsi="宋体" w:eastAsia="宋体"/>
          <w:sz w:val="24"/>
          <w:highlight w:val="none"/>
        </w:rPr>
        <w:t>公路工程专用合同条款</w:t>
      </w:r>
      <w:r>
        <w:rPr>
          <w:rFonts w:ascii="Arial" w:hAnsi="Arial" w:eastAsia="Arial"/>
          <w:sz w:val="24"/>
          <w:highlight w:val="none"/>
        </w:rPr>
        <w:t>”</w:t>
      </w:r>
      <w:r>
        <w:rPr>
          <w:rFonts w:ascii="宋体" w:hAnsi="宋体" w:eastAsia="宋体"/>
          <w:sz w:val="24"/>
          <w:highlight w:val="none"/>
        </w:rPr>
        <w:t>中明确指出</w:t>
      </w:r>
      <w:r>
        <w:rPr>
          <w:rFonts w:ascii="Arial" w:hAnsi="Arial" w:eastAsia="Arial"/>
          <w:sz w:val="24"/>
          <w:highlight w:val="none"/>
        </w:rPr>
        <w:t>“</w:t>
      </w:r>
      <w:r>
        <w:rPr>
          <w:rFonts w:ascii="宋体" w:hAnsi="宋体" w:eastAsia="宋体"/>
          <w:sz w:val="24"/>
          <w:highlight w:val="none"/>
        </w:rPr>
        <w:t>项目专用合同条款</w:t>
      </w:r>
      <w:r>
        <w:rPr>
          <w:rFonts w:ascii="Arial" w:hAnsi="Arial" w:eastAsia="Arial"/>
          <w:sz w:val="24"/>
          <w:highlight w:val="none"/>
        </w:rPr>
        <w:t>”</w:t>
      </w:r>
      <w:r>
        <w:rPr>
          <w:rFonts w:ascii="宋体" w:hAnsi="宋体" w:eastAsia="宋体"/>
          <w:sz w:val="24"/>
          <w:highlight w:val="none"/>
        </w:rPr>
        <w:t>可对</w:t>
      </w:r>
      <w:r>
        <w:rPr>
          <w:rFonts w:ascii="Arial" w:hAnsi="Arial" w:eastAsia="Arial"/>
          <w:sz w:val="24"/>
          <w:highlight w:val="none"/>
        </w:rPr>
        <w:t>“</w:t>
      </w:r>
      <w:r>
        <w:rPr>
          <w:rFonts w:ascii="宋体" w:hAnsi="宋体" w:eastAsia="宋体"/>
          <w:sz w:val="24"/>
          <w:highlight w:val="none"/>
        </w:rPr>
        <w:t>公路工程专用合同条款</w:t>
      </w:r>
      <w:r>
        <w:rPr>
          <w:rFonts w:ascii="Arial" w:hAnsi="Arial" w:eastAsia="Arial"/>
          <w:sz w:val="24"/>
          <w:highlight w:val="none"/>
        </w:rPr>
        <w:t>”</w:t>
      </w:r>
      <w:r>
        <w:rPr>
          <w:rFonts w:ascii="宋体" w:hAnsi="宋体" w:eastAsia="宋体"/>
          <w:sz w:val="24"/>
          <w:highlight w:val="none"/>
        </w:rPr>
        <w:t>进行修改的内容（在</w:t>
      </w:r>
      <w:r>
        <w:rPr>
          <w:rFonts w:ascii="Arial" w:hAnsi="Arial" w:eastAsia="Arial"/>
          <w:sz w:val="24"/>
          <w:highlight w:val="none"/>
        </w:rPr>
        <w:t>“</w:t>
      </w:r>
      <w:r>
        <w:rPr>
          <w:rFonts w:ascii="宋体" w:hAnsi="宋体" w:eastAsia="宋体"/>
          <w:sz w:val="24"/>
          <w:highlight w:val="none"/>
        </w:rPr>
        <w:t>公路工程专用合同条款</w:t>
      </w:r>
      <w:r>
        <w:rPr>
          <w:rFonts w:ascii="Arial" w:hAnsi="Arial" w:eastAsia="Arial"/>
          <w:sz w:val="24"/>
          <w:highlight w:val="none"/>
        </w:rPr>
        <w:t>”</w:t>
      </w:r>
      <w:r>
        <w:rPr>
          <w:rFonts w:ascii="宋体" w:hAnsi="宋体" w:eastAsia="宋体"/>
          <w:sz w:val="24"/>
          <w:highlight w:val="none"/>
        </w:rPr>
        <w:t>中用</w:t>
      </w:r>
      <w:r>
        <w:rPr>
          <w:rFonts w:ascii="Arial" w:hAnsi="Arial" w:eastAsia="Arial"/>
          <w:sz w:val="24"/>
          <w:highlight w:val="none"/>
        </w:rPr>
        <w:t>“</w:t>
      </w:r>
      <w:r>
        <w:rPr>
          <w:rFonts w:ascii="宋体" w:hAnsi="宋体" w:eastAsia="宋体"/>
          <w:sz w:val="24"/>
          <w:highlight w:val="none"/>
        </w:rPr>
        <w:t>除项目专用合同条款另有约定外</w:t>
      </w:r>
      <w:r>
        <w:rPr>
          <w:rFonts w:ascii="Arial" w:hAnsi="Arial" w:eastAsia="Arial"/>
          <w:sz w:val="24"/>
          <w:highlight w:val="none"/>
        </w:rPr>
        <w:t>“”</w:t>
      </w:r>
      <w:r>
        <w:rPr>
          <w:rFonts w:ascii="宋体" w:hAnsi="宋体" w:eastAsia="宋体"/>
          <w:sz w:val="24"/>
          <w:highlight w:val="none"/>
        </w:rPr>
        <w:t>项目专用合同条款可能约定的</w:t>
      </w:r>
      <w:r>
        <w:rPr>
          <w:rFonts w:ascii="Arial" w:hAnsi="Arial" w:eastAsia="Arial"/>
          <w:sz w:val="24"/>
          <w:highlight w:val="none"/>
        </w:rPr>
        <w:t>”“</w:t>
      </w:r>
      <w:r>
        <w:rPr>
          <w:rFonts w:ascii="宋体" w:hAnsi="宋体" w:eastAsia="宋体"/>
          <w:sz w:val="24"/>
          <w:highlight w:val="none"/>
        </w:rPr>
        <w:t>项目专用合同条款约定的其他情形</w:t>
      </w:r>
      <w:r>
        <w:rPr>
          <w:rFonts w:ascii="Arial" w:hAnsi="Arial" w:eastAsia="Arial"/>
          <w:sz w:val="24"/>
          <w:highlight w:val="none"/>
        </w:rPr>
        <w:t>”</w:t>
      </w:r>
      <w:r>
        <w:rPr>
          <w:rFonts w:ascii="宋体" w:hAnsi="宋体" w:eastAsia="宋体"/>
          <w:sz w:val="24"/>
          <w:highlight w:val="none"/>
        </w:rPr>
        <w:t>等多种文字形式表达）。</w:t>
      </w:r>
    </w:p>
    <w:p>
      <w:pPr>
        <w:spacing w:line="102" w:lineRule="exact"/>
        <w:rPr>
          <w:rFonts w:ascii="Times New Roman" w:hAnsi="Times New Roman" w:eastAsia="Times New Roman"/>
          <w:highlight w:val="none"/>
        </w:rPr>
      </w:pPr>
    </w:p>
    <w:p>
      <w:pPr>
        <w:spacing w:line="0" w:lineRule="atLeast"/>
        <w:ind w:left="720"/>
        <w:rPr>
          <w:rFonts w:ascii="宋体" w:hAnsi="宋体" w:eastAsia="宋体"/>
          <w:sz w:val="24"/>
          <w:highlight w:val="none"/>
        </w:rPr>
      </w:pPr>
      <w:r>
        <w:rPr>
          <w:rFonts w:ascii="宋体" w:hAnsi="宋体" w:eastAsia="宋体"/>
          <w:sz w:val="24"/>
          <w:highlight w:val="none"/>
        </w:rPr>
        <w:t>（</w:t>
      </w:r>
      <w:r>
        <w:rPr>
          <w:rFonts w:ascii="Arial" w:hAnsi="Arial" w:eastAsia="Arial"/>
          <w:sz w:val="24"/>
          <w:highlight w:val="none"/>
        </w:rPr>
        <w:t>3</w:t>
      </w:r>
      <w:r>
        <w:rPr>
          <w:rFonts w:ascii="宋体" w:hAnsi="宋体" w:eastAsia="宋体"/>
          <w:sz w:val="24"/>
          <w:highlight w:val="none"/>
        </w:rPr>
        <w:t>）其他需要补充、细化的内容。</w:t>
      </w: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rFonts w:ascii="黑体" w:eastAsia="黑体"/>
          <w:color w:val="auto"/>
          <w:sz w:val="32"/>
          <w:szCs w:val="32"/>
          <w:highlight w:val="none"/>
        </w:rPr>
      </w:pPr>
      <w:r>
        <w:rPr>
          <w:rFonts w:ascii="黑体" w:eastAsia="黑体"/>
          <w:bCs/>
          <w:color w:val="auto"/>
          <w:sz w:val="36"/>
          <w:szCs w:val="36"/>
          <w:highlight w:val="none"/>
        </w:rPr>
        <w:br w:type="page"/>
      </w:r>
      <w:r>
        <w:rPr>
          <w:rFonts w:hint="eastAsia" w:ascii="黑体" w:eastAsia="黑体"/>
          <w:color w:val="auto"/>
          <w:sz w:val="32"/>
          <w:szCs w:val="32"/>
          <w:highlight w:val="none"/>
        </w:rPr>
        <w:t>项目专用条款数据表</w:t>
      </w:r>
    </w:p>
    <w:p>
      <w:pPr>
        <w:adjustRightInd w:val="0"/>
        <w:snapToGrid w:val="0"/>
        <w:spacing w:line="360" w:lineRule="auto"/>
        <w:ind w:firstLine="480" w:firstLineChars="200"/>
        <w:rPr>
          <w:color w:val="auto"/>
          <w:sz w:val="24"/>
          <w:highlight w:val="none"/>
        </w:rPr>
      </w:pPr>
      <w:r>
        <w:rPr>
          <w:rFonts w:hint="eastAsia"/>
          <w:color w:val="auto"/>
          <w:sz w:val="24"/>
          <w:highlight w:val="none"/>
        </w:rPr>
        <w:t>说明：本数据表是项目专用合同条款中适用于本项目的信息和数据的归纳与提示，是项目专用合同条款的组成部分。第三卷投标函附录中的数据（供投标人确认）与本表所列有重复。编写招标文件的单位应仔细校核，不使数据出现差错或不一致。</w:t>
      </w:r>
    </w:p>
    <w:tbl>
      <w:tblPr>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rPr>
          <w:trHeight w:val="521" w:hRule="atLeast"/>
          <w:jc w:val="center"/>
        </w:trPr>
        <w:tc>
          <w:tcPr>
            <w:tcW w:w="864"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序号</w:t>
            </w:r>
          </w:p>
        </w:tc>
        <w:tc>
          <w:tcPr>
            <w:tcW w:w="1134"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条款号</w:t>
            </w:r>
          </w:p>
        </w:tc>
        <w:tc>
          <w:tcPr>
            <w:tcW w:w="7027"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信息或数据</w:t>
            </w:r>
          </w:p>
        </w:tc>
      </w:tr>
      <w:tr>
        <w:trPr>
          <w:jc w:val="center"/>
        </w:trPr>
        <w:tc>
          <w:tcPr>
            <w:tcW w:w="864"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w:t>
            </w:r>
          </w:p>
        </w:tc>
        <w:tc>
          <w:tcPr>
            <w:tcW w:w="1134"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1.1.2.2</w:t>
            </w:r>
          </w:p>
        </w:tc>
        <w:tc>
          <w:tcPr>
            <w:tcW w:w="7027" w:type="dxa"/>
            <w:vAlign w:val="top"/>
          </w:tcPr>
          <w:p>
            <w:pPr>
              <w:adjustRightInd w:val="0"/>
              <w:snapToGrid w:val="0"/>
              <w:spacing w:before="0" w:beforeAutospacing="0" w:after="0" w:afterAutospacing="0" w:line="312"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发包人：许昌市建安区交通运输局</w:t>
            </w:r>
          </w:p>
          <w:p>
            <w:pPr>
              <w:adjustRightInd w:val="0"/>
              <w:snapToGrid w:val="0"/>
              <w:spacing w:before="0" w:beforeAutospacing="0" w:after="0" w:afterAutospacing="0" w:line="312"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地址： 许昌市建安区新元大道</w:t>
            </w:r>
            <w:r>
              <w:rPr>
                <w:rFonts w:hint="eastAsia" w:ascii="Calibri" w:hAnsi="Calibri" w:eastAsia="宋体" w:cs="Times New Roman"/>
                <w:color w:val="000000"/>
                <w:kern w:val="2"/>
                <w:sz w:val="24"/>
                <w:szCs w:val="22"/>
                <w:highlight w:val="none"/>
                <w:lang w:val="en-US" w:eastAsia="zh-CN"/>
              </w:rPr>
              <w:t>中心六楼</w:t>
            </w:r>
            <w:r>
              <w:rPr>
                <w:rFonts w:hint="eastAsia" w:ascii="Calibri" w:hAnsi="Calibri" w:cs="Calibri"/>
                <w:color w:val="auto"/>
                <w:kern w:val="2"/>
                <w:sz w:val="24"/>
                <w:szCs w:val="22"/>
                <w:highlight w:val="none"/>
              </w:rPr>
              <w:t xml:space="preserve">     邮编：461000</w:t>
            </w:r>
          </w:p>
        </w:tc>
      </w:tr>
      <w:tr>
        <w:trPr>
          <w:jc w:val="center"/>
        </w:trPr>
        <w:tc>
          <w:tcPr>
            <w:tcW w:w="864"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2</w:t>
            </w:r>
          </w:p>
        </w:tc>
        <w:tc>
          <w:tcPr>
            <w:tcW w:w="1134"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1.1.2.6</w:t>
            </w:r>
          </w:p>
        </w:tc>
        <w:tc>
          <w:tcPr>
            <w:tcW w:w="7027" w:type="dxa"/>
            <w:vAlign w:val="top"/>
          </w:tcPr>
          <w:p>
            <w:pPr>
              <w:adjustRightInd w:val="0"/>
              <w:snapToGrid w:val="0"/>
              <w:spacing w:before="0" w:beforeAutospacing="0" w:after="0" w:afterAutospacing="0" w:line="312"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监理人：</w:t>
            </w:r>
          </w:p>
          <w:p>
            <w:pPr>
              <w:adjustRightInd w:val="0"/>
              <w:snapToGrid w:val="0"/>
              <w:spacing w:before="0" w:beforeAutospacing="0" w:after="0" w:afterAutospacing="0" w:line="312"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地  址：                   邮编：</w:t>
            </w:r>
          </w:p>
        </w:tc>
      </w:tr>
      <w:tr>
        <w:trPr>
          <w:jc w:val="center"/>
        </w:trPr>
        <w:tc>
          <w:tcPr>
            <w:tcW w:w="864" w:type="dxa"/>
            <w:vAlign w:val="center"/>
          </w:tcPr>
          <w:p>
            <w:pPr>
              <w:adjustRightInd w:val="0"/>
              <w:snapToGrid w:val="0"/>
              <w:spacing w:before="0" w:beforeAutospacing="0" w:after="0" w:afterAutospacing="0" w:line="312"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3</w:t>
            </w:r>
          </w:p>
        </w:tc>
        <w:tc>
          <w:tcPr>
            <w:tcW w:w="1134"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1.1.4.5</w:t>
            </w:r>
          </w:p>
        </w:tc>
        <w:tc>
          <w:tcPr>
            <w:tcW w:w="7027" w:type="dxa"/>
            <w:vAlign w:val="top"/>
          </w:tcPr>
          <w:p>
            <w:pPr>
              <w:adjustRightInd w:val="0"/>
              <w:snapToGrid w:val="0"/>
              <w:spacing w:before="0" w:beforeAutospacing="0" w:after="0" w:afterAutospacing="0" w:line="312"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缺陷责任期：</w:t>
            </w:r>
            <w:r>
              <w:rPr>
                <w:rFonts w:hint="eastAsia" w:ascii="Calibri" w:hAnsi="Calibri" w:cs="Calibri"/>
                <w:color w:val="auto"/>
                <w:kern w:val="2"/>
                <w:sz w:val="24"/>
                <w:szCs w:val="22"/>
                <w:highlight w:val="none"/>
                <w:u w:val="single"/>
              </w:rPr>
              <w:t xml:space="preserve">  2  </w:t>
            </w:r>
            <w:r>
              <w:rPr>
                <w:rFonts w:hint="eastAsia" w:ascii="Calibri" w:hAnsi="Calibri" w:cs="Calibri"/>
                <w:color w:val="auto"/>
                <w:kern w:val="2"/>
                <w:sz w:val="24"/>
                <w:szCs w:val="22"/>
                <w:highlight w:val="none"/>
              </w:rPr>
              <w:t>年</w:t>
            </w:r>
          </w:p>
        </w:tc>
      </w:tr>
      <w:tr>
        <w:trPr>
          <w:jc w:val="center"/>
        </w:trPr>
        <w:tc>
          <w:tcPr>
            <w:tcW w:w="864" w:type="dxa"/>
            <w:vAlign w:val="center"/>
          </w:tcPr>
          <w:p>
            <w:pPr>
              <w:adjustRightInd w:val="0"/>
              <w:snapToGrid w:val="0"/>
              <w:spacing w:before="0" w:beforeAutospacing="0" w:after="0" w:afterAutospacing="0" w:line="312"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4</w:t>
            </w:r>
          </w:p>
        </w:tc>
        <w:tc>
          <w:tcPr>
            <w:tcW w:w="1134"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1.6.3</w:t>
            </w:r>
          </w:p>
        </w:tc>
        <w:tc>
          <w:tcPr>
            <w:tcW w:w="7027" w:type="dxa"/>
            <w:vAlign w:val="top"/>
          </w:tcPr>
          <w:p>
            <w:pPr>
              <w:adjustRightInd w:val="0"/>
              <w:snapToGrid w:val="0"/>
              <w:spacing w:before="0" w:beforeAutospacing="0" w:after="0" w:afterAutospacing="0" w:line="312" w:lineRule="auto"/>
              <w:ind w:left="0" w:right="0"/>
              <w:rPr>
                <w:rFonts w:hint="default" w:ascii="Calibri" w:hAnsi="Calibri" w:cs="Calibri"/>
                <w:color w:val="auto"/>
                <w:kern w:val="2"/>
                <w:sz w:val="24"/>
                <w:szCs w:val="22"/>
                <w:highlight w:val="none"/>
                <w:u w:val="single"/>
              </w:rPr>
            </w:pPr>
            <w:r>
              <w:rPr>
                <w:rFonts w:hint="eastAsia" w:ascii="Calibri" w:hAnsi="Calibri" w:cs="Calibri"/>
                <w:color w:val="auto"/>
                <w:kern w:val="2"/>
                <w:sz w:val="24"/>
                <w:szCs w:val="22"/>
                <w:highlight w:val="none"/>
              </w:rPr>
              <w:t>图纸需要修改和补充的，应由监理人取得发包人同意后，在该工程或工程相应部位施工前</w:t>
            </w:r>
            <w:r>
              <w:rPr>
                <w:rFonts w:hint="eastAsia" w:ascii="Calibri" w:hAnsi="Calibri" w:cs="Calibri"/>
                <w:color w:val="auto"/>
                <w:kern w:val="2"/>
                <w:sz w:val="24"/>
                <w:szCs w:val="22"/>
                <w:highlight w:val="none"/>
                <w:u w:val="single"/>
              </w:rPr>
              <w:t xml:space="preserve"> 7 </w:t>
            </w:r>
            <w:r>
              <w:rPr>
                <w:rFonts w:hint="eastAsia" w:ascii="Calibri" w:hAnsi="Calibri" w:cs="Calibri"/>
                <w:color w:val="auto"/>
                <w:kern w:val="2"/>
                <w:sz w:val="24"/>
                <w:szCs w:val="22"/>
                <w:highlight w:val="none"/>
              </w:rPr>
              <w:t>天签发图纸修改图给承包人</w:t>
            </w:r>
          </w:p>
        </w:tc>
      </w:tr>
      <w:tr>
        <w:trPr>
          <w:jc w:val="center"/>
        </w:trPr>
        <w:tc>
          <w:tcPr>
            <w:tcW w:w="864" w:type="dxa"/>
            <w:vAlign w:val="center"/>
          </w:tcPr>
          <w:p>
            <w:pPr>
              <w:adjustRightInd w:val="0"/>
              <w:snapToGrid w:val="0"/>
              <w:spacing w:before="0" w:beforeAutospacing="0" w:after="0" w:afterAutospacing="0" w:line="312"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5</w:t>
            </w:r>
          </w:p>
        </w:tc>
        <w:tc>
          <w:tcPr>
            <w:tcW w:w="1134"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3.1.1</w:t>
            </w:r>
          </w:p>
        </w:tc>
        <w:tc>
          <w:tcPr>
            <w:tcW w:w="7027" w:type="dxa"/>
            <w:vAlign w:val="top"/>
          </w:tcPr>
          <w:p>
            <w:pPr>
              <w:adjustRightInd w:val="0"/>
              <w:snapToGrid w:val="0"/>
              <w:spacing w:before="0" w:beforeAutospacing="0" w:after="0" w:afterAutospacing="0" w:line="312"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单项工程变更涉及的金额超过了该单项工程原合同价的</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%或累计变更超过了原总合同的</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w:t>
            </w:r>
          </w:p>
        </w:tc>
      </w:tr>
      <w:tr>
        <w:trPr>
          <w:jc w:val="center"/>
        </w:trPr>
        <w:tc>
          <w:tcPr>
            <w:tcW w:w="864" w:type="dxa"/>
            <w:vAlign w:val="center"/>
          </w:tcPr>
          <w:p>
            <w:pPr>
              <w:adjustRightInd w:val="0"/>
              <w:snapToGrid w:val="0"/>
              <w:spacing w:before="0" w:beforeAutospacing="0" w:after="0" w:afterAutospacing="0" w:line="312"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6</w:t>
            </w:r>
          </w:p>
        </w:tc>
        <w:tc>
          <w:tcPr>
            <w:tcW w:w="1134" w:type="dxa"/>
            <w:vAlign w:val="center"/>
          </w:tcPr>
          <w:p>
            <w:pPr>
              <w:adjustRightInd w:val="0"/>
              <w:snapToGrid w:val="0"/>
              <w:spacing w:before="0" w:beforeAutospacing="0" w:after="0" w:afterAutospacing="0" w:line="312"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5.2.1</w:t>
            </w:r>
          </w:p>
        </w:tc>
        <w:tc>
          <w:tcPr>
            <w:tcW w:w="7027" w:type="dxa"/>
            <w:vAlign w:val="top"/>
          </w:tcPr>
          <w:p>
            <w:pPr>
              <w:adjustRightInd w:val="0"/>
              <w:snapToGrid w:val="0"/>
              <w:spacing w:before="0" w:beforeAutospacing="0" w:after="0" w:afterAutospacing="0" w:line="312" w:lineRule="auto"/>
              <w:ind w:left="0" w:right="0"/>
              <w:rPr>
                <w:rFonts w:hint="eastAsia" w:ascii="Calibri" w:hAnsi="Calibri" w:cs="Calibri"/>
                <w:color w:val="auto"/>
                <w:kern w:val="2"/>
                <w:sz w:val="24"/>
                <w:szCs w:val="22"/>
                <w:highlight w:val="none"/>
              </w:rPr>
            </w:pPr>
            <w:r>
              <w:rPr>
                <w:rFonts w:hint="eastAsia" w:ascii="Calibri" w:hAnsi="Calibri" w:cs="Calibri"/>
                <w:color w:val="auto"/>
                <w:kern w:val="2"/>
                <w:sz w:val="24"/>
                <w:szCs w:val="22"/>
                <w:highlight w:val="none"/>
              </w:rPr>
              <w:t>发包人是否提供材料或工程设备： 否</w:t>
            </w:r>
            <w:r>
              <w:rPr>
                <w:rFonts w:hint="eastAsia" w:ascii="Calibri" w:hAnsi="Calibri" w:cs="Calibri"/>
                <w:color w:val="auto"/>
                <w:kern w:val="2"/>
                <w:sz w:val="24"/>
                <w:szCs w:val="22"/>
                <w:highlight w:val="none"/>
                <w:lang w:val="en-US" w:eastAsia="zh-CN"/>
              </w:rPr>
              <w:t xml:space="preserve">  </w:t>
            </w:r>
          </w:p>
          <w:p>
            <w:pPr>
              <w:adjustRightInd w:val="0"/>
              <w:snapToGrid w:val="0"/>
              <w:spacing w:before="0" w:beforeAutospacing="0" w:after="0" w:afterAutospacing="0" w:line="312" w:lineRule="auto"/>
              <w:ind w:left="0" w:right="0"/>
              <w:rPr>
                <w:rFonts w:hint="default" w:ascii="宋体" w:hAnsi="宋体" w:eastAsia="宋体" w:cs="Calibri"/>
                <w:kern w:val="2"/>
                <w:sz w:val="21"/>
                <w:szCs w:val="22"/>
                <w:highlight w:val="none"/>
              </w:rPr>
            </w:pPr>
            <w:r>
              <w:rPr>
                <w:rFonts w:hint="eastAsia" w:ascii="Calibri" w:hAnsi="Calibri" w:cs="Calibri"/>
                <w:color w:val="auto"/>
                <w:kern w:val="2"/>
                <w:sz w:val="24"/>
                <w:szCs w:val="22"/>
                <w:highlight w:val="none"/>
              </w:rPr>
              <w:t>如发包人负责提供部分材料或工程设备，相关规定如下：</w:t>
            </w:r>
            <w:r>
              <w:rPr>
                <w:rFonts w:hint="eastAsia" w:ascii="Calibri" w:hAnsi="Calibri" w:cs="Calibri"/>
                <w:color w:val="auto"/>
                <w:kern w:val="2"/>
                <w:sz w:val="24"/>
                <w:szCs w:val="22"/>
                <w:highlight w:val="none"/>
                <w:lang w:val="en-US" w:eastAsia="zh-CN"/>
              </w:rPr>
              <w:t>/</w:t>
            </w:r>
            <w:r>
              <w:rPr>
                <w:rFonts w:hint="eastAsia" w:ascii="Calibri" w:hAnsi="Calibri" w:cs="Calibri"/>
                <w:color w:val="auto"/>
                <w:kern w:val="2"/>
                <w:sz w:val="24"/>
                <w:szCs w:val="22"/>
                <w:highlight w:val="none"/>
              </w:rPr>
              <w:t xml:space="preserve">   </w:t>
            </w:r>
          </w:p>
        </w:tc>
      </w:tr>
      <w:tr>
        <w:trPr>
          <w:jc w:val="center"/>
        </w:trPr>
        <w:tc>
          <w:tcPr>
            <w:tcW w:w="864" w:type="dxa"/>
            <w:vAlign w:val="center"/>
          </w:tcPr>
          <w:p>
            <w:pPr>
              <w:adjustRightInd w:val="0"/>
              <w:snapToGrid w:val="0"/>
              <w:spacing w:before="0" w:beforeAutospacing="0" w:after="0" w:afterAutospacing="0" w:line="312"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7</w:t>
            </w:r>
          </w:p>
        </w:tc>
        <w:tc>
          <w:tcPr>
            <w:tcW w:w="1134" w:type="dxa"/>
            <w:vAlign w:val="center"/>
          </w:tcPr>
          <w:p>
            <w:pPr>
              <w:adjustRightInd w:val="0"/>
              <w:snapToGrid w:val="0"/>
              <w:spacing w:before="0" w:beforeAutospacing="0" w:after="0" w:afterAutospacing="0" w:line="312"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6.2</w:t>
            </w:r>
          </w:p>
        </w:tc>
        <w:tc>
          <w:tcPr>
            <w:tcW w:w="7027" w:type="dxa"/>
            <w:vAlign w:val="top"/>
          </w:tcPr>
          <w:p>
            <w:pPr>
              <w:adjustRightInd w:val="0"/>
              <w:snapToGrid w:val="0"/>
              <w:spacing w:before="0" w:beforeAutospacing="0" w:after="0" w:afterAutospacing="0" w:line="312" w:lineRule="auto"/>
              <w:ind w:left="0" w:right="0"/>
              <w:rPr>
                <w:rFonts w:hint="eastAsia" w:ascii="Calibri" w:hAnsi="Calibri" w:cs="Calibri"/>
                <w:color w:val="auto"/>
                <w:kern w:val="2"/>
                <w:sz w:val="24"/>
                <w:szCs w:val="22"/>
                <w:highlight w:val="none"/>
              </w:rPr>
            </w:pPr>
            <w:r>
              <w:rPr>
                <w:rFonts w:hint="eastAsia" w:ascii="Calibri" w:hAnsi="Calibri" w:cs="Calibri"/>
                <w:color w:val="auto"/>
                <w:kern w:val="2"/>
                <w:sz w:val="24"/>
                <w:szCs w:val="22"/>
                <w:highlight w:val="none"/>
              </w:rPr>
              <w:t>发包人是否提供施工设备和临时设施： 否</w:t>
            </w:r>
          </w:p>
          <w:p>
            <w:pPr>
              <w:adjustRightInd w:val="0"/>
              <w:snapToGrid w:val="0"/>
              <w:spacing w:before="0" w:beforeAutospacing="0" w:after="0" w:afterAutospacing="0" w:line="312" w:lineRule="auto"/>
              <w:ind w:left="0" w:right="0"/>
              <w:rPr>
                <w:rFonts w:hint="default" w:ascii="宋体" w:hAnsi="宋体" w:eastAsia="宋体" w:cs="Calibri"/>
                <w:kern w:val="2"/>
                <w:sz w:val="21"/>
                <w:szCs w:val="22"/>
                <w:highlight w:val="none"/>
              </w:rPr>
            </w:pPr>
            <w:r>
              <w:rPr>
                <w:rFonts w:hint="eastAsia" w:ascii="Calibri" w:hAnsi="Calibri" w:cs="Calibri"/>
                <w:color w:val="auto"/>
                <w:kern w:val="2"/>
                <w:sz w:val="24"/>
                <w:szCs w:val="22"/>
                <w:highlight w:val="none"/>
              </w:rPr>
              <w:t>如发包人负责提供部分施工设备和临时设施，相关规定如下：</w:t>
            </w:r>
            <w:r>
              <w:rPr>
                <w:rFonts w:hint="eastAsia" w:ascii="Calibri" w:hAnsi="Calibri" w:cs="Calibri"/>
                <w:color w:val="auto"/>
                <w:kern w:val="2"/>
                <w:sz w:val="24"/>
                <w:szCs w:val="22"/>
                <w:highlight w:val="none"/>
                <w:lang w:val="en-US" w:eastAsia="zh-CN"/>
              </w:rPr>
              <w:t>/</w:t>
            </w:r>
          </w:p>
        </w:tc>
      </w:tr>
      <w:tr>
        <w:trPr>
          <w:jc w:val="center"/>
        </w:trPr>
        <w:tc>
          <w:tcPr>
            <w:tcW w:w="864" w:type="dxa"/>
            <w:vAlign w:val="center"/>
          </w:tcPr>
          <w:p>
            <w:pPr>
              <w:adjustRightInd w:val="0"/>
              <w:snapToGrid w:val="0"/>
              <w:spacing w:before="0" w:beforeAutospacing="0" w:after="0" w:afterAutospacing="0" w:line="312"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8</w:t>
            </w:r>
          </w:p>
        </w:tc>
        <w:tc>
          <w:tcPr>
            <w:tcW w:w="1134" w:type="dxa"/>
            <w:vAlign w:val="center"/>
          </w:tcPr>
          <w:p>
            <w:pPr>
              <w:adjustRightInd w:val="0"/>
              <w:snapToGrid w:val="0"/>
              <w:spacing w:before="0" w:beforeAutospacing="0" w:after="0" w:afterAutospacing="0" w:line="312" w:lineRule="auto"/>
              <w:ind w:left="0" w:right="0"/>
              <w:jc w:val="center"/>
              <w:rPr>
                <w:rFonts w:hint="eastAsia" w:ascii="Calibri" w:hAnsi="Calibri" w:cs="Calibri"/>
                <w:color w:val="auto"/>
                <w:kern w:val="2"/>
                <w:sz w:val="24"/>
                <w:szCs w:val="22"/>
                <w:highlight w:val="none"/>
                <w:lang w:val="en-US" w:eastAsia="zh-CN"/>
              </w:rPr>
            </w:pPr>
            <w:r>
              <w:rPr>
                <w:rFonts w:hint="eastAsia" w:ascii="Calibri" w:hAnsi="Calibri" w:cs="Calibri"/>
                <w:color w:val="auto"/>
                <w:kern w:val="2"/>
                <w:sz w:val="24"/>
                <w:szCs w:val="22"/>
                <w:highlight w:val="none"/>
                <w:lang w:val="en-US" w:eastAsia="zh-CN"/>
              </w:rPr>
              <w:t>8.1.1</w:t>
            </w:r>
          </w:p>
        </w:tc>
        <w:tc>
          <w:tcPr>
            <w:tcW w:w="7027" w:type="dxa"/>
            <w:vAlign w:val="top"/>
          </w:tcPr>
          <w:p>
            <w:pPr>
              <w:adjustRightInd w:val="0"/>
              <w:snapToGrid w:val="0"/>
              <w:spacing w:before="0" w:beforeAutospacing="0" w:after="0" w:afterAutospacing="0" w:line="312" w:lineRule="auto"/>
              <w:ind w:left="0" w:right="0"/>
              <w:rPr>
                <w:rFonts w:hint="eastAsia" w:ascii="Calibri" w:hAnsi="Calibri" w:cs="Calibri"/>
                <w:color w:val="auto"/>
                <w:kern w:val="2"/>
                <w:sz w:val="24"/>
                <w:szCs w:val="22"/>
                <w:highlight w:val="none"/>
                <w:lang w:eastAsia="zh-CN"/>
              </w:rPr>
            </w:pPr>
            <w:r>
              <w:rPr>
                <w:rFonts w:hint="eastAsia" w:ascii="Calibri" w:hAnsi="Calibri" w:cs="Calibri"/>
                <w:color w:val="auto"/>
                <w:kern w:val="2"/>
                <w:sz w:val="24"/>
                <w:szCs w:val="22"/>
                <w:highlight w:val="none"/>
              </w:rPr>
              <w:t>发包人提供测量基准点、基准线和水准点及其书面资料的期限</w:t>
            </w:r>
            <w:r>
              <w:rPr>
                <w:rFonts w:hint="eastAsia" w:ascii="Calibri" w:hAnsi="Calibri" w:cs="Calibri"/>
                <w:color w:val="auto"/>
                <w:kern w:val="2"/>
                <w:sz w:val="24"/>
                <w:szCs w:val="22"/>
                <w:highlight w:val="none"/>
                <w:lang w:eastAsia="zh-CN"/>
              </w:rPr>
              <w:t>：</w:t>
            </w:r>
          </w:p>
          <w:p>
            <w:pPr>
              <w:adjustRightInd w:val="0"/>
              <w:snapToGrid w:val="0"/>
              <w:spacing w:before="0" w:beforeAutospacing="0" w:after="0" w:afterAutospacing="0" w:line="312" w:lineRule="auto"/>
              <w:ind w:left="0" w:right="0"/>
              <w:rPr>
                <w:rFonts w:hint="eastAsia" w:ascii="宋体" w:hAnsi="宋体" w:cs="Calibri"/>
                <w:w w:val="99"/>
                <w:kern w:val="2"/>
                <w:sz w:val="21"/>
                <w:szCs w:val="22"/>
                <w:highlight w:val="none"/>
                <w:lang w:eastAsia="zh-CN"/>
              </w:rPr>
            </w:pPr>
            <w:r>
              <w:rPr>
                <w:rFonts w:hint="eastAsia" w:ascii="Calibri" w:hAnsi="Calibri" w:cs="Calibri"/>
                <w:color w:val="auto"/>
                <w:kern w:val="2"/>
                <w:sz w:val="24"/>
                <w:szCs w:val="22"/>
                <w:highlight w:val="none"/>
              </w:rPr>
              <w:t>承包人将施工控制网资料报送监理人审批的期限</w:t>
            </w:r>
            <w:r>
              <w:rPr>
                <w:rFonts w:hint="eastAsia" w:ascii="Calibri" w:hAnsi="Calibri" w:cs="Calibri"/>
                <w:color w:val="auto"/>
                <w:kern w:val="2"/>
                <w:sz w:val="24"/>
                <w:szCs w:val="22"/>
                <w:highlight w:val="none"/>
                <w:lang w:eastAsia="zh-CN"/>
              </w:rPr>
              <w:t>：</w:t>
            </w:r>
          </w:p>
        </w:tc>
      </w:tr>
      <w:tr>
        <w:trPr>
          <w:jc w:val="center"/>
        </w:trPr>
        <w:tc>
          <w:tcPr>
            <w:tcW w:w="864" w:type="dxa"/>
            <w:vAlign w:val="center"/>
          </w:tcPr>
          <w:p>
            <w:pPr>
              <w:adjustRightInd w:val="0"/>
              <w:snapToGrid w:val="0"/>
              <w:spacing w:before="0" w:beforeAutospacing="0" w:after="0" w:afterAutospacing="0" w:line="312"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9</w:t>
            </w:r>
          </w:p>
        </w:tc>
        <w:tc>
          <w:tcPr>
            <w:tcW w:w="1134"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11.5</w:t>
            </w:r>
            <w:r>
              <w:rPr>
                <w:rFonts w:hint="eastAsia" w:ascii="Calibri" w:hAnsi="Calibri" w:cs="Calibri"/>
                <w:color w:val="auto"/>
                <w:kern w:val="2"/>
                <w:sz w:val="24"/>
                <w:szCs w:val="22"/>
                <w:highlight w:val="none"/>
                <w:lang w:eastAsia="zh-CN"/>
              </w:rPr>
              <w:t>（</w:t>
            </w:r>
            <w:r>
              <w:rPr>
                <w:rFonts w:hint="eastAsia" w:ascii="Calibri" w:hAnsi="Calibri" w:cs="Calibri"/>
                <w:color w:val="auto"/>
                <w:kern w:val="2"/>
                <w:sz w:val="24"/>
                <w:szCs w:val="22"/>
                <w:highlight w:val="none"/>
                <w:lang w:val="en-US" w:eastAsia="zh-CN"/>
              </w:rPr>
              <w:t>3</w:t>
            </w:r>
            <w:r>
              <w:rPr>
                <w:rFonts w:hint="eastAsia" w:ascii="Calibri" w:hAnsi="Calibri" w:cs="Calibri"/>
                <w:color w:val="auto"/>
                <w:kern w:val="2"/>
                <w:sz w:val="24"/>
                <w:szCs w:val="22"/>
                <w:highlight w:val="none"/>
                <w:lang w:eastAsia="zh-CN"/>
              </w:rPr>
              <w:t>）</w:t>
            </w:r>
          </w:p>
        </w:tc>
        <w:tc>
          <w:tcPr>
            <w:tcW w:w="7027" w:type="dxa"/>
            <w:vAlign w:val="top"/>
          </w:tcPr>
          <w:p>
            <w:pPr>
              <w:adjustRightInd w:val="0"/>
              <w:snapToGrid w:val="0"/>
              <w:spacing w:before="0" w:beforeAutospacing="0" w:after="0" w:afterAutospacing="0" w:line="312"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逾期竣工违约金：人民币</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元/天</w:t>
            </w:r>
          </w:p>
        </w:tc>
      </w:tr>
      <w:tr>
        <w:trPr>
          <w:jc w:val="center"/>
        </w:trPr>
        <w:tc>
          <w:tcPr>
            <w:tcW w:w="864" w:type="dxa"/>
            <w:vAlign w:val="center"/>
          </w:tcPr>
          <w:p>
            <w:pPr>
              <w:adjustRightInd w:val="0"/>
              <w:snapToGrid w:val="0"/>
              <w:spacing w:before="0" w:beforeAutospacing="0" w:after="0" w:afterAutospacing="0" w:line="312"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10</w:t>
            </w:r>
          </w:p>
        </w:tc>
        <w:tc>
          <w:tcPr>
            <w:tcW w:w="1134"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11.5</w:t>
            </w:r>
            <w:r>
              <w:rPr>
                <w:rFonts w:hint="eastAsia" w:ascii="Calibri" w:hAnsi="Calibri" w:cs="Calibri"/>
                <w:color w:val="auto"/>
                <w:kern w:val="2"/>
                <w:sz w:val="24"/>
                <w:szCs w:val="22"/>
                <w:highlight w:val="none"/>
                <w:lang w:eastAsia="zh-CN"/>
              </w:rPr>
              <w:t>（</w:t>
            </w:r>
            <w:r>
              <w:rPr>
                <w:rFonts w:hint="eastAsia" w:ascii="Calibri" w:hAnsi="Calibri" w:cs="Calibri"/>
                <w:color w:val="auto"/>
                <w:kern w:val="2"/>
                <w:sz w:val="24"/>
                <w:szCs w:val="22"/>
                <w:highlight w:val="none"/>
                <w:lang w:val="en-US" w:eastAsia="zh-CN"/>
              </w:rPr>
              <w:t>3</w:t>
            </w:r>
            <w:r>
              <w:rPr>
                <w:rFonts w:hint="eastAsia" w:ascii="Calibri" w:hAnsi="Calibri" w:cs="Calibri"/>
                <w:color w:val="auto"/>
                <w:kern w:val="2"/>
                <w:sz w:val="24"/>
                <w:szCs w:val="22"/>
                <w:highlight w:val="none"/>
                <w:lang w:eastAsia="zh-CN"/>
              </w:rPr>
              <w:t>）</w:t>
            </w:r>
          </w:p>
        </w:tc>
        <w:tc>
          <w:tcPr>
            <w:tcW w:w="7027" w:type="dxa"/>
            <w:vAlign w:val="top"/>
          </w:tcPr>
          <w:p>
            <w:pPr>
              <w:adjustRightInd w:val="0"/>
              <w:snapToGrid w:val="0"/>
              <w:spacing w:before="0" w:beforeAutospacing="0" w:after="0" w:afterAutospacing="0" w:line="312"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逾期竣工违约金限额：</w:t>
            </w:r>
            <w:r>
              <w:rPr>
                <w:rFonts w:hint="eastAsia" w:ascii="Calibri" w:hAnsi="Calibri" w:cs="Calibri"/>
                <w:color w:val="auto"/>
                <w:kern w:val="2"/>
                <w:sz w:val="24"/>
                <w:szCs w:val="22"/>
                <w:highlight w:val="none"/>
                <w:u w:val="single"/>
                <w:lang w:val="en-US" w:eastAsia="zh-CN"/>
              </w:rPr>
              <w:t xml:space="preserve"> </w:t>
            </w:r>
            <w:r>
              <w:rPr>
                <w:rFonts w:hint="eastAsia" w:ascii="Calibri" w:hAnsi="Calibri" w:cs="Calibri"/>
                <w:color w:val="auto"/>
                <w:kern w:val="2"/>
                <w:sz w:val="24"/>
                <w:szCs w:val="22"/>
                <w:highlight w:val="none"/>
                <w:u w:val="single"/>
              </w:rPr>
              <w:t>10</w:t>
            </w:r>
            <w:r>
              <w:rPr>
                <w:rFonts w:hint="eastAsia" w:ascii="Calibri" w:hAnsi="Calibri" w:cs="Calibri"/>
                <w:color w:val="auto"/>
                <w:kern w:val="2"/>
                <w:sz w:val="24"/>
                <w:szCs w:val="22"/>
                <w:highlight w:val="none"/>
                <w:u w:val="single"/>
                <w:lang w:val="en-US" w:eastAsia="zh-CN"/>
              </w:rPr>
              <w:t xml:space="preserve"> </w:t>
            </w:r>
            <w:r>
              <w:rPr>
                <w:rFonts w:hint="eastAsia" w:ascii="Calibri" w:hAnsi="Calibri" w:cs="Calibri"/>
                <w:color w:val="auto"/>
                <w:kern w:val="2"/>
                <w:sz w:val="24"/>
                <w:szCs w:val="22"/>
                <w:highlight w:val="none"/>
              </w:rPr>
              <w:t>%签约合同价</w:t>
            </w:r>
          </w:p>
        </w:tc>
      </w:tr>
      <w:tr>
        <w:trPr>
          <w:jc w:val="center"/>
        </w:trPr>
        <w:tc>
          <w:tcPr>
            <w:tcW w:w="864" w:type="dxa"/>
            <w:vAlign w:val="center"/>
          </w:tcPr>
          <w:p>
            <w:pPr>
              <w:adjustRightInd w:val="0"/>
              <w:snapToGrid w:val="0"/>
              <w:spacing w:before="0" w:beforeAutospacing="0" w:after="0" w:afterAutospacing="0" w:line="312"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11</w:t>
            </w:r>
          </w:p>
        </w:tc>
        <w:tc>
          <w:tcPr>
            <w:tcW w:w="1134"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11.6</w:t>
            </w:r>
          </w:p>
        </w:tc>
        <w:tc>
          <w:tcPr>
            <w:tcW w:w="7027" w:type="dxa"/>
            <w:vAlign w:val="top"/>
          </w:tcPr>
          <w:p>
            <w:pPr>
              <w:adjustRightInd w:val="0"/>
              <w:snapToGrid w:val="0"/>
              <w:spacing w:before="0" w:beforeAutospacing="0" w:after="0" w:afterAutospacing="0" w:line="312"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提前竣工的奖金：人民币</w:t>
            </w:r>
            <w:r>
              <w:rPr>
                <w:rFonts w:hint="eastAsia" w:ascii="Calibri" w:hAnsi="Calibri" w:cs="Calibri"/>
                <w:color w:val="auto"/>
                <w:kern w:val="2"/>
                <w:sz w:val="24"/>
                <w:szCs w:val="22"/>
                <w:highlight w:val="none"/>
                <w:u w:val="single"/>
              </w:rPr>
              <w:t xml:space="preserve">  0 </w:t>
            </w:r>
            <w:r>
              <w:rPr>
                <w:rFonts w:hint="eastAsia" w:ascii="Calibri" w:hAnsi="Calibri" w:cs="Calibri"/>
                <w:color w:val="auto"/>
                <w:kern w:val="2"/>
                <w:sz w:val="24"/>
                <w:szCs w:val="22"/>
                <w:highlight w:val="none"/>
              </w:rPr>
              <w:t>元/天</w:t>
            </w:r>
          </w:p>
        </w:tc>
      </w:tr>
      <w:tr>
        <w:trPr>
          <w:jc w:val="center"/>
        </w:trPr>
        <w:tc>
          <w:tcPr>
            <w:tcW w:w="864" w:type="dxa"/>
            <w:vAlign w:val="center"/>
          </w:tcPr>
          <w:p>
            <w:pPr>
              <w:adjustRightInd w:val="0"/>
              <w:snapToGrid w:val="0"/>
              <w:spacing w:before="0" w:beforeAutospacing="0" w:after="0" w:afterAutospacing="0" w:line="312"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12</w:t>
            </w:r>
          </w:p>
        </w:tc>
        <w:tc>
          <w:tcPr>
            <w:tcW w:w="1134" w:type="dxa"/>
            <w:vAlign w:val="center"/>
          </w:tcPr>
          <w:p>
            <w:pPr>
              <w:adjustRightInd w:val="0"/>
              <w:snapToGrid w:val="0"/>
              <w:spacing w:before="0" w:beforeAutospacing="0" w:after="0" w:afterAutospacing="0" w:line="312"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11.6</w:t>
            </w:r>
          </w:p>
        </w:tc>
        <w:tc>
          <w:tcPr>
            <w:tcW w:w="7027" w:type="dxa"/>
            <w:vAlign w:val="top"/>
          </w:tcPr>
          <w:p>
            <w:pPr>
              <w:adjustRightInd w:val="0"/>
              <w:snapToGrid w:val="0"/>
              <w:spacing w:before="0" w:beforeAutospacing="0" w:after="0" w:afterAutospacing="0" w:line="312"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提前竣工的奖金限额：</w:t>
            </w:r>
            <w:r>
              <w:rPr>
                <w:rFonts w:hint="eastAsia" w:ascii="Calibri" w:hAnsi="Calibri" w:cs="Calibri"/>
                <w:color w:val="auto"/>
                <w:kern w:val="2"/>
                <w:sz w:val="24"/>
                <w:szCs w:val="22"/>
                <w:highlight w:val="none"/>
                <w:u w:val="single"/>
              </w:rPr>
              <w:t xml:space="preserve"> 0 </w:t>
            </w:r>
            <w:r>
              <w:rPr>
                <w:rFonts w:hint="eastAsia" w:ascii="Calibri" w:hAnsi="Calibri" w:cs="Calibri"/>
                <w:color w:val="auto"/>
                <w:kern w:val="2"/>
                <w:sz w:val="24"/>
                <w:szCs w:val="22"/>
                <w:highlight w:val="none"/>
              </w:rPr>
              <w:t>%签约合同价</w:t>
            </w:r>
          </w:p>
        </w:tc>
      </w:tr>
    </w:tbl>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tbl>
      <w:tblPr>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rPr>
          <w:trHeight w:val="306" w:hRule="atLeast"/>
          <w:jc w:val="center"/>
        </w:trPr>
        <w:tc>
          <w:tcPr>
            <w:tcW w:w="86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序号</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条款号</w:t>
            </w:r>
          </w:p>
        </w:tc>
        <w:tc>
          <w:tcPr>
            <w:tcW w:w="7560"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信息或数据</w:t>
            </w:r>
          </w:p>
        </w:tc>
      </w:tr>
      <w:tr>
        <w:trPr>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13</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15.2.2</w:t>
            </w:r>
          </w:p>
        </w:tc>
        <w:tc>
          <w:tcPr>
            <w:tcW w:w="7560" w:type="dxa"/>
            <w:vAlign w:val="top"/>
          </w:tcPr>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承包人提出的合理化建议降低了合同价格或者提高了工程经济效益的，发包</w:t>
            </w:r>
            <w:r>
              <w:rPr>
                <w:rFonts w:hint="eastAsia" w:ascii="Calibri" w:hAnsi="Calibri" w:cs="Calibri"/>
                <w:color w:val="auto"/>
                <w:kern w:val="2"/>
                <w:sz w:val="24"/>
                <w:szCs w:val="22"/>
                <w:highlight w:val="none"/>
                <w:lang w:eastAsia="zh-CN"/>
              </w:rPr>
              <w:t>人按所节约成本的</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w:t>
            </w:r>
            <w:r>
              <w:rPr>
                <w:rFonts w:hint="eastAsia" w:ascii="Calibri" w:hAnsi="Calibri" w:cs="Calibri"/>
                <w:color w:val="auto"/>
                <w:kern w:val="2"/>
                <w:sz w:val="24"/>
                <w:szCs w:val="22"/>
                <w:highlight w:val="none"/>
                <w:lang w:eastAsia="zh-CN"/>
              </w:rPr>
              <w:t>或增加收益的</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w:t>
            </w:r>
            <w:r>
              <w:rPr>
                <w:rFonts w:hint="eastAsia" w:ascii="Calibri" w:hAnsi="Calibri" w:cs="Calibri"/>
                <w:color w:val="auto"/>
                <w:kern w:val="2"/>
                <w:sz w:val="24"/>
                <w:szCs w:val="22"/>
                <w:highlight w:val="none"/>
                <w:lang w:eastAsia="zh-CN"/>
              </w:rPr>
              <w:t>给予奖励</w:t>
            </w:r>
          </w:p>
        </w:tc>
      </w:tr>
      <w:tr>
        <w:trPr>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14</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16.1</w:t>
            </w:r>
          </w:p>
        </w:tc>
        <w:tc>
          <w:tcPr>
            <w:tcW w:w="7560" w:type="dxa"/>
            <w:vAlign w:val="top"/>
          </w:tcPr>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合同期内不调价</w:t>
            </w:r>
          </w:p>
        </w:tc>
      </w:tr>
      <w:tr>
        <w:trPr>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15</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17.2.1</w:t>
            </w:r>
          </w:p>
        </w:tc>
        <w:tc>
          <w:tcPr>
            <w:tcW w:w="7560" w:type="dxa"/>
            <w:vAlign w:val="top"/>
          </w:tcPr>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开工预付款比例：</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%签约合同价</w:t>
            </w:r>
          </w:p>
        </w:tc>
      </w:tr>
      <w:tr>
        <w:trPr>
          <w:trHeight w:val="395" w:hRule="atLeast"/>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16</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17.2.1</w:t>
            </w:r>
          </w:p>
        </w:tc>
        <w:tc>
          <w:tcPr>
            <w:tcW w:w="7560" w:type="dxa"/>
            <w:vAlign w:val="top"/>
          </w:tcPr>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材料、设备预付款比例：</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等主要材料、设备单据所列费用的</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w:t>
            </w:r>
            <w:r>
              <w:rPr>
                <w:rStyle w:val="15"/>
                <w:rFonts w:hint="default" w:ascii="Calibri" w:hAnsi="Calibri" w:cs="Calibri"/>
                <w:color w:val="auto"/>
                <w:kern w:val="2"/>
                <w:sz w:val="24"/>
                <w:szCs w:val="22"/>
                <w:highlight w:val="none"/>
              </w:rPr>
              <w:footnoteReference w:id="0"/>
            </w:r>
          </w:p>
        </w:tc>
      </w:tr>
      <w:tr>
        <w:trPr>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17</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17.3.2</w:t>
            </w:r>
          </w:p>
        </w:tc>
        <w:tc>
          <w:tcPr>
            <w:tcW w:w="7560" w:type="dxa"/>
            <w:vAlign w:val="top"/>
          </w:tcPr>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承包人在每个付款周期末向监理人提交进度付款申请单的份数：</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份</w:t>
            </w:r>
          </w:p>
        </w:tc>
      </w:tr>
      <w:tr>
        <w:trPr>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18</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17.3.3</w:t>
            </w:r>
          </w:p>
        </w:tc>
        <w:tc>
          <w:tcPr>
            <w:tcW w:w="7560" w:type="dxa"/>
            <w:vAlign w:val="top"/>
          </w:tcPr>
          <w:p>
            <w:pPr>
              <w:adjustRightInd w:val="0"/>
              <w:snapToGrid w:val="0"/>
              <w:spacing w:before="0" w:beforeAutospacing="0" w:after="0" w:afterAutospacing="0" w:line="324" w:lineRule="auto"/>
              <w:ind w:left="0" w:right="0"/>
              <w:jc w:val="left"/>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进度付款申请证书最低限额：</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%签约合同价或</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万元</w:t>
            </w:r>
          </w:p>
        </w:tc>
      </w:tr>
      <w:tr>
        <w:trPr>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19</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17.3.3</w:t>
            </w:r>
          </w:p>
        </w:tc>
        <w:tc>
          <w:tcPr>
            <w:tcW w:w="7560" w:type="dxa"/>
            <w:vAlign w:val="top"/>
          </w:tcPr>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逾期付款违约金</w:t>
            </w:r>
            <w:r>
              <w:rPr>
                <w:rFonts w:hint="eastAsia" w:ascii="Calibri" w:hAnsi="Calibri" w:cs="Calibri"/>
                <w:color w:val="auto"/>
                <w:kern w:val="2"/>
                <w:sz w:val="24"/>
                <w:szCs w:val="22"/>
                <w:highlight w:val="none"/>
                <w:lang w:eastAsia="zh-CN"/>
              </w:rPr>
              <w:t>的利率</w:t>
            </w:r>
            <w:r>
              <w:rPr>
                <w:rFonts w:hint="eastAsia" w:ascii="Calibri" w:hAnsi="Calibri" w:cs="Calibri"/>
                <w:color w:val="auto"/>
                <w:kern w:val="2"/>
                <w:sz w:val="24"/>
                <w:szCs w:val="22"/>
                <w:highlight w:val="none"/>
              </w:rPr>
              <w:t>：</w:t>
            </w:r>
            <w:r>
              <w:rPr>
                <w:rFonts w:hint="eastAsia" w:ascii="Calibri" w:hAnsi="Calibri" w:cs="Calibri"/>
                <w:color w:val="auto"/>
                <w:kern w:val="2"/>
                <w:sz w:val="24"/>
                <w:szCs w:val="22"/>
                <w:highlight w:val="none"/>
                <w:u w:val="single"/>
              </w:rPr>
              <w:t xml:space="preserve">    </w:t>
            </w:r>
            <w:r>
              <w:rPr>
                <w:rFonts w:hint="eastAsia" w:ascii="宋体" w:hAnsi="宋体" w:cs="Calibri"/>
                <w:color w:val="auto"/>
                <w:kern w:val="2"/>
                <w:sz w:val="24"/>
                <w:szCs w:val="22"/>
                <w:highlight w:val="none"/>
              </w:rPr>
              <w:t>‰/天</w:t>
            </w:r>
            <w:r>
              <w:rPr>
                <w:rStyle w:val="15"/>
                <w:rFonts w:hint="default" w:ascii="Calibri" w:hAnsi="Calibri" w:cs="Calibri"/>
                <w:color w:val="auto"/>
                <w:kern w:val="2"/>
                <w:sz w:val="24"/>
                <w:szCs w:val="22"/>
                <w:highlight w:val="none"/>
              </w:rPr>
              <w:footnoteReference w:id="1"/>
            </w:r>
          </w:p>
        </w:tc>
      </w:tr>
      <w:tr>
        <w:trPr>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val="en-US" w:eastAsia="zh-CN"/>
              </w:rPr>
            </w:pPr>
            <w:r>
              <w:rPr>
                <w:rFonts w:hint="eastAsia" w:ascii="Calibri" w:hAnsi="Calibri" w:cs="Calibri"/>
                <w:color w:val="auto"/>
                <w:kern w:val="2"/>
                <w:sz w:val="24"/>
                <w:szCs w:val="22"/>
                <w:highlight w:val="none"/>
                <w:lang w:val="en-US" w:eastAsia="zh-CN"/>
              </w:rPr>
              <w:t>20</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17.4.1</w:t>
            </w:r>
          </w:p>
        </w:tc>
        <w:tc>
          <w:tcPr>
            <w:tcW w:w="7560" w:type="dxa"/>
            <w:vAlign w:val="top"/>
          </w:tcPr>
          <w:p>
            <w:pPr>
              <w:adjustRightInd w:val="0"/>
              <w:snapToGrid w:val="0"/>
              <w:spacing w:before="0" w:beforeAutospacing="0" w:after="0" w:afterAutospacing="0" w:line="324" w:lineRule="auto"/>
              <w:ind w:left="0" w:right="0"/>
              <w:rPr>
                <w:rFonts w:hint="eastAsia" w:ascii="Calibri" w:hAnsi="Calibri" w:cs="Calibri"/>
                <w:color w:val="auto"/>
                <w:kern w:val="2"/>
                <w:sz w:val="24"/>
                <w:szCs w:val="22"/>
                <w:highlight w:val="none"/>
                <w:lang w:eastAsia="zh-CN"/>
              </w:rPr>
            </w:pPr>
            <w:r>
              <w:rPr>
                <w:rFonts w:hint="eastAsia" w:ascii="Calibri" w:hAnsi="Calibri" w:cs="Calibri"/>
                <w:color w:val="auto"/>
                <w:kern w:val="2"/>
                <w:sz w:val="24"/>
                <w:szCs w:val="22"/>
                <w:highlight w:val="none"/>
              </w:rPr>
              <w:t>质量保证金</w:t>
            </w:r>
            <w:r>
              <w:rPr>
                <w:rFonts w:hint="eastAsia" w:ascii="Calibri" w:hAnsi="Calibri" w:cs="Calibri"/>
                <w:color w:val="auto"/>
                <w:kern w:val="2"/>
                <w:sz w:val="24"/>
                <w:szCs w:val="22"/>
                <w:highlight w:val="none"/>
                <w:lang w:eastAsia="zh-CN"/>
              </w:rPr>
              <w:t>金额</w:t>
            </w:r>
            <w:r>
              <w:rPr>
                <w:rFonts w:hint="eastAsia" w:ascii="Calibri" w:hAnsi="Calibri" w:cs="Calibri"/>
                <w:color w:val="auto"/>
                <w:kern w:val="2"/>
                <w:sz w:val="24"/>
                <w:szCs w:val="22"/>
                <w:highlight w:val="none"/>
              </w:rPr>
              <w:t>：</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u w:val="single"/>
                <w:lang w:val="en-US" w:eastAsia="zh-CN"/>
              </w:rPr>
              <w:t xml:space="preserve">5 </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w:t>
            </w:r>
            <w:r>
              <w:rPr>
                <w:rFonts w:hint="eastAsia" w:ascii="Calibri" w:hAnsi="Calibri" w:cs="Calibri"/>
                <w:color w:val="auto"/>
                <w:kern w:val="2"/>
                <w:sz w:val="24"/>
                <w:szCs w:val="22"/>
                <w:highlight w:val="none"/>
                <w:lang w:eastAsia="zh-CN"/>
              </w:rPr>
              <w:t>合同价格，若交工验收时承包人具备被招标项目所在地省级交通运输主管部门评定的最高信用等级，发包人给予</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w:t>
            </w:r>
            <w:r>
              <w:rPr>
                <w:rFonts w:hint="eastAsia" w:ascii="Calibri" w:hAnsi="Calibri" w:cs="Calibri"/>
                <w:color w:val="auto"/>
                <w:kern w:val="2"/>
                <w:sz w:val="24"/>
                <w:szCs w:val="22"/>
                <w:highlight w:val="none"/>
                <w:lang w:eastAsia="zh-CN"/>
              </w:rPr>
              <w:t>合同价格质量保证金的优惠。</w:t>
            </w:r>
          </w:p>
          <w:p>
            <w:pPr>
              <w:adjustRightInd w:val="0"/>
              <w:snapToGrid w:val="0"/>
              <w:spacing w:before="0" w:beforeAutospacing="0" w:after="0" w:afterAutospacing="0" w:line="324" w:lineRule="auto"/>
              <w:ind w:left="0" w:right="0"/>
              <w:rPr>
                <w:rFonts w:hint="eastAsia" w:ascii="Calibri" w:hAnsi="Calibri" w:cs="Calibri"/>
                <w:color w:val="auto"/>
                <w:kern w:val="2"/>
                <w:sz w:val="24"/>
                <w:szCs w:val="22"/>
                <w:highlight w:val="none"/>
                <w:lang w:eastAsia="zh-CN"/>
              </w:rPr>
            </w:pPr>
            <w:r>
              <w:rPr>
                <w:rFonts w:hint="eastAsia" w:ascii="Calibri" w:hAnsi="Calibri" w:cs="Calibri"/>
                <w:color w:val="auto"/>
                <w:kern w:val="2"/>
                <w:sz w:val="24"/>
                <w:szCs w:val="22"/>
                <w:highlight w:val="none"/>
                <w:lang w:eastAsia="zh-CN"/>
              </w:rPr>
              <w:t>质量保证金是否计付利息：</w:t>
            </w:r>
          </w:p>
          <w:p>
            <w:pPr>
              <w:adjustRightInd w:val="0"/>
              <w:snapToGrid w:val="0"/>
              <w:spacing w:before="0" w:beforeAutospacing="0" w:after="0" w:afterAutospacing="0" w:line="324" w:lineRule="auto"/>
              <w:ind w:left="0" w:right="0"/>
              <w:rPr>
                <w:rFonts w:hint="eastAsia" w:ascii="Calibri" w:hAnsi="Calibri" w:cs="Calibri"/>
                <w:color w:val="auto"/>
                <w:kern w:val="2"/>
                <w:sz w:val="24"/>
                <w:szCs w:val="22"/>
                <w:highlight w:val="none"/>
                <w:u w:val="single"/>
                <w:lang w:val="en-US" w:eastAsia="zh-CN"/>
              </w:rPr>
            </w:pPr>
            <w:r>
              <w:rPr>
                <w:rFonts w:hint="default" w:ascii="Times New Roman" w:hAnsi="Times New Roman" w:eastAsia="Times New Roman" w:cs="Calibri"/>
                <w:kern w:val="2"/>
                <w:sz w:val="32"/>
                <w:szCs w:val="22"/>
                <w:highlight w:val="none"/>
              </w:rPr>
              <w:t>□</w:t>
            </w:r>
            <w:r>
              <w:rPr>
                <w:rFonts w:hint="eastAsia" w:ascii="Calibri" w:hAnsi="Calibri" w:cs="Calibri"/>
                <w:color w:val="auto"/>
                <w:kern w:val="2"/>
                <w:sz w:val="24"/>
                <w:szCs w:val="22"/>
                <w:highlight w:val="none"/>
                <w:lang w:eastAsia="zh-CN"/>
              </w:rPr>
              <w:t>是，利息的计算方式：</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u w:val="single"/>
                <w:lang w:val="en-US" w:eastAsia="zh-CN"/>
              </w:rPr>
              <w:t xml:space="preserve">     </w:t>
            </w:r>
          </w:p>
          <w:p>
            <w:pPr>
              <w:adjustRightInd w:val="0"/>
              <w:snapToGrid w:val="0"/>
              <w:spacing w:before="0" w:beforeAutospacing="0" w:after="0" w:afterAutospacing="0" w:line="324" w:lineRule="auto"/>
              <w:ind w:left="0" w:right="0"/>
              <w:rPr>
                <w:rFonts w:hint="eastAsia" w:ascii="Calibri" w:hAnsi="Calibri" w:cs="Calibri"/>
                <w:color w:val="auto"/>
                <w:kern w:val="2"/>
                <w:sz w:val="24"/>
                <w:szCs w:val="22"/>
                <w:highlight w:val="none"/>
                <w:u w:val="single"/>
                <w:lang w:val="en-US" w:eastAsia="zh-CN"/>
              </w:rPr>
            </w:pPr>
            <w:r>
              <w:rPr>
                <w:rFonts w:hint="default" w:ascii="Times New Roman" w:hAnsi="Times New Roman" w:eastAsia="Times New Roman" w:cs="Calibri"/>
                <w:kern w:val="2"/>
                <w:sz w:val="32"/>
                <w:szCs w:val="22"/>
                <w:highlight w:val="none"/>
              </w:rPr>
              <w:t>□</w:t>
            </w:r>
            <w:r>
              <w:rPr>
                <w:rFonts w:hint="default" w:ascii="Calibri" w:hAnsi="Calibri" w:cs="Calibri"/>
                <w:color w:val="auto"/>
                <w:kern w:val="2"/>
                <w:sz w:val="24"/>
                <w:szCs w:val="22"/>
                <w:highlight w:val="none"/>
              </w:rPr>
              <w:t>√</w:t>
            </w:r>
            <w:r>
              <w:rPr>
                <w:rFonts w:hint="eastAsia" w:ascii="Calibri" w:hAnsi="Calibri" w:cs="Calibri"/>
                <w:color w:val="auto"/>
                <w:kern w:val="2"/>
                <w:sz w:val="24"/>
                <w:szCs w:val="22"/>
                <w:highlight w:val="none"/>
                <w:u w:val="none"/>
                <w:lang w:val="en-US" w:eastAsia="zh-CN"/>
              </w:rPr>
              <w:t>否</w:t>
            </w:r>
          </w:p>
        </w:tc>
      </w:tr>
      <w:tr>
        <w:trPr>
          <w:trHeight w:val="543" w:hRule="atLeast"/>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21</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17.5.1</w:t>
            </w:r>
          </w:p>
        </w:tc>
        <w:tc>
          <w:tcPr>
            <w:tcW w:w="7560" w:type="dxa"/>
            <w:vAlign w:val="top"/>
          </w:tcPr>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承包人向监理人提交竣工付款申请单（包括相关证明材料）的份数：</w:t>
            </w:r>
            <w:r>
              <w:rPr>
                <w:rFonts w:hint="eastAsia" w:ascii="Calibri" w:hAnsi="Calibri" w:cs="Calibri"/>
                <w:color w:val="auto"/>
                <w:kern w:val="2"/>
                <w:sz w:val="24"/>
                <w:szCs w:val="22"/>
                <w:highlight w:val="none"/>
                <w:u w:val="single"/>
                <w:lang w:val="en-US" w:eastAsia="zh-CN"/>
              </w:rPr>
              <w:t xml:space="preserve">  </w:t>
            </w:r>
            <w:r>
              <w:rPr>
                <w:rFonts w:hint="eastAsia" w:ascii="Calibri" w:hAnsi="Calibri" w:cs="Calibri"/>
                <w:color w:val="auto"/>
                <w:kern w:val="2"/>
                <w:sz w:val="24"/>
                <w:szCs w:val="22"/>
                <w:highlight w:val="none"/>
              </w:rPr>
              <w:t>份</w:t>
            </w:r>
          </w:p>
        </w:tc>
      </w:tr>
      <w:tr>
        <w:trPr>
          <w:trHeight w:val="605" w:hRule="atLeast"/>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22</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17.6.1</w:t>
            </w:r>
          </w:p>
        </w:tc>
        <w:tc>
          <w:tcPr>
            <w:tcW w:w="7560" w:type="dxa"/>
            <w:vAlign w:val="top"/>
          </w:tcPr>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承包人向监理人提交终结清申请单（包括相关证明材料）的份数：</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份</w:t>
            </w:r>
          </w:p>
        </w:tc>
      </w:tr>
      <w:tr>
        <w:trPr>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23</w:t>
            </w:r>
          </w:p>
        </w:tc>
        <w:tc>
          <w:tcPr>
            <w:tcW w:w="104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18.2</w:t>
            </w:r>
          </w:p>
        </w:tc>
        <w:tc>
          <w:tcPr>
            <w:tcW w:w="7560" w:type="dxa"/>
            <w:vAlign w:val="top"/>
          </w:tcPr>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lang w:eastAsia="zh-CN"/>
              </w:rPr>
              <w:t>竣工资料的分数：</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lang w:eastAsia="zh-CN"/>
              </w:rPr>
              <w:t>份</w:t>
            </w:r>
          </w:p>
        </w:tc>
      </w:tr>
      <w:tr>
        <w:trPr>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val="en-US" w:eastAsia="zh-CN"/>
              </w:rPr>
            </w:pPr>
            <w:r>
              <w:rPr>
                <w:rFonts w:hint="eastAsia" w:ascii="Calibri" w:hAnsi="Calibri" w:cs="Calibri"/>
                <w:color w:val="auto"/>
                <w:kern w:val="2"/>
                <w:sz w:val="24"/>
                <w:szCs w:val="22"/>
                <w:highlight w:val="none"/>
                <w:lang w:val="en-US" w:eastAsia="zh-CN"/>
              </w:rPr>
              <w:t>24</w:t>
            </w:r>
          </w:p>
        </w:tc>
        <w:tc>
          <w:tcPr>
            <w:tcW w:w="1044" w:type="dxa"/>
            <w:vAlign w:val="center"/>
          </w:tcPr>
          <w:p>
            <w:pPr>
              <w:adjustRightInd w:val="0"/>
              <w:snapToGrid w:val="0"/>
              <w:spacing w:before="0" w:beforeAutospacing="0" w:after="0" w:afterAutospacing="0" w:line="324" w:lineRule="auto"/>
              <w:ind w:left="0" w:right="0"/>
              <w:jc w:val="center"/>
              <w:rPr>
                <w:rFonts w:hint="eastAsia" w:ascii="Calibri" w:hAnsi="Calibri" w:cs="Calibri"/>
                <w:color w:val="auto"/>
                <w:kern w:val="2"/>
                <w:sz w:val="24"/>
                <w:szCs w:val="22"/>
                <w:highlight w:val="none"/>
                <w:lang w:val="en-US" w:eastAsia="zh-CN"/>
              </w:rPr>
            </w:pPr>
            <w:r>
              <w:rPr>
                <w:rFonts w:hint="eastAsia" w:ascii="Calibri" w:hAnsi="Calibri" w:cs="Calibri"/>
                <w:color w:val="auto"/>
                <w:kern w:val="2"/>
                <w:sz w:val="24"/>
                <w:szCs w:val="22"/>
                <w:highlight w:val="none"/>
                <w:lang w:val="en-US" w:eastAsia="zh-CN"/>
              </w:rPr>
              <w:t>18.5.1</w:t>
            </w:r>
          </w:p>
        </w:tc>
        <w:tc>
          <w:tcPr>
            <w:tcW w:w="7560" w:type="dxa"/>
            <w:vAlign w:val="top"/>
          </w:tcPr>
          <w:p>
            <w:pPr>
              <w:adjustRightInd w:val="0"/>
              <w:snapToGrid w:val="0"/>
              <w:spacing w:before="0" w:beforeAutospacing="0" w:after="0" w:afterAutospacing="0" w:line="324" w:lineRule="auto"/>
              <w:ind w:left="0" w:right="0"/>
              <w:rPr>
                <w:rFonts w:hint="eastAsia" w:ascii="Calibri" w:hAnsi="Calibri" w:cs="Calibri"/>
                <w:color w:val="auto"/>
                <w:kern w:val="2"/>
                <w:sz w:val="24"/>
                <w:szCs w:val="22"/>
                <w:highlight w:val="none"/>
                <w:u w:val="single"/>
                <w:lang w:eastAsia="zh-CN"/>
              </w:rPr>
            </w:pPr>
            <w:r>
              <w:rPr>
                <w:rFonts w:hint="eastAsia" w:ascii="Calibri" w:hAnsi="Calibri" w:cs="Calibri"/>
                <w:color w:val="auto"/>
                <w:kern w:val="2"/>
                <w:sz w:val="24"/>
                <w:szCs w:val="22"/>
                <w:highlight w:val="none"/>
                <w:lang w:eastAsia="zh-CN"/>
              </w:rPr>
              <w:t>单位工程或工程设备是否需投入施工期运行：</w:t>
            </w:r>
            <w:r>
              <w:rPr>
                <w:rFonts w:hint="eastAsia" w:ascii="Calibri" w:hAnsi="Calibri" w:cs="Calibri"/>
                <w:color w:val="auto"/>
                <w:kern w:val="2"/>
                <w:sz w:val="24"/>
                <w:szCs w:val="22"/>
                <w:highlight w:val="none"/>
                <w:u w:val="single"/>
                <w:lang w:eastAsia="zh-CN"/>
              </w:rPr>
              <w:t>否</w:t>
            </w:r>
          </w:p>
          <w:p>
            <w:pPr>
              <w:adjustRightInd w:val="0"/>
              <w:snapToGrid w:val="0"/>
              <w:spacing w:before="0" w:beforeAutospacing="0" w:after="0" w:afterAutospacing="0" w:line="324" w:lineRule="auto"/>
              <w:ind w:left="0" w:right="0"/>
              <w:rPr>
                <w:rFonts w:hint="eastAsia" w:ascii="Calibri" w:hAnsi="Calibri" w:cs="Calibri"/>
                <w:color w:val="auto"/>
                <w:kern w:val="2"/>
                <w:sz w:val="24"/>
                <w:szCs w:val="22"/>
                <w:highlight w:val="none"/>
                <w:u w:val="none"/>
                <w:lang w:eastAsia="zh-CN"/>
              </w:rPr>
            </w:pPr>
            <w:r>
              <w:rPr>
                <w:rFonts w:hint="eastAsia" w:ascii="Calibri" w:hAnsi="Calibri" w:cs="Calibri"/>
                <w:color w:val="auto"/>
                <w:kern w:val="2"/>
                <w:sz w:val="24"/>
                <w:szCs w:val="22"/>
                <w:highlight w:val="none"/>
                <w:u w:val="none"/>
                <w:lang w:eastAsia="zh-CN"/>
              </w:rPr>
              <w:t>如单位工程或工程设备需要进行施工期运行，需要施工期运行的单位工程或者工程设备规定如下：</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u w:val="single"/>
                <w:lang w:val="en-US" w:eastAsia="zh-CN"/>
              </w:rPr>
              <w:t xml:space="preserve">          </w:t>
            </w:r>
          </w:p>
        </w:tc>
      </w:tr>
      <w:tr>
        <w:trPr>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val="en-US" w:eastAsia="zh-CN"/>
              </w:rPr>
            </w:pPr>
            <w:r>
              <w:rPr>
                <w:rFonts w:hint="eastAsia" w:ascii="Calibri" w:hAnsi="Calibri" w:cs="Calibri"/>
                <w:color w:val="auto"/>
                <w:kern w:val="2"/>
                <w:sz w:val="24"/>
                <w:szCs w:val="22"/>
                <w:highlight w:val="none"/>
                <w:lang w:val="en-US" w:eastAsia="zh-CN"/>
              </w:rPr>
              <w:t>25</w:t>
            </w:r>
          </w:p>
        </w:tc>
        <w:tc>
          <w:tcPr>
            <w:tcW w:w="1044" w:type="dxa"/>
            <w:vAlign w:val="center"/>
          </w:tcPr>
          <w:p>
            <w:pPr>
              <w:adjustRightInd w:val="0"/>
              <w:snapToGrid w:val="0"/>
              <w:spacing w:before="0" w:beforeAutospacing="0" w:after="0" w:afterAutospacing="0" w:line="324" w:lineRule="auto"/>
              <w:ind w:left="0" w:right="0"/>
              <w:jc w:val="center"/>
              <w:rPr>
                <w:rFonts w:hint="eastAsia" w:ascii="Calibri" w:hAnsi="Calibri" w:cs="Calibri"/>
                <w:color w:val="auto"/>
                <w:kern w:val="2"/>
                <w:sz w:val="24"/>
                <w:szCs w:val="22"/>
                <w:highlight w:val="none"/>
                <w:lang w:val="en-US" w:eastAsia="zh-CN"/>
              </w:rPr>
            </w:pPr>
            <w:r>
              <w:rPr>
                <w:rFonts w:hint="eastAsia" w:ascii="Calibri" w:hAnsi="Calibri" w:cs="Calibri"/>
                <w:color w:val="auto"/>
                <w:kern w:val="2"/>
                <w:sz w:val="24"/>
                <w:szCs w:val="22"/>
                <w:highlight w:val="none"/>
                <w:lang w:val="en-US" w:eastAsia="zh-CN"/>
              </w:rPr>
              <w:t>18.6.1</w:t>
            </w:r>
          </w:p>
        </w:tc>
        <w:tc>
          <w:tcPr>
            <w:tcW w:w="7560" w:type="dxa"/>
            <w:vAlign w:val="top"/>
          </w:tcPr>
          <w:p>
            <w:pPr>
              <w:adjustRightInd w:val="0"/>
              <w:snapToGrid w:val="0"/>
              <w:spacing w:before="0" w:beforeAutospacing="0" w:after="0" w:afterAutospacing="0" w:line="324" w:lineRule="auto"/>
              <w:ind w:left="0" w:right="0"/>
              <w:rPr>
                <w:rFonts w:hint="eastAsia" w:ascii="Calibri" w:hAnsi="Calibri" w:cs="Calibri"/>
                <w:color w:val="auto"/>
                <w:kern w:val="2"/>
                <w:sz w:val="24"/>
                <w:szCs w:val="22"/>
                <w:highlight w:val="none"/>
                <w:u w:val="none"/>
                <w:lang w:eastAsia="zh-CN"/>
              </w:rPr>
            </w:pPr>
            <w:r>
              <w:rPr>
                <w:rFonts w:hint="eastAsia" w:ascii="Calibri" w:hAnsi="Calibri" w:cs="Calibri"/>
                <w:color w:val="auto"/>
                <w:kern w:val="2"/>
                <w:sz w:val="24"/>
                <w:szCs w:val="22"/>
                <w:highlight w:val="none"/>
                <w:lang w:eastAsia="zh-CN"/>
              </w:rPr>
              <w:t>本工程设备是否进行试运行：</w:t>
            </w:r>
            <w:r>
              <w:rPr>
                <w:rFonts w:hint="eastAsia" w:ascii="Calibri" w:hAnsi="Calibri" w:cs="Calibri"/>
                <w:color w:val="auto"/>
                <w:kern w:val="2"/>
                <w:sz w:val="24"/>
                <w:szCs w:val="22"/>
                <w:highlight w:val="none"/>
                <w:u w:val="single"/>
                <w:lang w:eastAsia="zh-CN"/>
              </w:rPr>
              <w:t>否</w:t>
            </w:r>
          </w:p>
          <w:p>
            <w:pPr>
              <w:adjustRightInd w:val="0"/>
              <w:snapToGrid w:val="0"/>
              <w:spacing w:before="0" w:beforeAutospacing="0" w:after="0" w:afterAutospacing="0" w:line="324" w:lineRule="auto"/>
              <w:ind w:left="0" w:right="0"/>
              <w:rPr>
                <w:rFonts w:hint="eastAsia" w:ascii="Calibri" w:hAnsi="Calibri" w:cs="Calibri"/>
                <w:color w:val="auto"/>
                <w:kern w:val="2"/>
                <w:sz w:val="24"/>
                <w:szCs w:val="22"/>
                <w:highlight w:val="none"/>
                <w:u w:val="none"/>
                <w:lang w:eastAsia="zh-CN"/>
              </w:rPr>
            </w:pPr>
            <w:r>
              <w:rPr>
                <w:rFonts w:hint="eastAsia" w:ascii="Calibri" w:hAnsi="Calibri" w:cs="Calibri"/>
                <w:color w:val="auto"/>
                <w:kern w:val="2"/>
                <w:sz w:val="24"/>
                <w:szCs w:val="22"/>
                <w:highlight w:val="none"/>
                <w:u w:val="none"/>
                <w:lang w:eastAsia="zh-CN"/>
              </w:rPr>
              <w:t>如本工程或工程设备需要进行试运行，试运行的具体规定如下：</w:t>
            </w:r>
            <w:r>
              <w:rPr>
                <w:rFonts w:hint="eastAsia" w:ascii="Calibri" w:hAnsi="Calibri" w:cs="Calibri"/>
                <w:color w:val="auto"/>
                <w:kern w:val="2"/>
                <w:sz w:val="24"/>
                <w:szCs w:val="22"/>
                <w:highlight w:val="none"/>
                <w:u w:val="single"/>
                <w:lang w:val="en-US" w:eastAsia="zh-CN"/>
              </w:rPr>
              <w:t xml:space="preserve">     </w:t>
            </w:r>
          </w:p>
        </w:tc>
      </w:tr>
      <w:tr>
        <w:trPr>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26</w:t>
            </w:r>
          </w:p>
        </w:tc>
        <w:tc>
          <w:tcPr>
            <w:tcW w:w="104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val="en-US" w:eastAsia="zh-CN"/>
              </w:rPr>
            </w:pPr>
            <w:r>
              <w:rPr>
                <w:rFonts w:hint="eastAsia" w:ascii="Calibri" w:hAnsi="Calibri" w:cs="Calibri"/>
                <w:color w:val="auto"/>
                <w:kern w:val="2"/>
                <w:sz w:val="24"/>
                <w:szCs w:val="22"/>
                <w:highlight w:val="none"/>
                <w:lang w:val="en-US" w:eastAsia="zh-CN"/>
              </w:rPr>
              <w:t>19.7</w:t>
            </w:r>
          </w:p>
        </w:tc>
        <w:tc>
          <w:tcPr>
            <w:tcW w:w="7560" w:type="dxa"/>
            <w:vAlign w:val="top"/>
          </w:tcPr>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保修期：</w:t>
            </w:r>
            <w:r>
              <w:rPr>
                <w:rFonts w:hint="eastAsia" w:ascii="Calibri" w:hAnsi="Calibri" w:cs="Calibri"/>
                <w:color w:val="auto"/>
                <w:kern w:val="2"/>
                <w:sz w:val="24"/>
                <w:szCs w:val="22"/>
                <w:highlight w:val="none"/>
                <w:lang w:eastAsia="zh-CN"/>
              </w:rPr>
              <w:t>自实际交工日期起计算</w:t>
            </w:r>
            <w:r>
              <w:rPr>
                <w:rFonts w:hint="eastAsia" w:ascii="Calibri" w:hAnsi="Calibri" w:cs="Calibri"/>
                <w:color w:val="auto"/>
                <w:kern w:val="2"/>
                <w:sz w:val="24"/>
                <w:szCs w:val="22"/>
                <w:highlight w:val="none"/>
                <w:lang w:val="en-US" w:eastAsia="zh-CN"/>
              </w:rPr>
              <w:t xml:space="preserve"> </w:t>
            </w:r>
            <w:r>
              <w:rPr>
                <w:rFonts w:hint="eastAsia" w:ascii="Calibri" w:hAnsi="Calibri" w:cs="Calibri"/>
                <w:color w:val="auto"/>
                <w:kern w:val="2"/>
                <w:sz w:val="24"/>
                <w:szCs w:val="22"/>
                <w:highlight w:val="none"/>
                <w:u w:val="single"/>
              </w:rPr>
              <w:t xml:space="preserve"> 5  </w:t>
            </w:r>
            <w:r>
              <w:rPr>
                <w:rFonts w:hint="eastAsia" w:ascii="Calibri" w:hAnsi="Calibri" w:cs="Calibri"/>
                <w:color w:val="auto"/>
                <w:kern w:val="2"/>
                <w:sz w:val="24"/>
                <w:szCs w:val="22"/>
                <w:highlight w:val="none"/>
              </w:rPr>
              <w:t>年</w:t>
            </w:r>
          </w:p>
        </w:tc>
      </w:tr>
      <w:tr>
        <w:trPr>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27</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20.1</w:t>
            </w:r>
          </w:p>
        </w:tc>
        <w:tc>
          <w:tcPr>
            <w:tcW w:w="7560" w:type="dxa"/>
            <w:vAlign w:val="top"/>
          </w:tcPr>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建筑工程一切险的保险费率：</w:t>
            </w:r>
            <w:r>
              <w:rPr>
                <w:rFonts w:hint="eastAsia" w:ascii="Calibri" w:hAnsi="Calibri" w:cs="Calibri"/>
                <w:color w:val="auto"/>
                <w:kern w:val="2"/>
                <w:sz w:val="24"/>
                <w:szCs w:val="22"/>
                <w:highlight w:val="none"/>
                <w:u w:val="single"/>
              </w:rPr>
              <w:t xml:space="preserve">   </w:t>
            </w:r>
            <w:r>
              <w:rPr>
                <w:rFonts w:hint="eastAsia" w:ascii="宋体" w:hAnsi="宋体" w:cs="Calibri"/>
                <w:color w:val="auto"/>
                <w:kern w:val="2"/>
                <w:sz w:val="24"/>
                <w:szCs w:val="22"/>
                <w:highlight w:val="none"/>
              </w:rPr>
              <w:t>‰</w:t>
            </w:r>
          </w:p>
        </w:tc>
      </w:tr>
      <w:tr>
        <w:trPr>
          <w:trHeight w:val="934" w:hRule="atLeast"/>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28</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20.4.2</w:t>
            </w:r>
          </w:p>
        </w:tc>
        <w:tc>
          <w:tcPr>
            <w:tcW w:w="7560" w:type="dxa"/>
            <w:vAlign w:val="top"/>
          </w:tcPr>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第三者责任的最低投保金额：</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rPr>
              <w:t>万元人民币，事故次数不限（不计免赔额）     保险费率：</w:t>
            </w:r>
            <w:r>
              <w:rPr>
                <w:rFonts w:hint="eastAsia" w:ascii="Calibri" w:hAnsi="Calibri" w:cs="Calibri"/>
                <w:color w:val="auto"/>
                <w:kern w:val="2"/>
                <w:sz w:val="24"/>
                <w:szCs w:val="22"/>
                <w:highlight w:val="none"/>
                <w:u w:val="single"/>
              </w:rPr>
              <w:t xml:space="preserve">   </w:t>
            </w:r>
            <w:r>
              <w:rPr>
                <w:rFonts w:hint="eastAsia" w:ascii="宋体" w:hAnsi="宋体" w:cs="Calibri"/>
                <w:color w:val="auto"/>
                <w:kern w:val="2"/>
                <w:sz w:val="24"/>
                <w:szCs w:val="22"/>
                <w:highlight w:val="none"/>
              </w:rPr>
              <w:t>‰</w:t>
            </w:r>
          </w:p>
        </w:tc>
      </w:tr>
      <w:tr>
        <w:trPr>
          <w:trHeight w:val="766" w:hRule="atLeast"/>
          <w:jc w:val="center"/>
        </w:trPr>
        <w:tc>
          <w:tcPr>
            <w:tcW w:w="864" w:type="dxa"/>
            <w:vAlign w:val="center"/>
          </w:tcPr>
          <w:p>
            <w:pPr>
              <w:adjustRightInd w:val="0"/>
              <w:snapToGrid w:val="0"/>
              <w:spacing w:before="0" w:beforeAutospacing="0" w:after="0" w:afterAutospacing="0" w:line="324" w:lineRule="auto"/>
              <w:ind w:left="0" w:right="0"/>
              <w:jc w:val="center"/>
              <w:rPr>
                <w:rFonts w:hint="eastAsia" w:ascii="Calibri" w:hAnsi="Calibri" w:eastAsia="宋体" w:cs="Calibri"/>
                <w:color w:val="auto"/>
                <w:kern w:val="2"/>
                <w:sz w:val="24"/>
                <w:szCs w:val="22"/>
                <w:highlight w:val="none"/>
                <w:lang w:eastAsia="zh-CN"/>
              </w:rPr>
            </w:pPr>
            <w:r>
              <w:rPr>
                <w:rFonts w:hint="eastAsia" w:ascii="Calibri" w:hAnsi="Calibri" w:cs="Calibri"/>
                <w:color w:val="auto"/>
                <w:kern w:val="2"/>
                <w:sz w:val="24"/>
                <w:szCs w:val="22"/>
                <w:highlight w:val="none"/>
                <w:lang w:val="en-US" w:eastAsia="zh-CN"/>
              </w:rPr>
              <w:t>29</w:t>
            </w:r>
          </w:p>
        </w:tc>
        <w:tc>
          <w:tcPr>
            <w:tcW w:w="1044" w:type="dxa"/>
            <w:vAlign w:val="center"/>
          </w:tcPr>
          <w:p>
            <w:pPr>
              <w:adjustRightInd w:val="0"/>
              <w:snapToGrid w:val="0"/>
              <w:spacing w:before="0" w:beforeAutospacing="0" w:after="0" w:afterAutospacing="0" w:line="324" w:lineRule="auto"/>
              <w:ind w:left="0" w:right="0"/>
              <w:jc w:val="center"/>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24.1</w:t>
            </w:r>
          </w:p>
        </w:tc>
        <w:tc>
          <w:tcPr>
            <w:tcW w:w="7560" w:type="dxa"/>
            <w:vAlign w:val="top"/>
          </w:tcPr>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u w:val="single"/>
              </w:rPr>
            </w:pPr>
            <w:r>
              <w:rPr>
                <w:rFonts w:hint="eastAsia" w:ascii="Calibri" w:hAnsi="Calibri" w:cs="Calibri"/>
                <w:color w:val="auto"/>
                <w:kern w:val="2"/>
                <w:sz w:val="24"/>
                <w:szCs w:val="22"/>
                <w:highlight w:val="none"/>
              </w:rPr>
              <w:t>争议的最终解决方式：</w:t>
            </w:r>
            <w:r>
              <w:rPr>
                <w:rFonts w:hint="eastAsia" w:ascii="Calibri" w:hAnsi="Calibri" w:cs="Calibri"/>
                <w:color w:val="auto"/>
                <w:kern w:val="2"/>
                <w:sz w:val="24"/>
                <w:szCs w:val="22"/>
                <w:highlight w:val="none"/>
                <w:u w:val="single"/>
                <w:lang w:val="en-US" w:eastAsia="zh-CN"/>
              </w:rPr>
              <w:t>仲裁或</w:t>
            </w:r>
            <w:r>
              <w:rPr>
                <w:rFonts w:hint="eastAsia" w:ascii="Calibri" w:hAnsi="Calibri" w:cs="Calibri"/>
                <w:color w:val="auto"/>
                <w:kern w:val="2"/>
                <w:sz w:val="24"/>
                <w:szCs w:val="22"/>
                <w:highlight w:val="none"/>
                <w:u w:val="single"/>
              </w:rPr>
              <w:t>诉讼</w:t>
            </w:r>
            <w:r>
              <w:rPr>
                <w:rFonts w:hint="eastAsia" w:ascii="Calibri" w:hAnsi="Calibri" w:cs="Calibri"/>
                <w:color w:val="auto"/>
                <w:kern w:val="2"/>
                <w:sz w:val="24"/>
                <w:szCs w:val="22"/>
                <w:highlight w:val="none"/>
                <w:u w:val="none"/>
              </w:rPr>
              <w:t xml:space="preserve"> </w:t>
            </w:r>
            <w:r>
              <w:rPr>
                <w:rFonts w:hint="eastAsia" w:ascii="Calibri" w:hAnsi="Calibri" w:cs="Calibri"/>
                <w:color w:val="auto"/>
                <w:kern w:val="2"/>
                <w:sz w:val="24"/>
                <w:szCs w:val="22"/>
                <w:highlight w:val="none"/>
                <w:u w:val="single"/>
              </w:rPr>
              <w:t xml:space="preserve">  </w:t>
            </w:r>
          </w:p>
          <w:p>
            <w:pPr>
              <w:adjustRightInd w:val="0"/>
              <w:snapToGrid w:val="0"/>
              <w:spacing w:before="0" w:beforeAutospacing="0" w:after="0" w:afterAutospacing="0" w:line="324" w:lineRule="auto"/>
              <w:ind w:left="0" w:right="0"/>
              <w:rPr>
                <w:rFonts w:hint="default" w:ascii="Calibri" w:hAnsi="Calibri" w:cs="Calibri"/>
                <w:color w:val="auto"/>
                <w:kern w:val="2"/>
                <w:sz w:val="24"/>
                <w:szCs w:val="22"/>
                <w:highlight w:val="none"/>
              </w:rPr>
            </w:pPr>
            <w:r>
              <w:rPr>
                <w:rFonts w:hint="eastAsia" w:ascii="Calibri" w:hAnsi="Calibri" w:cs="Calibri"/>
                <w:color w:val="auto"/>
                <w:kern w:val="2"/>
                <w:sz w:val="24"/>
                <w:szCs w:val="22"/>
                <w:highlight w:val="none"/>
              </w:rPr>
              <w:t>如采用仲裁，仲裁委员会名称</w:t>
            </w:r>
            <w:r>
              <w:rPr>
                <w:rFonts w:hint="eastAsia" w:ascii="Calibri" w:hAnsi="Calibri" w:cs="Calibri"/>
                <w:color w:val="auto"/>
                <w:kern w:val="2"/>
                <w:sz w:val="24"/>
                <w:szCs w:val="22"/>
                <w:highlight w:val="none"/>
                <w:u w:val="none"/>
              </w:rPr>
              <w:t>：</w:t>
            </w:r>
            <w:r>
              <w:rPr>
                <w:rFonts w:hint="eastAsia" w:ascii="Calibri" w:hAnsi="Calibri" w:cs="Calibri"/>
                <w:color w:val="auto"/>
                <w:kern w:val="2"/>
                <w:sz w:val="24"/>
                <w:szCs w:val="22"/>
                <w:highlight w:val="none"/>
                <w:u w:val="single"/>
              </w:rPr>
              <w:t xml:space="preserve">  </w:t>
            </w:r>
            <w:r>
              <w:rPr>
                <w:rFonts w:hint="eastAsia" w:ascii="Calibri" w:hAnsi="Calibri" w:cs="Calibri"/>
                <w:color w:val="auto"/>
                <w:kern w:val="2"/>
                <w:sz w:val="24"/>
                <w:szCs w:val="22"/>
                <w:highlight w:val="none"/>
                <w:u w:val="single"/>
                <w:lang w:val="en-US" w:eastAsia="zh-CN"/>
              </w:rPr>
              <w:t xml:space="preserve">          </w:t>
            </w:r>
            <w:r>
              <w:rPr>
                <w:rFonts w:hint="eastAsia" w:ascii="Calibri" w:hAnsi="Calibri" w:cs="Calibri"/>
                <w:color w:val="auto"/>
                <w:kern w:val="2"/>
                <w:sz w:val="24"/>
                <w:szCs w:val="22"/>
                <w:highlight w:val="none"/>
                <w:u w:val="none"/>
              </w:rPr>
              <w:t xml:space="preserve">  </w:t>
            </w:r>
          </w:p>
        </w:tc>
      </w:tr>
    </w:tbl>
    <w:p>
      <w:pPr>
        <w:adjustRightInd w:val="0"/>
        <w:snapToGrid w:val="0"/>
        <w:spacing w:beforeLines="50" w:afterLines="50" w:line="360" w:lineRule="auto"/>
        <w:jc w:val="center"/>
        <w:rPr>
          <w:rFonts w:hint="eastAsia" w:ascii="宋体" w:hAnsi="宋体" w:eastAsia="宋体" w:cs="宋体"/>
          <w:color w:val="auto"/>
          <w:sz w:val="36"/>
          <w:szCs w:val="32"/>
          <w:highlight w:val="none"/>
        </w:rPr>
      </w:pPr>
      <w:r>
        <w:rPr>
          <w:rFonts w:hint="eastAsia" w:ascii="宋体" w:hAnsi="宋体" w:eastAsia="宋体" w:cs="宋体"/>
          <w:color w:val="auto"/>
          <w:sz w:val="36"/>
          <w:szCs w:val="32"/>
          <w:highlight w:val="none"/>
        </w:rPr>
        <w:t>项目专用条款</w:t>
      </w:r>
    </w:p>
    <w:p>
      <w:pPr>
        <w:spacing w:line="351" w:lineRule="auto"/>
        <w:ind w:left="660" w:hanging="659"/>
        <w:jc w:val="both"/>
        <w:rPr>
          <w:rFonts w:hint="eastAsia" w:ascii="黑体" w:eastAsia="黑体"/>
          <w:color w:val="auto"/>
          <w:sz w:val="30"/>
          <w:highlight w:val="none"/>
        </w:rPr>
      </w:pPr>
      <w:r>
        <w:rPr>
          <w:rFonts w:ascii="宋体" w:hAnsi="宋体" w:eastAsia="宋体"/>
          <w:sz w:val="24"/>
          <w:highlight w:val="none"/>
        </w:rPr>
        <w:t>说明：本部分所列的项目专用合同条款是对</w:t>
      </w:r>
      <w:r>
        <w:rPr>
          <w:rFonts w:ascii="Arial" w:hAnsi="Arial" w:eastAsia="Arial"/>
          <w:sz w:val="24"/>
          <w:highlight w:val="none"/>
        </w:rPr>
        <w:t>“</w:t>
      </w:r>
      <w:r>
        <w:rPr>
          <w:rFonts w:ascii="宋体" w:hAnsi="宋体" w:eastAsia="宋体"/>
          <w:sz w:val="24"/>
          <w:highlight w:val="none"/>
        </w:rPr>
        <w:t>公路工程专用合同条款</w:t>
      </w:r>
      <w:r>
        <w:rPr>
          <w:rFonts w:ascii="Arial" w:hAnsi="Arial" w:eastAsia="Arial"/>
          <w:sz w:val="24"/>
          <w:highlight w:val="none"/>
        </w:rPr>
        <w:t>”</w:t>
      </w:r>
      <w:r>
        <w:rPr>
          <w:rFonts w:ascii="宋体" w:hAnsi="宋体" w:eastAsia="宋体"/>
          <w:sz w:val="24"/>
          <w:highlight w:val="none"/>
        </w:rPr>
        <w:t>中规定必须在项目专用合同条款中明确的内容的集中，招标人编制的</w:t>
      </w:r>
      <w:r>
        <w:rPr>
          <w:rFonts w:ascii="Arial" w:hAnsi="Arial" w:eastAsia="Arial"/>
          <w:sz w:val="24"/>
          <w:highlight w:val="none"/>
        </w:rPr>
        <w:t>“</w:t>
      </w:r>
      <w:r>
        <w:rPr>
          <w:rFonts w:ascii="宋体" w:hAnsi="宋体" w:eastAsia="宋体"/>
          <w:sz w:val="24"/>
          <w:highlight w:val="none"/>
        </w:rPr>
        <w:t>项目专用合同条款</w:t>
      </w:r>
      <w:r>
        <w:rPr>
          <w:rFonts w:ascii="Arial" w:hAnsi="Arial" w:eastAsia="Arial"/>
          <w:sz w:val="24"/>
          <w:highlight w:val="none"/>
        </w:rPr>
        <w:t>”</w:t>
      </w:r>
      <w:r>
        <w:rPr>
          <w:rFonts w:ascii="宋体" w:hAnsi="宋体" w:eastAsia="宋体"/>
          <w:sz w:val="24"/>
          <w:highlight w:val="none"/>
        </w:rPr>
        <w:t>不限于本部分所列内容。</w:t>
      </w:r>
    </w:p>
    <w:p>
      <w:pPr>
        <w:adjustRightInd w:val="0"/>
        <w:snapToGrid w:val="0"/>
        <w:spacing w:line="312"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4.1 </w:t>
      </w:r>
      <w:r>
        <w:rPr>
          <w:rFonts w:hint="eastAsia" w:ascii="宋体" w:hAnsi="宋体" w:eastAsia="宋体" w:cs="宋体"/>
          <w:color w:val="auto"/>
          <w:sz w:val="24"/>
          <w:highlight w:val="none"/>
          <w:lang w:eastAsia="zh-CN"/>
        </w:rPr>
        <w:t>承包人的一般义务</w:t>
      </w:r>
    </w:p>
    <w:p>
      <w:pPr>
        <w:adjustRightInd w:val="0"/>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4.1.10其他义务（4）承包人应履行的其他义务</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adjustRightInd w:val="0"/>
        <w:snapToGrid w:val="0"/>
        <w:spacing w:line="312"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4.11 不利物质条件</w:t>
      </w:r>
    </w:p>
    <w:p>
      <w:pPr>
        <w:adjustRightInd w:val="0"/>
        <w:snapToGrid w:val="0"/>
        <w:spacing w:line="312"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4.11.1不利物质条件的范围</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adjustRightInd w:val="0"/>
        <w:snapToGrid w:val="0"/>
        <w:spacing w:line="312"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10.1 合同进度计划</w:t>
      </w:r>
    </w:p>
    <w:p>
      <w:pPr>
        <w:adjustRightInd w:val="0"/>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承包人编制施工方案的内容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adjustRightInd w:val="0"/>
        <w:snapToGrid w:val="0"/>
        <w:spacing w:line="312"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11.4 异常恶劣的气候条件</w:t>
      </w:r>
    </w:p>
    <w:p>
      <w:pPr>
        <w:adjustRightInd w:val="0"/>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异常恶劣的气候条件的范围</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adjustRightInd w:val="0"/>
        <w:snapToGrid w:val="0"/>
        <w:spacing w:line="312"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12.1 承包人暂停施工的责任</w:t>
      </w:r>
    </w:p>
    <w:p>
      <w:pPr>
        <w:adjustRightInd w:val="0"/>
        <w:snapToGrid w:val="0"/>
        <w:spacing w:line="31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12.1（6）由承包人承担的其他暂停施工：</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adjustRightInd w:val="0"/>
        <w:snapToGrid w:val="0"/>
        <w:spacing w:line="312"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17.1 计量</w:t>
      </w:r>
    </w:p>
    <w:p>
      <w:pPr>
        <w:adjustRightInd w:val="0"/>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17.1.5</w:t>
      </w:r>
      <w:r>
        <w:rPr>
          <w:rFonts w:hint="eastAsia" w:ascii="宋体" w:hAnsi="宋体" w:eastAsia="宋体" w:cs="宋体"/>
          <w:color w:val="auto"/>
          <w:sz w:val="24"/>
          <w:highlight w:val="none"/>
          <w:lang w:eastAsia="zh-CN"/>
        </w:rPr>
        <w:t>本项目工程量清单中总额价子目的支付原则和支付进度</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adjustRightInd w:val="0"/>
        <w:snapToGrid w:val="0"/>
        <w:spacing w:line="312"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17.3 工程进度付款</w:t>
      </w:r>
    </w:p>
    <w:p>
      <w:pPr>
        <w:adjustRightInd w:val="0"/>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17.3.5农民工工资保证金的缴存时间</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adjustRightInd w:val="0"/>
        <w:snapToGrid w:val="0"/>
        <w:spacing w:line="312" w:lineRule="auto"/>
        <w:ind w:firstLine="1200" w:firstLineChars="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农民工工资保证金的缴存金额</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adjustRightInd w:val="0"/>
        <w:snapToGrid w:val="0"/>
        <w:spacing w:line="312" w:lineRule="auto"/>
        <w:ind w:firstLine="1200" w:firstLineChars="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农民工工资保证金的扣留条件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adjustRightInd w:val="0"/>
        <w:snapToGrid w:val="0"/>
        <w:spacing w:line="312" w:lineRule="auto"/>
        <w:ind w:firstLine="1200" w:firstLineChars="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农民工工资保证金的返还时间</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adjustRightInd w:val="0"/>
        <w:snapToGrid w:val="0"/>
        <w:spacing w:line="312"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 不可抗力的确认</w:t>
      </w:r>
    </w:p>
    <w:p>
      <w:pPr>
        <w:adjustRightInd w:val="0"/>
        <w:snapToGrid w:val="0"/>
        <w:spacing w:line="312"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21.1.1（6）不可抗力的其他情形</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adjustRightInd w:val="0"/>
        <w:snapToGrid w:val="0"/>
        <w:spacing w:line="312"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 承包人的违约</w:t>
      </w:r>
    </w:p>
    <w:p>
      <w:pPr>
        <w:adjustRightInd w:val="0"/>
        <w:snapToGrid w:val="0"/>
        <w:spacing w:line="312"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22.1.2 当承包人发生第22.1.1项规定的违约情况时，发包人有权向承包人课以违约金，具体约定如下</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adjustRightInd w:val="0"/>
        <w:snapToGrid w:val="0"/>
        <w:spacing w:line="312" w:lineRule="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22.2发包人的违约</w:t>
      </w:r>
    </w:p>
    <w:p>
      <w:pPr>
        <w:adjustRightInd w:val="0"/>
        <w:snapToGrid w:val="0"/>
        <w:spacing w:line="312" w:lineRule="auto"/>
        <w:rPr>
          <w:rFonts w:hint="eastAsia" w:ascii="宋体" w:hAnsi="宋体" w:eastAsia="宋体" w:cs="宋体"/>
          <w:i w:val="0"/>
          <w:iCs w:val="0"/>
          <w:color w:val="auto"/>
          <w:sz w:val="24"/>
          <w:highlight w:val="none"/>
          <w:u w:val="none"/>
          <w:lang w:val="en-US" w:eastAsia="zh-CN"/>
        </w:rPr>
      </w:pPr>
      <w:r>
        <w:rPr>
          <w:rFonts w:hint="eastAsia" w:ascii="宋体" w:hAnsi="宋体" w:eastAsia="宋体" w:cs="宋体"/>
          <w:i w:val="0"/>
          <w:iCs w:val="0"/>
          <w:color w:val="auto"/>
          <w:sz w:val="24"/>
          <w:highlight w:val="none"/>
          <w:u w:val="none"/>
          <w:lang w:val="en-US" w:eastAsia="zh-CN"/>
        </w:rPr>
        <w:t xml:space="preserve">     22.2.2 发包人无正当理由不按时返还履约保证金、质量保证金或农民工工资保证金的，发包人应向承包人支付的违约金如下</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adjustRightInd w:val="0"/>
        <w:snapToGrid w:val="0"/>
        <w:spacing w:line="312" w:lineRule="auto"/>
        <w:rPr>
          <w:rFonts w:hint="eastAsia" w:ascii="黑体" w:eastAsia="黑体"/>
          <w:color w:val="auto"/>
          <w:sz w:val="24"/>
          <w:highlight w:val="none"/>
        </w:rPr>
      </w:pPr>
    </w:p>
    <w:bookmarkEnd w:id="205"/>
    <w:p>
      <w:pPr>
        <w:adjustRightInd w:val="0"/>
        <w:snapToGrid w:val="0"/>
        <w:spacing w:beforeLines="100" w:afterLines="100" w:line="360" w:lineRule="auto"/>
        <w:jc w:val="both"/>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r>
        <w:rPr>
          <w:rFonts w:hint="eastAsia" w:ascii="黑体" w:eastAsia="黑体"/>
          <w:color w:val="auto"/>
          <w:sz w:val="32"/>
          <w:szCs w:val="32"/>
          <w:highlight w:val="none"/>
        </w:rPr>
        <w:t>第三节  合同附件格式</w:t>
      </w: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附件一：合同协议书</w:t>
      </w:r>
    </w:p>
    <w:p>
      <w:pPr>
        <w:adjustRightInd w:val="0"/>
        <w:snapToGrid w:val="0"/>
        <w:spacing w:beforeLines="100" w:afterLines="100" w:line="360" w:lineRule="auto"/>
        <w:jc w:val="center"/>
        <w:rPr>
          <w:rFonts w:ascii="黑体" w:eastAsia="黑体"/>
          <w:color w:val="auto"/>
          <w:sz w:val="28"/>
          <w:szCs w:val="28"/>
          <w:highlight w:val="none"/>
        </w:rPr>
      </w:pPr>
      <w:r>
        <w:rPr>
          <w:rFonts w:hint="eastAsia" w:ascii="黑体" w:eastAsia="黑体"/>
          <w:color w:val="auto"/>
          <w:sz w:val="28"/>
          <w:szCs w:val="28"/>
          <w:highlight w:val="none"/>
        </w:rPr>
        <w:t>合 同 协 议 书</w:t>
      </w:r>
    </w:p>
    <w:p>
      <w:pPr>
        <w:adjustRightInd w:val="0"/>
        <w:snapToGrid w:val="0"/>
        <w:spacing w:line="360" w:lineRule="auto"/>
        <w:ind w:firstLine="600" w:firstLineChars="250"/>
        <w:rPr>
          <w:color w:val="auto"/>
          <w:sz w:val="24"/>
          <w:highlight w:val="none"/>
        </w:rPr>
      </w:pPr>
      <w:r>
        <w:rPr>
          <w:rFonts w:hint="eastAsia"/>
          <w:color w:val="auto"/>
          <w:sz w:val="24"/>
          <w:highlight w:val="none"/>
          <w:u w:val="single"/>
        </w:rPr>
        <w:t xml:space="preserve">                               </w:t>
      </w:r>
      <w:r>
        <w:rPr>
          <w:color w:val="auto"/>
          <w:sz w:val="24"/>
          <w:highlight w:val="none"/>
        </w:rPr>
        <w:t>（发包</w:t>
      </w:r>
      <w:r>
        <w:rPr>
          <w:rFonts w:hint="eastAsia"/>
          <w:color w:val="auto"/>
          <w:sz w:val="24"/>
          <w:highlight w:val="none"/>
        </w:rPr>
        <w:t>人名</w:t>
      </w:r>
      <w:r>
        <w:rPr>
          <w:color w:val="auto"/>
          <w:sz w:val="24"/>
          <w:highlight w:val="none"/>
        </w:rPr>
        <w:t>称，以下</w:t>
      </w:r>
      <w:r>
        <w:rPr>
          <w:rFonts w:hint="eastAsia"/>
          <w:color w:val="auto"/>
          <w:sz w:val="24"/>
          <w:highlight w:val="none"/>
        </w:rPr>
        <w:t>简称“发包</w:t>
      </w:r>
      <w:r>
        <w:rPr>
          <w:color w:val="auto"/>
          <w:sz w:val="24"/>
          <w:highlight w:val="none"/>
        </w:rPr>
        <w:t>人</w:t>
      </w:r>
      <w:r>
        <w:rPr>
          <w:rFonts w:hint="eastAsia"/>
          <w:color w:val="auto"/>
          <w:sz w:val="24"/>
          <w:highlight w:val="none"/>
        </w:rPr>
        <w:t>” ）</w:t>
      </w:r>
      <w:r>
        <w:rPr>
          <w:color w:val="auto"/>
          <w:sz w:val="24"/>
          <w:highlight w:val="none"/>
        </w:rPr>
        <w:t>为实施</w:t>
      </w:r>
      <w:r>
        <w:rPr>
          <w:rFonts w:hint="eastAsia"/>
          <w:color w:val="auto"/>
          <w:sz w:val="24"/>
          <w:highlight w:val="none"/>
          <w:u w:val="single"/>
        </w:rPr>
        <w:t xml:space="preserve">                 </w:t>
      </w:r>
      <w:r>
        <w:rPr>
          <w:color w:val="auto"/>
          <w:sz w:val="24"/>
          <w:highlight w:val="none"/>
        </w:rPr>
        <w:t>（项目名称），已接受</w:t>
      </w:r>
      <w:r>
        <w:rPr>
          <w:rFonts w:hint="eastAsia"/>
          <w:color w:val="auto"/>
          <w:sz w:val="24"/>
          <w:highlight w:val="none"/>
          <w:u w:val="single"/>
        </w:rPr>
        <w:t xml:space="preserve">             </w:t>
      </w:r>
      <w:r>
        <w:rPr>
          <w:color w:val="auto"/>
          <w:sz w:val="24"/>
          <w:highlight w:val="none"/>
        </w:rPr>
        <w:t>（承包人名称，以下简称“承包人”）对该项目</w:t>
      </w:r>
      <w:r>
        <w:rPr>
          <w:rFonts w:hint="eastAsia"/>
          <w:color w:val="auto"/>
          <w:sz w:val="24"/>
          <w:highlight w:val="none"/>
          <w:u w:val="single"/>
        </w:rPr>
        <w:t xml:space="preserve">         </w:t>
      </w:r>
      <w:r>
        <w:rPr>
          <w:color w:val="auto"/>
          <w:sz w:val="24"/>
          <w:highlight w:val="none"/>
        </w:rPr>
        <w:t>标段施工的投标。发包人和承包人共同达成如下协议。</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第</w:t>
      </w:r>
      <w:r>
        <w:rPr>
          <w:rFonts w:hint="eastAsia"/>
          <w:color w:val="auto"/>
          <w:sz w:val="24"/>
          <w:highlight w:val="none"/>
          <w:u w:val="single"/>
        </w:rPr>
        <w:t xml:space="preserve">    </w:t>
      </w:r>
      <w:r>
        <w:rPr>
          <w:color w:val="auto"/>
          <w:sz w:val="24"/>
          <w:highlight w:val="none"/>
        </w:rPr>
        <w:t>标段由K</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rPr>
        <w:t>至K</w:t>
      </w:r>
      <w:r>
        <w:rPr>
          <w:rFonts w:hint="eastAsia"/>
          <w:color w:val="auto"/>
          <w:sz w:val="24"/>
          <w:highlight w:val="none"/>
          <w:u w:val="single"/>
        </w:rPr>
        <w:t xml:space="preserve">   </w:t>
      </w:r>
      <w:r>
        <w:rPr>
          <w:color w:val="auto"/>
          <w:sz w:val="24"/>
          <w:highlight w:val="none"/>
        </w:rPr>
        <w:t>十</w:t>
      </w:r>
      <w:r>
        <w:rPr>
          <w:rFonts w:hint="eastAsia"/>
          <w:color w:val="auto"/>
          <w:sz w:val="24"/>
          <w:highlight w:val="none"/>
          <w:u w:val="single"/>
        </w:rPr>
        <w:t xml:space="preserve">   </w:t>
      </w:r>
      <w:r>
        <w:rPr>
          <w:color w:val="auto"/>
          <w:sz w:val="24"/>
          <w:highlight w:val="none"/>
        </w:rPr>
        <w:t>，长约</w:t>
      </w:r>
      <w:r>
        <w:rPr>
          <w:rFonts w:hint="eastAsia"/>
          <w:color w:val="auto"/>
          <w:sz w:val="24"/>
          <w:highlight w:val="none"/>
          <w:u w:val="single"/>
        </w:rPr>
        <w:t xml:space="preserve">   </w:t>
      </w:r>
      <w:r>
        <w:rPr>
          <w:color w:val="auto"/>
          <w:sz w:val="24"/>
          <w:highlight w:val="none"/>
        </w:rPr>
        <w:t>km，技术标准</w:t>
      </w:r>
      <w:r>
        <w:rPr>
          <w:rFonts w:hint="eastAsia"/>
          <w:color w:val="auto"/>
          <w:sz w:val="24"/>
          <w:highlight w:val="none"/>
          <w:u w:val="single"/>
        </w:rPr>
        <w:t xml:space="preserve">   </w:t>
      </w:r>
      <w:r>
        <w:rPr>
          <w:color w:val="auto"/>
          <w:sz w:val="24"/>
          <w:highlight w:val="none"/>
        </w:rPr>
        <w:t>级，</w:t>
      </w:r>
      <w:r>
        <w:rPr>
          <w:rFonts w:hint="eastAsia"/>
          <w:color w:val="auto"/>
          <w:sz w:val="24"/>
          <w:highlight w:val="none"/>
          <w:u w:val="single"/>
        </w:rPr>
        <w:t xml:space="preserve">   </w:t>
      </w:r>
      <w:r>
        <w:rPr>
          <w:color w:val="auto"/>
          <w:sz w:val="24"/>
          <w:highlight w:val="none"/>
        </w:rPr>
        <w:t>路面。有</w:t>
      </w:r>
      <w:r>
        <w:rPr>
          <w:rFonts w:hint="eastAsia"/>
          <w:color w:val="auto"/>
          <w:sz w:val="24"/>
          <w:highlight w:val="none"/>
          <w:u w:val="single"/>
        </w:rPr>
        <w:t xml:space="preserve">   </w:t>
      </w:r>
      <w:r>
        <w:rPr>
          <w:color w:val="auto"/>
          <w:sz w:val="24"/>
          <w:highlight w:val="none"/>
        </w:rPr>
        <w:t>立交</w:t>
      </w:r>
      <w:r>
        <w:rPr>
          <w:rFonts w:hint="eastAsia"/>
          <w:color w:val="auto"/>
          <w:sz w:val="24"/>
          <w:highlight w:val="none"/>
          <w:u w:val="single"/>
        </w:rPr>
        <w:t xml:space="preserve">   </w:t>
      </w:r>
      <w:r>
        <w:rPr>
          <w:color w:val="auto"/>
          <w:sz w:val="24"/>
          <w:highlight w:val="none"/>
        </w:rPr>
        <w:t>处；大中桥</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；隧道</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以及其他构造物工程等。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下列文件应视为构成合同文件的组成部分：</w:t>
      </w:r>
    </w:p>
    <w:p>
      <w:pPr>
        <w:adjustRightInd w:val="0"/>
        <w:snapToGrid w:val="0"/>
        <w:spacing w:line="360" w:lineRule="auto"/>
        <w:ind w:left="1079" w:leftChars="228" w:hanging="600" w:hangingChars="25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本协议书及各种合同附件（含评标期间和合同谈判过程中的澄清文件和补充资料）；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rFonts w:hint="eastAsia"/>
          <w:color w:val="auto"/>
          <w:sz w:val="24"/>
          <w:highlight w:val="none"/>
          <w:lang w:eastAsia="zh-CN"/>
        </w:rPr>
        <w:t>投标函及投标函附录</w:t>
      </w:r>
      <w:r>
        <w:rPr>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5）公路</w:t>
      </w:r>
      <w:r>
        <w:rPr>
          <w:rFonts w:hint="eastAsia"/>
          <w:color w:val="auto"/>
          <w:sz w:val="24"/>
          <w:highlight w:val="none"/>
          <w:lang w:eastAsia="zh-CN"/>
        </w:rPr>
        <w:t>工程</w:t>
      </w:r>
      <w:r>
        <w:rPr>
          <w:color w:val="auto"/>
          <w:sz w:val="24"/>
          <w:highlight w:val="none"/>
        </w:rPr>
        <w:t>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rFonts w:hint="eastAsia"/>
          <w:color w:val="auto"/>
          <w:sz w:val="24"/>
          <w:highlight w:val="none"/>
          <w:lang w:eastAsia="zh-CN"/>
        </w:rPr>
        <w:t>工程量清单计量规则</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）承包人有关人员、设备投入的承诺及投标文件中的施工组织设计；</w:t>
      </w:r>
    </w:p>
    <w:p>
      <w:pPr>
        <w:adjustRightInd w:val="0"/>
        <w:snapToGrid w:val="0"/>
        <w:spacing w:line="360" w:lineRule="auto"/>
        <w:ind w:firstLine="480" w:firstLineChars="200"/>
        <w:rPr>
          <w:color w:val="auto"/>
          <w:sz w:val="24"/>
          <w:highlight w:val="none"/>
        </w:rPr>
      </w:pPr>
      <w:r>
        <w:rPr>
          <w:rFonts w:hint="eastAsia"/>
          <w:color w:val="auto"/>
          <w:sz w:val="24"/>
          <w:highlight w:val="none"/>
        </w:rPr>
        <w:t>（12）其他合同文件</w:t>
      </w:r>
      <w:r>
        <w:rPr>
          <w:rFonts w:hint="eastAsia"/>
          <w:color w:val="auto"/>
          <w:sz w:val="24"/>
          <w:highlight w:val="none"/>
          <w:lang w:eastAsia="zh-CN"/>
        </w:rPr>
        <w:t>。</w:t>
      </w:r>
    </w:p>
    <w:p>
      <w:pPr>
        <w:adjustRightInd w:val="0"/>
        <w:snapToGrid w:val="0"/>
        <w:spacing w:line="360" w:lineRule="auto"/>
        <w:ind w:firstLine="960" w:firstLineChars="400"/>
        <w:rPr>
          <w:color w:val="auto"/>
          <w:sz w:val="24"/>
          <w:highlight w:val="none"/>
        </w:rPr>
      </w:pPr>
      <w:r>
        <w:rPr>
          <w:color w:val="auto"/>
          <w:sz w:val="24"/>
          <w:highlight w:val="none"/>
        </w:rPr>
        <w:t>上述文件互相补充和解释，如有不明确或不一致之处，以合同约定次序在先者为准。</w:t>
      </w:r>
    </w:p>
    <w:p>
      <w:pPr>
        <w:adjustRightInd w:val="0"/>
        <w:snapToGrid w:val="0"/>
        <w:spacing w:line="360" w:lineRule="auto"/>
        <w:ind w:firstLine="480" w:firstLineChars="200"/>
        <w:rPr>
          <w:color w:val="auto"/>
          <w:sz w:val="24"/>
          <w:highlight w:val="none"/>
        </w:rPr>
      </w:pPr>
      <w:r>
        <w:rPr>
          <w:rFonts w:hint="eastAsia"/>
          <w:color w:val="auto"/>
          <w:sz w:val="24"/>
          <w:highlight w:val="none"/>
          <w:lang w:val="en-US" w:eastAsia="zh-CN"/>
        </w:rPr>
        <w:t>3</w:t>
      </w:r>
      <w:r>
        <w:rPr>
          <w:rFonts w:hint="eastAsia"/>
          <w:color w:val="auto"/>
          <w:sz w:val="24"/>
          <w:highlight w:val="none"/>
        </w:rPr>
        <w:t>．</w:t>
      </w:r>
      <w:r>
        <w:rPr>
          <w:color w:val="auto"/>
          <w:sz w:val="24"/>
          <w:highlight w:val="none"/>
        </w:rPr>
        <w:t>根据工程量清单所列的预计数量和单价或总额价计算的签约合同价：人民币（大写）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lang w:val="en-US" w:eastAsia="zh-CN"/>
        </w:rPr>
        <w:t>4</w:t>
      </w:r>
      <w:r>
        <w:rPr>
          <w:rFonts w:hint="eastAsia"/>
          <w:color w:val="auto"/>
          <w:sz w:val="24"/>
          <w:highlight w:val="none"/>
        </w:rPr>
        <w:t>．</w:t>
      </w:r>
      <w:r>
        <w:rPr>
          <w:color w:val="auto"/>
          <w:sz w:val="24"/>
          <w:highlight w:val="none"/>
        </w:rPr>
        <w:t>承包人项目经理：</w:t>
      </w:r>
      <w:r>
        <w:rPr>
          <w:rFonts w:hint="eastAsia"/>
          <w:color w:val="auto"/>
          <w:sz w:val="24"/>
          <w:highlight w:val="none"/>
          <w:u w:val="single"/>
        </w:rPr>
        <w:t xml:space="preserve">               </w:t>
      </w:r>
      <w:r>
        <w:rPr>
          <w:color w:val="auto"/>
          <w:sz w:val="24"/>
          <w:highlight w:val="none"/>
        </w:rPr>
        <w:t>。技</w:t>
      </w:r>
      <w:r>
        <w:rPr>
          <w:rFonts w:hint="eastAsia"/>
          <w:color w:val="auto"/>
          <w:sz w:val="24"/>
          <w:highlight w:val="none"/>
          <w:lang w:eastAsia="zh-CN"/>
        </w:rPr>
        <w:t>承包人项目总工</w:t>
      </w:r>
      <w:r>
        <w:rPr>
          <w:color w:val="auto"/>
          <w:sz w:val="24"/>
          <w:highlight w:val="none"/>
        </w:rPr>
        <w:t>：</w:t>
      </w:r>
      <w:r>
        <w:rPr>
          <w:rFonts w:hint="eastAsia"/>
          <w:color w:val="auto"/>
          <w:sz w:val="24"/>
          <w:highlight w:val="none"/>
          <w:u w:val="single"/>
        </w:rPr>
        <w:t xml:space="preserve">             </w:t>
      </w:r>
      <w:r>
        <w:rPr>
          <w:color w:val="auto"/>
          <w:sz w:val="24"/>
          <w:highlight w:val="none"/>
        </w:rPr>
        <w:t>。</w:t>
      </w:r>
    </w:p>
    <w:p>
      <w:pPr>
        <w:adjustRightInd w:val="0"/>
        <w:snapToGrid w:val="0"/>
        <w:spacing w:line="360" w:lineRule="auto"/>
        <w:ind w:firstLine="480" w:firstLineChars="200"/>
        <w:rPr>
          <w:rFonts w:hint="eastAsia" w:eastAsia="宋体"/>
          <w:color w:val="auto"/>
          <w:sz w:val="24"/>
          <w:highlight w:val="none"/>
          <w:lang w:val="en-US" w:eastAsia="zh-CN"/>
        </w:rPr>
      </w:pPr>
      <w:r>
        <w:rPr>
          <w:rFonts w:hint="eastAsia"/>
          <w:color w:val="auto"/>
          <w:sz w:val="24"/>
          <w:highlight w:val="none"/>
          <w:lang w:val="en-US" w:eastAsia="zh-CN"/>
        </w:rPr>
        <w:t>5.工程量符合</w:t>
      </w:r>
      <w:r>
        <w:rPr>
          <w:rFonts w:hint="eastAsia"/>
          <w:color w:val="auto"/>
          <w:sz w:val="24"/>
          <w:highlight w:val="none"/>
          <w:u w:val="single"/>
        </w:rPr>
        <w:t xml:space="preserve">            </w:t>
      </w:r>
      <w:r>
        <w:rPr>
          <w:rFonts w:hint="eastAsia"/>
          <w:color w:val="auto"/>
          <w:sz w:val="24"/>
          <w:highlight w:val="none"/>
          <w:u w:val="none"/>
        </w:rPr>
        <w:t xml:space="preserve"> </w:t>
      </w:r>
      <w:r>
        <w:rPr>
          <w:rFonts w:hint="eastAsia"/>
          <w:color w:val="auto"/>
          <w:sz w:val="24"/>
          <w:highlight w:val="none"/>
          <w:u w:val="none"/>
          <w:lang w:eastAsia="zh-CN"/>
        </w:rPr>
        <w:t>标准。工程安全目标</w:t>
      </w:r>
      <w:r>
        <w:rPr>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eastAsia="zh-CN"/>
        </w:rPr>
        <w:t>。</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承包人承诺按合同约定承担工程的实施、完成及缺陷修复。</w:t>
      </w:r>
    </w:p>
    <w:p>
      <w:pPr>
        <w:adjustRightInd w:val="0"/>
        <w:snapToGrid w:val="0"/>
        <w:spacing w:line="360" w:lineRule="auto"/>
        <w:ind w:firstLine="480" w:firstLineChars="200"/>
        <w:rPr>
          <w:color w:val="auto"/>
          <w:sz w:val="24"/>
          <w:highlight w:val="none"/>
        </w:rPr>
      </w:pPr>
      <w:r>
        <w:rPr>
          <w:color w:val="auto"/>
          <w:sz w:val="24"/>
          <w:highlight w:val="none"/>
        </w:rPr>
        <w:t>7．发包人承诺按合同约定的条件、时间和方式向承包人支付合同价款。</w:t>
      </w:r>
    </w:p>
    <w:p>
      <w:pPr>
        <w:adjustRightInd w:val="0"/>
        <w:snapToGrid w:val="0"/>
        <w:spacing w:line="360" w:lineRule="auto"/>
        <w:ind w:firstLine="480" w:firstLineChars="200"/>
        <w:rPr>
          <w:color w:val="auto"/>
          <w:sz w:val="24"/>
          <w:highlight w:val="none"/>
        </w:rPr>
      </w:pPr>
      <w:r>
        <w:rPr>
          <w:rFonts w:hint="eastAsia"/>
          <w:color w:val="auto"/>
          <w:sz w:val="24"/>
          <w:highlight w:val="none"/>
        </w:rPr>
        <w:t>8．</w:t>
      </w:r>
      <w:r>
        <w:rPr>
          <w:color w:val="auto"/>
          <w:sz w:val="24"/>
          <w:highlight w:val="none"/>
        </w:rPr>
        <w:t>承包人应按照监理人指示开工，工期为</w:t>
      </w:r>
      <w:r>
        <w:rPr>
          <w:rFonts w:hint="eastAsia"/>
          <w:color w:val="auto"/>
          <w:sz w:val="24"/>
          <w:highlight w:val="none"/>
          <w:u w:val="single"/>
        </w:rPr>
        <w:t xml:space="preserve">     </w:t>
      </w:r>
      <w:r>
        <w:rPr>
          <w:color w:val="auto"/>
          <w:sz w:val="24"/>
          <w:highlight w:val="none"/>
        </w:rPr>
        <w:t>日历天。</w:t>
      </w:r>
    </w:p>
    <w:p>
      <w:pPr>
        <w:numPr>
          <w:numId w:val="0"/>
        </w:numPr>
        <w:adjustRightInd w:val="0"/>
        <w:snapToGrid w:val="0"/>
        <w:spacing w:line="360" w:lineRule="auto"/>
        <w:ind w:firstLine="480" w:firstLineChars="200"/>
        <w:rPr>
          <w:rFonts w:hint="eastAsia" w:eastAsia="宋体"/>
          <w:color w:val="auto"/>
          <w:sz w:val="24"/>
          <w:highlight w:val="none"/>
          <w:lang w:val="en-US" w:eastAsia="zh-CN"/>
        </w:rPr>
      </w:pPr>
      <w:r>
        <w:rPr>
          <w:color w:val="auto"/>
          <w:sz w:val="24"/>
          <w:highlight w:val="none"/>
        </w:rPr>
        <w:t>9</w:t>
      </w:r>
      <w:r>
        <w:rPr>
          <w:rFonts w:hint="eastAsia"/>
          <w:color w:val="auto"/>
          <w:sz w:val="24"/>
          <w:highlight w:val="none"/>
        </w:rPr>
        <w:t>．</w:t>
      </w:r>
      <w:r>
        <w:rPr>
          <w:color w:val="auto"/>
          <w:sz w:val="24"/>
          <w:highlight w:val="none"/>
        </w:rPr>
        <w:t>本协议书在承包人提供履约</w:t>
      </w:r>
      <w:r>
        <w:rPr>
          <w:rFonts w:hint="eastAsia"/>
          <w:color w:val="auto"/>
          <w:sz w:val="24"/>
          <w:highlight w:val="none"/>
          <w:lang w:eastAsia="zh-CN"/>
        </w:rPr>
        <w:t>保证金</w:t>
      </w:r>
      <w:r>
        <w:rPr>
          <w:color w:val="auto"/>
          <w:sz w:val="24"/>
          <w:highlight w:val="none"/>
        </w:rPr>
        <w:t>后，由双方法定代表人或其委托代理人签署与加盖公章后生效。全部工程完工后经竣工验收合格、</w:t>
      </w:r>
      <w:r>
        <w:rPr>
          <w:rFonts w:hint="eastAsia"/>
          <w:color w:val="auto"/>
          <w:sz w:val="24"/>
          <w:highlight w:val="none"/>
        </w:rPr>
        <w:t>缺陷责任期满签发缺陷责任终止证书后失效。</w:t>
      </w:r>
    </w:p>
    <w:p>
      <w:pPr>
        <w:numPr>
          <w:numId w:val="0"/>
        </w:num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lang w:val="en-US" w:eastAsia="zh-CN"/>
        </w:rPr>
        <w:t>0</w:t>
      </w:r>
      <w:r>
        <w:rPr>
          <w:color w:val="auto"/>
          <w:sz w:val="24"/>
          <w:highlight w:val="none"/>
        </w:rPr>
        <w:t>．本协议书正本二份、副本</w:t>
      </w:r>
      <w:r>
        <w:rPr>
          <w:rFonts w:hint="eastAsia"/>
          <w:color w:val="auto"/>
          <w:sz w:val="24"/>
          <w:highlight w:val="none"/>
          <w:u w:val="single"/>
        </w:rPr>
        <w:t xml:space="preserve">     </w:t>
      </w:r>
      <w:r>
        <w:rPr>
          <w:color w:val="auto"/>
          <w:sz w:val="24"/>
          <w:highlight w:val="none"/>
        </w:rPr>
        <w:t>份，合同双方各执正本一份，副本</w:t>
      </w:r>
      <w:r>
        <w:rPr>
          <w:rFonts w:hint="eastAsia"/>
          <w:color w:val="auto"/>
          <w:sz w:val="24"/>
          <w:highlight w:val="none"/>
          <w:u w:val="single"/>
        </w:rPr>
        <w:t xml:space="preserve">     </w:t>
      </w:r>
      <w:r>
        <w:rPr>
          <w:color w:val="auto"/>
          <w:sz w:val="24"/>
          <w:highlight w:val="none"/>
        </w:rPr>
        <w:t>份，当正本与副本的内容不一致时，以正本为准。</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lang w:val="en-US" w:eastAsia="zh-CN"/>
        </w:rPr>
        <w:t>1</w:t>
      </w:r>
      <w:r>
        <w:rPr>
          <w:rFonts w:hint="eastAsia"/>
          <w:color w:val="auto"/>
          <w:sz w:val="24"/>
          <w:highlight w:val="none"/>
        </w:rPr>
        <w:t>．</w:t>
      </w:r>
      <w:r>
        <w:rPr>
          <w:color w:val="auto"/>
          <w:sz w:val="24"/>
          <w:highlight w:val="none"/>
        </w:rPr>
        <w:t>合同未尽事宜，双方另行签订补充协议。补充协议是合同的组成部分。</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发包人：</w:t>
      </w:r>
      <w:r>
        <w:rPr>
          <w:rFonts w:hint="eastAsia"/>
          <w:color w:val="auto"/>
          <w:sz w:val="24"/>
          <w:highlight w:val="none"/>
          <w:u w:val="single"/>
        </w:rPr>
        <w:t xml:space="preserve">              </w:t>
      </w:r>
      <w:r>
        <w:rPr>
          <w:color w:val="auto"/>
          <w:sz w:val="24"/>
          <w:highlight w:val="none"/>
        </w:rPr>
        <w:t>（盖单位公章）</w:t>
      </w:r>
      <w:r>
        <w:rPr>
          <w:rFonts w:hint="eastAsia"/>
          <w:color w:val="auto"/>
          <w:sz w:val="24"/>
          <w:highlight w:val="none"/>
        </w:rPr>
        <w:t xml:space="preserve">    </w:t>
      </w:r>
      <w:r>
        <w:rPr>
          <w:color w:val="auto"/>
          <w:sz w:val="24"/>
          <w:highlight w:val="none"/>
        </w:rPr>
        <w:t>承包人：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r>
        <w:rPr>
          <w:rFonts w:hint="eastAsia"/>
          <w:color w:val="auto"/>
          <w:sz w:val="24"/>
          <w:highlight w:val="none"/>
        </w:rPr>
        <w:t xml:space="preserve">  </w:t>
      </w: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pageBreakBefore/>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附件二：廉政合同</w:t>
      </w:r>
    </w:p>
    <w:p>
      <w:pPr>
        <w:adjustRightInd w:val="0"/>
        <w:snapToGrid w:val="0"/>
        <w:spacing w:afterLines="50" w:line="360" w:lineRule="auto"/>
        <w:jc w:val="center"/>
        <w:rPr>
          <w:rFonts w:ascii="黑体" w:eastAsia="黑体"/>
          <w:color w:val="auto"/>
          <w:sz w:val="28"/>
          <w:szCs w:val="28"/>
          <w:highlight w:val="none"/>
        </w:rPr>
      </w:pPr>
      <w:r>
        <w:rPr>
          <w:rFonts w:hint="eastAsia" w:ascii="黑体" w:eastAsia="黑体"/>
          <w:color w:val="auto"/>
          <w:sz w:val="28"/>
          <w:szCs w:val="28"/>
          <w:highlight w:val="none"/>
        </w:rPr>
        <w:t>廉 政 合 同</w:t>
      </w:r>
    </w:p>
    <w:p>
      <w:pPr>
        <w:adjustRightInd w:val="0"/>
        <w:snapToGrid w:val="0"/>
        <w:spacing w:line="360" w:lineRule="auto"/>
        <w:ind w:firstLine="480" w:firstLineChars="200"/>
        <w:rPr>
          <w:color w:val="auto"/>
          <w:sz w:val="24"/>
          <w:highlight w:val="none"/>
        </w:rPr>
      </w:pPr>
      <w:r>
        <w:rPr>
          <w:color w:val="auto"/>
          <w:sz w:val="24"/>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none"/>
          <w:lang w:eastAsia="zh-CN"/>
        </w:rPr>
        <w:t>（项目名称）的</w:t>
      </w:r>
      <w:r>
        <w:rPr>
          <w:color w:val="auto"/>
          <w:sz w:val="24"/>
          <w:highlight w:val="none"/>
          <w:u w:val="none"/>
        </w:rPr>
        <w:t>项</w:t>
      </w:r>
      <w:r>
        <w:rPr>
          <w:color w:val="auto"/>
          <w:sz w:val="24"/>
          <w:highlight w:val="none"/>
        </w:rPr>
        <w:t>目法人</w:t>
      </w:r>
      <w:r>
        <w:rPr>
          <w:rFonts w:hint="eastAsia"/>
          <w:color w:val="auto"/>
          <w:sz w:val="24"/>
          <w:highlight w:val="none"/>
          <w:u w:val="single"/>
          <w:lang w:val="en-US" w:eastAsia="zh-CN"/>
        </w:rPr>
        <w:t xml:space="preserve">     </w:t>
      </w:r>
      <w:r>
        <w:rPr>
          <w:color w:val="auto"/>
          <w:sz w:val="24"/>
          <w:highlight w:val="none"/>
        </w:rPr>
        <w:t>（</w:t>
      </w:r>
      <w:r>
        <w:rPr>
          <w:rFonts w:hint="eastAsia"/>
          <w:color w:val="auto"/>
          <w:sz w:val="24"/>
          <w:highlight w:val="none"/>
          <w:lang w:eastAsia="zh-CN"/>
        </w:rPr>
        <w:t>项目法人名称，</w:t>
      </w:r>
      <w:r>
        <w:rPr>
          <w:color w:val="auto"/>
          <w:sz w:val="24"/>
          <w:highlight w:val="none"/>
        </w:rPr>
        <w:t>以下简称“</w:t>
      </w:r>
      <w:r>
        <w:rPr>
          <w:rFonts w:hint="eastAsia"/>
          <w:color w:val="auto"/>
          <w:sz w:val="24"/>
          <w:highlight w:val="none"/>
          <w:lang w:eastAsia="zh-CN"/>
        </w:rPr>
        <w:t>发包人</w:t>
      </w:r>
      <w:r>
        <w:rPr>
          <w:color w:val="auto"/>
          <w:sz w:val="24"/>
          <w:highlight w:val="none"/>
        </w:rPr>
        <w:t>”）与</w:t>
      </w:r>
      <w:r>
        <w:rPr>
          <w:rFonts w:hint="eastAsia"/>
          <w:color w:val="auto"/>
          <w:sz w:val="24"/>
          <w:highlight w:val="none"/>
          <w:lang w:eastAsia="zh-CN"/>
        </w:rPr>
        <w:t>该项目</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标段的</w:t>
      </w:r>
      <w:r>
        <w:rPr>
          <w:color w:val="auto"/>
          <w:sz w:val="24"/>
          <w:highlight w:val="none"/>
          <w:u w:val="none"/>
        </w:rPr>
        <w:t>施</w:t>
      </w:r>
      <w:r>
        <w:rPr>
          <w:color w:val="auto"/>
          <w:sz w:val="24"/>
          <w:highlight w:val="none"/>
        </w:rPr>
        <w:t>工单位</w:t>
      </w:r>
      <w:r>
        <w:rPr>
          <w:rFonts w:hint="eastAsia"/>
          <w:color w:val="auto"/>
          <w:sz w:val="24"/>
          <w:highlight w:val="none"/>
          <w:u w:val="single"/>
          <w:lang w:val="en-US" w:eastAsia="zh-CN"/>
        </w:rPr>
        <w:t xml:space="preserve">       </w:t>
      </w:r>
      <w:r>
        <w:rPr>
          <w:color w:val="auto"/>
          <w:sz w:val="24"/>
          <w:highlight w:val="none"/>
        </w:rPr>
        <w:t>（</w:t>
      </w:r>
      <w:r>
        <w:rPr>
          <w:rFonts w:hint="eastAsia"/>
          <w:color w:val="auto"/>
          <w:sz w:val="24"/>
          <w:highlight w:val="none"/>
          <w:lang w:eastAsia="zh-CN"/>
        </w:rPr>
        <w:t>施工单位名称，</w:t>
      </w:r>
      <w:r>
        <w:rPr>
          <w:color w:val="auto"/>
          <w:sz w:val="24"/>
          <w:highlight w:val="none"/>
        </w:rPr>
        <w:t>以下简称“</w:t>
      </w:r>
      <w:r>
        <w:rPr>
          <w:rFonts w:hint="eastAsia"/>
          <w:color w:val="auto"/>
          <w:sz w:val="24"/>
          <w:highlight w:val="none"/>
          <w:lang w:eastAsia="zh-CN"/>
        </w:rPr>
        <w:t>承包人</w:t>
      </w:r>
      <w:r>
        <w:rPr>
          <w:color w:val="auto"/>
          <w:sz w:val="24"/>
          <w:highlight w:val="none"/>
        </w:rPr>
        <w:t>”），特订立如下合同。</w:t>
      </w:r>
    </w:p>
    <w:p>
      <w:pPr>
        <w:adjustRightInd w:val="0"/>
        <w:snapToGrid w:val="0"/>
        <w:spacing w:line="360" w:lineRule="auto"/>
        <w:ind w:firstLine="480" w:firstLineChars="200"/>
        <w:rPr>
          <w:rFonts w:eastAsia="黑体"/>
          <w:color w:val="auto"/>
          <w:sz w:val="24"/>
          <w:highlight w:val="none"/>
        </w:rPr>
      </w:pPr>
      <w:r>
        <w:rPr>
          <w:rFonts w:hint="eastAsia" w:eastAsia="黑体"/>
          <w:color w:val="auto"/>
          <w:sz w:val="24"/>
          <w:highlight w:val="none"/>
        </w:rPr>
        <w:t>1．发包人和承包人双方的权利和义务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严格遵守党的政策规定和国家有关法律法规及交通部的有关规定。</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color w:val="auto"/>
          <w:sz w:val="24"/>
          <w:highlight w:val="none"/>
        </w:rPr>
        <w:t>严格执行．</w:t>
      </w:r>
      <w:r>
        <w:rPr>
          <w:rFonts w:hint="eastAsia"/>
          <w:color w:val="auto"/>
          <w:sz w:val="24"/>
          <w:highlight w:val="none"/>
          <w:u w:val="single"/>
          <w:lang w:val="en-US" w:eastAsia="zh-CN"/>
        </w:rPr>
        <w:t xml:space="preserve">      </w:t>
      </w:r>
      <w:r>
        <w:rPr>
          <w:color w:val="auto"/>
          <w:sz w:val="24"/>
          <w:highlight w:val="none"/>
          <w:u w:val="single"/>
        </w:rPr>
        <w:t>（项目名称）</w:t>
      </w:r>
      <w:r>
        <w:rPr>
          <w:rFonts w:hint="eastAsia"/>
          <w:color w:val="auto"/>
          <w:sz w:val="24"/>
          <w:highlight w:val="none"/>
          <w:lang w:eastAsia="zh-CN"/>
        </w:rPr>
        <w:t>标段</w:t>
      </w:r>
      <w:r>
        <w:rPr>
          <w:color w:val="auto"/>
          <w:sz w:val="24"/>
          <w:highlight w:val="none"/>
        </w:rPr>
        <w:t>工程的</w:t>
      </w:r>
      <w:r>
        <w:rPr>
          <w:color w:val="auto"/>
          <w:sz w:val="24"/>
          <w:highlight w:val="none"/>
          <w:u w:val="single"/>
        </w:rPr>
        <w:t>合同</w:t>
      </w:r>
      <w:r>
        <w:rPr>
          <w:color w:val="auto"/>
          <w:sz w:val="24"/>
          <w:highlight w:val="none"/>
        </w:rPr>
        <w:t>文件，自觉按合同办事。</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color w:val="auto"/>
          <w:sz w:val="24"/>
          <w:highlight w:val="none"/>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color w:val="auto"/>
          <w:sz w:val="24"/>
          <w:highlight w:val="none"/>
        </w:rPr>
      </w:pPr>
      <w:r>
        <w:rPr>
          <w:rFonts w:hint="eastAsia"/>
          <w:color w:val="auto"/>
          <w:sz w:val="24"/>
          <w:highlight w:val="none"/>
        </w:rPr>
        <w:t xml:space="preserve">（4） </w:t>
      </w:r>
      <w:r>
        <w:rPr>
          <w:color w:val="auto"/>
          <w:sz w:val="24"/>
          <w:highlight w:val="none"/>
        </w:rPr>
        <w:t>建立健全廉政制度，开展廉政教育，设立廉政告示牌，公布举报电话，监督并认真查处违法违纪行为。</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color w:val="auto"/>
          <w:sz w:val="24"/>
          <w:highlight w:val="none"/>
        </w:rPr>
        <w:t>发现对方在业务活动中有违反廉政规定的行为，有及时提醒对方纠正的权利和义务。</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color w:val="auto"/>
          <w:sz w:val="24"/>
          <w:highlight w:val="none"/>
        </w:rPr>
        <w:t>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2．</w:t>
      </w:r>
      <w:r>
        <w:rPr>
          <w:rFonts w:hint="eastAsia" w:eastAsia="黑体"/>
          <w:color w:val="auto"/>
          <w:sz w:val="24"/>
          <w:highlight w:val="none"/>
          <w:lang w:eastAsia="zh-CN"/>
        </w:rPr>
        <w:t>发包人</w:t>
      </w:r>
      <w:r>
        <w:rPr>
          <w:rFonts w:eastAsia="黑体"/>
          <w:color w:val="auto"/>
          <w:sz w:val="24"/>
          <w:highlight w:val="none"/>
        </w:rPr>
        <w:t>的义务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rFonts w:hint="eastAsia"/>
          <w:color w:val="auto"/>
          <w:sz w:val="24"/>
          <w:highlight w:val="none"/>
          <w:lang w:eastAsia="zh-CN"/>
        </w:rPr>
        <w:t>发包人</w:t>
      </w:r>
      <w:r>
        <w:rPr>
          <w:color w:val="auto"/>
          <w:sz w:val="24"/>
          <w:highlight w:val="none"/>
        </w:rPr>
        <w:t>及其工作人员不得索要或接受</w:t>
      </w:r>
      <w:r>
        <w:rPr>
          <w:rFonts w:hint="eastAsia"/>
          <w:color w:val="auto"/>
          <w:sz w:val="24"/>
          <w:highlight w:val="none"/>
          <w:lang w:eastAsia="zh-CN"/>
        </w:rPr>
        <w:t>承包人</w:t>
      </w:r>
      <w:r>
        <w:rPr>
          <w:color w:val="auto"/>
          <w:sz w:val="24"/>
          <w:highlight w:val="none"/>
        </w:rPr>
        <w:t>的礼金、有价证券和贵重物品，不得在</w:t>
      </w:r>
      <w:r>
        <w:rPr>
          <w:rFonts w:hint="eastAsia"/>
          <w:color w:val="auto"/>
          <w:sz w:val="24"/>
          <w:highlight w:val="none"/>
          <w:lang w:eastAsia="zh-CN"/>
        </w:rPr>
        <w:t>承包人</w:t>
      </w:r>
      <w:r>
        <w:rPr>
          <w:color w:val="auto"/>
          <w:sz w:val="24"/>
          <w:highlight w:val="none"/>
        </w:rPr>
        <w:t>报销任何应由</w:t>
      </w:r>
      <w:r>
        <w:rPr>
          <w:rFonts w:hint="eastAsia"/>
          <w:color w:val="auto"/>
          <w:sz w:val="24"/>
          <w:highlight w:val="none"/>
          <w:lang w:eastAsia="zh-CN"/>
        </w:rPr>
        <w:t>发包人</w:t>
      </w:r>
      <w:r>
        <w:rPr>
          <w:color w:val="auto"/>
          <w:sz w:val="24"/>
          <w:highlight w:val="none"/>
        </w:rPr>
        <w:t>或</w:t>
      </w:r>
      <w:r>
        <w:rPr>
          <w:rFonts w:hint="eastAsia"/>
          <w:color w:val="auto"/>
          <w:sz w:val="24"/>
          <w:highlight w:val="none"/>
          <w:lang w:eastAsia="zh-CN"/>
        </w:rPr>
        <w:t>发包人</w:t>
      </w:r>
      <w:r>
        <w:rPr>
          <w:color w:val="auto"/>
          <w:sz w:val="24"/>
          <w:highlight w:val="none"/>
        </w:rPr>
        <w:t>工作人员个人支付的费用等。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rFonts w:hint="eastAsia"/>
          <w:color w:val="auto"/>
          <w:sz w:val="24"/>
          <w:highlight w:val="none"/>
          <w:lang w:eastAsia="zh-CN"/>
        </w:rPr>
        <w:t>发包人</w:t>
      </w:r>
      <w:r>
        <w:rPr>
          <w:color w:val="auto"/>
          <w:sz w:val="24"/>
          <w:highlight w:val="none"/>
        </w:rPr>
        <w:t>工作人员不得参加</w:t>
      </w:r>
      <w:r>
        <w:rPr>
          <w:rFonts w:hint="eastAsia"/>
          <w:color w:val="auto"/>
          <w:sz w:val="24"/>
          <w:highlight w:val="none"/>
          <w:lang w:eastAsia="zh-CN"/>
        </w:rPr>
        <w:t>承包人</w:t>
      </w:r>
      <w:r>
        <w:rPr>
          <w:color w:val="auto"/>
          <w:sz w:val="24"/>
          <w:highlight w:val="none"/>
        </w:rPr>
        <w:t>安排的超标准宴请和娱乐活动；不得接受</w:t>
      </w:r>
      <w:r>
        <w:rPr>
          <w:rFonts w:hint="eastAsia"/>
          <w:color w:val="auto"/>
          <w:sz w:val="24"/>
          <w:highlight w:val="none"/>
          <w:lang w:eastAsia="zh-CN"/>
        </w:rPr>
        <w:t>承包人</w:t>
      </w:r>
      <w:r>
        <w:rPr>
          <w:color w:val="auto"/>
          <w:sz w:val="24"/>
          <w:highlight w:val="none"/>
        </w:rPr>
        <w:t>提供的通讯工具、交通工具和高档办公用品等。</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rFonts w:hint="eastAsia"/>
          <w:color w:val="auto"/>
          <w:sz w:val="24"/>
          <w:highlight w:val="none"/>
          <w:lang w:eastAsia="zh-CN"/>
        </w:rPr>
        <w:t>发包人</w:t>
      </w:r>
      <w:r>
        <w:rPr>
          <w:color w:val="auto"/>
          <w:sz w:val="24"/>
          <w:highlight w:val="none"/>
        </w:rPr>
        <w:t>及其工作人员不得要求或者接受</w:t>
      </w:r>
      <w:r>
        <w:rPr>
          <w:rFonts w:hint="eastAsia"/>
          <w:color w:val="auto"/>
          <w:sz w:val="24"/>
          <w:highlight w:val="none"/>
          <w:lang w:eastAsia="zh-CN"/>
        </w:rPr>
        <w:t>承包人</w:t>
      </w:r>
      <w:r>
        <w:rPr>
          <w:color w:val="auto"/>
          <w:sz w:val="24"/>
          <w:highlight w:val="none"/>
        </w:rPr>
        <w:t>为其住房装修、婚丧嫁娶活动、配偶子女的工作安排以及出国出境、旅游等提供方便等。</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 xml:space="preserve"> </w:t>
      </w:r>
      <w:r>
        <w:rPr>
          <w:rFonts w:hint="eastAsia"/>
          <w:color w:val="auto"/>
          <w:sz w:val="24"/>
          <w:highlight w:val="none"/>
          <w:lang w:eastAsia="zh-CN"/>
        </w:rPr>
        <w:t>发包人</w:t>
      </w:r>
      <w:r>
        <w:rPr>
          <w:color w:val="auto"/>
          <w:sz w:val="24"/>
          <w:highlight w:val="none"/>
        </w:rPr>
        <w:t>工作人员及其配偶、子女不得从事与</w:t>
      </w:r>
      <w:r>
        <w:rPr>
          <w:rFonts w:hint="eastAsia"/>
          <w:color w:val="auto"/>
          <w:sz w:val="24"/>
          <w:highlight w:val="none"/>
          <w:lang w:eastAsia="zh-CN"/>
        </w:rPr>
        <w:t>发包人</w:t>
      </w:r>
      <w:r>
        <w:rPr>
          <w:color w:val="auto"/>
          <w:sz w:val="24"/>
          <w:highlight w:val="none"/>
        </w:rPr>
        <w:t>工程有关的材料设备供应、工程分包、劳务等经济活动等。</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rFonts w:hint="eastAsia"/>
          <w:color w:val="auto"/>
          <w:sz w:val="24"/>
          <w:highlight w:val="none"/>
          <w:lang w:eastAsia="zh-CN"/>
        </w:rPr>
        <w:t>发包人</w:t>
      </w:r>
      <w:r>
        <w:rPr>
          <w:color w:val="auto"/>
          <w:sz w:val="24"/>
          <w:highlight w:val="none"/>
        </w:rPr>
        <w:t>及其工作人员不得以任何理由向</w:t>
      </w:r>
      <w:r>
        <w:rPr>
          <w:rFonts w:hint="eastAsia"/>
          <w:color w:val="auto"/>
          <w:sz w:val="24"/>
          <w:highlight w:val="none"/>
          <w:lang w:eastAsia="zh-CN"/>
        </w:rPr>
        <w:t>承包人</w:t>
      </w:r>
      <w:r>
        <w:rPr>
          <w:color w:val="auto"/>
          <w:sz w:val="24"/>
          <w:highlight w:val="none"/>
        </w:rPr>
        <w:t>推荐分包单位或推销材料，不得要求</w:t>
      </w:r>
      <w:r>
        <w:rPr>
          <w:rFonts w:hint="eastAsia"/>
          <w:color w:val="auto"/>
          <w:sz w:val="24"/>
          <w:highlight w:val="none"/>
          <w:lang w:eastAsia="zh-CN"/>
        </w:rPr>
        <w:t>承包人</w:t>
      </w:r>
      <w:r>
        <w:rPr>
          <w:color w:val="auto"/>
          <w:sz w:val="24"/>
          <w:highlight w:val="none"/>
        </w:rPr>
        <w:t>购买合同规定外的材料和设备。</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rFonts w:hint="eastAsia"/>
          <w:color w:val="auto"/>
          <w:sz w:val="24"/>
          <w:highlight w:val="none"/>
          <w:lang w:eastAsia="zh-CN"/>
        </w:rPr>
        <w:t>发包人</w:t>
      </w:r>
      <w:r>
        <w:rPr>
          <w:color w:val="auto"/>
          <w:sz w:val="24"/>
          <w:highlight w:val="none"/>
        </w:rPr>
        <w:t>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w:t>
      </w:r>
      <w:r>
        <w:rPr>
          <w:rFonts w:hint="eastAsia" w:eastAsia="黑体"/>
          <w:color w:val="auto"/>
          <w:sz w:val="24"/>
          <w:highlight w:val="none"/>
          <w:lang w:eastAsia="zh-CN"/>
        </w:rPr>
        <w:t>承包人</w:t>
      </w:r>
      <w:r>
        <w:rPr>
          <w:rFonts w:eastAsia="黑体"/>
          <w:color w:val="auto"/>
          <w:sz w:val="24"/>
          <w:highlight w:val="none"/>
        </w:rPr>
        <w:t>的义务</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rFonts w:hint="eastAsia"/>
          <w:color w:val="auto"/>
          <w:sz w:val="24"/>
          <w:highlight w:val="none"/>
          <w:lang w:eastAsia="zh-CN"/>
        </w:rPr>
        <w:t>承包人</w:t>
      </w:r>
      <w:r>
        <w:rPr>
          <w:color w:val="auto"/>
          <w:sz w:val="24"/>
          <w:highlight w:val="none"/>
        </w:rPr>
        <w:t>不得以任何理由向</w:t>
      </w:r>
      <w:r>
        <w:rPr>
          <w:rFonts w:hint="eastAsia"/>
          <w:color w:val="auto"/>
          <w:sz w:val="24"/>
          <w:highlight w:val="none"/>
          <w:lang w:eastAsia="zh-CN"/>
        </w:rPr>
        <w:t>发包人</w:t>
      </w:r>
      <w:r>
        <w:rPr>
          <w:color w:val="auto"/>
          <w:sz w:val="24"/>
          <w:highlight w:val="none"/>
        </w:rPr>
        <w:t>及其工作人员行贿或馈赠礼金、有价证券、贵重礼品。</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lang w:eastAsia="zh-CN"/>
        </w:rPr>
        <w:t>承包人</w:t>
      </w:r>
      <w:r>
        <w:rPr>
          <w:color w:val="auto"/>
          <w:sz w:val="24"/>
          <w:highlight w:val="none"/>
        </w:rPr>
        <w:t>不得以任何名义为</w:t>
      </w:r>
      <w:r>
        <w:rPr>
          <w:rFonts w:hint="eastAsia"/>
          <w:color w:val="auto"/>
          <w:sz w:val="24"/>
          <w:highlight w:val="none"/>
          <w:lang w:eastAsia="zh-CN"/>
        </w:rPr>
        <w:t>发包人</w:t>
      </w:r>
      <w:r>
        <w:rPr>
          <w:color w:val="auto"/>
          <w:sz w:val="24"/>
          <w:highlight w:val="none"/>
        </w:rPr>
        <w:t>及其工作人员报销应由</w:t>
      </w:r>
      <w:r>
        <w:rPr>
          <w:rFonts w:hint="eastAsia"/>
          <w:color w:val="auto"/>
          <w:sz w:val="24"/>
          <w:highlight w:val="none"/>
          <w:lang w:eastAsia="zh-CN"/>
        </w:rPr>
        <w:t>发包人</w:t>
      </w:r>
      <w:r>
        <w:rPr>
          <w:color w:val="auto"/>
          <w:sz w:val="24"/>
          <w:highlight w:val="none"/>
        </w:rPr>
        <w:t>单位或个人支付的任何费用。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lang w:eastAsia="zh-CN"/>
        </w:rPr>
        <w:t>承包人</w:t>
      </w:r>
      <w:r>
        <w:rPr>
          <w:color w:val="auto"/>
          <w:sz w:val="24"/>
          <w:highlight w:val="none"/>
        </w:rPr>
        <w:t>不得以任何理由安排</w:t>
      </w:r>
      <w:r>
        <w:rPr>
          <w:rFonts w:hint="eastAsia"/>
          <w:color w:val="auto"/>
          <w:sz w:val="24"/>
          <w:highlight w:val="none"/>
          <w:lang w:eastAsia="zh-CN"/>
        </w:rPr>
        <w:t>发包人</w:t>
      </w:r>
      <w:r>
        <w:rPr>
          <w:color w:val="auto"/>
          <w:sz w:val="24"/>
          <w:highlight w:val="none"/>
        </w:rPr>
        <w:t>工作人员参加超标准宴请及娱乐活动。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lang w:eastAsia="zh-CN"/>
        </w:rPr>
        <w:t>承包人</w:t>
      </w:r>
      <w:r>
        <w:rPr>
          <w:color w:val="auto"/>
          <w:sz w:val="24"/>
          <w:highlight w:val="none"/>
        </w:rPr>
        <w:t>不得为</w:t>
      </w:r>
      <w:r>
        <w:rPr>
          <w:rFonts w:hint="eastAsia"/>
          <w:color w:val="auto"/>
          <w:sz w:val="24"/>
          <w:highlight w:val="none"/>
          <w:lang w:eastAsia="zh-CN"/>
        </w:rPr>
        <w:t>发包人</w:t>
      </w:r>
      <w:r>
        <w:rPr>
          <w:color w:val="auto"/>
          <w:sz w:val="24"/>
          <w:highlight w:val="none"/>
        </w:rPr>
        <w:t>单位和个人购置或提供通讯工具、交通工具和高档办公用品等。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4．违约责任</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lang w:eastAsia="zh-CN"/>
        </w:rPr>
        <w:t>发包人</w:t>
      </w:r>
      <w:r>
        <w:rPr>
          <w:color w:val="auto"/>
          <w:sz w:val="24"/>
          <w:highlight w:val="none"/>
        </w:rPr>
        <w:t>及其工作人员违反本合同第</w:t>
      </w:r>
      <w:r>
        <w:rPr>
          <w:rFonts w:ascii="宋体" w:hAnsi="宋体" w:eastAsia="宋体"/>
          <w:sz w:val="24"/>
          <w:highlight w:val="none"/>
        </w:rPr>
        <w:t xml:space="preserve"> </w:t>
      </w:r>
      <w:r>
        <w:rPr>
          <w:rFonts w:ascii="Times New Roman" w:hAnsi="Times New Roman" w:eastAsia="Times New Roman"/>
          <w:sz w:val="24"/>
          <w:highlight w:val="none"/>
        </w:rPr>
        <w:t>1</w:t>
      </w:r>
      <w:r>
        <w:rPr>
          <w:rFonts w:ascii="宋体" w:hAnsi="宋体" w:eastAsia="宋体"/>
          <w:sz w:val="24"/>
          <w:highlight w:val="none"/>
        </w:rPr>
        <w:t>、</w:t>
      </w:r>
      <w:r>
        <w:rPr>
          <w:rFonts w:ascii="Times New Roman" w:hAnsi="Times New Roman" w:eastAsia="Times New Roman"/>
          <w:sz w:val="24"/>
          <w:highlight w:val="none"/>
        </w:rPr>
        <w:t>2</w:t>
      </w:r>
      <w:r>
        <w:rPr>
          <w:rFonts w:ascii="宋体" w:hAnsi="宋体" w:eastAsia="宋体"/>
          <w:sz w:val="24"/>
          <w:highlight w:val="none"/>
        </w:rPr>
        <w:t xml:space="preserve"> </w:t>
      </w:r>
      <w:r>
        <w:rPr>
          <w:color w:val="auto"/>
          <w:sz w:val="24"/>
          <w:highlight w:val="none"/>
        </w:rPr>
        <w:t>条，按管理权限，依据有关规定给予党纪、政纪或组织处理；涉嫌犯罪的，移交司法机关追究刑事责任；给</w:t>
      </w:r>
      <w:r>
        <w:rPr>
          <w:rFonts w:hint="eastAsia"/>
          <w:color w:val="auto"/>
          <w:sz w:val="24"/>
          <w:highlight w:val="none"/>
          <w:lang w:eastAsia="zh-CN"/>
        </w:rPr>
        <w:t>承包人</w:t>
      </w:r>
      <w:r>
        <w:rPr>
          <w:color w:val="auto"/>
          <w:sz w:val="24"/>
          <w:highlight w:val="none"/>
        </w:rPr>
        <w:t>单位造成经济损失的，应予以赔偿。</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rFonts w:hint="eastAsia"/>
          <w:color w:val="auto"/>
          <w:sz w:val="24"/>
          <w:highlight w:val="none"/>
          <w:lang w:eastAsia="zh-CN"/>
        </w:rPr>
        <w:t>承包人</w:t>
      </w:r>
      <w:r>
        <w:rPr>
          <w:color w:val="auto"/>
          <w:sz w:val="24"/>
          <w:highlight w:val="none"/>
        </w:rPr>
        <w:t>及其工作人员违反本合同第</w:t>
      </w:r>
      <w:r>
        <w:rPr>
          <w:rFonts w:ascii="宋体" w:hAnsi="宋体" w:eastAsia="宋体"/>
          <w:sz w:val="24"/>
          <w:highlight w:val="none"/>
        </w:rPr>
        <w:t xml:space="preserve"> </w:t>
      </w:r>
      <w:r>
        <w:rPr>
          <w:rFonts w:ascii="Times New Roman" w:hAnsi="Times New Roman" w:eastAsia="Times New Roman"/>
          <w:sz w:val="24"/>
          <w:highlight w:val="none"/>
        </w:rPr>
        <w:t>1</w:t>
      </w:r>
      <w:r>
        <w:rPr>
          <w:rFonts w:ascii="宋体" w:hAnsi="宋体" w:eastAsia="宋体"/>
          <w:sz w:val="24"/>
          <w:highlight w:val="none"/>
        </w:rPr>
        <w:t>、</w:t>
      </w:r>
      <w:r>
        <w:rPr>
          <w:rFonts w:ascii="Times New Roman" w:hAnsi="Times New Roman" w:eastAsia="Times New Roman"/>
          <w:sz w:val="24"/>
          <w:highlight w:val="none"/>
        </w:rPr>
        <w:t>3</w:t>
      </w:r>
      <w:r>
        <w:rPr>
          <w:rFonts w:ascii="宋体" w:hAnsi="宋体" w:eastAsia="宋体"/>
          <w:sz w:val="24"/>
          <w:highlight w:val="none"/>
        </w:rPr>
        <w:t xml:space="preserve"> </w:t>
      </w:r>
      <w:r>
        <w:rPr>
          <w:color w:val="auto"/>
          <w:sz w:val="24"/>
          <w:highlight w:val="none"/>
        </w:rPr>
        <w:t>条，按管理权限，依据有关规定给予党纪、政纪或组织处理；给</w:t>
      </w:r>
      <w:r>
        <w:rPr>
          <w:rFonts w:hint="eastAsia"/>
          <w:color w:val="auto"/>
          <w:sz w:val="24"/>
          <w:highlight w:val="none"/>
          <w:lang w:eastAsia="zh-CN"/>
        </w:rPr>
        <w:t>发包人</w:t>
      </w:r>
      <w:r>
        <w:rPr>
          <w:color w:val="auto"/>
          <w:sz w:val="24"/>
          <w:highlight w:val="none"/>
        </w:rPr>
        <w:t>单位造成经济损失的，应予以赔偿；情节严重的，</w:t>
      </w:r>
      <w:r>
        <w:rPr>
          <w:rFonts w:hint="eastAsia"/>
          <w:color w:val="auto"/>
          <w:sz w:val="24"/>
          <w:highlight w:val="none"/>
          <w:lang w:eastAsia="zh-CN"/>
        </w:rPr>
        <w:t>发包人</w:t>
      </w:r>
      <w:r>
        <w:rPr>
          <w:color w:val="auto"/>
          <w:sz w:val="24"/>
          <w:highlight w:val="none"/>
        </w:rPr>
        <w:t>建议交通工程建设主管部门给予</w:t>
      </w:r>
      <w:r>
        <w:rPr>
          <w:rFonts w:hint="eastAsia"/>
          <w:color w:val="auto"/>
          <w:sz w:val="24"/>
          <w:highlight w:val="none"/>
          <w:lang w:eastAsia="zh-CN"/>
        </w:rPr>
        <w:t>承包人</w:t>
      </w:r>
      <w:r>
        <w:rPr>
          <w:color w:val="auto"/>
          <w:sz w:val="24"/>
          <w:highlight w:val="none"/>
        </w:rPr>
        <w:t>一至三年内不得进入其主管的交通工程建设市场的处罚。</w:t>
      </w:r>
    </w:p>
    <w:p>
      <w:pPr>
        <w:adjustRightInd w:val="0"/>
        <w:snapToGrid w:val="0"/>
        <w:spacing w:line="324"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双方约定：本合同由双方或双方上级单位的纪检监察机关负责监督执行。由</w:t>
      </w:r>
      <w:r>
        <w:rPr>
          <w:rFonts w:hint="eastAsia"/>
          <w:color w:val="auto"/>
          <w:sz w:val="24"/>
          <w:highlight w:val="none"/>
          <w:lang w:eastAsia="zh-CN"/>
        </w:rPr>
        <w:t>发包人</w:t>
      </w:r>
      <w:r>
        <w:rPr>
          <w:color w:val="auto"/>
          <w:sz w:val="24"/>
          <w:highlight w:val="none"/>
        </w:rPr>
        <w:t>或</w:t>
      </w:r>
      <w:r>
        <w:rPr>
          <w:rFonts w:hint="eastAsia"/>
          <w:color w:val="auto"/>
          <w:sz w:val="24"/>
          <w:highlight w:val="none"/>
          <w:lang w:eastAsia="zh-CN"/>
        </w:rPr>
        <w:t>发包人</w:t>
      </w:r>
      <w:r>
        <w:rPr>
          <w:color w:val="auto"/>
          <w:sz w:val="24"/>
          <w:highlight w:val="none"/>
        </w:rPr>
        <w:t>上级单位的纪检监察机关约请</w:t>
      </w:r>
      <w:r>
        <w:rPr>
          <w:rFonts w:hint="eastAsia"/>
          <w:color w:val="auto"/>
          <w:sz w:val="24"/>
          <w:highlight w:val="none"/>
          <w:lang w:eastAsia="zh-CN"/>
        </w:rPr>
        <w:t>承包人</w:t>
      </w:r>
      <w:r>
        <w:rPr>
          <w:color w:val="auto"/>
          <w:sz w:val="24"/>
          <w:highlight w:val="none"/>
        </w:rPr>
        <w:t>或</w:t>
      </w:r>
      <w:r>
        <w:rPr>
          <w:rFonts w:hint="eastAsia"/>
          <w:color w:val="auto"/>
          <w:sz w:val="24"/>
          <w:highlight w:val="none"/>
          <w:lang w:eastAsia="zh-CN"/>
        </w:rPr>
        <w:t>承包人</w:t>
      </w:r>
      <w:r>
        <w:rPr>
          <w:color w:val="auto"/>
          <w:sz w:val="24"/>
          <w:highlight w:val="none"/>
        </w:rPr>
        <w:t>上级单位纪检监察机关对本合同执行情况进行检查，提出在本合同规定范围内的裁定意见。</w:t>
      </w:r>
    </w:p>
    <w:p>
      <w:pPr>
        <w:adjustRightInd w:val="0"/>
        <w:snapToGrid w:val="0"/>
        <w:spacing w:line="324"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本合同有效期为甲乙双方签署之日起至该工程项目国家验收后止。</w:t>
      </w:r>
    </w:p>
    <w:p>
      <w:pPr>
        <w:adjustRightInd w:val="0"/>
        <w:snapToGrid w:val="0"/>
        <w:spacing w:line="324"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本合同作为</w:t>
      </w:r>
      <w:r>
        <w:rPr>
          <w:rFonts w:hint="eastAsia"/>
          <w:color w:val="auto"/>
          <w:sz w:val="24"/>
          <w:highlight w:val="none"/>
          <w:u w:val="single"/>
        </w:rPr>
        <w:t xml:space="preserve">    （项目名称）    </w:t>
      </w:r>
      <w:r>
        <w:rPr>
          <w:rFonts w:hint="eastAsia"/>
          <w:color w:val="auto"/>
          <w:sz w:val="24"/>
          <w:highlight w:val="none"/>
          <w:u w:val="none"/>
          <w:lang w:eastAsia="zh-CN"/>
        </w:rPr>
        <w:t>标段</w:t>
      </w:r>
      <w:r>
        <w:rPr>
          <w:color w:val="auto"/>
          <w:sz w:val="24"/>
          <w:highlight w:val="none"/>
        </w:rPr>
        <w:t>施工合同的附件，与工程施工合同具有同等的法律效力，经合同双方签署立即生效。</w:t>
      </w:r>
    </w:p>
    <w:p>
      <w:pPr>
        <w:adjustRightInd w:val="0"/>
        <w:snapToGrid w:val="0"/>
        <w:spacing w:line="324"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本合同一式四份，由甲乙双方各执一份，送交甲乙双方的监督单位各一份。</w:t>
      </w:r>
    </w:p>
    <w:p>
      <w:pPr>
        <w:adjustRightInd w:val="0"/>
        <w:snapToGrid w:val="0"/>
        <w:spacing w:beforeLines="100" w:line="324" w:lineRule="auto"/>
        <w:rPr>
          <w:color w:val="auto"/>
          <w:sz w:val="24"/>
          <w:highlight w:val="none"/>
        </w:rPr>
      </w:pPr>
      <w:r>
        <w:rPr>
          <w:rFonts w:hint="eastAsia"/>
          <w:color w:val="auto"/>
          <w:sz w:val="24"/>
          <w:highlight w:val="none"/>
          <w:lang w:eastAsia="zh-CN"/>
        </w:rPr>
        <w:t>发包人</w:t>
      </w:r>
      <w:r>
        <w:rPr>
          <w:color w:val="auto"/>
          <w:sz w:val="24"/>
          <w:highlight w:val="none"/>
        </w:rPr>
        <w:t>：</w:t>
      </w:r>
      <w:r>
        <w:rPr>
          <w:rFonts w:hint="eastAsia"/>
          <w:color w:val="auto"/>
          <w:sz w:val="24"/>
          <w:highlight w:val="none"/>
          <w:u w:val="single"/>
        </w:rPr>
        <w:t xml:space="preserve">  单位全称   （盖章）</w:t>
      </w:r>
      <w:r>
        <w:rPr>
          <w:rFonts w:hint="eastAsia"/>
          <w:color w:val="auto"/>
          <w:sz w:val="24"/>
          <w:highlight w:val="none"/>
        </w:rPr>
        <w:t xml:space="preserve">         </w:t>
      </w:r>
      <w:r>
        <w:rPr>
          <w:rFonts w:hint="eastAsia"/>
          <w:color w:val="auto"/>
          <w:sz w:val="24"/>
          <w:highlight w:val="none"/>
          <w:lang w:eastAsia="zh-CN"/>
        </w:rPr>
        <w:t>承包人</w:t>
      </w:r>
      <w:r>
        <w:rPr>
          <w:color w:val="auto"/>
          <w:sz w:val="24"/>
          <w:highlight w:val="none"/>
        </w:rPr>
        <w:t>：</w:t>
      </w:r>
      <w:r>
        <w:rPr>
          <w:rFonts w:hint="eastAsia"/>
          <w:color w:val="auto"/>
          <w:sz w:val="24"/>
          <w:highlight w:val="none"/>
          <w:u w:val="single"/>
        </w:rPr>
        <w:t xml:space="preserve">    单位全称  （盖章）</w:t>
      </w:r>
    </w:p>
    <w:p>
      <w:pPr>
        <w:adjustRightInd w:val="0"/>
        <w:snapToGrid w:val="0"/>
        <w:spacing w:line="324" w:lineRule="auto"/>
        <w:rPr>
          <w:color w:val="auto"/>
          <w:sz w:val="24"/>
          <w:highlight w:val="none"/>
        </w:rPr>
      </w:pPr>
      <w:r>
        <w:rPr>
          <w:color w:val="auto"/>
          <w:sz w:val="24"/>
          <w:highlight w:val="none"/>
        </w:rPr>
        <w:t>法定代表人</w:t>
      </w:r>
      <w:r>
        <w:rPr>
          <w:rFonts w:hint="eastAsia"/>
          <w:color w:val="auto"/>
          <w:sz w:val="24"/>
          <w:highlight w:val="none"/>
        </w:rPr>
        <w:t xml:space="preserve">                            </w:t>
      </w:r>
      <w:r>
        <w:rPr>
          <w:color w:val="auto"/>
          <w:sz w:val="24"/>
          <w:highlight w:val="none"/>
        </w:rPr>
        <w:t>法定代表人</w:t>
      </w:r>
    </w:p>
    <w:p>
      <w:pPr>
        <w:adjustRightInd w:val="0"/>
        <w:snapToGrid w:val="0"/>
        <w:spacing w:line="324" w:lineRule="auto"/>
        <w:rPr>
          <w:color w:val="auto"/>
          <w:sz w:val="24"/>
          <w:highlight w:val="none"/>
        </w:rPr>
      </w:pPr>
      <w:r>
        <w:rPr>
          <w:color w:val="auto"/>
          <w:sz w:val="24"/>
          <w:highlight w:val="none"/>
        </w:rPr>
        <w:t>或或其授权的代理人</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u w:val="none"/>
        </w:rPr>
        <w:t xml:space="preserve">   </w:t>
      </w:r>
      <w:r>
        <w:rPr>
          <w:rFonts w:hint="eastAsia"/>
          <w:color w:val="auto"/>
          <w:sz w:val="24"/>
          <w:highlight w:val="none"/>
          <w:u w:val="none"/>
          <w:lang w:val="en-US" w:eastAsia="zh-CN"/>
        </w:rPr>
        <w:t xml:space="preserve">      </w:t>
      </w:r>
      <w:r>
        <w:rPr>
          <w:rFonts w:hint="eastAsia"/>
          <w:color w:val="auto"/>
          <w:sz w:val="24"/>
          <w:highlight w:val="none"/>
          <w:u w:val="none"/>
          <w:lang w:eastAsia="zh-CN"/>
        </w:rPr>
        <w:t>或</w:t>
      </w:r>
      <w:r>
        <w:rPr>
          <w:color w:val="auto"/>
          <w:sz w:val="24"/>
          <w:highlight w:val="none"/>
        </w:rPr>
        <w:t>其授权的代理人</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24" w:lineRule="auto"/>
        <w:ind w:firstLine="2160" w:firstLineChars="900"/>
        <w:rPr>
          <w:rFonts w:hint="eastAsia"/>
          <w:color w:val="auto"/>
          <w:sz w:val="24"/>
          <w:highlight w:val="none"/>
          <w:u w:val="single"/>
          <w:lang w:val="en-US" w:eastAsia="zh-CN"/>
        </w:rPr>
      </w:pPr>
    </w:p>
    <w:p>
      <w:pPr>
        <w:adjustRightInd w:val="0"/>
        <w:snapToGrid w:val="0"/>
        <w:spacing w:line="324" w:lineRule="auto"/>
        <w:ind w:firstLine="2160" w:firstLineChars="900"/>
        <w:rPr>
          <w:color w:val="auto"/>
          <w:sz w:val="24"/>
          <w:highlight w:val="none"/>
          <w:u w:val="single"/>
        </w:rPr>
      </w:pPr>
      <w:r>
        <w:rPr>
          <w:rFonts w:hint="eastAsia"/>
          <w:color w:val="auto"/>
          <w:sz w:val="24"/>
          <w:highlight w:val="none"/>
          <w:u w:val="single"/>
          <w:lang w:val="en-US" w:eastAsia="zh-CN"/>
        </w:rPr>
        <w:t xml:space="preserve">   </w:t>
      </w:r>
      <w:r>
        <w:rPr>
          <w:rFonts w:hint="eastAsia"/>
          <w:color w:val="auto"/>
          <w:sz w:val="24"/>
          <w:highlight w:val="none"/>
          <w:u w:val="none"/>
          <w:lang w:val="en-US" w:eastAsia="zh-CN"/>
        </w:rPr>
        <w:t>年</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月</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日</w:t>
      </w:r>
      <w:r>
        <w:rPr>
          <w:rFonts w:hint="eastAsia"/>
          <w:color w:val="auto"/>
          <w:sz w:val="24"/>
          <w:highlight w:val="none"/>
          <w:u w:val="none"/>
        </w:rPr>
        <w:t xml:space="preserve"> </w:t>
      </w:r>
      <w:r>
        <w:rPr>
          <w:rFonts w:hint="eastAsia"/>
          <w:color w:val="auto"/>
          <w:sz w:val="24"/>
          <w:highlight w:val="none"/>
        </w:rPr>
        <w:t xml:space="preserve">               </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年</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月</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日</w:t>
      </w:r>
      <w:r>
        <w:rPr>
          <w:rFonts w:hint="eastAsia"/>
          <w:color w:val="auto"/>
          <w:sz w:val="24"/>
          <w:highlight w:val="none"/>
          <w:u w:val="none"/>
        </w:rPr>
        <w:t xml:space="preserve"> </w:t>
      </w:r>
      <w:r>
        <w:rPr>
          <w:rFonts w:hint="eastAsia"/>
          <w:color w:val="auto"/>
          <w:sz w:val="24"/>
          <w:highlight w:val="none"/>
        </w:rPr>
        <w:t xml:space="preserve">      </w:t>
      </w:r>
      <w:r>
        <w:rPr>
          <w:rFonts w:hint="eastAsia"/>
          <w:color w:val="auto"/>
          <w:sz w:val="24"/>
          <w:highlight w:val="none"/>
          <w:u w:val="single"/>
        </w:rPr>
        <w:t xml:space="preserve">   </w:t>
      </w:r>
    </w:p>
    <w:p>
      <w:pPr>
        <w:adjustRightInd w:val="0"/>
        <w:snapToGrid w:val="0"/>
        <w:spacing w:line="324" w:lineRule="auto"/>
        <w:ind w:firstLine="2160" w:firstLineChars="900"/>
        <w:rPr>
          <w:color w:val="auto"/>
          <w:sz w:val="24"/>
          <w:highlight w:val="none"/>
        </w:rPr>
      </w:pPr>
      <w:r>
        <w:rPr>
          <w:rFonts w:hint="eastAsia"/>
          <w:color w:val="auto"/>
          <w:sz w:val="24"/>
          <w:highlight w:val="none"/>
          <w:u w:val="none"/>
        </w:rPr>
        <w:t xml:space="preserve">   </w:t>
      </w:r>
      <w:r>
        <w:rPr>
          <w:rFonts w:hint="eastAsia"/>
          <w:color w:val="auto"/>
          <w:sz w:val="24"/>
          <w:highlight w:val="none"/>
        </w:rPr>
        <w:t xml:space="preserve">                    </w:t>
      </w:r>
      <w:r>
        <w:rPr>
          <w:rFonts w:hint="eastAsia"/>
          <w:color w:val="auto"/>
          <w:sz w:val="24"/>
          <w:highlight w:val="none"/>
          <w:u w:val="single"/>
        </w:rPr>
        <w:t xml:space="preserve">    </w:t>
      </w:r>
    </w:p>
    <w:p>
      <w:pPr>
        <w:adjustRightInd w:val="0"/>
        <w:snapToGrid w:val="0"/>
        <w:spacing w:line="324" w:lineRule="auto"/>
        <w:rPr>
          <w:color w:val="auto"/>
          <w:sz w:val="24"/>
          <w:highlight w:val="none"/>
          <w:u w:val="single"/>
        </w:rPr>
      </w:pPr>
      <w:r>
        <w:rPr>
          <w:rFonts w:hint="eastAsia"/>
          <w:color w:val="auto"/>
          <w:sz w:val="24"/>
          <w:highlight w:val="none"/>
          <w:lang w:eastAsia="zh-CN"/>
        </w:rPr>
        <w:t>发包人</w:t>
      </w:r>
      <w:r>
        <w:rPr>
          <w:color w:val="auto"/>
          <w:sz w:val="24"/>
          <w:highlight w:val="none"/>
        </w:rPr>
        <w:t>监督单位：</w:t>
      </w:r>
      <w:r>
        <w:rPr>
          <w:rFonts w:hint="eastAsia"/>
          <w:color w:val="auto"/>
          <w:sz w:val="24"/>
          <w:highlight w:val="none"/>
          <w:u w:val="single"/>
        </w:rPr>
        <w:t xml:space="preserve"> （全称）  （盖章）</w:t>
      </w:r>
      <w:r>
        <w:rPr>
          <w:rFonts w:hint="eastAsia"/>
          <w:color w:val="auto"/>
          <w:sz w:val="24"/>
          <w:highlight w:val="none"/>
        </w:rPr>
        <w:t xml:space="preserve">      </w:t>
      </w:r>
      <w:r>
        <w:rPr>
          <w:rFonts w:hint="eastAsia"/>
          <w:color w:val="auto"/>
          <w:sz w:val="24"/>
          <w:highlight w:val="none"/>
          <w:lang w:eastAsia="zh-CN"/>
        </w:rPr>
        <w:t>承包人</w:t>
      </w:r>
      <w:r>
        <w:rPr>
          <w:color w:val="auto"/>
          <w:sz w:val="24"/>
          <w:highlight w:val="none"/>
        </w:rPr>
        <w:t>监督单位</w:t>
      </w:r>
      <w:r>
        <w:rPr>
          <w:rFonts w:hint="eastAsia"/>
          <w:color w:val="auto"/>
          <w:sz w:val="24"/>
          <w:highlight w:val="none"/>
        </w:rPr>
        <w:t>：</w:t>
      </w:r>
      <w:r>
        <w:rPr>
          <w:rFonts w:hint="eastAsia"/>
          <w:color w:val="auto"/>
          <w:sz w:val="24"/>
          <w:highlight w:val="none"/>
          <w:u w:val="single"/>
        </w:rPr>
        <w:t>（全称）  （盖章）</w:t>
      </w:r>
    </w:p>
    <w:p>
      <w:pPr>
        <w:adjustRightInd w:val="0"/>
        <w:snapToGrid w:val="0"/>
        <w:spacing w:line="343" w:lineRule="auto"/>
        <w:rPr>
          <w:rFonts w:ascii="黑体" w:eastAsia="黑体"/>
          <w:color w:val="auto"/>
          <w:sz w:val="24"/>
          <w:highlight w:val="none"/>
        </w:rPr>
      </w:pPr>
      <w:r>
        <w:rPr>
          <w:rFonts w:hint="eastAsia" w:ascii="黑体" w:eastAsia="黑体"/>
          <w:color w:val="auto"/>
          <w:sz w:val="24"/>
          <w:highlight w:val="none"/>
        </w:rPr>
        <w:t>附件三：安全生产合同</w:t>
      </w:r>
    </w:p>
    <w:p>
      <w:pPr>
        <w:adjustRightInd w:val="0"/>
        <w:snapToGrid w:val="0"/>
        <w:spacing w:afterLines="50" w:line="343" w:lineRule="auto"/>
        <w:jc w:val="center"/>
        <w:rPr>
          <w:rFonts w:ascii="黑体" w:eastAsia="黑体"/>
          <w:color w:val="auto"/>
          <w:sz w:val="28"/>
          <w:szCs w:val="28"/>
          <w:highlight w:val="none"/>
        </w:rPr>
      </w:pPr>
      <w:r>
        <w:rPr>
          <w:rFonts w:hint="eastAsia" w:ascii="黑体" w:eastAsia="黑体"/>
          <w:color w:val="auto"/>
          <w:sz w:val="28"/>
          <w:szCs w:val="28"/>
          <w:highlight w:val="none"/>
        </w:rPr>
        <w:t>安全生产合同</w:t>
      </w:r>
    </w:p>
    <w:p>
      <w:pPr>
        <w:adjustRightInd w:val="0"/>
        <w:snapToGrid w:val="0"/>
        <w:spacing w:line="343" w:lineRule="auto"/>
        <w:ind w:firstLine="480" w:firstLineChars="200"/>
        <w:rPr>
          <w:color w:val="auto"/>
          <w:sz w:val="24"/>
          <w:highlight w:val="none"/>
        </w:rPr>
      </w:pPr>
      <w:r>
        <w:rPr>
          <w:color w:val="auto"/>
          <w:sz w:val="24"/>
          <w:highlight w:val="none"/>
        </w:rPr>
        <w:t>为在</w:t>
      </w:r>
      <w:r>
        <w:rPr>
          <w:rFonts w:hint="eastAsia"/>
          <w:color w:val="auto"/>
          <w:sz w:val="24"/>
          <w:highlight w:val="none"/>
          <w:u w:val="single"/>
        </w:rPr>
        <w:t xml:space="preserve">               </w:t>
      </w:r>
      <w:r>
        <w:rPr>
          <w:rFonts w:hint="eastAsia"/>
          <w:color w:val="auto"/>
          <w:sz w:val="24"/>
          <w:highlight w:val="none"/>
          <w:u w:val="none"/>
          <w:lang w:eastAsia="zh-CN"/>
        </w:rPr>
        <w:t>（项目名称）</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标段</w:t>
      </w:r>
      <w:r>
        <w:rPr>
          <w:color w:val="auto"/>
          <w:sz w:val="24"/>
          <w:highlight w:val="none"/>
        </w:rPr>
        <w:t>施工合同的实施过程中创造安全、高效的施工环境，切实搞好本项目的安全管理工作，本项目发包人</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w:t>
      </w:r>
      <w:r>
        <w:rPr>
          <w:rFonts w:hint="eastAsia"/>
          <w:color w:val="auto"/>
          <w:sz w:val="24"/>
          <w:highlight w:val="none"/>
          <w:lang w:eastAsia="zh-CN"/>
        </w:rPr>
        <w:t>发包人名称，</w:t>
      </w:r>
      <w:r>
        <w:rPr>
          <w:color w:val="auto"/>
          <w:sz w:val="24"/>
          <w:highlight w:val="none"/>
        </w:rPr>
        <w:t>以下简称“</w:t>
      </w:r>
      <w:r>
        <w:rPr>
          <w:rFonts w:hint="eastAsia"/>
          <w:color w:val="auto"/>
          <w:sz w:val="24"/>
          <w:highlight w:val="none"/>
          <w:lang w:eastAsia="zh-CN"/>
        </w:rPr>
        <w:t>发包人</w:t>
      </w:r>
      <w:r>
        <w:rPr>
          <w:rFonts w:hint="eastAsia"/>
          <w:color w:val="auto"/>
          <w:sz w:val="24"/>
          <w:highlight w:val="none"/>
        </w:rPr>
        <w:t xml:space="preserve">” </w:t>
      </w:r>
      <w:r>
        <w:rPr>
          <w:color w:val="auto"/>
          <w:sz w:val="24"/>
          <w:highlight w:val="none"/>
        </w:rPr>
        <w:t>）与承包人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color w:val="auto"/>
          <w:sz w:val="24"/>
          <w:highlight w:val="none"/>
        </w:rPr>
        <w:t>（</w:t>
      </w:r>
      <w:r>
        <w:rPr>
          <w:rFonts w:hint="eastAsia"/>
          <w:color w:val="auto"/>
          <w:sz w:val="24"/>
          <w:highlight w:val="none"/>
          <w:lang w:eastAsia="zh-CN"/>
        </w:rPr>
        <w:t>承包人名称，</w:t>
      </w:r>
      <w:r>
        <w:rPr>
          <w:color w:val="auto"/>
          <w:sz w:val="24"/>
          <w:highlight w:val="none"/>
        </w:rPr>
        <w:t>以下简称“</w:t>
      </w:r>
      <w:r>
        <w:rPr>
          <w:rFonts w:hint="eastAsia"/>
          <w:color w:val="auto"/>
          <w:sz w:val="24"/>
          <w:highlight w:val="none"/>
          <w:lang w:eastAsia="zh-CN"/>
        </w:rPr>
        <w:t>承包人</w:t>
      </w:r>
      <w:r>
        <w:rPr>
          <w:rFonts w:hint="eastAsia"/>
          <w:color w:val="auto"/>
          <w:sz w:val="24"/>
          <w:highlight w:val="none"/>
        </w:rPr>
        <w:t xml:space="preserve">” </w:t>
      </w:r>
      <w:r>
        <w:rPr>
          <w:color w:val="auto"/>
          <w:sz w:val="24"/>
          <w:highlight w:val="none"/>
        </w:rPr>
        <w:t>）特此签订安全生产合同：</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一、</w:t>
      </w:r>
      <w:r>
        <w:rPr>
          <w:rFonts w:hint="eastAsia" w:eastAsia="黑体"/>
          <w:color w:val="auto"/>
          <w:sz w:val="24"/>
          <w:highlight w:val="none"/>
          <w:lang w:eastAsia="zh-CN"/>
        </w:rPr>
        <w:t>发包人</w:t>
      </w:r>
      <w:r>
        <w:rPr>
          <w:rFonts w:eastAsia="黑体"/>
          <w:color w:val="auto"/>
          <w:sz w:val="24"/>
          <w:highlight w:val="none"/>
        </w:rPr>
        <w:t>职责</w:t>
      </w:r>
    </w:p>
    <w:p>
      <w:pPr>
        <w:adjustRightInd w:val="0"/>
        <w:snapToGrid w:val="0"/>
        <w:spacing w:line="343" w:lineRule="auto"/>
        <w:ind w:firstLine="480" w:firstLineChars="200"/>
        <w:rPr>
          <w:color w:val="auto"/>
          <w:sz w:val="24"/>
          <w:highlight w:val="none"/>
        </w:rPr>
      </w:pPr>
      <w:r>
        <w:rPr>
          <w:color w:val="auto"/>
          <w:sz w:val="24"/>
          <w:highlight w:val="none"/>
        </w:rPr>
        <w:t>1、严格遵守国家有关安全生产的法律法规，认真执行工程承包合同中的有关安全要求。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2、按照“安全第一、预防为主”和坚持“管生产必须管安全”的原则进行安全生产管理，做到生产与安全工作同时计划、布置、检查、总结和评比。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3、重要的安全设施必须坚持与主体工程“三同时”的原则，即：同时设计、审批，同时施工，一同时验收，投入使用。</w:t>
      </w:r>
    </w:p>
    <w:p>
      <w:pPr>
        <w:adjustRightInd w:val="0"/>
        <w:snapToGrid w:val="0"/>
        <w:spacing w:line="343" w:lineRule="auto"/>
        <w:ind w:firstLine="480" w:firstLineChars="200"/>
        <w:rPr>
          <w:color w:val="auto"/>
          <w:sz w:val="24"/>
          <w:highlight w:val="none"/>
        </w:rPr>
      </w:pPr>
      <w:r>
        <w:rPr>
          <w:color w:val="auto"/>
          <w:sz w:val="24"/>
          <w:highlight w:val="none"/>
        </w:rPr>
        <w:t>4、定期召开安全生产调度会，及时传达中央及地方有关安全生产的精神。</w:t>
      </w:r>
    </w:p>
    <w:p>
      <w:pPr>
        <w:adjustRightInd w:val="0"/>
        <w:snapToGrid w:val="0"/>
        <w:spacing w:line="343" w:lineRule="auto"/>
        <w:ind w:firstLine="480" w:firstLineChars="200"/>
        <w:rPr>
          <w:color w:val="auto"/>
          <w:sz w:val="24"/>
          <w:highlight w:val="none"/>
        </w:rPr>
      </w:pPr>
      <w:r>
        <w:rPr>
          <w:color w:val="auto"/>
          <w:sz w:val="24"/>
          <w:highlight w:val="none"/>
        </w:rPr>
        <w:t>5、组织对</w:t>
      </w:r>
      <w:r>
        <w:rPr>
          <w:rFonts w:hint="eastAsia"/>
          <w:color w:val="auto"/>
          <w:sz w:val="24"/>
          <w:highlight w:val="none"/>
          <w:lang w:eastAsia="zh-CN"/>
        </w:rPr>
        <w:t>承包人</w:t>
      </w:r>
      <w:r>
        <w:rPr>
          <w:color w:val="auto"/>
          <w:sz w:val="24"/>
          <w:highlight w:val="none"/>
        </w:rPr>
        <w:t>施工现场安全生产检查，监督</w:t>
      </w:r>
      <w:r>
        <w:rPr>
          <w:rFonts w:hint="eastAsia"/>
          <w:color w:val="auto"/>
          <w:sz w:val="24"/>
          <w:highlight w:val="none"/>
          <w:lang w:eastAsia="zh-CN"/>
        </w:rPr>
        <w:t>承包人</w:t>
      </w:r>
      <w:r>
        <w:rPr>
          <w:color w:val="auto"/>
          <w:sz w:val="24"/>
          <w:highlight w:val="none"/>
        </w:rPr>
        <w:t>及时处理发现的各种安全隐患。</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二、</w:t>
      </w:r>
      <w:r>
        <w:rPr>
          <w:rFonts w:hint="eastAsia" w:eastAsia="黑体"/>
          <w:color w:val="auto"/>
          <w:sz w:val="24"/>
          <w:highlight w:val="none"/>
          <w:lang w:eastAsia="zh-CN"/>
        </w:rPr>
        <w:t>承包人</w:t>
      </w:r>
      <w:r>
        <w:rPr>
          <w:rFonts w:eastAsia="黑体"/>
          <w:color w:val="auto"/>
          <w:sz w:val="24"/>
          <w:highlight w:val="none"/>
        </w:rPr>
        <w:t>职责</w:t>
      </w:r>
    </w:p>
    <w:p>
      <w:pPr>
        <w:adjustRightInd w:val="0"/>
        <w:snapToGrid w:val="0"/>
        <w:spacing w:line="343" w:lineRule="auto"/>
        <w:ind w:firstLine="480" w:firstLineChars="200"/>
        <w:rPr>
          <w:color w:val="auto"/>
          <w:sz w:val="24"/>
          <w:highlight w:val="none"/>
        </w:rPr>
      </w:pPr>
      <w:r>
        <w:rPr>
          <w:color w:val="auto"/>
          <w:sz w:val="24"/>
          <w:highlight w:val="none"/>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2、坚持</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343" w:lineRule="auto"/>
        <w:ind w:firstLine="480" w:firstLineChars="200"/>
        <w:rPr>
          <w:color w:val="auto"/>
          <w:sz w:val="24"/>
          <w:highlight w:val="none"/>
        </w:rPr>
      </w:pPr>
      <w:r>
        <w:rPr>
          <w:color w:val="auto"/>
          <w:sz w:val="24"/>
          <w:highlight w:val="none"/>
        </w:rPr>
        <w:t>4、</w:t>
      </w:r>
      <w:r>
        <w:rPr>
          <w:rFonts w:hint="eastAsia"/>
          <w:color w:val="auto"/>
          <w:sz w:val="24"/>
          <w:highlight w:val="none"/>
          <w:lang w:eastAsia="zh-CN"/>
        </w:rPr>
        <w:t>承包人</w:t>
      </w:r>
      <w:r>
        <w:rPr>
          <w:color w:val="auto"/>
          <w:sz w:val="24"/>
          <w:highlight w:val="none"/>
        </w:rPr>
        <w:t>在任何时候都应采取各种合理的预防措施，防止其员工发生任何违法、违禁、暴力或妨碍治安的行为。</w:t>
      </w:r>
    </w:p>
    <w:p>
      <w:pPr>
        <w:adjustRightInd w:val="0"/>
        <w:snapToGrid w:val="0"/>
        <w:spacing w:line="343" w:lineRule="auto"/>
        <w:ind w:firstLine="480" w:firstLineChars="200"/>
        <w:rPr>
          <w:color w:val="auto"/>
          <w:sz w:val="24"/>
          <w:highlight w:val="none"/>
        </w:rPr>
      </w:pPr>
      <w:r>
        <w:rPr>
          <w:color w:val="auto"/>
          <w:sz w:val="24"/>
          <w:highlight w:val="none"/>
        </w:rPr>
        <w:t>5、</w:t>
      </w:r>
      <w:r>
        <w:rPr>
          <w:rFonts w:hint="eastAsia"/>
          <w:color w:val="auto"/>
          <w:sz w:val="24"/>
          <w:highlight w:val="none"/>
          <w:lang w:eastAsia="zh-CN"/>
        </w:rPr>
        <w:t>承包人</w:t>
      </w:r>
      <w:r>
        <w:rPr>
          <w:color w:val="auto"/>
          <w:sz w:val="24"/>
          <w:highlight w:val="none"/>
        </w:rPr>
        <w:t>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43" w:lineRule="auto"/>
        <w:ind w:firstLine="480" w:firstLineChars="200"/>
        <w:rPr>
          <w:color w:val="auto"/>
          <w:sz w:val="24"/>
          <w:highlight w:val="none"/>
        </w:rPr>
      </w:pPr>
      <w:r>
        <w:rPr>
          <w:color w:val="auto"/>
          <w:sz w:val="24"/>
          <w:highlight w:val="none"/>
        </w:rPr>
        <w:t>6、对于易燃易爆的材料除应专门妥善保管之外，还应配备有足够的消防设施，所有施工人员都应熟悉消防设备的性能和使用方法；</w:t>
      </w:r>
      <w:r>
        <w:rPr>
          <w:rFonts w:hint="eastAsia"/>
          <w:color w:val="auto"/>
          <w:sz w:val="24"/>
          <w:highlight w:val="none"/>
          <w:lang w:eastAsia="zh-CN"/>
        </w:rPr>
        <w:t>承包人</w:t>
      </w:r>
      <w:r>
        <w:rPr>
          <w:color w:val="auto"/>
          <w:sz w:val="24"/>
          <w:highlight w:val="none"/>
        </w:rPr>
        <w:t>不得将任何种类的爆炸物给予、易货或以其他方式转让给任何其他人，或允许、容忍上述同样行为。</w:t>
      </w:r>
    </w:p>
    <w:p>
      <w:pPr>
        <w:adjustRightInd w:val="0"/>
        <w:snapToGrid w:val="0"/>
        <w:spacing w:line="343" w:lineRule="auto"/>
        <w:ind w:firstLine="480" w:firstLineChars="200"/>
        <w:rPr>
          <w:color w:val="auto"/>
          <w:sz w:val="24"/>
          <w:highlight w:val="none"/>
        </w:rPr>
      </w:pPr>
      <w:r>
        <w:rPr>
          <w:color w:val="auto"/>
          <w:sz w:val="24"/>
          <w:highlight w:val="none"/>
        </w:rPr>
        <w:t>7、操作人员上岗，必须按规定穿戴防护用品。施工负责人和安全检查员应随时检查劳动防护用品的穿戴情况，不按规定穿戴防护用品的人员不得上岗。</w:t>
      </w:r>
    </w:p>
    <w:p>
      <w:pPr>
        <w:adjustRightInd w:val="0"/>
        <w:snapToGrid w:val="0"/>
        <w:spacing w:line="343" w:lineRule="auto"/>
        <w:ind w:firstLine="480" w:firstLineChars="200"/>
        <w:rPr>
          <w:color w:val="auto"/>
          <w:sz w:val="24"/>
          <w:highlight w:val="none"/>
        </w:rPr>
      </w:pPr>
      <w:r>
        <w:rPr>
          <w:color w:val="auto"/>
          <w:sz w:val="24"/>
          <w:highlight w:val="none"/>
        </w:rPr>
        <w:t>8、所有施工机具设备和高空作业的设备均应定期检查，并有安全员的签字记录，保证其经常处于完好状态；不合格的机具、设备和劳动保护用品严禁使用。</w:t>
      </w:r>
    </w:p>
    <w:p>
      <w:pPr>
        <w:adjustRightInd w:val="0"/>
        <w:snapToGrid w:val="0"/>
        <w:spacing w:line="343" w:lineRule="auto"/>
        <w:ind w:firstLine="480" w:firstLineChars="200"/>
        <w:rPr>
          <w:color w:val="auto"/>
          <w:sz w:val="24"/>
          <w:highlight w:val="none"/>
        </w:rPr>
      </w:pPr>
      <w:r>
        <w:rPr>
          <w:color w:val="auto"/>
          <w:sz w:val="24"/>
          <w:highlight w:val="none"/>
        </w:rPr>
        <w:t>9、施工中采用新技术、新工艺、新设备、新材料时，必须制定相应的安全技术措施，施工现场必须具有相关的安全标志牌。</w:t>
      </w:r>
    </w:p>
    <w:p>
      <w:pPr>
        <w:adjustRightInd w:val="0"/>
        <w:snapToGrid w:val="0"/>
        <w:spacing w:line="343" w:lineRule="auto"/>
        <w:ind w:firstLine="480" w:firstLineChars="200"/>
        <w:rPr>
          <w:color w:val="auto"/>
          <w:sz w:val="24"/>
          <w:highlight w:val="none"/>
        </w:rPr>
      </w:pPr>
      <w:r>
        <w:rPr>
          <w:color w:val="auto"/>
          <w:sz w:val="24"/>
          <w:highlight w:val="none"/>
        </w:rPr>
        <w:t>10，</w:t>
      </w:r>
      <w:r>
        <w:rPr>
          <w:rFonts w:hint="eastAsia"/>
          <w:color w:val="auto"/>
          <w:sz w:val="24"/>
          <w:highlight w:val="none"/>
          <w:lang w:eastAsia="zh-CN"/>
        </w:rPr>
        <w:t>承包人</w:t>
      </w:r>
      <w:r>
        <w:rPr>
          <w:color w:val="auto"/>
          <w:sz w:val="24"/>
          <w:highlight w:val="none"/>
        </w:rPr>
        <w:t>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43" w:lineRule="auto"/>
        <w:ind w:firstLine="480" w:firstLineChars="200"/>
        <w:rPr>
          <w:color w:val="auto"/>
          <w:sz w:val="24"/>
          <w:highlight w:val="none"/>
        </w:rPr>
      </w:pPr>
      <w:r>
        <w:rPr>
          <w:color w:val="auto"/>
          <w:sz w:val="24"/>
          <w:highlight w:val="none"/>
        </w:rPr>
        <w:t>11、安全生产费用按照交通部有关规定使用和管理。</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三、违约责任</w:t>
      </w:r>
    </w:p>
    <w:p>
      <w:pPr>
        <w:adjustRightInd w:val="0"/>
        <w:snapToGrid w:val="0"/>
        <w:spacing w:line="343" w:lineRule="auto"/>
        <w:ind w:firstLine="480" w:firstLineChars="200"/>
        <w:rPr>
          <w:color w:val="auto"/>
          <w:sz w:val="24"/>
          <w:highlight w:val="none"/>
        </w:rPr>
      </w:pPr>
      <w:r>
        <w:rPr>
          <w:color w:val="auto"/>
          <w:sz w:val="24"/>
          <w:highlight w:val="none"/>
        </w:rPr>
        <w:t>如因</w:t>
      </w:r>
      <w:r>
        <w:rPr>
          <w:rFonts w:hint="eastAsia"/>
          <w:color w:val="auto"/>
          <w:sz w:val="24"/>
          <w:highlight w:val="none"/>
          <w:lang w:eastAsia="zh-CN"/>
        </w:rPr>
        <w:t>发包人</w:t>
      </w:r>
      <w:r>
        <w:rPr>
          <w:color w:val="auto"/>
          <w:sz w:val="24"/>
          <w:highlight w:val="none"/>
        </w:rPr>
        <w:t>或</w:t>
      </w:r>
      <w:r>
        <w:rPr>
          <w:rFonts w:hint="eastAsia"/>
          <w:color w:val="auto"/>
          <w:sz w:val="24"/>
          <w:highlight w:val="none"/>
          <w:lang w:eastAsia="zh-CN"/>
        </w:rPr>
        <w:t>承包人</w:t>
      </w:r>
      <w:r>
        <w:rPr>
          <w:color w:val="auto"/>
          <w:sz w:val="24"/>
          <w:highlight w:val="none"/>
        </w:rPr>
        <w:t>违约造成安全事故，将依法追究责任。</w:t>
      </w:r>
    </w:p>
    <w:p>
      <w:pPr>
        <w:adjustRightInd w:val="0"/>
        <w:snapToGrid w:val="0"/>
        <w:spacing w:line="343" w:lineRule="auto"/>
        <w:ind w:firstLine="480" w:firstLineChars="200"/>
        <w:rPr>
          <w:color w:val="auto"/>
          <w:sz w:val="24"/>
          <w:highlight w:val="none"/>
        </w:rPr>
      </w:pPr>
      <w:r>
        <w:rPr>
          <w:color w:val="auto"/>
          <w:sz w:val="24"/>
          <w:highlight w:val="none"/>
        </w:rPr>
        <w:t>四、</w:t>
      </w:r>
      <w:r>
        <w:rPr>
          <w:rFonts w:hint="eastAsia"/>
          <w:color w:val="auto"/>
          <w:sz w:val="24"/>
          <w:highlight w:val="none"/>
          <w:lang w:eastAsia="zh-CN"/>
        </w:rPr>
        <w:t>本合同</w:t>
      </w:r>
      <w:r>
        <w:rPr>
          <w:color w:val="auto"/>
          <w:sz w:val="24"/>
          <w:highlight w:val="none"/>
        </w:rPr>
        <w:t>由双方法定代表人或其授权的代理人签署与加盖公章后生效，全部工程国家验收后失效。</w:t>
      </w:r>
    </w:p>
    <w:p>
      <w:pPr>
        <w:adjustRightInd w:val="0"/>
        <w:snapToGrid w:val="0"/>
        <w:spacing w:line="343" w:lineRule="auto"/>
        <w:ind w:firstLine="480" w:firstLineChars="200"/>
        <w:rPr>
          <w:color w:val="auto"/>
          <w:sz w:val="24"/>
          <w:highlight w:val="none"/>
        </w:rPr>
      </w:pPr>
      <w:r>
        <w:rPr>
          <w:rFonts w:hint="eastAsia"/>
          <w:color w:val="auto"/>
          <w:sz w:val="24"/>
          <w:highlight w:val="none"/>
          <w:lang w:eastAsia="zh-CN"/>
        </w:rPr>
        <w:t>五、</w:t>
      </w:r>
      <w:r>
        <w:rPr>
          <w:color w:val="auto"/>
          <w:sz w:val="24"/>
          <w:highlight w:val="none"/>
        </w:rPr>
        <w:t>本合同正本一式二份，副本</w:t>
      </w:r>
      <w:r>
        <w:rPr>
          <w:rFonts w:hint="eastAsia"/>
          <w:color w:val="auto"/>
          <w:sz w:val="24"/>
          <w:highlight w:val="none"/>
          <w:u w:val="single"/>
          <w:lang w:val="en-US" w:eastAsia="zh-CN"/>
        </w:rPr>
        <w:t xml:space="preserve">   </w:t>
      </w:r>
      <w:r>
        <w:rPr>
          <w:color w:val="auto"/>
          <w:sz w:val="24"/>
          <w:highlight w:val="none"/>
        </w:rPr>
        <w:t>份，合同双方各执正本一份，副本</w:t>
      </w:r>
      <w:r>
        <w:rPr>
          <w:rFonts w:hint="eastAsia"/>
          <w:color w:val="auto"/>
          <w:sz w:val="24"/>
          <w:highlight w:val="none"/>
          <w:u w:val="single"/>
          <w:lang w:val="en-US" w:eastAsia="zh-CN"/>
        </w:rPr>
        <w:t xml:space="preserve">     </w:t>
      </w:r>
      <w:r>
        <w:rPr>
          <w:color w:val="auto"/>
          <w:sz w:val="24"/>
          <w:highlight w:val="none"/>
        </w:rPr>
        <w:t>份</w:t>
      </w:r>
      <w:r>
        <w:rPr>
          <w:rFonts w:hint="eastAsia"/>
          <w:color w:val="auto"/>
          <w:sz w:val="24"/>
          <w:highlight w:val="none"/>
          <w:lang w:eastAsia="zh-CN"/>
        </w:rPr>
        <w:t>，当正本与副本的内容不一致时，以正本为准。</w:t>
      </w:r>
    </w:p>
    <w:p>
      <w:pPr>
        <w:adjustRightInd w:val="0"/>
        <w:snapToGrid w:val="0"/>
        <w:spacing w:beforeLines="100" w:line="343" w:lineRule="auto"/>
        <w:rPr>
          <w:color w:val="auto"/>
          <w:sz w:val="24"/>
          <w:highlight w:val="none"/>
        </w:rPr>
      </w:pPr>
      <w:r>
        <w:rPr>
          <w:color w:val="auto"/>
          <w:sz w:val="24"/>
          <w:highlight w:val="none"/>
        </w:rPr>
        <w:t>甲</w:t>
      </w:r>
      <w:r>
        <w:rPr>
          <w:rFonts w:hint="eastAsia"/>
          <w:color w:val="auto"/>
          <w:sz w:val="24"/>
          <w:highlight w:val="none"/>
        </w:rPr>
        <w:t xml:space="preserve">  </w:t>
      </w:r>
      <w:r>
        <w:rPr>
          <w:color w:val="auto"/>
          <w:sz w:val="24"/>
          <w:highlight w:val="none"/>
        </w:rPr>
        <w:t>方：</w:t>
      </w:r>
      <w:r>
        <w:rPr>
          <w:rFonts w:hint="eastAsia"/>
          <w:color w:val="auto"/>
          <w:sz w:val="24"/>
          <w:highlight w:val="none"/>
          <w:u w:val="single"/>
        </w:rPr>
        <w:t xml:space="preserve">  单位全称    （盖章）</w:t>
      </w:r>
      <w:r>
        <w:rPr>
          <w:rFonts w:hint="eastAsia"/>
          <w:color w:val="auto"/>
          <w:sz w:val="24"/>
          <w:highlight w:val="none"/>
        </w:rPr>
        <w:t xml:space="preserve">         乙  </w:t>
      </w:r>
      <w:r>
        <w:rPr>
          <w:color w:val="auto"/>
          <w:sz w:val="24"/>
          <w:highlight w:val="none"/>
        </w:rPr>
        <w:t>方：</w:t>
      </w:r>
      <w:r>
        <w:rPr>
          <w:rFonts w:hint="eastAsia"/>
          <w:color w:val="auto"/>
          <w:sz w:val="24"/>
          <w:highlight w:val="none"/>
          <w:u w:val="single"/>
        </w:rPr>
        <w:t xml:space="preserve">  单位全称    （盖章）</w:t>
      </w:r>
    </w:p>
    <w:p>
      <w:pPr>
        <w:adjustRightInd w:val="0"/>
        <w:snapToGrid w:val="0"/>
        <w:spacing w:line="343" w:lineRule="auto"/>
        <w:rPr>
          <w:rFonts w:hint="eastAsia"/>
          <w:color w:val="auto"/>
          <w:sz w:val="24"/>
          <w:highlight w:val="none"/>
          <w:u w:val="single"/>
          <w:lang w:val="en-US" w:eastAsia="zh-CN"/>
        </w:rPr>
      </w:pPr>
      <w:r>
        <w:rPr>
          <w:color w:val="auto"/>
          <w:sz w:val="24"/>
          <w:highlight w:val="none"/>
        </w:rPr>
        <w:t>法定代表人</w:t>
      </w:r>
      <w:r>
        <w:rPr>
          <w:rFonts w:hint="eastAsia"/>
          <w:color w:val="auto"/>
          <w:sz w:val="24"/>
          <w:highlight w:val="none"/>
          <w:lang w:eastAsia="zh-CN"/>
        </w:rPr>
        <w:t>或其授权代理人：</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rPr>
        <w:t xml:space="preserve">  </w:t>
      </w:r>
      <w:r>
        <w:rPr>
          <w:color w:val="auto"/>
          <w:sz w:val="24"/>
          <w:highlight w:val="none"/>
        </w:rPr>
        <w:t>法定代表人或其授权的代理人</w:t>
      </w:r>
      <w:r>
        <w:rPr>
          <w:rFonts w:hint="eastAsia"/>
          <w:color w:val="auto"/>
          <w:sz w:val="24"/>
          <w:highlight w:val="none"/>
          <w:lang w:eastAsia="zh-CN"/>
        </w:rPr>
        <w:t>：</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 xml:space="preserve">签字 </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 xml:space="preserve">         </w:t>
      </w:r>
    </w:p>
    <w:p>
      <w:pPr>
        <w:adjustRightInd w:val="0"/>
        <w:snapToGrid w:val="0"/>
        <w:spacing w:line="343" w:lineRule="auto"/>
        <w:ind w:firstLine="1920" w:firstLineChars="800"/>
        <w:rPr>
          <w:color w:val="auto"/>
          <w:sz w:val="24"/>
          <w:highlight w:val="none"/>
        </w:rPr>
      </w:pPr>
      <w:r>
        <w:rPr>
          <w:rFonts w:hint="eastAsia"/>
          <w:color w:val="auto"/>
          <w:sz w:val="24"/>
          <w:highlight w:val="none"/>
          <w:u w:val="single"/>
          <w:lang w:val="en-US" w:eastAsia="zh-CN"/>
        </w:rPr>
        <w:t xml:space="preserve">   </w:t>
      </w:r>
      <w:r>
        <w:rPr>
          <w:rFonts w:hint="eastAsia"/>
          <w:color w:val="auto"/>
          <w:sz w:val="24"/>
          <w:highlight w:val="none"/>
          <w:u w:val="none"/>
          <w:lang w:val="en-US" w:eastAsia="zh-CN"/>
        </w:rPr>
        <w:t>年</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月</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日</w:t>
      </w:r>
      <w:r>
        <w:rPr>
          <w:rFonts w:hint="eastAsia"/>
          <w:color w:val="auto"/>
          <w:sz w:val="24"/>
          <w:highlight w:val="none"/>
          <w:u w:val="none"/>
        </w:rPr>
        <w:t xml:space="preserve"> </w:t>
      </w:r>
      <w:r>
        <w:rPr>
          <w:rFonts w:hint="eastAsia"/>
          <w:color w:val="auto"/>
          <w:sz w:val="24"/>
          <w:highlight w:val="none"/>
        </w:rPr>
        <w:t xml:space="preserve">               </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年</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月</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日</w:t>
      </w:r>
      <w:r>
        <w:rPr>
          <w:rFonts w:hint="eastAsia"/>
          <w:color w:val="auto"/>
          <w:sz w:val="24"/>
          <w:highlight w:val="none"/>
          <w:u w:val="none"/>
        </w:rPr>
        <w:t xml:space="preserve"> </w:t>
      </w:r>
      <w:r>
        <w:rPr>
          <w:rFonts w:hint="eastAsia"/>
          <w:color w:val="auto"/>
          <w:sz w:val="24"/>
          <w:highlight w:val="none"/>
        </w:rPr>
        <w:t xml:space="preserve">   </w:t>
      </w:r>
    </w:p>
    <w:p>
      <w:pPr>
        <w:adjustRightInd w:val="0"/>
        <w:snapToGrid w:val="0"/>
        <w:spacing w:line="343" w:lineRule="auto"/>
        <w:rPr>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r>
        <w:rPr>
          <w:rFonts w:hint="eastAsia" w:ascii="黑体" w:eastAsia="黑体"/>
          <w:color w:val="auto"/>
          <w:sz w:val="24"/>
          <w:highlight w:val="none"/>
        </w:rPr>
        <w:t xml:space="preserve">附件四：其他管理和技术人员最低要求 </w:t>
      </w:r>
    </w:p>
    <w:p>
      <w:pPr>
        <w:adjustRightInd w:val="0"/>
        <w:snapToGrid w:val="0"/>
        <w:spacing w:line="360" w:lineRule="auto"/>
        <w:rPr>
          <w:rFonts w:hint="eastAsia" w:ascii="黑体" w:eastAsia="黑体"/>
          <w:color w:val="auto"/>
          <w:sz w:val="24"/>
          <w:highlight w:val="none"/>
        </w:rPr>
      </w:pPr>
    </w:p>
    <w:tbl>
      <w:tblPr>
        <w:tblW w:w="9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172"/>
        <w:gridCol w:w="3172"/>
      </w:tblGrid>
      <w:tr>
        <w:trPr>
          <w:trHeight w:val="653" w:hRule="atLeast"/>
        </w:trPr>
        <w:tc>
          <w:tcPr>
            <w:tcW w:w="3171" w:type="dxa"/>
            <w:vAlign w:val="center"/>
          </w:tcPr>
          <w:p>
            <w:pPr>
              <w:adjustRightInd w:val="0"/>
              <w:snapToGrid w:val="0"/>
              <w:spacing w:before="0" w:beforeAutospacing="0" w:after="0" w:afterAutospacing="0" w:line="343" w:lineRule="auto"/>
              <w:ind w:left="0" w:right="0"/>
              <w:jc w:val="center"/>
              <w:rPr>
                <w:rFonts w:hint="eastAsia"/>
                <w:color w:val="auto"/>
                <w:sz w:val="36"/>
                <w:szCs w:val="36"/>
                <w:highlight w:val="none"/>
                <w:lang w:eastAsia="zh-CN"/>
              </w:rPr>
            </w:pPr>
            <w:r>
              <w:rPr>
                <w:rFonts w:hint="eastAsia"/>
                <w:color w:val="auto"/>
                <w:sz w:val="32"/>
                <w:szCs w:val="32"/>
                <w:highlight w:val="none"/>
                <w:lang w:eastAsia="zh-CN"/>
              </w:rPr>
              <w:t>人员</w:t>
            </w:r>
          </w:p>
        </w:tc>
        <w:tc>
          <w:tcPr>
            <w:tcW w:w="3172" w:type="dxa"/>
            <w:vAlign w:val="center"/>
          </w:tcPr>
          <w:p>
            <w:pPr>
              <w:adjustRightInd w:val="0"/>
              <w:snapToGrid w:val="0"/>
              <w:spacing w:before="0" w:beforeAutospacing="0" w:after="0" w:afterAutospacing="0" w:line="343" w:lineRule="auto"/>
              <w:ind w:left="0" w:right="0"/>
              <w:jc w:val="center"/>
              <w:rPr>
                <w:rFonts w:hint="eastAsia" w:eastAsia="宋体"/>
                <w:color w:val="auto"/>
                <w:sz w:val="28"/>
                <w:szCs w:val="28"/>
                <w:highlight w:val="none"/>
                <w:lang w:eastAsia="zh-CN"/>
              </w:rPr>
            </w:pPr>
            <w:r>
              <w:rPr>
                <w:rFonts w:hint="eastAsia"/>
                <w:color w:val="auto"/>
                <w:sz w:val="28"/>
                <w:szCs w:val="28"/>
                <w:highlight w:val="none"/>
                <w:lang w:eastAsia="zh-CN"/>
              </w:rPr>
              <w:t>数量</w:t>
            </w:r>
          </w:p>
        </w:tc>
        <w:tc>
          <w:tcPr>
            <w:tcW w:w="3172" w:type="dxa"/>
            <w:vAlign w:val="center"/>
          </w:tcPr>
          <w:p>
            <w:pPr>
              <w:adjustRightInd w:val="0"/>
              <w:snapToGrid w:val="0"/>
              <w:spacing w:before="0" w:beforeAutospacing="0" w:after="0" w:afterAutospacing="0" w:line="343" w:lineRule="auto"/>
              <w:ind w:left="0" w:right="0"/>
              <w:jc w:val="center"/>
              <w:rPr>
                <w:rFonts w:hint="eastAsia" w:eastAsia="宋体"/>
                <w:color w:val="auto"/>
                <w:sz w:val="28"/>
                <w:szCs w:val="28"/>
                <w:highlight w:val="none"/>
                <w:lang w:eastAsia="zh-CN"/>
              </w:rPr>
            </w:pPr>
            <w:r>
              <w:rPr>
                <w:rFonts w:hint="eastAsia"/>
                <w:color w:val="auto"/>
                <w:sz w:val="28"/>
                <w:szCs w:val="28"/>
                <w:highlight w:val="none"/>
                <w:lang w:eastAsia="zh-CN"/>
              </w:rPr>
              <w:t>资格要求</w:t>
            </w:r>
          </w:p>
        </w:tc>
      </w:tr>
      <w:tr>
        <w:trPr>
          <w:trHeight w:val="850" w:hRule="atLeast"/>
        </w:trPr>
        <w:tc>
          <w:tcPr>
            <w:tcW w:w="3171"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r>
      <w:tr>
        <w:trPr>
          <w:trHeight w:val="850" w:hRule="atLeast"/>
        </w:trPr>
        <w:tc>
          <w:tcPr>
            <w:tcW w:w="3171"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r>
      <w:tr>
        <w:trPr>
          <w:trHeight w:val="850" w:hRule="atLeast"/>
        </w:trPr>
        <w:tc>
          <w:tcPr>
            <w:tcW w:w="3171"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r>
      <w:tr>
        <w:trPr>
          <w:trHeight w:val="850" w:hRule="atLeast"/>
        </w:trPr>
        <w:tc>
          <w:tcPr>
            <w:tcW w:w="3171"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r>
      <w:tr>
        <w:trPr>
          <w:trHeight w:val="850" w:hRule="atLeast"/>
        </w:trPr>
        <w:tc>
          <w:tcPr>
            <w:tcW w:w="3171"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r>
      <w:tr>
        <w:trPr>
          <w:trHeight w:val="850" w:hRule="atLeast"/>
        </w:trPr>
        <w:tc>
          <w:tcPr>
            <w:tcW w:w="3171"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r>
      <w:tr>
        <w:trPr>
          <w:trHeight w:val="850" w:hRule="atLeast"/>
        </w:trPr>
        <w:tc>
          <w:tcPr>
            <w:tcW w:w="3171"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r>
      <w:tr>
        <w:trPr>
          <w:trHeight w:val="850" w:hRule="atLeast"/>
        </w:trPr>
        <w:tc>
          <w:tcPr>
            <w:tcW w:w="3171"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r>
      <w:tr>
        <w:trPr>
          <w:trHeight w:val="850" w:hRule="atLeast"/>
        </w:trPr>
        <w:tc>
          <w:tcPr>
            <w:tcW w:w="3171"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r>
      <w:tr>
        <w:trPr>
          <w:trHeight w:val="850" w:hRule="atLeast"/>
        </w:trPr>
        <w:tc>
          <w:tcPr>
            <w:tcW w:w="3171"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r>
      <w:tr>
        <w:trPr>
          <w:trHeight w:val="850" w:hRule="atLeast"/>
        </w:trPr>
        <w:tc>
          <w:tcPr>
            <w:tcW w:w="3171"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c>
          <w:tcPr>
            <w:tcW w:w="3172" w:type="dxa"/>
            <w:vAlign w:val="center"/>
          </w:tcPr>
          <w:p>
            <w:pPr>
              <w:adjustRightInd w:val="0"/>
              <w:snapToGrid w:val="0"/>
              <w:spacing w:before="0" w:beforeAutospacing="0" w:after="0" w:afterAutospacing="0" w:line="343" w:lineRule="auto"/>
              <w:ind w:left="0" w:right="0" w:firstLine="560" w:firstLineChars="200"/>
              <w:rPr>
                <w:rFonts w:hint="eastAsia"/>
                <w:color w:val="auto"/>
                <w:sz w:val="28"/>
                <w:szCs w:val="28"/>
                <w:highlight w:val="none"/>
              </w:rPr>
            </w:pPr>
          </w:p>
        </w:tc>
      </w:tr>
    </w:tbl>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lang w:eastAsia="zh-CN"/>
        </w:rPr>
      </w:pPr>
      <w:r>
        <w:rPr>
          <w:rFonts w:hint="eastAsia" w:ascii="黑体" w:eastAsia="黑体"/>
          <w:color w:val="auto"/>
          <w:sz w:val="24"/>
          <w:highlight w:val="none"/>
        </w:rPr>
        <w:t>附件</w:t>
      </w:r>
      <w:r>
        <w:rPr>
          <w:rFonts w:hint="eastAsia" w:ascii="黑体" w:eastAsia="黑体"/>
          <w:color w:val="auto"/>
          <w:sz w:val="24"/>
          <w:highlight w:val="none"/>
          <w:lang w:eastAsia="zh-CN"/>
        </w:rPr>
        <w:t>五：主要机械设备和试验检测设备最低要求</w:t>
      </w:r>
    </w:p>
    <w:p>
      <w:pPr>
        <w:adjustRightInd w:val="0"/>
        <w:snapToGrid w:val="0"/>
        <w:spacing w:line="360" w:lineRule="auto"/>
        <w:rPr>
          <w:rFonts w:hint="eastAsia" w:ascii="黑体" w:eastAsia="黑体"/>
          <w:color w:val="auto"/>
          <w:sz w:val="24"/>
          <w:highlight w:val="none"/>
          <w:lang w:eastAsia="zh-CN"/>
        </w:rPr>
      </w:pPr>
    </w:p>
    <w:tbl>
      <w:tblPr>
        <w:tblW w:w="9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2379"/>
        <w:gridCol w:w="2379"/>
        <w:gridCol w:w="2379"/>
      </w:tblGrid>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设备名称</w:t>
            </w: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规格、功率及容量</w:t>
            </w: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单位</w:t>
            </w: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最低数量要求</w:t>
            </w:r>
          </w:p>
        </w:tc>
      </w:tr>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r>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r>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r>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r>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r>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r>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r>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r>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r>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r>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r>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r>
      <w:tr>
        <w:trPr>
          <w:trHeight w:val="680" w:hRule="atLeast"/>
        </w:trPr>
        <w:tc>
          <w:tcPr>
            <w:tcW w:w="23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c>
          <w:tcPr>
            <w:tcW w:w="2379"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color w:val="auto"/>
                <w:sz w:val="28"/>
                <w:szCs w:val="28"/>
                <w:highlight w:val="none"/>
                <w:lang w:eastAsia="zh-CN"/>
              </w:rPr>
            </w:pPr>
          </w:p>
        </w:tc>
      </w:tr>
    </w:tbl>
    <w:p>
      <w:pPr>
        <w:adjustRightInd w:val="0"/>
        <w:snapToGrid w:val="0"/>
        <w:spacing w:line="360" w:lineRule="auto"/>
        <w:rPr>
          <w:rFonts w:hint="eastAsia" w:ascii="黑体" w:eastAsia="黑体"/>
          <w:color w:val="auto"/>
          <w:sz w:val="24"/>
          <w:highlight w:val="none"/>
          <w:lang w:eastAsia="zh-CN"/>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w:t>
      </w:r>
      <w:r>
        <w:rPr>
          <w:rFonts w:hint="eastAsia" w:ascii="黑体" w:eastAsia="黑体"/>
          <w:color w:val="auto"/>
          <w:sz w:val="24"/>
          <w:highlight w:val="none"/>
          <w:lang w:eastAsia="zh-CN"/>
        </w:rPr>
        <w:t>六</w:t>
      </w:r>
      <w:r>
        <w:rPr>
          <w:rFonts w:hint="eastAsia" w:ascii="黑体" w:eastAsia="黑体"/>
          <w:color w:val="auto"/>
          <w:sz w:val="24"/>
          <w:highlight w:val="none"/>
        </w:rPr>
        <w:t>：项目经理委任书</w:t>
      </w:r>
    </w:p>
    <w:p>
      <w:pPr>
        <w:adjustRightInd w:val="0"/>
        <w:snapToGrid w:val="0"/>
        <w:spacing w:line="360" w:lineRule="auto"/>
        <w:jc w:val="center"/>
        <w:rPr>
          <w:rFonts w:ascii="黑体" w:eastAsia="黑体"/>
          <w:color w:val="auto"/>
          <w:sz w:val="30"/>
          <w:szCs w:val="30"/>
          <w:highlight w:val="none"/>
          <w:u w:val="single"/>
        </w:rPr>
      </w:pPr>
      <w:r>
        <w:rPr>
          <w:rFonts w:hint="eastAsia" w:ascii="黑体" w:eastAsia="黑体"/>
          <w:color w:val="auto"/>
          <w:sz w:val="30"/>
          <w:szCs w:val="30"/>
          <w:highlight w:val="none"/>
          <w:u w:val="single"/>
        </w:rPr>
        <w:t>（承包人全称）</w:t>
      </w:r>
    </w:p>
    <w:p>
      <w:pPr>
        <w:adjustRightInd w:val="0"/>
        <w:snapToGrid w:val="0"/>
        <w:spacing w:line="360" w:lineRule="auto"/>
        <w:jc w:val="center"/>
        <w:rPr>
          <w:color w:val="auto"/>
          <w:sz w:val="24"/>
          <w:highlight w:val="none"/>
        </w:rPr>
      </w:pPr>
      <w:r>
        <w:rPr>
          <w:rFonts w:hint="eastAsia" w:ascii="黑体" w:eastAsia="黑体"/>
          <w:color w:val="auto"/>
          <w:sz w:val="30"/>
          <w:szCs w:val="30"/>
          <w:highlight w:val="none"/>
          <w:u w:val="single"/>
        </w:rPr>
        <w:t>（合同工程名称）</w:t>
      </w:r>
      <w:r>
        <w:rPr>
          <w:rFonts w:hint="eastAsia" w:ascii="黑体" w:eastAsia="黑体"/>
          <w:color w:val="auto"/>
          <w:sz w:val="30"/>
          <w:szCs w:val="30"/>
          <w:highlight w:val="none"/>
        </w:rPr>
        <w:t>项目经理委</w:t>
      </w:r>
      <w:r>
        <w:rPr>
          <w:rFonts w:ascii="黑体" w:eastAsia="黑体"/>
          <w:color w:val="auto"/>
          <w:sz w:val="30"/>
          <w:szCs w:val="30"/>
          <w:highlight w:val="none"/>
        </w:rPr>
        <w:t>任书</w:t>
      </w:r>
    </w:p>
    <w:p>
      <w:pPr>
        <w:adjustRightInd w:val="0"/>
        <w:snapToGrid w:val="0"/>
        <w:spacing w:line="360" w:lineRule="auto"/>
        <w:jc w:val="center"/>
        <w:rPr>
          <w:color w:val="auto"/>
          <w:sz w:val="24"/>
          <w:highlight w:val="none"/>
        </w:rPr>
      </w:pPr>
    </w:p>
    <w:p>
      <w:pPr>
        <w:adjustRightInd w:val="0"/>
        <w:snapToGrid w:val="0"/>
        <w:spacing w:line="360" w:lineRule="auto"/>
        <w:jc w:val="left"/>
        <w:rPr>
          <w:color w:val="auto"/>
          <w:sz w:val="24"/>
          <w:highlight w:val="none"/>
        </w:rPr>
      </w:pPr>
      <w:r>
        <w:rPr>
          <w:color w:val="auto"/>
          <w:sz w:val="24"/>
          <w:highlight w:val="none"/>
        </w:rPr>
        <w:t>致：</w:t>
      </w:r>
      <w:r>
        <w:rPr>
          <w:color w:val="auto"/>
          <w:sz w:val="24"/>
          <w:highlight w:val="none"/>
          <w:u w:val="single"/>
        </w:rPr>
        <w:t>（发包人全称）</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u w:val="single"/>
        </w:rPr>
        <w:t>（承包人全称）</w:t>
      </w:r>
      <w:r>
        <w:rPr>
          <w:rFonts w:hint="eastAsia"/>
          <w:color w:val="auto"/>
          <w:sz w:val="24"/>
          <w:highlight w:val="none"/>
          <w:u w:val="single"/>
        </w:rPr>
        <w:t xml:space="preserve">  </w:t>
      </w:r>
      <w:r>
        <w:rPr>
          <w:color w:val="auto"/>
          <w:sz w:val="24"/>
          <w:highlight w:val="none"/>
        </w:rPr>
        <w:t>法定代表人</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代表本单位委任</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为</w:t>
      </w:r>
      <w:r>
        <w:rPr>
          <w:rFonts w:hint="eastAsia"/>
          <w:color w:val="auto"/>
          <w:sz w:val="24"/>
          <w:highlight w:val="none"/>
          <w:u w:val="single"/>
        </w:rPr>
        <w:t xml:space="preserve">  </w:t>
      </w:r>
      <w:r>
        <w:rPr>
          <w:color w:val="auto"/>
          <w:sz w:val="24"/>
          <w:highlight w:val="none"/>
          <w:u w:val="single"/>
        </w:rPr>
        <w:t>（合同工程名称）</w:t>
      </w:r>
      <w:r>
        <w:rPr>
          <w:rFonts w:hint="eastAsia"/>
          <w:color w:val="auto"/>
          <w:sz w:val="24"/>
          <w:highlight w:val="none"/>
          <w:u w:val="single"/>
        </w:rPr>
        <w:t xml:space="preserve">  </w:t>
      </w:r>
      <w:r>
        <w:rPr>
          <w:color w:val="auto"/>
          <w:sz w:val="24"/>
          <w:highlight w:val="none"/>
        </w:rPr>
        <w:t>的项目经理。凡本合同执行中的有关技术、工程进度、现场管理、质量检验、结算与支付等方面工作，由</w:t>
      </w:r>
      <w:r>
        <w:rPr>
          <w:rFonts w:hint="eastAsia"/>
          <w:color w:val="auto"/>
          <w:sz w:val="24"/>
          <w:highlight w:val="none"/>
          <w:u w:val="single"/>
        </w:rPr>
        <w:t xml:space="preserve">   （姓名）  </w:t>
      </w:r>
      <w:r>
        <w:rPr>
          <w:color w:val="auto"/>
          <w:sz w:val="24"/>
          <w:highlight w:val="none"/>
        </w:rPr>
        <w:t>代表本单位全面负</w:t>
      </w:r>
      <w:r>
        <w:rPr>
          <w:rFonts w:hint="eastAsia"/>
          <w:color w:val="auto"/>
          <w:sz w:val="24"/>
          <w:highlight w:val="none"/>
        </w:rPr>
        <w:t>责。</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080" w:firstLineChars="1700"/>
        <w:rPr>
          <w:color w:val="auto"/>
          <w:sz w:val="24"/>
          <w:highlight w:val="none"/>
        </w:rPr>
      </w:pPr>
      <w:r>
        <w:rPr>
          <w:color w:val="auto"/>
          <w:sz w:val="24"/>
          <w:highlight w:val="none"/>
        </w:rPr>
        <w:t>承</w:t>
      </w:r>
      <w:r>
        <w:rPr>
          <w:rFonts w:hint="eastAsia"/>
          <w:color w:val="auto"/>
          <w:sz w:val="24"/>
          <w:highlight w:val="none"/>
        </w:rPr>
        <w:t xml:space="preserve"> </w:t>
      </w:r>
      <w:r>
        <w:rPr>
          <w:color w:val="auto"/>
          <w:sz w:val="24"/>
          <w:highlight w:val="none"/>
        </w:rPr>
        <w:t>包</w:t>
      </w:r>
      <w:r>
        <w:rPr>
          <w:rFonts w:hint="eastAsia"/>
          <w:color w:val="auto"/>
          <w:sz w:val="24"/>
          <w:highlight w:val="none"/>
        </w:rPr>
        <w:t xml:space="preserve"> </w:t>
      </w:r>
      <w:r>
        <w:rPr>
          <w:color w:val="auto"/>
          <w:sz w:val="24"/>
          <w:highlight w:val="none"/>
        </w:rPr>
        <w:t>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u w:val="single"/>
        </w:rPr>
        <w:t>（盖章）</w:t>
      </w:r>
      <w:r>
        <w:rPr>
          <w:rFonts w:hint="eastAsia"/>
          <w:color w:val="auto"/>
          <w:sz w:val="24"/>
          <w:highlight w:val="none"/>
          <w:u w:val="single"/>
        </w:rPr>
        <w:t xml:space="preserve"> </w:t>
      </w:r>
    </w:p>
    <w:p>
      <w:pPr>
        <w:adjustRightInd w:val="0"/>
        <w:snapToGrid w:val="0"/>
        <w:spacing w:line="360" w:lineRule="auto"/>
        <w:ind w:firstLine="4800" w:firstLineChars="2000"/>
        <w:rPr>
          <w:color w:val="auto"/>
          <w:sz w:val="24"/>
          <w:highlight w:val="none"/>
        </w:rPr>
      </w:pPr>
      <w:r>
        <w:rPr>
          <w:color w:val="auto"/>
          <w:sz w:val="24"/>
          <w:highlight w:val="none"/>
        </w:rPr>
        <w:t>法定代表人：</w:t>
      </w:r>
      <w:r>
        <w:rPr>
          <w:rFonts w:hint="eastAsia"/>
          <w:color w:val="auto"/>
          <w:sz w:val="24"/>
          <w:highlight w:val="none"/>
          <w:u w:val="single"/>
        </w:rPr>
        <w:t xml:space="preserve">     （职务）     </w:t>
      </w:r>
    </w:p>
    <w:p>
      <w:pPr>
        <w:adjustRightInd w:val="0"/>
        <w:snapToGrid w:val="0"/>
        <w:spacing w:line="360" w:lineRule="auto"/>
        <w:ind w:firstLine="6240" w:firstLineChars="26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60" w:lineRule="auto"/>
        <w:ind w:firstLine="6240" w:firstLineChars="26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60" w:lineRule="auto"/>
        <w:ind w:firstLine="5760" w:firstLineChars="24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抄送：</w:t>
      </w:r>
      <w:r>
        <w:rPr>
          <w:rFonts w:hint="eastAsia"/>
          <w:color w:val="auto"/>
          <w:sz w:val="24"/>
          <w:highlight w:val="none"/>
          <w:u w:val="single"/>
        </w:rPr>
        <w:t xml:space="preserve">   </w:t>
      </w:r>
      <w:r>
        <w:rPr>
          <w:color w:val="auto"/>
          <w:sz w:val="24"/>
          <w:highlight w:val="none"/>
          <w:u w:val="single"/>
        </w:rPr>
        <w:t>（监理人）</w:t>
      </w:r>
      <w:r>
        <w:rPr>
          <w:rFonts w:hint="eastAsia"/>
          <w:color w:val="auto"/>
          <w:sz w:val="24"/>
          <w:highlight w:val="none"/>
          <w:u w:val="single"/>
        </w:rPr>
        <w:t xml:space="preserve">   </w:t>
      </w:r>
    </w:p>
    <w:p>
      <w:pPr>
        <w:adjustRightInd w:val="0"/>
        <w:snapToGrid w:val="0"/>
        <w:spacing w:line="360" w:lineRule="auto"/>
        <w:rPr>
          <w:rFonts w:ascii="宋体" w:hAnsi="宋体" w:eastAsia="宋体"/>
          <w:sz w:val="24"/>
          <w:highlight w:val="none"/>
        </w:rPr>
      </w:pPr>
      <w:r>
        <w:rPr>
          <w:color w:val="auto"/>
          <w:sz w:val="24"/>
          <w:highlight w:val="none"/>
        </w:rPr>
        <w:br w:type="page"/>
      </w: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w:t>
      </w:r>
      <w:r>
        <w:rPr>
          <w:rFonts w:hint="eastAsia" w:ascii="黑体" w:eastAsia="黑体"/>
          <w:color w:val="auto"/>
          <w:sz w:val="24"/>
          <w:highlight w:val="none"/>
          <w:lang w:eastAsia="zh-CN"/>
        </w:rPr>
        <w:t>七</w:t>
      </w:r>
      <w:r>
        <w:rPr>
          <w:rFonts w:hint="eastAsia" w:ascii="黑体" w:eastAsia="黑体"/>
          <w:color w:val="auto"/>
          <w:sz w:val="24"/>
          <w:highlight w:val="none"/>
        </w:rPr>
        <w:t>：履约担保格式</w:t>
      </w:r>
    </w:p>
    <w:p>
      <w:pPr>
        <w:adjustRightInd w:val="0"/>
        <w:snapToGrid w:val="0"/>
        <w:spacing w:beforeLines="100" w:afterLines="100" w:line="360" w:lineRule="auto"/>
        <w:jc w:val="center"/>
        <w:rPr>
          <w:rFonts w:ascii="黑体" w:eastAsia="黑体"/>
          <w:color w:val="auto"/>
          <w:sz w:val="30"/>
          <w:szCs w:val="30"/>
          <w:highlight w:val="none"/>
        </w:rPr>
      </w:pPr>
      <w:r>
        <w:rPr>
          <w:rFonts w:hint="eastAsia" w:ascii="黑体" w:eastAsia="黑体"/>
          <w:color w:val="auto"/>
          <w:sz w:val="30"/>
          <w:szCs w:val="30"/>
          <w:highlight w:val="none"/>
        </w:rPr>
        <w:t xml:space="preserve">履 约 </w:t>
      </w:r>
      <w:r>
        <w:rPr>
          <w:rFonts w:hint="eastAsia" w:ascii="黑体" w:eastAsia="黑体"/>
          <w:color w:val="auto"/>
          <w:sz w:val="30"/>
          <w:szCs w:val="30"/>
          <w:highlight w:val="none"/>
          <w:lang w:eastAsia="zh-CN"/>
        </w:rPr>
        <w:t>保</w:t>
      </w:r>
      <w:r>
        <w:rPr>
          <w:rFonts w:hint="eastAsia" w:ascii="黑体" w:eastAsia="黑体"/>
          <w:color w:val="auto"/>
          <w:sz w:val="30"/>
          <w:szCs w:val="30"/>
          <w:highlight w:val="none"/>
          <w:lang w:val="en-US" w:eastAsia="zh-CN"/>
        </w:rPr>
        <w:t xml:space="preserve"> </w:t>
      </w:r>
      <w:r>
        <w:rPr>
          <w:rFonts w:hint="eastAsia" w:ascii="黑体" w:eastAsia="黑体"/>
          <w:color w:val="auto"/>
          <w:sz w:val="30"/>
          <w:szCs w:val="30"/>
          <w:highlight w:val="none"/>
          <w:lang w:eastAsia="zh-CN"/>
        </w:rPr>
        <w:t>证</w:t>
      </w:r>
      <w:r>
        <w:rPr>
          <w:rFonts w:hint="eastAsia" w:ascii="黑体" w:eastAsia="黑体"/>
          <w:color w:val="auto"/>
          <w:sz w:val="30"/>
          <w:szCs w:val="30"/>
          <w:highlight w:val="none"/>
          <w:lang w:val="en-US" w:eastAsia="zh-CN"/>
        </w:rPr>
        <w:t xml:space="preserve"> </w:t>
      </w:r>
      <w:r>
        <w:rPr>
          <w:rFonts w:hint="eastAsia" w:ascii="黑体" w:eastAsia="黑体"/>
          <w:color w:val="auto"/>
          <w:sz w:val="30"/>
          <w:szCs w:val="30"/>
          <w:highlight w:val="none"/>
          <w:lang w:eastAsia="zh-CN"/>
        </w:rPr>
        <w:t>金</w:t>
      </w:r>
    </w:p>
    <w:p>
      <w:pPr>
        <w:adjustRightInd w:val="0"/>
        <w:snapToGrid w:val="0"/>
        <w:spacing w:line="360" w:lineRule="auto"/>
        <w:rPr>
          <w:color w:val="auto"/>
          <w:sz w:val="24"/>
          <w:highlight w:val="none"/>
        </w:rPr>
      </w:pPr>
      <w:r>
        <w:rPr>
          <w:rFonts w:hint="eastAsia"/>
          <w:color w:val="auto"/>
          <w:sz w:val="24"/>
          <w:highlight w:val="none"/>
          <w:u w:val="single"/>
        </w:rPr>
        <w:t xml:space="preserve">                      </w:t>
      </w:r>
      <w:r>
        <w:rPr>
          <w:color w:val="auto"/>
          <w:sz w:val="24"/>
          <w:highlight w:val="none"/>
        </w:rPr>
        <w:t>（发包人名称）：</w:t>
      </w:r>
    </w:p>
    <w:p>
      <w:pPr>
        <w:adjustRightInd w:val="0"/>
        <w:snapToGrid w:val="0"/>
        <w:spacing w:line="360" w:lineRule="auto"/>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鉴于</w:t>
      </w:r>
      <w:r>
        <w:rPr>
          <w:rFonts w:hint="eastAsia"/>
          <w:color w:val="auto"/>
          <w:sz w:val="24"/>
          <w:highlight w:val="none"/>
          <w:u w:val="single"/>
        </w:rPr>
        <w:t xml:space="preserve">                    </w:t>
      </w:r>
      <w:r>
        <w:rPr>
          <w:color w:val="auto"/>
          <w:sz w:val="24"/>
          <w:highlight w:val="none"/>
        </w:rPr>
        <w:t>（发包人名称，以下简称“发包人”）接受</w:t>
      </w:r>
      <w:r>
        <w:rPr>
          <w:rFonts w:hint="eastAsia"/>
          <w:color w:val="auto"/>
          <w:sz w:val="24"/>
          <w:highlight w:val="none"/>
          <w:u w:val="single"/>
        </w:rPr>
        <w:t xml:space="preserve">          </w:t>
      </w:r>
      <w:r>
        <w:rPr>
          <w:color w:val="auto"/>
          <w:sz w:val="24"/>
          <w:highlight w:val="none"/>
        </w:rPr>
        <w:t>（承包人名称）（以下称“承包人”）于</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日参加</w:t>
      </w:r>
      <w:r>
        <w:rPr>
          <w:rFonts w:hint="eastAsia"/>
          <w:color w:val="auto"/>
          <w:sz w:val="24"/>
          <w:highlight w:val="none"/>
          <w:u w:val="single"/>
        </w:rPr>
        <w:t xml:space="preserve">             </w:t>
      </w:r>
      <w:r>
        <w:rPr>
          <w:color w:val="auto"/>
          <w:sz w:val="24"/>
          <w:highlight w:val="none"/>
        </w:rPr>
        <w:t>（项目名称）</w:t>
      </w:r>
      <w:r>
        <w:rPr>
          <w:rFonts w:hint="eastAsia"/>
          <w:color w:val="auto"/>
          <w:sz w:val="24"/>
          <w:highlight w:val="none"/>
          <w:u w:val="single"/>
        </w:rPr>
        <w:t xml:space="preserve">          </w:t>
      </w:r>
      <w:r>
        <w:rPr>
          <w:color w:val="auto"/>
          <w:sz w:val="24"/>
          <w:highlight w:val="none"/>
        </w:rPr>
        <w:t>标段施工的投标。我方愿意无条件地、不可撤销地就承包人履行与你方订立的合同，向你方提供担保。</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担保金额人民币（大写）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担保有效期自发包人与承包人签订的合同生效之日起至发包人签发工程接收证书之日止。</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发包人和承包人按合同条款第15条变更合同时，我方承担本担保规定的义务不变。</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3840" w:firstLineChars="1600"/>
        <w:rPr>
          <w:color w:val="auto"/>
          <w:sz w:val="24"/>
          <w:highlight w:val="none"/>
        </w:rPr>
      </w:pPr>
      <w:r>
        <w:rPr>
          <w:color w:val="auto"/>
          <w:sz w:val="24"/>
          <w:highlight w:val="none"/>
        </w:rPr>
        <w:t>担保人：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ind w:firstLine="3835" w:firstLineChars="1598"/>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color w:val="auto"/>
          <w:sz w:val="24"/>
          <w:highlight w:val="none"/>
        </w:rPr>
        <w:t>（签字）</w:t>
      </w:r>
    </w:p>
    <w:p>
      <w:pPr>
        <w:adjustRightInd w:val="0"/>
        <w:snapToGrid w:val="0"/>
        <w:spacing w:line="360" w:lineRule="auto"/>
        <w:ind w:firstLine="3835" w:firstLineChars="1598"/>
        <w:rPr>
          <w:color w:val="auto"/>
          <w:sz w:val="24"/>
          <w:highlight w:val="none"/>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邮政编码：</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传</w:t>
      </w:r>
      <w:r>
        <w:rPr>
          <w:rFonts w:hint="eastAsia"/>
          <w:color w:val="auto"/>
          <w:sz w:val="24"/>
          <w:highlight w:val="none"/>
        </w:rPr>
        <w:t xml:space="preserve">    </w:t>
      </w:r>
      <w:r>
        <w:rPr>
          <w:color w:val="auto"/>
          <w:sz w:val="24"/>
          <w:highlight w:val="none"/>
        </w:rPr>
        <w:t>真：</w:t>
      </w:r>
      <w:r>
        <w:rPr>
          <w:rFonts w:hint="eastAsia"/>
          <w:color w:val="auto"/>
          <w:sz w:val="24"/>
          <w:highlight w:val="none"/>
          <w:u w:val="single"/>
        </w:rPr>
        <w:t xml:space="preserve">                       </w:t>
      </w:r>
    </w:p>
    <w:p>
      <w:pPr>
        <w:adjustRightInd w:val="0"/>
        <w:snapToGrid w:val="0"/>
        <w:spacing w:line="360" w:lineRule="auto"/>
        <w:ind w:firstLine="5032" w:firstLineChars="2097"/>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spacing w:line="355" w:lineRule="exact"/>
        <w:rPr>
          <w:rFonts w:ascii="Times New Roman" w:hAnsi="Times New Roman" w:eastAsia="Times New Roman"/>
          <w:highlight w:val="none"/>
        </w:rPr>
      </w:pPr>
    </w:p>
    <w:p>
      <w:pPr>
        <w:adjustRightInd w:val="0"/>
        <w:snapToGrid w:val="0"/>
        <w:spacing w:line="360" w:lineRule="auto"/>
        <w:rPr>
          <w:rFonts w:hint="eastAsia" w:ascii="黑体" w:eastAsia="黑体"/>
          <w:color w:val="auto"/>
          <w:sz w:val="24"/>
          <w:highlight w:val="none"/>
        </w:rPr>
      </w:pPr>
      <w:r>
        <w:rPr>
          <w:rFonts w:hint="eastAsia" w:ascii="黑体" w:eastAsia="黑体"/>
          <w:color w:val="auto"/>
          <w:sz w:val="24"/>
          <w:highlight w:val="none"/>
        </w:rPr>
        <w:t>附件八 工程资金监管协议格式</w:t>
      </w:r>
    </w:p>
    <w:p>
      <w:pPr>
        <w:spacing w:line="143" w:lineRule="exact"/>
        <w:rPr>
          <w:rFonts w:ascii="Times New Roman" w:hAnsi="Times New Roman" w:eastAsia="Times New Roman"/>
          <w:highlight w:val="none"/>
        </w:rPr>
      </w:pPr>
    </w:p>
    <w:p>
      <w:pPr>
        <w:spacing w:line="323" w:lineRule="auto"/>
        <w:ind w:firstLine="480"/>
        <w:rPr>
          <w:rFonts w:ascii="宋体" w:hAnsi="宋体" w:eastAsia="宋体"/>
          <w:sz w:val="23"/>
          <w:highlight w:val="none"/>
        </w:rPr>
      </w:pPr>
      <w:r>
        <w:rPr>
          <w:rFonts w:ascii="宋体" w:hAnsi="宋体" w:eastAsia="宋体"/>
          <w:sz w:val="23"/>
          <w:highlight w:val="none"/>
        </w:rPr>
        <w:t>（发包人与承包人签订合同协议书时应与发包人指定的银行签署工程资金监管协议，工程资金监管协议内容在保证本项目资金有效监管的前提下由三方共同商定）</w:t>
      </w: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spacing w:line="0" w:lineRule="atLeast"/>
        <w:ind w:left="3220"/>
        <w:rPr>
          <w:rFonts w:ascii="宋体" w:hAnsi="宋体" w:eastAsia="宋体"/>
          <w:sz w:val="28"/>
          <w:highlight w:val="none"/>
        </w:rPr>
      </w:pPr>
      <w:r>
        <w:rPr>
          <w:rFonts w:ascii="宋体" w:hAnsi="宋体" w:eastAsia="宋体"/>
          <w:sz w:val="28"/>
          <w:highlight w:val="none"/>
        </w:rPr>
        <w:t>工程资金监管协议</w:t>
      </w: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（以下简称“甲方”）</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（以下简称“乙方”）</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经办银行：</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（以下简称“丙方”）</w:t>
      </w:r>
    </w:p>
    <w:p>
      <w:pPr>
        <w:adjustRightInd w:val="0"/>
        <w:snapToGrid w:val="0"/>
        <w:spacing w:line="360" w:lineRule="auto"/>
        <w:rPr>
          <w:rFonts w:hint="eastAsia" w:ascii="黑体" w:eastAsia="黑体"/>
          <w:color w:val="auto"/>
          <w:sz w:val="24"/>
          <w:highlight w:val="none"/>
          <w:lang w:val="en-US" w:eastAsia="zh-CN"/>
        </w:rPr>
      </w:pPr>
      <w:r>
        <w:rPr>
          <w:rFonts w:hint="eastAsia" w:ascii="黑体" w:eastAsia="黑体"/>
          <w:color w:val="auto"/>
          <w:sz w:val="24"/>
          <w:highlight w:val="none"/>
          <w:lang w:val="en-US" w:eastAsia="zh-CN"/>
        </w:rPr>
        <w:t xml:space="preserve">   </w:t>
      </w:r>
    </w:p>
    <w:p>
      <w:pPr>
        <w:adjustRightInd w:val="0"/>
        <w:snapToGrid w:val="0"/>
        <w:spacing w:line="360" w:lineRule="auto"/>
        <w:ind w:firstLine="480" w:firstLineChars="200"/>
        <w:rPr>
          <w:rFonts w:hint="eastAsia" w:ascii="宋体" w:hAnsi="宋体"/>
          <w:sz w:val="24"/>
          <w:highlight w:val="none"/>
          <w:u w:val="none"/>
          <w:lang w:val="en-US" w:eastAsia="zh-CN"/>
        </w:rPr>
      </w:pPr>
      <w:r>
        <w:rPr>
          <w:rFonts w:ascii="宋体" w:hAnsi="宋体" w:eastAsia="宋体"/>
          <w:sz w:val="24"/>
          <w:highlight w:val="none"/>
        </w:rPr>
        <w:t>为了促进</w:t>
      </w:r>
      <w:r>
        <w:rPr>
          <w:rFonts w:hint="eastAsia" w:ascii="宋体" w:hAnsi="宋体"/>
          <w:sz w:val="24"/>
          <w:highlight w:val="none"/>
          <w:u w:val="single"/>
          <w:lang w:val="en-US" w:eastAsia="zh-CN"/>
        </w:rPr>
        <w:t xml:space="preserve">        </w:t>
      </w:r>
      <w:r>
        <w:rPr>
          <w:rFonts w:hint="eastAsia" w:ascii="宋体" w:hAnsi="宋体"/>
          <w:sz w:val="24"/>
          <w:highlight w:val="none"/>
          <w:u w:val="none"/>
          <w:lang w:val="en-US" w:eastAsia="zh-CN"/>
        </w:rPr>
        <w:t>（项目名称）的顺利实施，管好用好建设资金，确保工程资金专款专用，同时为承包人提供便捷有效的银行业务服务，根据</w:t>
      </w:r>
      <w:r>
        <w:rPr>
          <w:rFonts w:hint="eastAsia" w:ascii="宋体" w:hAnsi="宋体"/>
          <w:sz w:val="24"/>
          <w:highlight w:val="none"/>
          <w:u w:val="single"/>
          <w:lang w:val="en-US" w:eastAsia="zh-CN"/>
        </w:rPr>
        <w:t xml:space="preserve">          </w:t>
      </w:r>
      <w:r>
        <w:rPr>
          <w:rFonts w:hint="eastAsia" w:ascii="宋体" w:hAnsi="宋体"/>
          <w:sz w:val="24"/>
          <w:highlight w:val="none"/>
          <w:u w:val="none"/>
          <w:lang w:val="en-US" w:eastAsia="zh-CN"/>
        </w:rPr>
        <w:t>（项目名称）合同条款有关规定，经甲、乙、丙三方协商，达成协议如下：</w:t>
      </w:r>
    </w:p>
    <w:p>
      <w:pPr>
        <w:numPr>
          <w:ilvl w:val="0"/>
          <w:numId w:val="13"/>
        </w:numPr>
        <w:adjustRightInd w:val="0"/>
        <w:snapToGrid w:val="0"/>
        <w:spacing w:line="360" w:lineRule="auto"/>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资金管理的内容</w:t>
      </w:r>
    </w:p>
    <w:p>
      <w:pPr>
        <w:numPr>
          <w:numId w:val="0"/>
        </w:numPr>
        <w:adjustRightInd w:val="0"/>
        <w:snapToGrid w:val="0"/>
        <w:spacing w:line="360" w:lineRule="auto"/>
        <w:rPr>
          <w:rFonts w:hint="eastAsia" w:ascii="宋体" w:hAnsi="宋体"/>
          <w:sz w:val="24"/>
          <w:highlight w:val="none"/>
          <w:u w:val="none"/>
          <w:lang w:val="en-US" w:eastAsia="zh-CN"/>
        </w:rPr>
      </w:pPr>
      <w:r>
        <w:rPr>
          <w:rFonts w:hint="eastAsia" w:ascii="宋体" w:hAnsi="宋体"/>
          <w:sz w:val="24"/>
          <w:highlight w:val="none"/>
          <w:u w:val="none"/>
          <w:lang w:val="en-US" w:eastAsia="zh-CN"/>
        </w:rPr>
        <w:t xml:space="preserve">     （1）乙方为完成</w:t>
      </w:r>
      <w:r>
        <w:rPr>
          <w:rFonts w:hint="eastAsia" w:ascii="宋体" w:hAnsi="宋体"/>
          <w:sz w:val="24"/>
          <w:highlight w:val="none"/>
          <w:u w:val="none"/>
          <w:lang w:val="en-US" w:eastAsia="zh-CN"/>
        </w:rPr>
        <w:tab/>
      </w:r>
      <w:r>
        <w:rPr>
          <w:rFonts w:hint="eastAsia" w:ascii="宋体" w:hAnsi="宋体"/>
          <w:sz w:val="24"/>
          <w:highlight w:val="none"/>
          <w:u w:val="single"/>
          <w:lang w:val="en-US" w:eastAsia="zh-CN"/>
        </w:rPr>
        <w:tab/>
      </w:r>
      <w:r>
        <w:rPr>
          <w:rFonts w:hint="eastAsia" w:ascii="宋体" w:hAnsi="宋体"/>
          <w:sz w:val="24"/>
          <w:highlight w:val="none"/>
          <w:u w:val="single"/>
          <w:lang w:val="en-US" w:eastAsia="zh-CN"/>
        </w:rPr>
        <w:tab/>
      </w:r>
      <w:r>
        <w:rPr>
          <w:rFonts w:hint="eastAsia" w:ascii="宋体" w:hAnsi="宋体"/>
          <w:sz w:val="24"/>
          <w:highlight w:val="none"/>
          <w:u w:val="single"/>
          <w:lang w:val="en-US" w:eastAsia="zh-CN"/>
        </w:rPr>
        <w:tab/>
      </w:r>
      <w:r>
        <w:rPr>
          <w:rFonts w:hint="eastAsia" w:ascii="宋体" w:hAnsi="宋体"/>
          <w:sz w:val="24"/>
          <w:highlight w:val="none"/>
          <w:u w:val="none"/>
          <w:lang w:val="en-US" w:eastAsia="zh-CN"/>
        </w:rPr>
        <w:t>（项目名称）工程成立的项目经理部在丙方开设基本</w:t>
      </w:r>
    </w:p>
    <w:p>
      <w:pPr>
        <w:adjustRightInd w:val="0"/>
        <w:snapToGrid w:val="0"/>
        <w:spacing w:line="360" w:lineRule="auto"/>
        <w:rPr>
          <w:rFonts w:hint="eastAsia" w:ascii="宋体" w:hAnsi="宋体"/>
          <w:sz w:val="24"/>
          <w:highlight w:val="none"/>
          <w:u w:val="none"/>
          <w:lang w:val="en-US" w:eastAsia="zh-CN"/>
        </w:rPr>
      </w:pPr>
      <w:r>
        <w:rPr>
          <w:rFonts w:hint="eastAsia" w:ascii="宋体" w:hAnsi="宋体"/>
          <w:sz w:val="24"/>
          <w:highlight w:val="none"/>
          <w:u w:val="none"/>
          <w:lang w:val="en-US" w:eastAsia="zh-CN"/>
        </w:rPr>
        <w:t>结算户；</w:t>
      </w:r>
    </w:p>
    <w:p>
      <w:pPr>
        <w:adjustRightInd w:val="0"/>
        <w:snapToGrid w:val="0"/>
        <w:spacing w:line="360" w:lineRule="auto"/>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（2）方应按合同规定将工程款汇入乙方在丙方开设的账户；</w:t>
      </w:r>
    </w:p>
    <w:p>
      <w:pPr>
        <w:adjustRightInd w:val="0"/>
        <w:snapToGrid w:val="0"/>
        <w:spacing w:line="360" w:lineRule="auto"/>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（3）乙方应将流动资金及甲方所拨付资金专项用于       （项目名称）；</w:t>
      </w:r>
    </w:p>
    <w:p>
      <w:pPr>
        <w:adjustRightInd w:val="0"/>
        <w:snapToGrid w:val="0"/>
        <w:spacing w:line="360" w:lineRule="auto"/>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（4）丙方应为乙方提供便捷有效的银行业务服务，并接受甲方委托对乙方在丙方开设的基本结算户资金使用情况进行监督。</w:t>
      </w:r>
    </w:p>
    <w:p>
      <w:pPr>
        <w:numPr>
          <w:numId w:val="0"/>
        </w:numPr>
        <w:adjustRightInd w:val="0"/>
        <w:snapToGrid w:val="0"/>
        <w:spacing w:line="360" w:lineRule="auto"/>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2. 甲方的权责</w:t>
      </w:r>
    </w:p>
    <w:p>
      <w:pPr>
        <w:numPr>
          <w:numId w:val="0"/>
        </w:numPr>
        <w:adjustRightInd w:val="0"/>
        <w:snapToGrid w:val="0"/>
        <w:spacing w:line="360" w:lineRule="auto"/>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（1）按照</w:t>
      </w:r>
      <w:r>
        <w:rPr>
          <w:rFonts w:hint="eastAsia" w:ascii="宋体" w:hAnsi="宋体"/>
          <w:sz w:val="24"/>
          <w:highlight w:val="none"/>
          <w:u w:val="none"/>
          <w:lang w:val="en-US" w:eastAsia="zh-CN"/>
        </w:rPr>
        <w:tab/>
      </w:r>
      <w:r>
        <w:rPr>
          <w:rFonts w:hint="eastAsia" w:ascii="宋体" w:hAnsi="宋体"/>
          <w:sz w:val="24"/>
          <w:highlight w:val="none"/>
          <w:u w:val="none"/>
          <w:lang w:val="en-US" w:eastAsia="zh-CN"/>
        </w:rPr>
        <w:t>（项目名称）合同有关条款规定的时间和方式，向乙方支付工程款；</w:t>
      </w:r>
    </w:p>
    <w:p>
      <w:pPr>
        <w:numPr>
          <w:numId w:val="0"/>
        </w:numPr>
        <w:adjustRightInd w:val="0"/>
        <w:snapToGrid w:val="0"/>
        <w:spacing w:line="360" w:lineRule="auto"/>
        <w:ind w:firstLine="480" w:firstLineChars="200"/>
        <w:rPr>
          <w:rFonts w:hint="eastAsia" w:ascii="宋体" w:hAnsi="宋体"/>
          <w:b w:val="0"/>
          <w:bCs w:val="0"/>
          <w:sz w:val="24"/>
          <w:highlight w:val="none"/>
          <w:u w:val="none"/>
          <w:lang w:val="en-US" w:eastAsia="zh-CN"/>
        </w:rPr>
      </w:pPr>
      <w:r>
        <w:rPr>
          <w:rFonts w:hint="eastAsia" w:ascii="宋体" w:hAnsi="宋体"/>
          <w:sz w:val="24"/>
          <w:highlight w:val="none"/>
          <w:u w:val="none"/>
          <w:lang w:val="en-US" w:eastAsia="zh-CN"/>
        </w:rPr>
        <w:t>（2）在发现乙方将本项目资金挪用、转移时，甲方有权中止工程支付，直至乙方改正为止；</w:t>
      </w:r>
    </w:p>
    <w:p>
      <w:pPr>
        <w:numPr>
          <w:numId w:val="0"/>
        </w:numPr>
        <w:adjustRightInd w:val="0"/>
        <w:snapToGrid w:val="0"/>
        <w:spacing w:line="360" w:lineRule="auto"/>
        <w:ind w:firstLine="480" w:firstLineChars="2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（3）不定期审查丙方对乙方的资金使用监督情况，如丙方不能履行其责任，甲方有权随时终止本协议；</w:t>
      </w:r>
    </w:p>
    <w:p>
      <w:pPr>
        <w:numPr>
          <w:numId w:val="0"/>
        </w:numPr>
        <w:adjustRightInd w:val="0"/>
        <w:snapToGrid w:val="0"/>
        <w:spacing w:line="360" w:lineRule="auto"/>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（4）在乙、丙双方发生争议时，甲方应负责协调、解决。</w:t>
      </w:r>
    </w:p>
    <w:p>
      <w:pPr>
        <w:numPr>
          <w:numId w:val="0"/>
        </w:numPr>
        <w:adjustRightInd w:val="0"/>
        <w:snapToGrid w:val="0"/>
        <w:spacing w:line="360" w:lineRule="auto"/>
        <w:ind w:firstLine="480" w:firstLineChars="200"/>
        <w:rPr>
          <w:rFonts w:hint="eastAsia" w:ascii="宋体" w:hAnsi="宋体"/>
          <w:sz w:val="24"/>
          <w:highlight w:val="none"/>
          <w:u w:val="none"/>
          <w:lang w:val="en-US" w:eastAsia="zh-CN"/>
        </w:rPr>
      </w:pPr>
    </w:p>
    <w:p>
      <w:pPr>
        <w:numPr>
          <w:ilvl w:val="0"/>
          <w:numId w:val="14"/>
        </w:numPr>
        <w:adjustRightInd w:val="0"/>
        <w:snapToGrid w:val="0"/>
        <w:spacing w:line="360" w:lineRule="auto"/>
        <w:ind w:firstLine="480" w:firstLineChars="200"/>
        <w:rPr>
          <w:rFonts w:hint="eastAsia" w:ascii="宋体" w:hAnsi="宋体"/>
          <w:b w:val="0"/>
          <w:bCs w:val="0"/>
          <w:sz w:val="24"/>
          <w:highlight w:val="none"/>
          <w:u w:val="none"/>
          <w:lang w:val="en-US" w:eastAsia="zh-CN"/>
        </w:rPr>
      </w:pPr>
      <w:r>
        <w:rPr>
          <w:rFonts w:hint="eastAsia" w:ascii="宋体" w:hAnsi="宋体"/>
          <w:sz w:val="24"/>
          <w:highlight w:val="none"/>
          <w:u w:val="none"/>
          <w:lang w:val="en-US" w:eastAsia="zh-CN"/>
        </w:rPr>
        <w:t>乙方的权责</w: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ascii="宋体" w:hAnsi="宋体" w:eastAsia="宋体"/>
          <w:sz w:val="24"/>
          <w:highlight w:val="none"/>
        </w:rPr>
        <w:t>（</w:t>
      </w:r>
      <w:r>
        <w:rPr>
          <w:rFonts w:hint="eastAsia" w:ascii="宋体" w:hAnsi="宋体"/>
          <w:b w:val="0"/>
          <w:bCs w:val="0"/>
          <w:sz w:val="24"/>
          <w:highlight w:val="none"/>
          <w:u w:val="none"/>
          <w:lang w:val="en-US" w:eastAsia="zh-CN"/>
        </w:rPr>
        <w:t>1）项目经理部成立以后，乙方应尽快在丙方开设基本结算户；</w: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（2）确保本项目资金专款专用，不发生挪用、转移资金的现象；保证不通过权益转让、抵押、担保承担债务等任何其他方式使用基本结算户的资金；</w: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（3）办理材料、设备等采购业务金额在</w:t>
      </w:r>
      <w:r>
        <w:rPr>
          <w:rFonts w:hint="eastAsia" w:ascii="宋体" w:hAnsi="宋体"/>
          <w:b w:val="0"/>
          <w:bCs w:val="0"/>
          <w:sz w:val="24"/>
          <w:highlight w:val="none"/>
          <w:u w:val="single"/>
          <w:lang w:val="en-US" w:eastAsia="zh-CN"/>
        </w:rPr>
        <w:t xml:space="preserve">     </w:t>
      </w:r>
      <w:r>
        <w:rPr>
          <w:rFonts w:hint="eastAsia" w:ascii="宋体" w:hAnsi="宋体"/>
          <w:b w:val="0"/>
          <w:bCs w:val="0"/>
          <w:sz w:val="24"/>
          <w:highlight w:val="none"/>
          <w:u w:val="none"/>
          <w:lang w:val="en-US" w:eastAsia="zh-CN"/>
        </w:rPr>
        <w:t>万元以上的，应出示购货合同、协议和发票；在办理总额超过</w:t>
      </w:r>
      <w:r>
        <w:rPr>
          <w:rFonts w:hint="eastAsia" w:ascii="宋体" w:hAnsi="宋体"/>
          <w:b w:val="0"/>
          <w:bCs w:val="0"/>
          <w:sz w:val="24"/>
          <w:highlight w:val="none"/>
          <w:u w:val="single"/>
          <w:lang w:val="en-US" w:eastAsia="zh-CN"/>
        </w:rPr>
        <w:t xml:space="preserve">    </w:t>
      </w:r>
      <w:r>
        <w:rPr>
          <w:rFonts w:hint="eastAsia" w:ascii="宋体" w:hAnsi="宋体"/>
          <w:b w:val="0"/>
          <w:bCs w:val="0"/>
          <w:sz w:val="24"/>
          <w:highlight w:val="none"/>
          <w:u w:val="none"/>
          <w:lang w:val="en-US" w:eastAsia="zh-CN"/>
        </w:rPr>
        <w:t>万元以上的采购业务时，应将合同、协议和发票复印件送丙方备案；购买应急材料、设备时可先办理支付手续，但事后必须补备有关资料；</w:t>
      </w:r>
      <w:r>
        <w:rPr>
          <w:rFonts w:hint="eastAsia" w:ascii="宋体" w:hAnsi="宋体" w:eastAsia="宋体" w:cs="Times New Roman"/>
          <w:b w:val="0"/>
          <w:bCs w:val="0"/>
          <w:kern w:val="2"/>
          <w:sz w:val="24"/>
          <w:szCs w:val="24"/>
          <w:highlight w:val="none"/>
          <w:u w:val="none"/>
          <w:lang w:val="en-US" w:eastAsia="zh-CN" w:bidi="ar-SA"/>
        </w:rPr>
        <w:pict>
          <v:line id="直线 2" o:spid="_x0000_s1029" style="position:absolute;left:0;margin-left:232.05pt;margin-top:-41.9pt;height:0.05pt;width:12.05pt;rotation:0f;z-index:-251652096;" o:ole="f" fillcolor="#FFFFFF" filled="f" o:preferrelative="t" stroked="t" coordsize="21600,21600" o:allowincell="f">
            <v:fill on="f" color2="#FFFFFF" focus="0%"/>
            <v:stroke weight="0.59992125984252pt" color="#000000" color2="#FFFFFF" opacity="100%" miterlimit="2"/>
            <v:imagedata gain="65536f" blacklevel="0f" gamma="0"/>
            <o:lock v:ext="edit" position="f" selection="f" grouping="f" rotation="f" cropping="f" text="f" aspectratio="f"/>
          </v:line>
        </w:pict>
      </w:r>
      <w:r>
        <w:rPr>
          <w:rFonts w:hint="eastAsia" w:ascii="宋体" w:hAnsi="宋体" w:eastAsia="宋体" w:cs="Times New Roman"/>
          <w:b w:val="0"/>
          <w:bCs w:val="0"/>
          <w:kern w:val="2"/>
          <w:sz w:val="24"/>
          <w:szCs w:val="24"/>
          <w:highlight w:val="none"/>
          <w:u w:val="none"/>
          <w:lang w:val="en-US" w:eastAsia="zh-CN" w:bidi="ar-SA"/>
        </w:rPr>
        <w:pict>
          <v:line id="直线 3" o:spid="_x0000_s1030" style="position:absolute;left:0;margin-left:132.7pt;margin-top:-22.8pt;height:0.05pt;width:12.15pt;rotation:0f;z-index:-251651072;" o:ole="f" fillcolor="#FFFFFF" filled="f" o:preferrelative="t" stroked="t" coordsize="21600,21600" o:allowincell="f">
            <v:fill on="f" color2="#FFFFFF" focus="0%"/>
            <v:stroke weight="0.6pt" color="#000000" color2="#FFFFFF" opacity="100%" miterlimit="2"/>
            <v:imagedata gain="65536f" blacklevel="0f" gamma="0"/>
            <o:lock v:ext="edit" position="f" selection="f" grouping="f" rotation="f" cropping="f" text="f" aspectratio="f"/>
          </v:line>
        </w:pic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（4）用银行转账支票办理支付款项时，必须将转账支票送交丙方，由丙方负责办理支票转付手续；</w: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（5）向分包单位支付工程进度款时，应附甲方批准分包的文件；</w: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（6）向上级单位缴纳管理费、机械设备及周转材料租赁摊销费等款项时，应附上级单位出具的转账通知等有关资料，以确保资金专款专用。</w:t>
      </w:r>
    </w:p>
    <w:p>
      <w:pPr>
        <w:numPr>
          <w:numId w:val="0"/>
        </w:numPr>
        <w:adjustRightInd w:val="0"/>
        <w:snapToGrid w:val="0"/>
        <w:spacing w:line="360" w:lineRule="auto"/>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 丙方的权责</w: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（1）成立</w:t>
      </w:r>
      <w:r>
        <w:rPr>
          <w:rFonts w:hint="eastAsia" w:ascii="宋体" w:hAnsi="宋体"/>
          <w:b w:val="0"/>
          <w:bCs w:val="0"/>
          <w:sz w:val="24"/>
          <w:highlight w:val="none"/>
          <w:u w:val="single"/>
          <w:lang w:val="en-US" w:eastAsia="zh-CN"/>
        </w:rPr>
        <w:t xml:space="preserve">       </w:t>
      </w:r>
      <w:r>
        <w:rPr>
          <w:rFonts w:hint="eastAsia" w:ascii="宋体" w:hAnsi="宋体"/>
          <w:b w:val="0"/>
          <w:bCs w:val="0"/>
          <w:sz w:val="24"/>
          <w:highlight w:val="none"/>
          <w:u w:val="none"/>
          <w:lang w:val="en-US" w:eastAsia="zh-CN"/>
        </w:rPr>
        <w:t>（项目名称）工程资金管理服务小组，明确业务流程，提高工作效率，杜绝“压票”现象；</w:t>
      </w:r>
    </w:p>
    <w:p>
      <w:pPr>
        <w:numPr>
          <w:numId w:val="0"/>
        </w:numPr>
        <w:adjustRightInd w:val="0"/>
        <w:snapToGrid w:val="0"/>
        <w:spacing w:line="360" w:lineRule="auto"/>
        <w:ind w:firstLine="660" w:firstLineChars="300"/>
        <w:rPr>
          <w:rFonts w:hint="eastAsia" w:ascii="宋体" w:hAnsi="宋体"/>
          <w:b w:val="0"/>
          <w:bCs w:val="0"/>
          <w:sz w:val="24"/>
          <w:highlight w:val="none"/>
          <w:u w:val="none"/>
          <w:lang w:val="en-US" w:eastAsia="zh-CN"/>
        </w:rPr>
      </w:pPr>
      <w:r>
        <w:rPr>
          <w:rFonts w:ascii="宋体" w:hAnsi="宋体" w:eastAsia="宋体"/>
          <w:sz w:val="22"/>
          <w:highlight w:val="none"/>
        </w:rPr>
        <w:t>（</w:t>
      </w:r>
      <w:r>
        <w:rPr>
          <w:rFonts w:hint="eastAsia" w:ascii="宋体" w:hAnsi="宋体"/>
          <w:b w:val="0"/>
          <w:bCs w:val="0"/>
          <w:sz w:val="24"/>
          <w:highlight w:val="none"/>
          <w:u w:val="none"/>
          <w:lang w:val="en-US" w:eastAsia="zh-CN"/>
        </w:rPr>
        <w:t>2）根据乙方提供的购货合同、协议和发票，检查其所购材料、设备是否用于</w:t>
      </w:r>
      <w:r>
        <w:rPr>
          <w:rFonts w:hint="eastAsia" w:ascii="宋体" w:hAnsi="宋体"/>
          <w:b w:val="0"/>
          <w:bCs w:val="0"/>
          <w:sz w:val="24"/>
          <w:highlight w:val="none"/>
          <w:u w:val="single"/>
          <w:lang w:val="en-US" w:eastAsia="zh-CN"/>
        </w:rPr>
        <w:t xml:space="preserve">   </w:t>
      </w:r>
      <w:r>
        <w:rPr>
          <w:rFonts w:hint="eastAsia" w:ascii="宋体" w:hAnsi="宋体"/>
          <w:b w:val="0"/>
          <w:bCs w:val="0"/>
          <w:sz w:val="24"/>
          <w:highlight w:val="none"/>
          <w:u w:val="none"/>
          <w:lang w:val="en-US" w:eastAsia="zh-CN"/>
        </w:rPr>
        <w:t>（项目名称）工程建设，对本标段以外的购货款项，有权拒绝办理，并及时报告甲方；</w: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（3）根据乙方与分包单位签订的合同及支付文件，检查其支付款项是否符合有关条件，向分包单位以外单位的支付有权拒绝办理，并及时报告甲方；</w: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（4）根据乙方提供的上级单位出具的转账通知等有关资料，办理管理费、机械设备及周转材料租赁摊销费等款项的支付；对超出转账通知等有关资料以外的支付，有权拒绝办理，并及时报告甲方；</w: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（5）定期将乙方前一个周期的支付情况，整理后书面报送甲方；乙方复印备案的材料一并送甲方。</w: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5.甲、乙、丙三方都应履行保密责任，不得将其他两方的业务情况透露给三方以外的其他单位或个人。</w: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6.本协议有效期自乙方在丙方开户起，至工程交工验收甲方向乙方颁发交工验收证书后结束。</w: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7.本协议未尽事宜，由甲方牵头，三方协商解决。</w:t>
      </w:r>
    </w:p>
    <w:p>
      <w:pPr>
        <w:numPr>
          <w:numId w:val="0"/>
        </w:numPr>
        <w:adjustRightInd w:val="0"/>
        <w:snapToGrid w:val="0"/>
        <w:spacing w:line="360" w:lineRule="auto"/>
        <w:ind w:firstLine="720" w:firstLineChars="300"/>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8.本协议正本三份、副本 份。合同三方各执正本一份、副本 份，当正本与副本内容不一致时，以正本为准。</w:t>
      </w:r>
    </w:p>
    <w:p>
      <w:pPr>
        <w:adjustRightInd w:val="0"/>
        <w:snapToGrid w:val="0"/>
        <w:spacing w:beforeLines="100" w:line="343" w:lineRule="auto"/>
        <w:rPr>
          <w:color w:val="auto"/>
          <w:sz w:val="24"/>
          <w:highlight w:val="none"/>
        </w:rPr>
      </w:pPr>
      <w:r>
        <w:rPr>
          <w:rFonts w:hint="eastAsia"/>
          <w:color w:val="auto"/>
          <w:sz w:val="24"/>
          <w:highlight w:val="none"/>
          <w:lang w:eastAsia="zh-CN"/>
        </w:rPr>
        <w:t>发包人</w:t>
      </w:r>
      <w:r>
        <w:rPr>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（盖</w:t>
      </w:r>
      <w:r>
        <w:rPr>
          <w:rFonts w:hint="eastAsia"/>
          <w:color w:val="auto"/>
          <w:sz w:val="24"/>
          <w:highlight w:val="none"/>
          <w:u w:val="single"/>
          <w:lang w:eastAsia="zh-CN"/>
        </w:rPr>
        <w:t>单位</w:t>
      </w:r>
      <w:r>
        <w:rPr>
          <w:rFonts w:hint="eastAsia"/>
          <w:color w:val="auto"/>
          <w:sz w:val="24"/>
          <w:highlight w:val="none"/>
          <w:u w:val="single"/>
        </w:rPr>
        <w:t>章）</w:t>
      </w:r>
      <w:r>
        <w:rPr>
          <w:rFonts w:hint="eastAsia"/>
          <w:color w:val="auto"/>
          <w:sz w:val="24"/>
          <w:highlight w:val="none"/>
        </w:rPr>
        <w:t xml:space="preserve">        </w:t>
      </w:r>
    </w:p>
    <w:p>
      <w:pPr>
        <w:adjustRightInd w:val="0"/>
        <w:snapToGrid w:val="0"/>
        <w:spacing w:line="343" w:lineRule="auto"/>
        <w:rPr>
          <w:rFonts w:hint="eastAsia"/>
          <w:color w:val="auto"/>
          <w:sz w:val="24"/>
          <w:highlight w:val="none"/>
          <w:u w:val="single"/>
          <w:lang w:val="en-US" w:eastAsia="zh-CN"/>
        </w:rPr>
      </w:pPr>
      <w:r>
        <w:rPr>
          <w:color w:val="auto"/>
          <w:sz w:val="24"/>
          <w:highlight w:val="none"/>
        </w:rPr>
        <w:t>法定代表人或其授权的代理人</w:t>
      </w:r>
      <w:r>
        <w:rPr>
          <w:rFonts w:hint="eastAsia"/>
          <w:color w:val="auto"/>
          <w:sz w:val="24"/>
          <w:highlight w:val="none"/>
          <w:lang w:eastAsia="zh-CN"/>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w:t>
      </w:r>
      <w:r>
        <w:rPr>
          <w:rFonts w:hint="eastAsia"/>
          <w:color w:val="auto"/>
          <w:sz w:val="24"/>
          <w:highlight w:val="none"/>
          <w:u w:val="single"/>
        </w:rPr>
        <w:t xml:space="preserve">签字 </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 xml:space="preserve">        </w:t>
      </w:r>
    </w:p>
    <w:p>
      <w:pPr>
        <w:numPr>
          <w:numId w:val="0"/>
        </w:numPr>
        <w:adjustRightInd w:val="0"/>
        <w:snapToGrid w:val="0"/>
        <w:spacing w:line="360" w:lineRule="auto"/>
        <w:ind w:firstLine="3360" w:firstLineChars="1400"/>
        <w:rPr>
          <w:rFonts w:hint="eastAsia" w:ascii="宋体" w:hAnsi="宋体"/>
          <w:sz w:val="24"/>
          <w:highlight w:val="none"/>
          <w:u w:val="none"/>
          <w:lang w:val="en-US" w:eastAsia="zh-CN"/>
        </w:rPr>
      </w:pPr>
      <w:r>
        <w:rPr>
          <w:rFonts w:hint="eastAsia"/>
          <w:color w:val="auto"/>
          <w:sz w:val="24"/>
          <w:highlight w:val="none"/>
          <w:u w:val="single"/>
          <w:lang w:val="en-US" w:eastAsia="zh-CN"/>
        </w:rPr>
        <w:t xml:space="preserve">   </w:t>
      </w:r>
      <w:r>
        <w:rPr>
          <w:rFonts w:hint="eastAsia"/>
          <w:color w:val="auto"/>
          <w:sz w:val="24"/>
          <w:highlight w:val="none"/>
          <w:u w:val="none"/>
          <w:lang w:val="en-US" w:eastAsia="zh-CN"/>
        </w:rPr>
        <w:t>年</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月</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日</w:t>
      </w:r>
      <w:r>
        <w:rPr>
          <w:rFonts w:hint="eastAsia"/>
          <w:color w:val="auto"/>
          <w:sz w:val="24"/>
          <w:highlight w:val="none"/>
          <w:u w:val="none"/>
        </w:rPr>
        <w:t xml:space="preserve"> </w:t>
      </w:r>
      <w:r>
        <w:rPr>
          <w:rFonts w:hint="eastAsia"/>
          <w:color w:val="auto"/>
          <w:sz w:val="24"/>
          <w:highlight w:val="none"/>
        </w:rPr>
        <w:t xml:space="preserve">                </w:t>
      </w:r>
    </w:p>
    <w:p>
      <w:pPr>
        <w:numPr>
          <w:numId w:val="0"/>
        </w:numPr>
        <w:adjustRightInd w:val="0"/>
        <w:snapToGrid w:val="0"/>
        <w:spacing w:line="360" w:lineRule="auto"/>
        <w:ind w:firstLine="480" w:firstLineChars="200"/>
        <w:rPr>
          <w:rFonts w:hint="eastAsia" w:ascii="宋体" w:hAnsi="宋体"/>
          <w:sz w:val="24"/>
          <w:highlight w:val="none"/>
          <w:u w:val="none"/>
          <w:lang w:val="en-US" w:eastAsia="zh-CN"/>
        </w:rPr>
      </w:pPr>
    </w:p>
    <w:p>
      <w:pPr>
        <w:adjustRightInd w:val="0"/>
        <w:snapToGrid w:val="0"/>
        <w:spacing w:beforeLines="100" w:line="343" w:lineRule="auto"/>
        <w:rPr>
          <w:color w:val="auto"/>
          <w:sz w:val="24"/>
          <w:highlight w:val="none"/>
        </w:rPr>
      </w:pPr>
      <w:r>
        <w:rPr>
          <w:rFonts w:hint="eastAsia"/>
          <w:color w:val="auto"/>
          <w:sz w:val="24"/>
          <w:highlight w:val="none"/>
          <w:lang w:eastAsia="zh-CN"/>
        </w:rPr>
        <w:t>承包人</w:t>
      </w:r>
      <w:r>
        <w:rPr>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（盖</w:t>
      </w:r>
      <w:r>
        <w:rPr>
          <w:rFonts w:hint="eastAsia"/>
          <w:color w:val="auto"/>
          <w:sz w:val="24"/>
          <w:highlight w:val="none"/>
          <w:u w:val="single"/>
          <w:lang w:eastAsia="zh-CN"/>
        </w:rPr>
        <w:t>单位</w:t>
      </w:r>
      <w:r>
        <w:rPr>
          <w:rFonts w:hint="eastAsia"/>
          <w:color w:val="auto"/>
          <w:sz w:val="24"/>
          <w:highlight w:val="none"/>
          <w:u w:val="single"/>
        </w:rPr>
        <w:t>章）</w:t>
      </w:r>
      <w:r>
        <w:rPr>
          <w:rFonts w:hint="eastAsia"/>
          <w:color w:val="auto"/>
          <w:sz w:val="24"/>
          <w:highlight w:val="none"/>
        </w:rPr>
        <w:t xml:space="preserve">        </w:t>
      </w:r>
    </w:p>
    <w:p>
      <w:pPr>
        <w:adjustRightInd w:val="0"/>
        <w:snapToGrid w:val="0"/>
        <w:spacing w:line="343" w:lineRule="auto"/>
        <w:rPr>
          <w:rFonts w:hint="eastAsia"/>
          <w:color w:val="auto"/>
          <w:sz w:val="24"/>
          <w:highlight w:val="none"/>
        </w:rPr>
      </w:pPr>
      <w:r>
        <w:rPr>
          <w:color w:val="auto"/>
          <w:sz w:val="24"/>
          <w:highlight w:val="none"/>
        </w:rPr>
        <w:t>法定代表人或其授权的代理人</w:t>
      </w:r>
      <w:r>
        <w:rPr>
          <w:rFonts w:hint="eastAsia"/>
          <w:color w:val="auto"/>
          <w:sz w:val="24"/>
          <w:highlight w:val="none"/>
          <w:lang w:eastAsia="zh-CN"/>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w:t>
      </w:r>
      <w:r>
        <w:rPr>
          <w:rFonts w:hint="eastAsia"/>
          <w:color w:val="auto"/>
          <w:sz w:val="24"/>
          <w:highlight w:val="none"/>
          <w:u w:val="single"/>
        </w:rPr>
        <w:t xml:space="preserve">签字 </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 xml:space="preserve">        </w:t>
      </w:r>
    </w:p>
    <w:p>
      <w:pPr>
        <w:adjustRightInd w:val="0"/>
        <w:snapToGrid w:val="0"/>
        <w:spacing w:line="343" w:lineRule="auto"/>
        <w:ind w:firstLine="3600" w:firstLineChars="1500"/>
        <w:rPr>
          <w:rFonts w:hint="eastAsia"/>
          <w:color w:val="auto"/>
          <w:sz w:val="24"/>
          <w:highlight w:val="none"/>
        </w:rPr>
      </w:pPr>
      <w:r>
        <w:rPr>
          <w:rFonts w:hint="eastAsia"/>
          <w:color w:val="auto"/>
          <w:sz w:val="24"/>
          <w:highlight w:val="none"/>
          <w:u w:val="single"/>
          <w:lang w:val="en-US" w:eastAsia="zh-CN"/>
        </w:rPr>
        <w:t xml:space="preserve">   </w:t>
      </w:r>
      <w:r>
        <w:rPr>
          <w:rFonts w:hint="eastAsia"/>
          <w:color w:val="auto"/>
          <w:sz w:val="24"/>
          <w:highlight w:val="none"/>
          <w:u w:val="none"/>
          <w:lang w:val="en-US" w:eastAsia="zh-CN"/>
        </w:rPr>
        <w:t>年</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月</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日</w:t>
      </w:r>
      <w:r>
        <w:rPr>
          <w:rFonts w:hint="eastAsia"/>
          <w:color w:val="auto"/>
          <w:sz w:val="24"/>
          <w:highlight w:val="none"/>
          <w:u w:val="none"/>
        </w:rPr>
        <w:t xml:space="preserve"> </w:t>
      </w:r>
      <w:r>
        <w:rPr>
          <w:rFonts w:hint="eastAsia"/>
          <w:color w:val="auto"/>
          <w:sz w:val="24"/>
          <w:highlight w:val="none"/>
        </w:rPr>
        <w:t xml:space="preserve"> </w:t>
      </w:r>
    </w:p>
    <w:p>
      <w:pPr>
        <w:adjustRightInd w:val="0"/>
        <w:snapToGrid w:val="0"/>
        <w:spacing w:beforeLines="100" w:line="343" w:lineRule="auto"/>
        <w:rPr>
          <w:color w:val="auto"/>
          <w:sz w:val="24"/>
          <w:highlight w:val="none"/>
        </w:rPr>
      </w:pPr>
      <w:r>
        <w:rPr>
          <w:rFonts w:hint="eastAsia"/>
          <w:color w:val="auto"/>
          <w:sz w:val="24"/>
          <w:highlight w:val="none"/>
          <w:lang w:eastAsia="zh-CN"/>
        </w:rPr>
        <w:t>经办银行</w:t>
      </w:r>
      <w:r>
        <w:rPr>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（盖</w:t>
      </w:r>
      <w:r>
        <w:rPr>
          <w:rFonts w:hint="eastAsia"/>
          <w:color w:val="auto"/>
          <w:sz w:val="24"/>
          <w:highlight w:val="none"/>
          <w:u w:val="single"/>
          <w:lang w:eastAsia="zh-CN"/>
        </w:rPr>
        <w:t>单位</w:t>
      </w:r>
      <w:r>
        <w:rPr>
          <w:rFonts w:hint="eastAsia"/>
          <w:color w:val="auto"/>
          <w:sz w:val="24"/>
          <w:highlight w:val="none"/>
          <w:u w:val="single"/>
        </w:rPr>
        <w:t>章）</w:t>
      </w:r>
      <w:r>
        <w:rPr>
          <w:rFonts w:hint="eastAsia"/>
          <w:color w:val="auto"/>
          <w:sz w:val="24"/>
          <w:highlight w:val="none"/>
        </w:rPr>
        <w:t xml:space="preserve">        </w:t>
      </w:r>
    </w:p>
    <w:p>
      <w:pPr>
        <w:adjustRightInd w:val="0"/>
        <w:snapToGrid w:val="0"/>
        <w:spacing w:line="343" w:lineRule="auto"/>
        <w:rPr>
          <w:rFonts w:hint="eastAsia"/>
          <w:color w:val="auto"/>
          <w:sz w:val="24"/>
          <w:highlight w:val="none"/>
          <w:u w:val="single"/>
          <w:lang w:val="en-US" w:eastAsia="zh-CN"/>
        </w:rPr>
      </w:pPr>
      <w:r>
        <w:rPr>
          <w:color w:val="auto"/>
          <w:sz w:val="24"/>
          <w:highlight w:val="none"/>
        </w:rPr>
        <w:t>法定代表人或其授权的代理人</w:t>
      </w:r>
      <w:r>
        <w:rPr>
          <w:rFonts w:hint="eastAsia"/>
          <w:color w:val="auto"/>
          <w:sz w:val="24"/>
          <w:highlight w:val="none"/>
          <w:lang w:eastAsia="zh-CN"/>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w:t>
      </w:r>
      <w:r>
        <w:rPr>
          <w:rFonts w:hint="eastAsia"/>
          <w:color w:val="auto"/>
          <w:sz w:val="24"/>
          <w:highlight w:val="none"/>
          <w:u w:val="single"/>
        </w:rPr>
        <w:t xml:space="preserve">签字 </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 xml:space="preserve">        </w:t>
      </w:r>
    </w:p>
    <w:p>
      <w:pPr>
        <w:numPr>
          <w:numId w:val="0"/>
        </w:numPr>
        <w:adjustRightInd w:val="0"/>
        <w:snapToGrid w:val="0"/>
        <w:spacing w:line="360" w:lineRule="auto"/>
        <w:ind w:firstLine="3600" w:firstLineChars="1500"/>
        <w:rPr>
          <w:rFonts w:hint="eastAsia"/>
          <w:color w:val="auto"/>
          <w:sz w:val="24"/>
          <w:highlight w:val="none"/>
          <w:lang w:val="en-US" w:eastAsia="zh-CN"/>
        </w:rPr>
      </w:pPr>
      <w:r>
        <w:rPr>
          <w:rFonts w:hint="eastAsia"/>
          <w:color w:val="auto"/>
          <w:sz w:val="24"/>
          <w:highlight w:val="none"/>
          <w:u w:val="single"/>
          <w:lang w:val="en-US" w:eastAsia="zh-CN"/>
        </w:rPr>
        <w:t xml:space="preserve">   </w:t>
      </w:r>
      <w:r>
        <w:rPr>
          <w:rFonts w:hint="eastAsia"/>
          <w:color w:val="auto"/>
          <w:sz w:val="24"/>
          <w:highlight w:val="none"/>
          <w:u w:val="none"/>
          <w:lang w:val="en-US" w:eastAsia="zh-CN"/>
        </w:rPr>
        <w:t>年</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月</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日</w:t>
      </w:r>
      <w:r>
        <w:rPr>
          <w:rFonts w:hint="eastAsia"/>
          <w:color w:val="auto"/>
          <w:sz w:val="24"/>
          <w:highlight w:val="none"/>
          <w:u w:val="none"/>
        </w:rPr>
        <w:t xml:space="preserve"> </w:t>
      </w:r>
      <w:r>
        <w:rPr>
          <w:rFonts w:hint="eastAsia"/>
          <w:color w:val="auto"/>
          <w:sz w:val="24"/>
          <w:highlight w:val="none"/>
        </w:rPr>
        <w:t xml:space="preserve"> </w:t>
      </w:r>
    </w:p>
    <w:p>
      <w:pPr>
        <w:numPr>
          <w:numId w:val="0"/>
        </w:numPr>
        <w:adjustRightInd w:val="0"/>
        <w:snapToGrid w:val="0"/>
        <w:spacing w:line="360" w:lineRule="auto"/>
        <w:ind w:firstLine="480" w:firstLineChars="200"/>
        <w:rPr>
          <w:rFonts w:hint="eastAsia" w:ascii="宋体" w:hAnsi="宋体"/>
          <w:sz w:val="24"/>
          <w:highlight w:val="none"/>
          <w:u w:val="none"/>
          <w:lang w:val="en-US" w:eastAsia="zh-CN"/>
        </w:rPr>
      </w:pPr>
    </w:p>
    <w:p>
      <w:pPr>
        <w:numPr>
          <w:numId w:val="0"/>
        </w:numPr>
        <w:adjustRightInd w:val="0"/>
        <w:snapToGrid w:val="0"/>
        <w:spacing w:line="360" w:lineRule="auto"/>
        <w:ind w:firstLine="480" w:firstLineChars="200"/>
        <w:rPr>
          <w:rFonts w:hint="eastAsia" w:ascii="宋体" w:hAnsi="宋体"/>
          <w:sz w:val="24"/>
          <w:highlight w:val="none"/>
          <w:u w:val="none"/>
          <w:lang w:val="en-US" w:eastAsia="zh-CN"/>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adjustRightInd w:val="0"/>
        <w:snapToGrid w:val="0"/>
        <w:spacing w:line="360" w:lineRule="auto"/>
        <w:rPr>
          <w:rFonts w:hint="eastAsia" w:ascii="黑体" w:eastAsia="黑体"/>
          <w:color w:val="auto"/>
          <w:sz w:val="24"/>
          <w:highlight w:val="none"/>
        </w:rPr>
      </w:pPr>
    </w:p>
    <w:p>
      <w:pPr>
        <w:widowControl w:val="0"/>
        <w:wordWrap/>
        <w:adjustRightInd w:val="0"/>
        <w:snapToGrid w:val="0"/>
        <w:spacing w:line="360" w:lineRule="auto"/>
        <w:ind w:left="0" w:leftChars="0" w:right="0" w:firstLine="0" w:firstLineChars="0"/>
        <w:jc w:val="center"/>
        <w:textAlignment w:val="auto"/>
        <w:outlineLvl w:val="9"/>
        <w:rPr>
          <w:rFonts w:ascii="黑体" w:eastAsia="黑体"/>
          <w:color w:val="auto"/>
          <w:sz w:val="44"/>
          <w:szCs w:val="44"/>
          <w:highlight w:val="none"/>
        </w:rPr>
      </w:pPr>
      <w:bookmarkStart w:id="206" w:name="_Toc5321"/>
    </w:p>
    <w:p>
      <w:pPr>
        <w:widowControl w:val="0"/>
        <w:wordWrap/>
        <w:adjustRightInd w:val="0"/>
        <w:snapToGrid w:val="0"/>
        <w:spacing w:line="360" w:lineRule="auto"/>
        <w:ind w:left="0" w:leftChars="0" w:right="0" w:firstLine="0" w:firstLineChars="0"/>
        <w:jc w:val="center"/>
        <w:textAlignment w:val="auto"/>
        <w:outlineLvl w:val="0"/>
        <w:rPr>
          <w:rFonts w:ascii="黑体" w:eastAsia="黑体"/>
          <w:color w:val="auto"/>
          <w:sz w:val="44"/>
          <w:szCs w:val="44"/>
          <w:highlight w:val="none"/>
        </w:rPr>
      </w:pPr>
      <w:r>
        <w:rPr>
          <w:rFonts w:ascii="黑体" w:eastAsia="黑体"/>
          <w:color w:val="auto"/>
          <w:sz w:val="44"/>
          <w:szCs w:val="44"/>
          <w:highlight w:val="none"/>
        </w:rPr>
        <w:t>第五章</w:t>
      </w:r>
      <w:r>
        <w:rPr>
          <w:rFonts w:hint="eastAsia" w:ascii="黑体" w:eastAsia="黑体"/>
          <w:color w:val="auto"/>
          <w:sz w:val="44"/>
          <w:szCs w:val="44"/>
          <w:highlight w:val="none"/>
        </w:rPr>
        <w:t xml:space="preserve"> </w:t>
      </w:r>
      <w:r>
        <w:rPr>
          <w:rFonts w:ascii="黑体" w:eastAsia="黑体"/>
          <w:color w:val="auto"/>
          <w:sz w:val="44"/>
          <w:szCs w:val="44"/>
          <w:highlight w:val="none"/>
        </w:rPr>
        <w:t>工程量清单</w:t>
      </w:r>
      <w:bookmarkEnd w:id="206"/>
    </w:p>
    <w:p>
      <w:pPr>
        <w:rPr>
          <w:rFonts w:ascii="宋体" w:hAnsi="宋体"/>
          <w:color w:val="auto"/>
          <w:sz w:val="24"/>
          <w:highlight w:val="none"/>
        </w:rPr>
      </w:pPr>
    </w:p>
    <w:p>
      <w:pPr>
        <w:spacing w:before="120" w:after="120"/>
        <w:rPr>
          <w:rFonts w:ascii="黑体" w:eastAsia="黑体"/>
          <w:color w:val="auto"/>
          <w:sz w:val="28"/>
          <w:szCs w:val="28"/>
          <w:highlight w:val="none"/>
        </w:rPr>
      </w:pPr>
      <w:r>
        <w:rPr>
          <w:rFonts w:hint="eastAsia" w:ascii="黑体" w:eastAsia="黑体"/>
          <w:color w:val="auto"/>
          <w:sz w:val="28"/>
          <w:szCs w:val="28"/>
          <w:highlight w:val="none"/>
        </w:rPr>
        <w:t>1.工程量清单说明</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 本工程量清单应与招标文件中的投标人须知、通用合同条款、专用合同条款、技术规范及图纸等一起阅读和理解。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w:t>
      </w:r>
      <w:r>
        <w:rPr>
          <w:rFonts w:hint="eastAsia" w:ascii="宋体" w:hAnsi="宋体"/>
          <w:color w:val="auto"/>
          <w:sz w:val="24"/>
          <w:highlight w:val="none"/>
          <w:lang w:val="en-US" w:eastAsia="zh-CN"/>
        </w:rPr>
        <w:t>.</w:t>
      </w:r>
      <w:r>
        <w:rPr>
          <w:rFonts w:hint="eastAsia" w:ascii="宋体" w:hAnsi="宋体"/>
          <w:color w:val="auto"/>
          <w:sz w:val="24"/>
          <w:highlight w:val="none"/>
        </w:rPr>
        <w:t>4款的规定，由监理人确定的单价或总额价计算支付额，</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1.5 对作业和材料的—般说明或规定，未重复写入工程量清单内，在给工程量清单各子目标价前，应参阅第七章“技术规范”的有关内容。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1.6 工程量清单中所列工程量的变动，丝毫不会降低或影响合同条款的效力，也不免除承包人按规定的标准进行施工和修复缺陷的责任。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color w:val="auto"/>
          <w:sz w:val="28"/>
          <w:szCs w:val="28"/>
          <w:highlight w:val="none"/>
        </w:rPr>
      </w:pPr>
      <w:r>
        <w:rPr>
          <w:rFonts w:hint="eastAsia" w:ascii="黑体" w:eastAsia="黑体"/>
          <w:color w:val="auto"/>
          <w:sz w:val="28"/>
          <w:szCs w:val="28"/>
          <w:highlight w:val="none"/>
        </w:rPr>
        <w:t>2．投标报价说明</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2.1 工程量清单中的每一子目须填入单价或价格，且只允许有一个报价。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2.5承包人用于本合同工程的各类装备的提供、运输、维护、拆卸、拼装等支付的费用，已包括在工程量清单的单价与总额价之中。</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2.6 工程量清单中各项金额均以人民币（元）结算。</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7</w:t>
      </w:r>
      <w:r>
        <w:rPr>
          <w:rFonts w:hint="eastAsia" w:ascii="宋体" w:hAnsi="宋体"/>
          <w:color w:val="auto"/>
          <w:sz w:val="24"/>
          <w:highlight w:val="none"/>
        </w:rPr>
        <w:t xml:space="preserve"> 暂列金额（不含计日工总额）的数量及拟用子目的说明：</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8</w:t>
      </w:r>
      <w:r>
        <w:rPr>
          <w:rFonts w:hint="eastAsia" w:ascii="宋体" w:hAnsi="宋体"/>
          <w:color w:val="auto"/>
          <w:sz w:val="24"/>
          <w:highlight w:val="none"/>
        </w:rPr>
        <w:t xml:space="preserve"> 暂估价的数量及拟用子目的说明：</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before="240" w:after="120"/>
        <w:rPr>
          <w:rFonts w:ascii="黑体" w:eastAsia="黑体"/>
          <w:color w:val="auto"/>
          <w:sz w:val="28"/>
          <w:szCs w:val="28"/>
          <w:highlight w:val="none"/>
        </w:rPr>
      </w:pPr>
      <w:r>
        <w:rPr>
          <w:rFonts w:hint="eastAsia" w:ascii="黑体" w:eastAsia="黑体"/>
          <w:color w:val="auto"/>
          <w:sz w:val="28"/>
          <w:szCs w:val="28"/>
          <w:highlight w:val="none"/>
        </w:rPr>
        <w:t>3．计日工说明</w:t>
      </w:r>
    </w:p>
    <w:p>
      <w:pPr>
        <w:spacing w:line="400" w:lineRule="exact"/>
        <w:rPr>
          <w:rFonts w:ascii="宋体" w:hAnsi="宋体"/>
          <w:color w:val="auto"/>
          <w:sz w:val="24"/>
          <w:highlight w:val="none"/>
        </w:rPr>
      </w:pPr>
      <w:r>
        <w:rPr>
          <w:rFonts w:hint="eastAsia" w:ascii="宋体" w:hAnsi="宋体"/>
          <w:color w:val="auto"/>
          <w:sz w:val="24"/>
          <w:highlight w:val="none"/>
        </w:rPr>
        <w:t xml:space="preserve">    3.1 总则</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（l）本说明应参照通用合同条款第15.7款一并理解。</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（2）未经监理人书面指令，任何工程不得按计日工施工；接到监理人按计日工施工的书面指令，承包人也不得拒绝。</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（4）计日工不调价。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 计日工劳务</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a.劳务基本单价包括：承包人劳务的全部直接费用，如：工资、加班费、津贴、福利费及劳动保护费等。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3.3 计日工材料</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a．材料基本单价按供货价加运杂费（到达承包人现场仓库）、保险费、仓库管理费以及运输损耗等计算。</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b. 承包人的利润、管理、质检、保险、税费及其他附加费：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c．从现场运至使用地点的人工费和施工机械使用费不包括在上述基本单价内。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3.4 计日工施工机械</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color w:val="auto"/>
          <w:sz w:val="28"/>
          <w:szCs w:val="28"/>
          <w:highlight w:val="none"/>
        </w:rPr>
      </w:pPr>
      <w:r>
        <w:rPr>
          <w:rFonts w:hint="eastAsia" w:ascii="黑体" w:eastAsia="黑体"/>
          <w:color w:val="auto"/>
          <w:sz w:val="28"/>
          <w:szCs w:val="28"/>
          <w:highlight w:val="none"/>
        </w:rPr>
        <w:t>4．其他说明</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编制说明：</w:t>
      </w:r>
      <w:r>
        <w:rPr>
          <w:rFonts w:hint="eastAsia" w:ascii="宋体" w:hAnsi="宋体"/>
          <w:color w:val="auto"/>
          <w:sz w:val="24"/>
          <w:highlight w:val="none"/>
          <w:lang w:val="en-US" w:eastAsia="zh-CN"/>
        </w:rPr>
        <w:t>1、定额套用（2007）版《公路工程预算定额》（JTG/T B06-02-2007)、</w:t>
      </w:r>
    </w:p>
    <w:p>
      <w:pPr>
        <w:numPr>
          <w:numId w:val="0"/>
        </w:numPr>
        <w:spacing w:line="400" w:lineRule="exact"/>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《08公路工程清单计价依据》（2009范本）等相关计价文件及配套的省市有关文件；</w:t>
      </w:r>
    </w:p>
    <w:p>
      <w:pPr>
        <w:numPr>
          <w:ilvl w:val="0"/>
          <w:numId w:val="15"/>
        </w:num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人工费调整为53.87元/工日；</w:t>
      </w:r>
    </w:p>
    <w:p>
      <w:pPr>
        <w:numPr>
          <w:ilvl w:val="0"/>
          <w:numId w:val="15"/>
        </w:num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税金调整按10%计取；</w:t>
      </w:r>
    </w:p>
    <w:p>
      <w:pPr>
        <w:numPr>
          <w:numId w:val="0"/>
        </w:numPr>
        <w:spacing w:line="40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4、材料价格参考2018年《许昌工程造价信息》第五期10月份主材价及市场调查价。</w:t>
      </w:r>
    </w:p>
    <w:p>
      <w:pPr>
        <w:spacing w:before="240" w:after="120"/>
        <w:rPr>
          <w:rFonts w:ascii="隶书" w:eastAsia="隶书"/>
          <w:color w:val="auto"/>
          <w:sz w:val="24"/>
          <w:highlight w:val="none"/>
        </w:rPr>
      </w:pPr>
      <w:r>
        <w:rPr>
          <w:rFonts w:hint="eastAsia" w:ascii="黑体" w:eastAsia="黑体"/>
          <w:color w:val="auto"/>
          <w:sz w:val="28"/>
          <w:szCs w:val="28"/>
          <w:highlight w:val="none"/>
        </w:rPr>
        <w:t>5．工程量清单</w:t>
      </w:r>
    </w:p>
    <w:p>
      <w:pPr>
        <w:ind w:firstLine="480" w:firstLineChars="200"/>
        <w:rPr>
          <w:rFonts w:ascii="宋体" w:hAnsi="宋体"/>
          <w:color w:val="auto"/>
          <w:sz w:val="24"/>
          <w:highlight w:val="none"/>
        </w:rPr>
      </w:pPr>
      <w:r>
        <w:rPr>
          <w:rFonts w:hint="eastAsia" w:ascii="宋体" w:hAnsi="宋体"/>
          <w:color w:val="auto"/>
          <w:sz w:val="24"/>
          <w:highlight w:val="none"/>
        </w:rPr>
        <w:t>5.l工程量清单表</w:t>
      </w:r>
    </w:p>
    <w:p>
      <w:pPr>
        <w:rPr>
          <w:rFonts w:ascii="隶书" w:eastAsia="隶书"/>
          <w:color w:val="auto"/>
          <w:sz w:val="24"/>
          <w:highlight w:val="none"/>
        </w:rPr>
      </w:pPr>
    </w:p>
    <w:p>
      <w:pPr>
        <w:spacing w:after="240"/>
        <w:rPr>
          <w:rFonts w:ascii="黑体" w:eastAsia="黑体"/>
          <w:color w:val="auto"/>
          <w:sz w:val="18"/>
          <w:szCs w:val="18"/>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pStyle w:val="2"/>
        <w:rPr>
          <w:highlight w:val="none"/>
        </w:rPr>
      </w:pPr>
    </w:p>
    <w:p>
      <w:pPr>
        <w:rPr>
          <w:rFonts w:ascii="宋体" w:hAnsi="宋体"/>
          <w:color w:val="auto"/>
          <w:sz w:val="24"/>
          <w:highlight w:val="none"/>
        </w:rPr>
      </w:pPr>
    </w:p>
    <w:p>
      <w:pPr>
        <w:rPr>
          <w:rFonts w:ascii="宋体" w:hAnsi="宋体"/>
          <w:color w:val="auto"/>
          <w:sz w:val="24"/>
          <w:highlight w:val="none"/>
        </w:rPr>
      </w:pPr>
    </w:p>
    <w:tbl>
      <w:tblPr>
        <w:tblW w:w="10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10"/>
        <w:gridCol w:w="2013"/>
        <w:gridCol w:w="1184"/>
        <w:gridCol w:w="1044"/>
        <w:gridCol w:w="391"/>
        <w:gridCol w:w="269"/>
        <w:gridCol w:w="1460"/>
        <w:gridCol w:w="1799"/>
      </w:tblGrid>
      <w:tr>
        <w:trPr>
          <w:trHeight w:val="420" w:hRule="atLeast"/>
        </w:trPr>
        <w:tc>
          <w:tcPr>
            <w:tcW w:w="10170" w:type="dxa"/>
            <w:gridSpan w:val="8"/>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kern w:val="2"/>
                <w:sz w:val="28"/>
                <w:szCs w:val="28"/>
                <w:highlight w:val="none"/>
                <w:u w:val="none"/>
              </w:rPr>
            </w:pPr>
            <w:r>
              <w:rPr>
                <w:rFonts w:hint="eastAsia" w:ascii="宋体" w:hAnsi="宋体" w:eastAsia="宋体" w:cs="宋体"/>
                <w:b/>
                <w:i w:val="0"/>
                <w:color w:val="000000"/>
                <w:kern w:val="0"/>
                <w:sz w:val="28"/>
                <w:szCs w:val="28"/>
                <w:highlight w:val="none"/>
                <w:u w:val="none"/>
                <w:lang w:val="en-US" w:eastAsia="zh-CN"/>
              </w:rPr>
              <w:t>工程量清单表</w:t>
            </w:r>
          </w:p>
        </w:tc>
      </w:tr>
      <w:tr>
        <w:trPr>
          <w:trHeight w:val="286" w:hRule="atLeast"/>
        </w:trPr>
        <w:tc>
          <w:tcPr>
            <w:tcW w:w="4023" w:type="dxa"/>
            <w:gridSpan w:val="2"/>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合同段：许昌市建安区五女店镇韩庄西桥（位村东桥）危桥改造项目</w:t>
            </w: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标表2</w:t>
            </w:r>
          </w:p>
        </w:tc>
      </w:tr>
      <w:tr>
        <w:trPr>
          <w:trHeight w:val="316" w:hRule="atLeast"/>
        </w:trPr>
        <w:tc>
          <w:tcPr>
            <w:tcW w:w="10170" w:type="dxa"/>
            <w:gridSpan w:val="8"/>
            <w:tcBorders>
              <w:top w:val="single" w:color="000000" w:sz="12" w:space="0"/>
              <w:left w:val="single" w:color="000000" w:sz="12"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第100章 总则</w:t>
            </w: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子目号</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子目名称</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单位</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数量</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单价</w:t>
            </w: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合价</w:t>
            </w: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101-1</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保险费</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435"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按合同条款规定，提供建筑工程一切险</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总额</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435"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-b</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按合同条款规定，提供第三者责任险</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总额</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103-3</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临时供电设施</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临时电力线路</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km</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0.4</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-b</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临时电信线路</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km</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0.2</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103-1</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临时道路、便桥</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总额</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临时便道</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30</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-b</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临时便桥</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40</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104-1</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承包人驻地建设</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总额</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10170" w:type="dxa"/>
            <w:gridSpan w:val="8"/>
            <w:tcBorders>
              <w:top w:val="single" w:color="000000" w:sz="4" w:space="0"/>
              <w:left w:val="single" w:color="000000" w:sz="12" w:space="0"/>
              <w:bottom w:val="single" w:color="000000" w:sz="12"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第100章 合计 人民币</w:t>
            </w:r>
            <w:r>
              <w:rPr>
                <w:rFonts w:hint="eastAsia" w:ascii="宋体" w:hAnsi="宋体" w:cs="宋体"/>
                <w:i w:val="0"/>
                <w:color w:val="000000"/>
                <w:kern w:val="0"/>
                <w:sz w:val="18"/>
                <w:szCs w:val="18"/>
                <w:highlight w:val="none"/>
                <w:u w:val="none"/>
                <w:lang w:val="en-US" w:eastAsia="zh-CN"/>
              </w:rPr>
              <w:t xml:space="preserve">    </w:t>
            </w:r>
            <w:r>
              <w:rPr>
                <w:rFonts w:hint="eastAsia" w:ascii="宋体" w:hAnsi="宋体" w:eastAsia="宋体" w:cs="宋体"/>
                <w:i w:val="0"/>
                <w:color w:val="000000"/>
                <w:kern w:val="0"/>
                <w:sz w:val="18"/>
                <w:szCs w:val="18"/>
                <w:highlight w:val="none"/>
                <w:u w:val="none"/>
                <w:lang w:val="en-US" w:eastAsia="zh-CN"/>
              </w:rPr>
              <w:t>元</w:t>
            </w:r>
          </w:p>
        </w:tc>
      </w:tr>
      <w:tr>
        <w:trPr>
          <w:trHeight w:val="286" w:hRule="atLeast"/>
        </w:trPr>
        <w:tc>
          <w:tcPr>
            <w:tcW w:w="4023" w:type="dxa"/>
            <w:gridSpan w:val="2"/>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清单 第  1  页  共  5  页</w:t>
            </w:r>
          </w:p>
        </w:tc>
      </w:tr>
      <w:tr>
        <w:trPr>
          <w:trHeight w:val="286" w:hRule="atLeast"/>
        </w:trPr>
        <w:tc>
          <w:tcPr>
            <w:tcW w:w="4023" w:type="dxa"/>
            <w:gridSpan w:val="2"/>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420" w:hRule="atLeast"/>
        </w:trPr>
        <w:tc>
          <w:tcPr>
            <w:tcW w:w="10170" w:type="dxa"/>
            <w:gridSpan w:val="8"/>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kern w:val="2"/>
                <w:sz w:val="28"/>
                <w:szCs w:val="28"/>
                <w:highlight w:val="none"/>
                <w:u w:val="none"/>
              </w:rPr>
            </w:pPr>
            <w:r>
              <w:rPr>
                <w:rFonts w:hint="eastAsia" w:ascii="宋体" w:hAnsi="宋体" w:eastAsia="宋体" w:cs="宋体"/>
                <w:b/>
                <w:i w:val="0"/>
                <w:color w:val="000000"/>
                <w:kern w:val="0"/>
                <w:sz w:val="28"/>
                <w:szCs w:val="28"/>
                <w:highlight w:val="none"/>
                <w:u w:val="none"/>
                <w:lang w:val="en-US" w:eastAsia="zh-CN"/>
              </w:rPr>
              <w:t>工程量清单表</w:t>
            </w:r>
          </w:p>
        </w:tc>
      </w:tr>
      <w:tr>
        <w:trPr>
          <w:trHeight w:val="286" w:hRule="atLeast"/>
        </w:trPr>
        <w:tc>
          <w:tcPr>
            <w:tcW w:w="4023" w:type="dxa"/>
            <w:gridSpan w:val="2"/>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合同段：许昌市建安区五女店镇韩庄西桥（位村东桥）危桥改造项目</w:t>
            </w: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标表2</w:t>
            </w:r>
          </w:p>
        </w:tc>
      </w:tr>
      <w:tr>
        <w:trPr>
          <w:trHeight w:val="316" w:hRule="atLeast"/>
        </w:trPr>
        <w:tc>
          <w:tcPr>
            <w:tcW w:w="10170" w:type="dxa"/>
            <w:gridSpan w:val="8"/>
            <w:tcBorders>
              <w:top w:val="single" w:color="000000" w:sz="12" w:space="0"/>
              <w:left w:val="single" w:color="000000" w:sz="12"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第200章 路基</w:t>
            </w: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子目号</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子目名称</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单位</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数量</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单价</w:t>
            </w: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合价</w:t>
            </w: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202-2</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挖除旧路面</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20cm厚水泥混凝土路面</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m2</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47.8</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202-3</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拆除结构物</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拆除浆砌圬工</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144</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-b</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拆除钢筋砼</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36</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203-1</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挖土方</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挖土方</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335.3</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204-1</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回填土</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回填土</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43</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10170" w:type="dxa"/>
            <w:gridSpan w:val="8"/>
            <w:tcBorders>
              <w:top w:val="single" w:color="000000" w:sz="4" w:space="0"/>
              <w:left w:val="single" w:color="000000" w:sz="12" w:space="0"/>
              <w:bottom w:val="single" w:color="000000" w:sz="12"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第200章 合计 人民币</w:t>
            </w:r>
            <w:r>
              <w:rPr>
                <w:rFonts w:hint="eastAsia" w:ascii="宋体" w:hAnsi="宋体" w:cs="宋体"/>
                <w:i w:val="0"/>
                <w:color w:val="000000"/>
                <w:kern w:val="0"/>
                <w:sz w:val="18"/>
                <w:szCs w:val="18"/>
                <w:highlight w:val="none"/>
                <w:u w:val="none"/>
                <w:lang w:val="en-US" w:eastAsia="zh-CN"/>
              </w:rPr>
              <w:t xml:space="preserve">     </w:t>
            </w:r>
            <w:r>
              <w:rPr>
                <w:rFonts w:hint="eastAsia" w:ascii="宋体" w:hAnsi="宋体" w:eastAsia="宋体" w:cs="宋体"/>
                <w:i w:val="0"/>
                <w:color w:val="000000"/>
                <w:kern w:val="0"/>
                <w:sz w:val="18"/>
                <w:szCs w:val="18"/>
                <w:highlight w:val="none"/>
                <w:u w:val="none"/>
                <w:lang w:val="en-US" w:eastAsia="zh-CN"/>
              </w:rPr>
              <w:t>元</w:t>
            </w:r>
          </w:p>
        </w:tc>
      </w:tr>
      <w:tr>
        <w:trPr>
          <w:trHeight w:val="286" w:hRule="atLeast"/>
        </w:trPr>
        <w:tc>
          <w:tcPr>
            <w:tcW w:w="4023" w:type="dxa"/>
            <w:gridSpan w:val="2"/>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清单 第  2  页  共  5  页</w:t>
            </w:r>
          </w:p>
        </w:tc>
      </w:tr>
      <w:tr>
        <w:trPr>
          <w:trHeight w:val="286" w:hRule="atLeast"/>
        </w:trPr>
        <w:tc>
          <w:tcPr>
            <w:tcW w:w="4023" w:type="dxa"/>
            <w:gridSpan w:val="2"/>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420" w:hRule="atLeast"/>
        </w:trPr>
        <w:tc>
          <w:tcPr>
            <w:tcW w:w="10170" w:type="dxa"/>
            <w:gridSpan w:val="8"/>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kern w:val="2"/>
                <w:sz w:val="28"/>
                <w:szCs w:val="28"/>
                <w:highlight w:val="none"/>
                <w:u w:val="none"/>
              </w:rPr>
            </w:pPr>
            <w:r>
              <w:rPr>
                <w:rFonts w:hint="eastAsia" w:ascii="宋体" w:hAnsi="宋体" w:eastAsia="宋体" w:cs="宋体"/>
                <w:b/>
                <w:i w:val="0"/>
                <w:color w:val="000000"/>
                <w:kern w:val="0"/>
                <w:sz w:val="28"/>
                <w:szCs w:val="28"/>
                <w:highlight w:val="none"/>
                <w:u w:val="none"/>
                <w:lang w:val="en-US" w:eastAsia="zh-CN"/>
              </w:rPr>
              <w:t>工程量清单表</w:t>
            </w:r>
          </w:p>
        </w:tc>
      </w:tr>
      <w:tr>
        <w:trPr>
          <w:trHeight w:val="286" w:hRule="atLeast"/>
        </w:trPr>
        <w:tc>
          <w:tcPr>
            <w:tcW w:w="4023" w:type="dxa"/>
            <w:gridSpan w:val="2"/>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合同段：许昌市建安区五女店镇韩庄西桥（位村东桥）危桥改造项目</w:t>
            </w: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标表2</w:t>
            </w:r>
          </w:p>
        </w:tc>
      </w:tr>
      <w:tr>
        <w:trPr>
          <w:trHeight w:val="316" w:hRule="atLeast"/>
        </w:trPr>
        <w:tc>
          <w:tcPr>
            <w:tcW w:w="10170" w:type="dxa"/>
            <w:gridSpan w:val="8"/>
            <w:tcBorders>
              <w:top w:val="single" w:color="000000" w:sz="12" w:space="0"/>
              <w:left w:val="single" w:color="000000" w:sz="12"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第300章 路面</w:t>
            </w: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子目号</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子目名称</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单位</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数量</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单价</w:t>
            </w: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合价</w:t>
            </w: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304-3</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水泥稳定土基层</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30cm厚5%水泥土</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m2</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208</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312-1</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水泥混凝土面板</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20cm厚C30砼面层</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m2</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187.6</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10170" w:type="dxa"/>
            <w:gridSpan w:val="8"/>
            <w:tcBorders>
              <w:top w:val="single" w:color="000000" w:sz="4" w:space="0"/>
              <w:left w:val="single" w:color="000000" w:sz="12" w:space="0"/>
              <w:bottom w:val="single" w:color="000000" w:sz="12"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第300章 合计 人民币</w:t>
            </w:r>
            <w:r>
              <w:rPr>
                <w:rFonts w:hint="eastAsia" w:ascii="宋体" w:hAnsi="宋体" w:cs="宋体"/>
                <w:i w:val="0"/>
                <w:color w:val="000000"/>
                <w:kern w:val="0"/>
                <w:sz w:val="18"/>
                <w:szCs w:val="18"/>
                <w:highlight w:val="none"/>
                <w:u w:val="none"/>
                <w:lang w:val="en-US" w:eastAsia="zh-CN"/>
              </w:rPr>
              <w:t xml:space="preserve">     </w:t>
            </w:r>
            <w:r>
              <w:rPr>
                <w:rFonts w:hint="eastAsia" w:ascii="宋体" w:hAnsi="宋体" w:eastAsia="宋体" w:cs="宋体"/>
                <w:i w:val="0"/>
                <w:color w:val="000000"/>
                <w:kern w:val="0"/>
                <w:sz w:val="18"/>
                <w:szCs w:val="18"/>
                <w:highlight w:val="none"/>
                <w:u w:val="none"/>
                <w:lang w:val="en-US" w:eastAsia="zh-CN"/>
              </w:rPr>
              <w:t>元</w:t>
            </w:r>
          </w:p>
        </w:tc>
      </w:tr>
      <w:tr>
        <w:trPr>
          <w:trHeight w:val="286" w:hRule="atLeast"/>
        </w:trPr>
        <w:tc>
          <w:tcPr>
            <w:tcW w:w="4023" w:type="dxa"/>
            <w:gridSpan w:val="2"/>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清单 第  3  页  共  5  页</w:t>
            </w:r>
          </w:p>
        </w:tc>
      </w:tr>
      <w:tr>
        <w:trPr>
          <w:trHeight w:val="286" w:hRule="atLeast"/>
        </w:trPr>
        <w:tc>
          <w:tcPr>
            <w:tcW w:w="4023" w:type="dxa"/>
            <w:gridSpan w:val="2"/>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420" w:hRule="atLeast"/>
        </w:trPr>
        <w:tc>
          <w:tcPr>
            <w:tcW w:w="10170" w:type="dxa"/>
            <w:gridSpan w:val="8"/>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kern w:val="2"/>
                <w:sz w:val="28"/>
                <w:szCs w:val="28"/>
                <w:highlight w:val="none"/>
                <w:u w:val="none"/>
              </w:rPr>
            </w:pPr>
            <w:r>
              <w:rPr>
                <w:rFonts w:hint="eastAsia" w:ascii="宋体" w:hAnsi="宋体" w:eastAsia="宋体" w:cs="宋体"/>
                <w:b/>
                <w:i w:val="0"/>
                <w:color w:val="000000"/>
                <w:kern w:val="0"/>
                <w:sz w:val="28"/>
                <w:szCs w:val="28"/>
                <w:highlight w:val="none"/>
                <w:u w:val="none"/>
                <w:lang w:val="en-US" w:eastAsia="zh-CN"/>
              </w:rPr>
              <w:t>工程量清单表</w:t>
            </w:r>
          </w:p>
        </w:tc>
      </w:tr>
      <w:tr>
        <w:trPr>
          <w:trHeight w:val="286" w:hRule="atLeast"/>
        </w:trPr>
        <w:tc>
          <w:tcPr>
            <w:tcW w:w="4023" w:type="dxa"/>
            <w:gridSpan w:val="2"/>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合同段：许昌市建安区五女店镇韩庄西桥（位村东桥）危桥改造项目</w:t>
            </w: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标表2</w:t>
            </w:r>
          </w:p>
        </w:tc>
      </w:tr>
      <w:tr>
        <w:trPr>
          <w:trHeight w:val="316" w:hRule="atLeast"/>
        </w:trPr>
        <w:tc>
          <w:tcPr>
            <w:tcW w:w="10170" w:type="dxa"/>
            <w:gridSpan w:val="8"/>
            <w:tcBorders>
              <w:top w:val="single" w:color="000000" w:sz="12" w:space="0"/>
              <w:left w:val="single" w:color="000000" w:sz="12"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第400章 桥梁、涵洞</w:t>
            </w: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子目号</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子目名称</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单位</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数量</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单价</w:t>
            </w: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合价</w:t>
            </w: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403-1</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桩基钢筋</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光圆钢筋( HPB300)</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kg</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4626.6</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-b</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带肋钢筋( HRB400)</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kg</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21155</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403-2</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下部结构钢筋</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光圆钢筋( HPB300)</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kg</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5124.4</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-b</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带肋钢筋( HRB400)</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kg</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11638.2</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403-3</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上部结构钢筋</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光圆钢筋( HPB300)</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kg</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3832</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-b</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带肋钢筋( HRB400)</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kg</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21713</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403-4</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附属结构钢筋</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光圆钢筋( HPB300)</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kg</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92.2</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-b</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带肋钢筋( HRB400)</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kg</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29415.1</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405-1</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钻孔灌注桩</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φ1200mm钻孔灌注桩 C25</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100</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-b</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φ1500mm钻孔灌注桩 C25</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176</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-c</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声测管</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kg</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3882.7</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411-2</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先张法预应力钢绞线</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kg</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3502</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410-2</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混凝土下部结构</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墩柱 C30</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16</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-b</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盖梁 C30</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73.68</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-c</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垫石 C40</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1.5</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-d</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耳背墙 C30</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12.8</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410-4</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预制混凝土上部结构</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预制空心板 C40</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165.4</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410-6</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现浇混凝土附属结构</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搭板 C30混凝土</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20.2</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-b</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C15混凝土垫层</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20.9</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-c</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8%石灰土基层</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183.2</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-d</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C30混凝土护栏</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57.4</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435"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415-2</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防水水泥混凝土桥面铺装（C40，厚150mm）</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m3</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76.5</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416-2</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GYZ200*35板式橡胶支座</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个</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120</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417-2</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GQF80伸缩装置</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11.4</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10170" w:type="dxa"/>
            <w:gridSpan w:val="8"/>
            <w:tcBorders>
              <w:top w:val="single" w:color="000000" w:sz="4" w:space="0"/>
              <w:left w:val="single" w:color="000000" w:sz="12" w:space="0"/>
              <w:bottom w:val="single" w:color="000000" w:sz="12"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第400章 合计 人民币</w:t>
            </w:r>
            <w:r>
              <w:rPr>
                <w:rFonts w:hint="eastAsia" w:ascii="宋体" w:hAnsi="宋体" w:cs="宋体"/>
                <w:i w:val="0"/>
                <w:color w:val="000000"/>
                <w:kern w:val="0"/>
                <w:sz w:val="18"/>
                <w:szCs w:val="18"/>
                <w:highlight w:val="none"/>
                <w:u w:val="none"/>
                <w:lang w:val="en-US" w:eastAsia="zh-CN"/>
              </w:rPr>
              <w:t xml:space="preserve">    </w:t>
            </w:r>
            <w:r>
              <w:rPr>
                <w:rFonts w:hint="eastAsia" w:ascii="宋体" w:hAnsi="宋体" w:eastAsia="宋体" w:cs="宋体"/>
                <w:i w:val="0"/>
                <w:color w:val="000000"/>
                <w:kern w:val="0"/>
                <w:sz w:val="18"/>
                <w:szCs w:val="18"/>
                <w:highlight w:val="none"/>
                <w:u w:val="none"/>
                <w:lang w:val="en-US" w:eastAsia="zh-CN"/>
              </w:rPr>
              <w:t>元</w:t>
            </w:r>
          </w:p>
        </w:tc>
      </w:tr>
      <w:tr>
        <w:trPr>
          <w:trHeight w:val="286" w:hRule="atLeast"/>
        </w:trPr>
        <w:tc>
          <w:tcPr>
            <w:tcW w:w="4023" w:type="dxa"/>
            <w:gridSpan w:val="2"/>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清单 第  4  页  共  5  页</w:t>
            </w:r>
          </w:p>
        </w:tc>
      </w:tr>
      <w:tr>
        <w:trPr>
          <w:trHeight w:val="286" w:hRule="atLeast"/>
        </w:trPr>
        <w:tc>
          <w:tcPr>
            <w:tcW w:w="4023" w:type="dxa"/>
            <w:gridSpan w:val="2"/>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420" w:hRule="atLeast"/>
        </w:trPr>
        <w:tc>
          <w:tcPr>
            <w:tcW w:w="10170" w:type="dxa"/>
            <w:gridSpan w:val="8"/>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kern w:val="2"/>
                <w:sz w:val="28"/>
                <w:szCs w:val="28"/>
                <w:highlight w:val="none"/>
                <w:u w:val="none"/>
              </w:rPr>
            </w:pPr>
            <w:r>
              <w:rPr>
                <w:rFonts w:hint="eastAsia" w:ascii="宋体" w:hAnsi="宋体" w:eastAsia="宋体" w:cs="宋体"/>
                <w:b/>
                <w:i w:val="0"/>
                <w:color w:val="000000"/>
                <w:kern w:val="0"/>
                <w:sz w:val="28"/>
                <w:szCs w:val="28"/>
                <w:highlight w:val="none"/>
                <w:u w:val="none"/>
                <w:lang w:val="en-US" w:eastAsia="zh-CN"/>
              </w:rPr>
              <w:t>工程量清单表</w:t>
            </w:r>
          </w:p>
        </w:tc>
      </w:tr>
      <w:tr>
        <w:trPr>
          <w:trHeight w:val="286" w:hRule="atLeast"/>
        </w:trPr>
        <w:tc>
          <w:tcPr>
            <w:tcW w:w="4023" w:type="dxa"/>
            <w:gridSpan w:val="2"/>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合同段：许昌市建安区五女店镇韩庄西桥（位村东桥）危桥改造项目</w:t>
            </w: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标表2</w:t>
            </w:r>
          </w:p>
        </w:tc>
      </w:tr>
      <w:tr>
        <w:trPr>
          <w:trHeight w:val="316" w:hRule="atLeast"/>
        </w:trPr>
        <w:tc>
          <w:tcPr>
            <w:tcW w:w="10170" w:type="dxa"/>
            <w:gridSpan w:val="8"/>
            <w:tcBorders>
              <w:top w:val="single" w:color="000000" w:sz="12" w:space="0"/>
              <w:left w:val="single" w:color="000000" w:sz="12"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第600章 安全设施及预埋管线</w:t>
            </w: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子目号</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子目名称</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单位</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数量</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单价</w:t>
            </w: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合价</w:t>
            </w: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604-5</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单悬臂式交通标志</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个</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605-1</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水泥砼护栏油漆</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-a</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水泥砼护栏油漆</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m2</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107.4</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604-10</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警示桩</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个</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20</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607-1</w:t>
            </w: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铸铁泄水管</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个</w:t>
            </w: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50</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20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c>
          <w:tcPr>
            <w:tcW w:w="179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right"/>
              <w:rPr>
                <w:rFonts w:hint="eastAsia" w:ascii="宋体" w:hAnsi="宋体" w:eastAsia="宋体" w:cs="宋体"/>
                <w:i w:val="0"/>
                <w:color w:val="000000"/>
                <w:kern w:val="2"/>
                <w:sz w:val="18"/>
                <w:szCs w:val="18"/>
                <w:highlight w:val="none"/>
                <w:u w:val="none"/>
              </w:rPr>
            </w:pPr>
          </w:p>
        </w:tc>
      </w:tr>
      <w:tr>
        <w:trPr>
          <w:trHeight w:val="286" w:hRule="atLeast"/>
        </w:trPr>
        <w:tc>
          <w:tcPr>
            <w:tcW w:w="10170" w:type="dxa"/>
            <w:gridSpan w:val="8"/>
            <w:tcBorders>
              <w:top w:val="single" w:color="000000" w:sz="4" w:space="0"/>
              <w:left w:val="single" w:color="000000" w:sz="12" w:space="0"/>
              <w:bottom w:val="single" w:color="000000" w:sz="12"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第600章 合计 人民币</w:t>
            </w:r>
            <w:r>
              <w:rPr>
                <w:rFonts w:hint="eastAsia" w:ascii="宋体" w:hAnsi="宋体" w:cs="宋体"/>
                <w:i w:val="0"/>
                <w:color w:val="000000"/>
                <w:kern w:val="0"/>
                <w:sz w:val="18"/>
                <w:szCs w:val="18"/>
                <w:highlight w:val="none"/>
                <w:u w:val="none"/>
                <w:lang w:val="en-US" w:eastAsia="zh-CN"/>
              </w:rPr>
              <w:t xml:space="preserve">    </w:t>
            </w:r>
            <w:r>
              <w:rPr>
                <w:rFonts w:hint="eastAsia" w:ascii="宋体" w:hAnsi="宋体" w:eastAsia="宋体" w:cs="宋体"/>
                <w:i w:val="0"/>
                <w:color w:val="000000"/>
                <w:kern w:val="0"/>
                <w:sz w:val="18"/>
                <w:szCs w:val="18"/>
                <w:highlight w:val="none"/>
                <w:u w:val="none"/>
                <w:lang w:val="en-US" w:eastAsia="zh-CN"/>
              </w:rPr>
              <w:t>元</w:t>
            </w:r>
          </w:p>
        </w:tc>
      </w:tr>
      <w:tr>
        <w:trPr>
          <w:trHeight w:val="286" w:hRule="atLeast"/>
        </w:trPr>
        <w:tc>
          <w:tcPr>
            <w:tcW w:w="4023" w:type="dxa"/>
            <w:gridSpan w:val="2"/>
            <w:shd w:val="clear" w:color="FFFFFF" w:fill="FFFFFF"/>
            <w:vAlign w:val="center"/>
          </w:tcPr>
          <w:p>
            <w:pPr>
              <w:spacing w:before="0" w:beforeAutospacing="0" w:after="0" w:afterAutospacing="0"/>
              <w:ind w:left="0" w:right="0"/>
              <w:jc w:val="left"/>
              <w:rPr>
                <w:rFonts w:hint="eastAsia" w:ascii="宋体" w:hAnsi="宋体" w:eastAsia="宋体" w:cs="宋体"/>
                <w:i w:val="0"/>
                <w:color w:val="000000"/>
                <w:kern w:val="2"/>
                <w:sz w:val="18"/>
                <w:szCs w:val="18"/>
                <w:highlight w:val="none"/>
                <w:u w:val="none"/>
              </w:rPr>
            </w:pPr>
          </w:p>
        </w:tc>
        <w:tc>
          <w:tcPr>
            <w:tcW w:w="2619" w:type="dxa"/>
            <w:gridSpan w:val="3"/>
            <w:shd w:val="clear" w:color="FFFFFF" w:fill="FFFFFF"/>
            <w:vAlign w:val="center"/>
          </w:tcPr>
          <w:p>
            <w:pPr>
              <w:spacing w:before="0" w:beforeAutospacing="0" w:after="0" w:afterAutospacing="0"/>
              <w:ind w:left="0" w:right="0"/>
              <w:jc w:val="center"/>
              <w:rPr>
                <w:rFonts w:hint="eastAsia" w:ascii="宋体" w:hAnsi="宋体" w:eastAsia="宋体" w:cs="宋体"/>
                <w:i w:val="0"/>
                <w:color w:val="000000"/>
                <w:kern w:val="2"/>
                <w:sz w:val="18"/>
                <w:szCs w:val="18"/>
                <w:highlight w:val="none"/>
                <w:u w:val="none"/>
              </w:rPr>
            </w:pPr>
          </w:p>
        </w:tc>
        <w:tc>
          <w:tcPr>
            <w:tcW w:w="3528" w:type="dxa"/>
            <w:gridSpan w:val="3"/>
            <w:shd w:val="clear" w:color="FFFFFF" w:fill="FFFFFF"/>
            <w:vAlign w:val="center"/>
          </w:tcPr>
          <w:p>
            <w:pPr>
              <w:widowControl/>
              <w:spacing w:before="0" w:beforeAutospacing="0" w:after="0" w:afterAutospacing="0"/>
              <w:ind w:left="0" w:right="0"/>
              <w:jc w:val="right"/>
              <w:textAlignment w:val="center"/>
              <w:rPr>
                <w:rFonts w:hint="eastAsia" w:ascii="宋体" w:hAnsi="宋体" w:eastAsia="宋体" w:cs="宋体"/>
                <w:i w:val="0"/>
                <w:color w:val="000000"/>
                <w:kern w:val="2"/>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清单 第  5  页  共  5  页</w:t>
            </w:r>
          </w:p>
        </w:tc>
      </w:tr>
    </w:tbl>
    <w:p>
      <w:pPr>
        <w:jc w:val="center"/>
        <w:rPr>
          <w:rFonts w:ascii="黑体" w:eastAsia="黑体"/>
          <w:color w:val="auto"/>
          <w:sz w:val="52"/>
          <w:szCs w:val="52"/>
          <w:highlight w:val="none"/>
        </w:rPr>
      </w:pPr>
    </w:p>
    <w:p>
      <w:pPr>
        <w:jc w:val="both"/>
        <w:rPr>
          <w:rFonts w:ascii="黑体" w:eastAsia="黑体"/>
          <w:color w:val="auto"/>
          <w:sz w:val="52"/>
          <w:szCs w:val="52"/>
          <w:highlight w:val="none"/>
        </w:rPr>
      </w:pPr>
    </w:p>
    <w:p>
      <w:pPr>
        <w:jc w:val="both"/>
        <w:outlineLvl w:val="0"/>
        <w:rPr>
          <w:rFonts w:hint="eastAsia" w:ascii="黑体" w:eastAsia="黑体"/>
          <w:bCs/>
          <w:color w:val="auto"/>
          <w:sz w:val="44"/>
          <w:szCs w:val="44"/>
          <w:highlight w:val="none"/>
          <w:lang w:eastAsia="zh-CN"/>
        </w:rPr>
      </w:pPr>
      <w:bookmarkStart w:id="207" w:name="_Toc20155"/>
    </w:p>
    <w:p>
      <w:pPr>
        <w:jc w:val="both"/>
        <w:outlineLvl w:val="0"/>
        <w:rPr>
          <w:rFonts w:hint="eastAsia" w:ascii="黑体" w:eastAsia="黑体"/>
          <w:bCs/>
          <w:color w:val="auto"/>
          <w:sz w:val="44"/>
          <w:szCs w:val="44"/>
          <w:highlight w:val="none"/>
          <w:lang w:eastAsia="zh-CN"/>
        </w:rPr>
      </w:pPr>
    </w:p>
    <w:p>
      <w:pPr>
        <w:jc w:val="both"/>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第六章</w:t>
      </w:r>
      <w:r>
        <w:rPr>
          <w:rFonts w:ascii="黑体" w:eastAsia="黑体"/>
          <w:bCs/>
          <w:color w:val="auto"/>
          <w:sz w:val="44"/>
          <w:szCs w:val="44"/>
          <w:highlight w:val="none"/>
        </w:rPr>
        <w:tab/>
      </w:r>
      <w:r>
        <w:rPr>
          <w:rFonts w:ascii="黑体" w:eastAsia="黑体"/>
          <w:bCs/>
          <w:color w:val="auto"/>
          <w:sz w:val="44"/>
          <w:szCs w:val="44"/>
          <w:highlight w:val="none"/>
        </w:rPr>
        <w:t>图纸</w:t>
      </w:r>
      <w:r>
        <w:rPr>
          <w:rFonts w:hint="eastAsia" w:ascii="黑体" w:eastAsia="黑体"/>
          <w:bCs/>
          <w:color w:val="auto"/>
          <w:sz w:val="44"/>
          <w:szCs w:val="44"/>
          <w:highlight w:val="none"/>
        </w:rPr>
        <w:t>（另</w:t>
      </w:r>
      <w:r>
        <w:rPr>
          <w:rFonts w:hint="eastAsia" w:ascii="黑体" w:eastAsia="黑体"/>
          <w:bCs/>
          <w:color w:val="auto"/>
          <w:sz w:val="44"/>
          <w:szCs w:val="44"/>
          <w:highlight w:val="none"/>
          <w:lang w:eastAsia="zh-CN"/>
        </w:rPr>
        <w:t>册</w:t>
      </w:r>
      <w:r>
        <w:rPr>
          <w:rFonts w:hint="eastAsia" w:ascii="黑体" w:eastAsia="黑体"/>
          <w:bCs/>
          <w:color w:val="auto"/>
          <w:sz w:val="44"/>
          <w:szCs w:val="44"/>
          <w:highlight w:val="none"/>
        </w:rPr>
        <w:t>）</w:t>
      </w:r>
      <w:bookmarkEnd w:id="207"/>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jc w:val="center"/>
        <w:outlineLvl w:val="0"/>
        <w:rPr>
          <w:rFonts w:ascii="黑体" w:eastAsia="黑体"/>
          <w:bCs/>
          <w:color w:val="auto"/>
          <w:sz w:val="44"/>
          <w:szCs w:val="44"/>
          <w:highlight w:val="none"/>
        </w:rPr>
      </w:pPr>
      <w:bookmarkStart w:id="208" w:name="_Toc18036"/>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第七章</w:t>
      </w:r>
      <w:r>
        <w:rPr>
          <w:rFonts w:ascii="黑体" w:eastAsia="黑体"/>
          <w:bCs/>
          <w:color w:val="auto"/>
          <w:sz w:val="44"/>
          <w:szCs w:val="44"/>
          <w:highlight w:val="none"/>
        </w:rPr>
        <w:tab/>
      </w:r>
      <w:r>
        <w:rPr>
          <w:rFonts w:ascii="黑体" w:eastAsia="黑体"/>
          <w:bCs/>
          <w:color w:val="auto"/>
          <w:sz w:val="44"/>
          <w:szCs w:val="44"/>
          <w:highlight w:val="none"/>
        </w:rPr>
        <w:t>技术</w:t>
      </w:r>
      <w:r>
        <w:rPr>
          <w:rFonts w:hint="eastAsia" w:ascii="黑体" w:eastAsia="黑体"/>
          <w:bCs/>
          <w:color w:val="auto"/>
          <w:sz w:val="44"/>
          <w:szCs w:val="44"/>
          <w:highlight w:val="none"/>
        </w:rPr>
        <w:t>规范（另册）</w:t>
      </w:r>
      <w:bookmarkEnd w:id="208"/>
    </w:p>
    <w:p>
      <w:pPr>
        <w:rPr>
          <w:rFonts w:ascii="宋体" w:hAnsi="宋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bookmarkStart w:id="209" w:name="_Toc27978"/>
      <w:r>
        <w:rPr>
          <w:rFonts w:ascii="黑体" w:eastAsia="黑体"/>
          <w:bCs/>
          <w:color w:val="auto"/>
          <w:sz w:val="44"/>
          <w:szCs w:val="44"/>
          <w:highlight w:val="none"/>
        </w:rPr>
        <w:t>第</w:t>
      </w:r>
      <w:r>
        <w:rPr>
          <w:rFonts w:hint="eastAsia" w:ascii="黑体" w:eastAsia="黑体"/>
          <w:bCs/>
          <w:color w:val="auto"/>
          <w:sz w:val="44"/>
          <w:szCs w:val="44"/>
          <w:highlight w:val="none"/>
          <w:lang w:eastAsia="zh-CN"/>
        </w:rPr>
        <w:t>八</w:t>
      </w:r>
      <w:r>
        <w:rPr>
          <w:rFonts w:ascii="黑体" w:eastAsia="黑体"/>
          <w:bCs/>
          <w:color w:val="auto"/>
          <w:sz w:val="44"/>
          <w:szCs w:val="44"/>
          <w:highlight w:val="none"/>
        </w:rPr>
        <w:t>章</w:t>
      </w:r>
      <w:r>
        <w:rPr>
          <w:rFonts w:ascii="黑体" w:eastAsia="黑体"/>
          <w:bCs/>
          <w:color w:val="auto"/>
          <w:sz w:val="44"/>
          <w:szCs w:val="44"/>
          <w:highlight w:val="none"/>
        </w:rPr>
        <w:tab/>
      </w:r>
      <w:r>
        <w:rPr>
          <w:rFonts w:hint="eastAsia" w:ascii="黑体" w:eastAsia="黑体"/>
          <w:bCs/>
          <w:color w:val="auto"/>
          <w:sz w:val="44"/>
          <w:szCs w:val="44"/>
          <w:highlight w:val="none"/>
          <w:lang w:eastAsia="zh-CN"/>
        </w:rPr>
        <w:t>工程量清单计量规则（另册）</w:t>
      </w: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w:t>
      </w:r>
      <w:r>
        <w:rPr>
          <w:rFonts w:hint="eastAsia" w:ascii="黑体" w:eastAsia="黑体"/>
          <w:bCs/>
          <w:color w:val="auto"/>
          <w:sz w:val="44"/>
          <w:szCs w:val="44"/>
          <w:highlight w:val="none"/>
          <w:lang w:eastAsia="zh-CN"/>
        </w:rPr>
        <w:t>九</w:t>
      </w:r>
      <w:r>
        <w:rPr>
          <w:rFonts w:ascii="黑体" w:eastAsia="黑体"/>
          <w:bCs/>
          <w:color w:val="auto"/>
          <w:sz w:val="44"/>
          <w:szCs w:val="44"/>
          <w:highlight w:val="none"/>
        </w:rPr>
        <w:t>章</w:t>
      </w:r>
      <w:r>
        <w:rPr>
          <w:rFonts w:ascii="黑体" w:eastAsia="黑体"/>
          <w:bCs/>
          <w:color w:val="auto"/>
          <w:sz w:val="44"/>
          <w:szCs w:val="44"/>
          <w:highlight w:val="none"/>
        </w:rPr>
        <w:tab/>
      </w:r>
      <w:r>
        <w:rPr>
          <w:rFonts w:ascii="黑体" w:eastAsia="黑体"/>
          <w:bCs/>
          <w:color w:val="auto"/>
          <w:sz w:val="44"/>
          <w:szCs w:val="44"/>
          <w:highlight w:val="none"/>
        </w:rPr>
        <w:t>投标文件格式</w:t>
      </w:r>
      <w:bookmarkEnd w:id="209"/>
    </w:p>
    <w:p>
      <w:pPr>
        <w:jc w:val="center"/>
        <w:outlineLvl w:val="0"/>
        <w:rPr>
          <w:rFonts w:ascii="黑体" w:eastAsia="黑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jc w:val="right"/>
        <w:rPr>
          <w:rFonts w:hint="eastAsia" w:ascii="宋体" w:hAnsi="宋体"/>
          <w:color w:val="auto"/>
          <w:sz w:val="24"/>
          <w:highlight w:val="none"/>
          <w:lang w:val="en-US" w:eastAsia="zh-CN"/>
        </w:rPr>
      </w:pPr>
      <w:r>
        <w:rPr>
          <w:rFonts w:ascii="宋体" w:hAnsi="宋体"/>
          <w:color w:val="auto"/>
          <w:sz w:val="24"/>
          <w:highlight w:val="none"/>
        </w:rPr>
        <w:br w:type="page"/>
      </w:r>
      <w:r>
        <w:rPr>
          <w:rFonts w:hint="eastAsia" w:ascii="黑体" w:hAnsi="宋体" w:eastAsia="黑体"/>
          <w:b w:val="0"/>
          <w:bCs/>
          <w:color w:val="auto"/>
          <w:sz w:val="36"/>
          <w:szCs w:val="36"/>
          <w:highlight w:val="none"/>
          <w:lang w:val="en-US" w:eastAsia="zh-CN"/>
        </w:rPr>
        <w:t>正（副）本</w:t>
      </w:r>
    </w:p>
    <w:p>
      <w:pPr>
        <w:jc w:val="center"/>
        <w:rPr>
          <w:rFonts w:ascii="黑体" w:hAnsi="华文中宋" w:eastAsia="黑体"/>
          <w:b w:val="0"/>
          <w:bCs/>
          <w:color w:val="auto"/>
          <w:sz w:val="36"/>
          <w:szCs w:val="36"/>
          <w:highlight w:val="none"/>
        </w:rPr>
      </w:pPr>
      <w:r>
        <w:rPr>
          <w:rFonts w:hint="eastAsia" w:ascii="黑体" w:hAnsi="宋体" w:eastAsia="黑体"/>
          <w:bCs/>
          <w:color w:val="auto"/>
          <w:sz w:val="52"/>
          <w:szCs w:val="52"/>
          <w:highlight w:val="none"/>
          <w:lang w:eastAsia="zh-CN"/>
        </w:rPr>
        <w:t>韩庄西桥（位村东桥）危桥改造项目</w:t>
      </w:r>
      <w:r>
        <w:rPr>
          <w:rFonts w:hint="eastAsia" w:ascii="黑体" w:hAnsi="宋体" w:eastAsia="黑体"/>
          <w:bCs/>
          <w:color w:val="auto"/>
          <w:sz w:val="52"/>
          <w:szCs w:val="52"/>
          <w:highlight w:val="none"/>
          <w:lang w:val="en-US" w:eastAsia="zh-CN"/>
        </w:rPr>
        <w:t xml:space="preserve">  </w:t>
      </w:r>
    </w:p>
    <w:p>
      <w:pPr>
        <w:spacing w:line="360" w:lineRule="auto"/>
        <w:rPr>
          <w:rFonts w:ascii="黑体" w:hAnsi="华文中宋" w:eastAsia="黑体"/>
          <w:color w:val="auto"/>
          <w:sz w:val="36"/>
          <w:szCs w:val="36"/>
          <w:highlight w:val="none"/>
        </w:rPr>
      </w:pP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建安建工公字〔2018〕</w:t>
      </w:r>
      <w:r>
        <w:rPr>
          <w:rFonts w:hint="eastAsia" w:ascii="黑体" w:hAnsi="华文中宋" w:eastAsia="黑体"/>
          <w:color w:val="auto"/>
          <w:sz w:val="36"/>
          <w:szCs w:val="36"/>
          <w:highlight w:val="none"/>
          <w:lang w:val="en-US" w:eastAsia="zh-CN"/>
        </w:rPr>
        <w:t>213</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（商务及技术文件）</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jc w:val="center"/>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jc w:val="center"/>
        <w:rPr>
          <w:rFonts w:ascii="黑体" w:hAnsi="宋体" w:eastAsia="黑体"/>
          <w:b/>
          <w:color w:val="auto"/>
          <w:sz w:val="36"/>
          <w:szCs w:val="36"/>
          <w:highlight w:val="none"/>
        </w:rPr>
      </w:pPr>
    </w:p>
    <w:p>
      <w:pPr>
        <w:rPr>
          <w:rFonts w:ascii="黑体" w:hAnsi="宋体" w:eastAsia="黑体"/>
          <w:b/>
          <w:color w:val="auto"/>
          <w:sz w:val="36"/>
          <w:szCs w:val="36"/>
          <w:highlight w:val="none"/>
        </w:rPr>
      </w:pPr>
    </w:p>
    <w:p>
      <w:pPr>
        <w:pageBreakBefore/>
        <w:jc w:val="center"/>
        <w:rPr>
          <w:rFonts w:ascii="黑体" w:hAnsi="宋体" w:eastAsia="黑体"/>
          <w:b/>
          <w:color w:val="auto"/>
          <w:sz w:val="36"/>
          <w:szCs w:val="36"/>
          <w:highlight w:val="none"/>
        </w:rPr>
      </w:pPr>
      <w:r>
        <w:rPr>
          <w:rFonts w:hint="eastAsia" w:ascii="黑体" w:hAnsi="宋体" w:eastAsia="黑体"/>
          <w:b/>
          <w:color w:val="auto"/>
          <w:sz w:val="36"/>
          <w:szCs w:val="36"/>
          <w:highlight w:val="none"/>
        </w:rPr>
        <w:t>目</w:t>
      </w:r>
      <w:r>
        <w:rPr>
          <w:rFonts w:hint="eastAsia" w:ascii="黑体" w:hAnsi="宋体" w:eastAsia="黑体"/>
          <w:b/>
          <w:color w:val="auto"/>
          <w:sz w:val="36"/>
          <w:szCs w:val="36"/>
          <w:highlight w:val="none"/>
        </w:rPr>
        <w:tab/>
      </w:r>
      <w:r>
        <w:rPr>
          <w:rFonts w:hint="eastAsia" w:ascii="黑体" w:hAnsi="宋体" w:eastAsia="黑体"/>
          <w:b/>
          <w:color w:val="auto"/>
          <w:sz w:val="36"/>
          <w:szCs w:val="36"/>
          <w:highlight w:val="none"/>
        </w:rPr>
        <w:t>录</w:t>
      </w: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投标函及投标函附录；</w:t>
      </w:r>
    </w:p>
    <w:p>
      <w:pPr>
        <w:spacing w:line="440" w:lineRule="exact"/>
        <w:rPr>
          <w:rFonts w:ascii="宋体" w:hAnsi="宋体"/>
          <w:color w:val="auto"/>
          <w:sz w:val="24"/>
          <w:highlight w:val="none"/>
        </w:rPr>
      </w:pPr>
      <w:r>
        <w:rPr>
          <w:rFonts w:hint="eastAsia" w:ascii="宋体" w:hAnsi="宋体"/>
          <w:color w:val="auto"/>
          <w:sz w:val="24"/>
          <w:highlight w:val="none"/>
        </w:rPr>
        <w:t>二、授权委托书或法定代表人身份证明；</w:t>
      </w:r>
    </w:p>
    <w:p>
      <w:pPr>
        <w:spacing w:line="440" w:lineRule="exact"/>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投标保证金；</w:t>
      </w:r>
    </w:p>
    <w:p>
      <w:pPr>
        <w:spacing w:line="440" w:lineRule="exact"/>
        <w:rPr>
          <w:rFonts w:ascii="宋体" w:hAnsi="宋体"/>
          <w:color w:val="auto"/>
          <w:sz w:val="24"/>
          <w:highlight w:val="none"/>
        </w:rPr>
      </w:pPr>
      <w:r>
        <w:rPr>
          <w:rFonts w:hint="eastAsia" w:ascii="宋体" w:hAnsi="宋体"/>
          <w:color w:val="auto"/>
          <w:sz w:val="24"/>
          <w:highlight w:val="none"/>
        </w:rPr>
        <w:t>四、</w:t>
      </w:r>
      <w:r>
        <w:rPr>
          <w:rFonts w:ascii="宋体" w:hAnsi="宋体"/>
          <w:color w:val="auto"/>
          <w:sz w:val="24"/>
          <w:highlight w:val="none"/>
        </w:rPr>
        <w:t>施工组织设计；</w:t>
      </w:r>
    </w:p>
    <w:p>
      <w:pPr>
        <w:spacing w:line="440" w:lineRule="exact"/>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项目管理机构；</w:t>
      </w:r>
    </w:p>
    <w:p>
      <w:pPr>
        <w:spacing w:line="440" w:lineRule="exact"/>
        <w:rPr>
          <w:rFonts w:ascii="宋体" w:hAnsi="宋体"/>
          <w:color w:val="auto"/>
          <w:sz w:val="24"/>
          <w:highlight w:val="none"/>
        </w:rPr>
      </w:pPr>
      <w:r>
        <w:rPr>
          <w:rFonts w:hint="eastAsia" w:ascii="宋体" w:hAnsi="宋体"/>
          <w:color w:val="auto"/>
          <w:sz w:val="24"/>
          <w:highlight w:val="none"/>
        </w:rPr>
        <w:t>六、拟分包项目情况表</w:t>
      </w:r>
      <w:r>
        <w:rPr>
          <w:rFonts w:hint="eastAsia" w:ascii="宋体" w:hAnsi="宋体"/>
          <w:color w:val="auto"/>
          <w:sz w:val="24"/>
          <w:highlight w:val="none"/>
          <w:lang w:eastAsia="zh-CN"/>
        </w:rPr>
        <w:t>；</w:t>
      </w:r>
    </w:p>
    <w:p>
      <w:pPr>
        <w:spacing w:line="440" w:lineRule="exact"/>
        <w:rPr>
          <w:rFonts w:ascii="宋体" w:hAnsi="宋体"/>
          <w:color w:val="auto"/>
          <w:sz w:val="24"/>
          <w:highlight w:val="none"/>
        </w:rPr>
      </w:pPr>
      <w:r>
        <w:rPr>
          <w:rFonts w:hint="eastAsia" w:ascii="宋体" w:hAnsi="宋体"/>
          <w:color w:val="auto"/>
          <w:sz w:val="24"/>
          <w:highlight w:val="none"/>
        </w:rPr>
        <w:t>七、</w:t>
      </w:r>
      <w:r>
        <w:rPr>
          <w:rFonts w:ascii="宋体" w:hAnsi="宋体"/>
          <w:color w:val="auto"/>
          <w:sz w:val="24"/>
          <w:highlight w:val="none"/>
        </w:rPr>
        <w:t>资格审查资料；</w:t>
      </w:r>
    </w:p>
    <w:p>
      <w:pPr>
        <w:spacing w:line="440" w:lineRule="exact"/>
        <w:rPr>
          <w:rFonts w:ascii="宋体" w:hAnsi="宋体"/>
          <w:color w:val="auto"/>
          <w:sz w:val="24"/>
          <w:highlight w:val="none"/>
        </w:rPr>
      </w:pPr>
      <w:r>
        <w:rPr>
          <w:rFonts w:hint="eastAsia" w:ascii="宋体" w:hAnsi="宋体"/>
          <w:color w:val="auto"/>
          <w:sz w:val="24"/>
          <w:highlight w:val="none"/>
          <w:lang w:eastAsia="zh-CN"/>
        </w:rPr>
        <w:t>八</w:t>
      </w:r>
      <w:r>
        <w:rPr>
          <w:rFonts w:hint="eastAsia" w:ascii="宋体" w:hAnsi="宋体"/>
          <w:color w:val="auto"/>
          <w:sz w:val="24"/>
          <w:highlight w:val="none"/>
        </w:rPr>
        <w:t>、其他材料。</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sectPr>
          <w:headerReference r:id="rId7" w:type="default"/>
          <w:footerReference r:id="rId8" w:type="default"/>
          <w:footnotePr>
            <w:numFmt w:val="decimalEnclosedCircleChinese"/>
            <w:numRestart w:val="eachPage"/>
          </w:footnotePr>
          <w:pgSz w:w="11907" w:h="16840"/>
          <w:pgMar w:top="1440" w:right="1304" w:bottom="1440" w:left="1304" w:header="720" w:footer="907" w:gutter="0"/>
          <w:pgNumType w:start="1"/>
          <w:cols w:space="720" w:num="1"/>
        </w:sectPr>
      </w:pPr>
    </w:p>
    <w:p>
      <w:pPr>
        <w:pStyle w:val="4"/>
        <w:spacing w:beforeLines="50" w:after="0" w:line="360" w:lineRule="exact"/>
        <w:jc w:val="center"/>
        <w:rPr>
          <w:rFonts w:ascii="黑体" w:hAnsi="宋体" w:eastAsia="黑体"/>
          <w:color w:val="auto"/>
          <w:sz w:val="28"/>
          <w:szCs w:val="28"/>
          <w:highlight w:val="none"/>
        </w:rPr>
      </w:pPr>
      <w:bookmarkStart w:id="210" w:name="_Toc486277922"/>
      <w:bookmarkStart w:id="211" w:name="_Toc234382957"/>
      <w:bookmarkStart w:id="212" w:name="_Toc4791"/>
      <w:bookmarkStart w:id="213" w:name="_Toc485889055"/>
      <w:r>
        <w:rPr>
          <w:rFonts w:hint="eastAsia" w:ascii="黑体" w:hAnsi="宋体" w:eastAsia="黑体"/>
          <w:color w:val="auto"/>
          <w:sz w:val="28"/>
          <w:szCs w:val="28"/>
          <w:highlight w:val="none"/>
        </w:rPr>
        <w:t>一、投标函及投标函附录</w:t>
      </w:r>
      <w:bookmarkEnd w:id="210"/>
      <w:bookmarkEnd w:id="211"/>
      <w:bookmarkEnd w:id="212"/>
      <w:bookmarkEnd w:id="213"/>
    </w:p>
    <w:p>
      <w:pPr>
        <w:pStyle w:val="4"/>
        <w:spacing w:beforeLines="50" w:after="0" w:line="360" w:lineRule="exact"/>
        <w:jc w:val="center"/>
        <w:rPr>
          <w:rFonts w:ascii="黑体" w:hAnsi="宋体" w:eastAsia="黑体"/>
          <w:color w:val="auto"/>
          <w:sz w:val="28"/>
          <w:szCs w:val="28"/>
          <w:highlight w:val="none"/>
        </w:rPr>
      </w:pPr>
      <w:bookmarkStart w:id="214" w:name="_Toc486277923"/>
      <w:bookmarkStart w:id="215" w:name="_Toc485889056"/>
      <w:bookmarkStart w:id="216" w:name="_Toc18643"/>
      <w:bookmarkStart w:id="217" w:name="_Toc234382958"/>
      <w:r>
        <w:rPr>
          <w:rFonts w:hint="eastAsia" w:ascii="黑体" w:hAnsi="宋体" w:eastAsia="黑体"/>
          <w:color w:val="auto"/>
          <w:sz w:val="28"/>
          <w:szCs w:val="28"/>
          <w:highlight w:val="none"/>
        </w:rPr>
        <w:t>（一）投标函</w:t>
      </w:r>
      <w:bookmarkEnd w:id="214"/>
      <w:bookmarkEnd w:id="215"/>
      <w:bookmarkEnd w:id="216"/>
      <w:bookmarkEnd w:id="217"/>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（招标人名称）：</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1．我方已仔细研究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(项目名称) 标段施工招标文件的全部内容(含补遗书第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号至第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号)，在考察工程现场后，愿意以第二个信封（报价文件）中的投标总报价(或根据招标文件规定修正核实后确定的另一金额)，工期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日历天，按合同约定实施和完成承包工程，修补工程中的任何缺陷，工程质量达到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，安全目标达到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我方承诺在投标有效期内不修改、撤销投标文件。</w:t>
      </w:r>
    </w:p>
    <w:p>
      <w:pPr>
        <w:spacing w:line="360" w:lineRule="exact"/>
        <w:ind w:firstLine="480" w:firstLineChars="200"/>
        <w:rPr>
          <w:rFonts w:hint="eastAsia" w:ascii="宋体" w:hAnsi="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rPr>
        <w:t>.工程质量：</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，安全目标：</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日历天</w:t>
      </w:r>
      <w:r>
        <w:rPr>
          <w:rFonts w:hint="eastAsia" w:ascii="宋体" w:hAnsi="宋体"/>
          <w:color w:val="auto"/>
          <w:sz w:val="24"/>
          <w:highlight w:val="none"/>
          <w:lang w:eastAsia="zh-CN"/>
        </w:rPr>
        <w:t>。</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ascii="宋体" w:hAnsi="宋体"/>
          <w:color w:val="auto"/>
          <w:sz w:val="24"/>
          <w:highlight w:val="none"/>
        </w:rPr>
        <w:t>随同本投标函提交投标保证金一份，金额为人民币（大写）</w:t>
      </w:r>
      <w:r>
        <w:rPr>
          <w:rFonts w:hint="eastAsia"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u w:val="single"/>
        </w:rPr>
        <w:t xml:space="preserve">        </w:t>
      </w:r>
      <w:r>
        <w:rPr>
          <w:rFonts w:ascii="宋体" w:hAnsi="宋体"/>
          <w:color w:val="auto"/>
          <w:sz w:val="24"/>
          <w:highlight w:val="none"/>
        </w:rPr>
        <w:t>）。</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ascii="宋体" w:hAnsi="宋体"/>
          <w:color w:val="auto"/>
          <w:sz w:val="24"/>
          <w:highlight w:val="none"/>
        </w:rPr>
        <w:t>如我方中标</w:t>
      </w:r>
      <w:r>
        <w:rPr>
          <w:rFonts w:hint="eastAsia" w:ascii="宋体" w:hAnsi="宋体"/>
          <w:color w:val="auto"/>
          <w:sz w:val="24"/>
          <w:highlight w:val="none"/>
          <w:lang w:eastAsia="zh-CN"/>
        </w:rPr>
        <w:t>，我方承诺：</w:t>
      </w:r>
      <w:r>
        <w:rPr>
          <w:rFonts w:ascii="宋体" w:hAnsi="宋体"/>
          <w:color w:val="auto"/>
          <w:sz w:val="24"/>
          <w:highlight w:val="none"/>
        </w:rPr>
        <w:t>：</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（1）我方承诺在收到中标通知书后，在中标通知书规定的期限内与你方签订合同。</w:t>
      </w:r>
    </w:p>
    <w:p>
      <w:pPr>
        <w:spacing w:line="3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在签订合同时不向你方提出附加条件；</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（3）按照招标文件要求提交履约保证金；</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（4）在合同约定的期限内完成合同规定的全部义务；</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ascii="宋体" w:hAnsi="宋体"/>
          <w:color w:val="auto"/>
          <w:sz w:val="24"/>
          <w:highlight w:val="none"/>
        </w:rPr>
        <w:t>我方在此声明，所递交的投标文件及有关资料内容完整、真实和准确，且不存在第二章“投标人须知”第1.4.3项</w:t>
      </w:r>
      <w:r>
        <w:rPr>
          <w:rFonts w:hint="eastAsia" w:ascii="宋体" w:hAnsi="宋体"/>
          <w:color w:val="auto"/>
          <w:sz w:val="24"/>
          <w:highlight w:val="none"/>
        </w:rPr>
        <w:t>和第 1.4.4 项</w:t>
      </w:r>
      <w:r>
        <w:rPr>
          <w:rFonts w:ascii="宋体" w:hAnsi="宋体"/>
          <w:color w:val="auto"/>
          <w:sz w:val="24"/>
          <w:highlight w:val="none"/>
        </w:rPr>
        <w:t>规定的任何一种情形。</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.在合同协议书正式签署生效之前，本投标函连同你方的中标通知书将构成我们双方之间共同遵守的文件，对双方具有约束力。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rPr>
        <w:t>（其他补充说明）。</w:t>
      </w:r>
    </w:p>
    <w:p>
      <w:pPr>
        <w:spacing w:line="360" w:lineRule="exact"/>
        <w:rPr>
          <w:rFonts w:ascii="宋体" w:hAnsi="宋体"/>
          <w:color w:val="auto"/>
          <w:sz w:val="18"/>
          <w:szCs w:val="18"/>
          <w:highlight w:val="none"/>
        </w:rPr>
      </w:pPr>
    </w:p>
    <w:p>
      <w:pPr>
        <w:spacing w:line="360" w:lineRule="exact"/>
        <w:rPr>
          <w:rFonts w:ascii="宋体" w:hAnsi="宋体"/>
          <w:color w:val="auto"/>
          <w:sz w:val="18"/>
          <w:szCs w:val="18"/>
          <w:highlight w:val="none"/>
        </w:rPr>
      </w:pPr>
    </w:p>
    <w:p>
      <w:pPr>
        <w:tabs>
          <w:tab w:val="left" w:pos="2977"/>
          <w:tab w:val="left" w:pos="3261"/>
        </w:tabs>
        <w:spacing w:line="360" w:lineRule="exact"/>
        <w:rPr>
          <w:rFonts w:ascii="宋体" w:hAnsi="宋体"/>
          <w:color w:val="auto"/>
          <w:sz w:val="24"/>
          <w:highlight w:val="none"/>
        </w:rPr>
      </w:pPr>
      <w:r>
        <w:rPr>
          <w:rFonts w:hint="eastAsia" w:ascii="宋体" w:hAnsi="宋体"/>
          <w:color w:val="auto"/>
          <w:sz w:val="18"/>
          <w:szCs w:val="18"/>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投</w:t>
      </w:r>
      <w:r>
        <w:rPr>
          <w:rFonts w:hint="eastAsia" w:ascii="宋体" w:hAnsi="宋体"/>
          <w:color w:val="auto"/>
          <w:sz w:val="24"/>
          <w:highlight w:val="none"/>
        </w:rPr>
        <w:t xml:space="preserve"> </w:t>
      </w:r>
      <w:r>
        <w:rPr>
          <w:rFonts w:ascii="宋体" w:hAnsi="宋体"/>
          <w:color w:val="auto"/>
          <w:sz w:val="24"/>
          <w:highlight w:val="none"/>
        </w:rPr>
        <w:t>标</w:t>
      </w:r>
      <w:r>
        <w:rPr>
          <w:rFonts w:hint="eastAsia" w:ascii="宋体" w:hAnsi="宋体"/>
          <w:color w:val="auto"/>
          <w:sz w:val="24"/>
          <w:highlight w:val="none"/>
        </w:rPr>
        <w:t xml:space="preserve"> </w:t>
      </w:r>
      <w:r>
        <w:rPr>
          <w:rFonts w:ascii="宋体" w:hAnsi="宋体"/>
          <w:color w:val="auto"/>
          <w:sz w:val="24"/>
          <w:highlight w:val="none"/>
        </w:rPr>
        <w:t>人：</w:t>
      </w:r>
      <w:r>
        <w:rPr>
          <w:rFonts w:hint="eastAsia" w:ascii="宋体" w:hAnsi="宋体"/>
          <w:color w:val="auto"/>
          <w:sz w:val="24"/>
          <w:highlight w:val="none"/>
          <w:u w:val="single"/>
        </w:rPr>
        <w:t xml:space="preserve">                       </w:t>
      </w:r>
      <w:r>
        <w:rPr>
          <w:rFonts w:ascii="宋体" w:hAnsi="宋体"/>
          <w:color w:val="auto"/>
          <w:sz w:val="24"/>
          <w:highlight w:val="none"/>
        </w:rPr>
        <w:t>（盖单位章）</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地址：</w:t>
      </w:r>
      <w:r>
        <w:rPr>
          <w:rFonts w:hint="eastAsia" w:ascii="宋体" w:hAnsi="宋体"/>
          <w:color w:val="auto"/>
          <w:sz w:val="24"/>
          <w:highlight w:val="none"/>
        </w:rPr>
        <w:t>____________________________</w:t>
      </w:r>
    </w:p>
    <w:p>
      <w:pPr>
        <w:spacing w:line="360" w:lineRule="exact"/>
        <w:ind w:firstLine="3120" w:firstLineChars="1300"/>
        <w:rPr>
          <w:rFonts w:ascii="宋体" w:hAnsi="宋体"/>
          <w:color w:val="auto"/>
          <w:sz w:val="24"/>
          <w:highlight w:val="none"/>
        </w:rPr>
      </w:pPr>
      <w:r>
        <w:rPr>
          <w:rFonts w:ascii="宋体" w:hAnsi="宋体"/>
          <w:color w:val="auto"/>
          <w:sz w:val="24"/>
          <w:highlight w:val="none"/>
        </w:rPr>
        <w:t>网址：</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电话：</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传真：</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邮政编码：</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4"/>
        <w:spacing w:beforeLines="50" w:afterLines="100" w:line="360" w:lineRule="exact"/>
        <w:jc w:val="center"/>
        <w:rPr>
          <w:color w:val="auto"/>
          <w:sz w:val="24"/>
          <w:highlight w:val="none"/>
        </w:rPr>
      </w:pPr>
      <w:r>
        <w:rPr>
          <w:rFonts w:ascii="宋体" w:hAnsi="宋体"/>
          <w:color w:val="auto"/>
          <w:sz w:val="24"/>
          <w:highlight w:val="none"/>
        </w:rPr>
        <w:br w:type="page"/>
      </w:r>
      <w:bookmarkStart w:id="218" w:name="_Toc485889057"/>
      <w:bookmarkStart w:id="219" w:name="_Toc234382959"/>
      <w:bookmarkStart w:id="220" w:name="_Toc5832"/>
      <w:bookmarkStart w:id="221" w:name="_Toc486277924"/>
      <w:r>
        <w:rPr>
          <w:rFonts w:hint="eastAsia" w:ascii="黑体" w:hAnsi="宋体" w:eastAsia="黑体"/>
          <w:color w:val="auto"/>
          <w:sz w:val="28"/>
          <w:szCs w:val="28"/>
          <w:highlight w:val="none"/>
        </w:rPr>
        <w:t>（二）投标函附录</w:t>
      </w:r>
      <w:bookmarkEnd w:id="218"/>
      <w:bookmarkEnd w:id="219"/>
      <w:bookmarkEnd w:id="220"/>
      <w:bookmarkEnd w:id="221"/>
    </w:p>
    <w:tbl>
      <w:tblPr>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rPr>
          <w:trHeight w:val="567" w:hRule="exact"/>
          <w:jc w:val="center"/>
        </w:trPr>
        <w:tc>
          <w:tcPr>
            <w:tcW w:w="65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序号</w:t>
            </w:r>
          </w:p>
        </w:tc>
        <w:tc>
          <w:tcPr>
            <w:tcW w:w="269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条款名称</w:t>
            </w:r>
          </w:p>
        </w:tc>
        <w:tc>
          <w:tcPr>
            <w:tcW w:w="141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合同条目号</w:t>
            </w:r>
          </w:p>
        </w:tc>
        <w:tc>
          <w:tcPr>
            <w:tcW w:w="3686"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约定内容</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备注</w:t>
            </w:r>
          </w:p>
        </w:tc>
      </w:tr>
      <w:tr>
        <w:trPr>
          <w:trHeight w:val="572" w:hRule="exact"/>
          <w:jc w:val="center"/>
        </w:trPr>
        <w:tc>
          <w:tcPr>
            <w:tcW w:w="653" w:type="dxa"/>
            <w:vMerge w:val="restart"/>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c>
          <w:tcPr>
            <w:tcW w:w="269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项目经理</w:t>
            </w:r>
          </w:p>
        </w:tc>
        <w:tc>
          <w:tcPr>
            <w:tcW w:w="1417" w:type="dxa"/>
            <w:vMerge w:val="restart"/>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3686" w:type="dxa"/>
            <w:vAlign w:val="center"/>
          </w:tcPr>
          <w:p>
            <w:pPr>
              <w:spacing w:before="0" w:beforeAutospacing="0" w:after="0" w:afterAutospacing="0"/>
              <w:ind w:left="0" w:right="0" w:firstLine="210" w:firstLineChars="1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姓名</w:t>
            </w:r>
            <w:r>
              <w:rPr>
                <w:rFonts w:hint="eastAsia" w:ascii="宋体" w:hAnsi="宋体" w:cs="Calibri"/>
                <w:color w:val="auto"/>
                <w:kern w:val="2"/>
                <w:sz w:val="21"/>
                <w:szCs w:val="21"/>
                <w:highlight w:val="none"/>
                <w:lang w:eastAsia="zh-CN"/>
              </w:rPr>
              <w:t>：</w:t>
            </w: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u w:val="single"/>
                <w:lang w:val="en-US" w:eastAsia="zh-CN"/>
              </w:rPr>
              <w:t xml:space="preserve"> </w:t>
            </w:r>
            <w:r>
              <w:rPr>
                <w:rFonts w:hint="eastAsia" w:ascii="宋体" w:hAnsi="宋体" w:cs="Calibri"/>
                <w:color w:val="auto"/>
                <w:kern w:val="2"/>
                <w:sz w:val="21"/>
                <w:szCs w:val="21"/>
                <w:highlight w:val="none"/>
                <w:u w:val="none"/>
                <w:lang w:val="en-US" w:eastAsia="zh-CN"/>
              </w:rPr>
              <w:t xml:space="preserve"> </w:t>
            </w:r>
            <w:r>
              <w:rPr>
                <w:rFonts w:hint="eastAsia" w:ascii="宋体" w:hAnsi="宋体" w:cs="Calibri"/>
                <w:color w:val="auto"/>
                <w:kern w:val="2"/>
                <w:sz w:val="21"/>
                <w:szCs w:val="21"/>
                <w:highlight w:val="none"/>
                <w:lang w:val="en-US" w:eastAsia="zh-CN"/>
              </w:rPr>
              <w:t>注册编号：豫</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72" w:hRule="exact"/>
          <w:jc w:val="center"/>
        </w:trPr>
        <w:tc>
          <w:tcPr>
            <w:tcW w:w="653" w:type="dxa"/>
            <w:vMerge w:val="continue"/>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69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eastAsia="zh-CN"/>
              </w:rPr>
              <w:t>项目总工</w:t>
            </w:r>
          </w:p>
        </w:tc>
        <w:tc>
          <w:tcPr>
            <w:tcW w:w="1417" w:type="dxa"/>
            <w:vMerge w:val="continue"/>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3686" w:type="dxa"/>
            <w:vAlign w:val="center"/>
          </w:tcPr>
          <w:p>
            <w:pPr>
              <w:spacing w:before="0" w:beforeAutospacing="0" w:after="0" w:afterAutospacing="0"/>
              <w:ind w:left="0" w:right="0" w:firstLine="210" w:firstLineChars="100"/>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eastAsia="zh-CN"/>
              </w:rPr>
              <w:t>姓名：</w:t>
            </w: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u w:val="single"/>
                <w:lang w:val="en-US" w:eastAsia="zh-CN"/>
              </w:rPr>
              <w:t xml:space="preserve"> </w:t>
            </w:r>
            <w:r>
              <w:rPr>
                <w:rFonts w:hint="eastAsia" w:ascii="宋体" w:hAnsi="宋体" w:cs="Calibri"/>
                <w:color w:val="auto"/>
                <w:kern w:val="2"/>
                <w:sz w:val="21"/>
                <w:szCs w:val="21"/>
                <w:highlight w:val="none"/>
                <w:u w:val="none"/>
                <w:lang w:val="en-US" w:eastAsia="zh-CN"/>
              </w:rPr>
              <w:t xml:space="preserve"> </w:t>
            </w:r>
            <w:r>
              <w:rPr>
                <w:rFonts w:hint="eastAsia" w:ascii="宋体" w:hAnsi="宋体" w:cs="Calibri"/>
                <w:color w:val="auto"/>
                <w:kern w:val="2"/>
                <w:sz w:val="21"/>
                <w:szCs w:val="21"/>
                <w:highlight w:val="none"/>
                <w:lang w:val="en-US" w:eastAsia="zh-CN"/>
              </w:rPr>
              <w:t>证书编号：</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5" w:hRule="exact"/>
          <w:jc w:val="center"/>
        </w:trPr>
        <w:tc>
          <w:tcPr>
            <w:tcW w:w="65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2</w:t>
            </w:r>
          </w:p>
        </w:tc>
        <w:tc>
          <w:tcPr>
            <w:tcW w:w="26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工期</w:t>
            </w:r>
          </w:p>
        </w:tc>
        <w:tc>
          <w:tcPr>
            <w:tcW w:w="1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1.1.4.3</w:t>
            </w:r>
          </w:p>
        </w:tc>
        <w:tc>
          <w:tcPr>
            <w:tcW w:w="3686" w:type="dxa"/>
            <w:vAlign w:val="center"/>
          </w:tcPr>
          <w:p>
            <w:pPr>
              <w:spacing w:before="0" w:beforeAutospacing="0" w:after="0" w:afterAutospacing="0"/>
              <w:ind w:left="0" w:right="0" w:firstLine="210" w:firstLineChars="1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天数：</w:t>
            </w:r>
            <w:r>
              <w:rPr>
                <w:rFonts w:hint="eastAsia" w:ascii="宋体" w:hAnsi="宋体" w:cs="Calibri"/>
                <w:color w:val="auto"/>
                <w:kern w:val="2"/>
                <w:sz w:val="21"/>
                <w:szCs w:val="21"/>
                <w:highlight w:val="none"/>
                <w:u w:val="single"/>
              </w:rPr>
              <w:t xml:space="preserve">       日历天</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65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val="en-US" w:eastAsia="zh-CN"/>
              </w:rPr>
              <w:t>3</w:t>
            </w:r>
          </w:p>
        </w:tc>
        <w:tc>
          <w:tcPr>
            <w:tcW w:w="26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缺陷责任期</w:t>
            </w:r>
          </w:p>
        </w:tc>
        <w:tc>
          <w:tcPr>
            <w:tcW w:w="1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1.1.4.5</w:t>
            </w:r>
          </w:p>
        </w:tc>
        <w:tc>
          <w:tcPr>
            <w:tcW w:w="3686" w:type="dxa"/>
            <w:vAlign w:val="center"/>
          </w:tcPr>
          <w:p>
            <w:pPr>
              <w:spacing w:before="0" w:beforeAutospacing="0" w:after="0" w:afterAutospacing="0"/>
              <w:ind w:left="0" w:right="0" w:firstLine="210" w:firstLineChars="10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u w:val="single"/>
                <w:lang w:val="en-US" w:eastAsia="zh-CN"/>
              </w:rPr>
              <w:t xml:space="preserve"> </w:t>
            </w: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年</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83" w:hRule="exact"/>
          <w:jc w:val="center"/>
        </w:trPr>
        <w:tc>
          <w:tcPr>
            <w:tcW w:w="65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4</w:t>
            </w:r>
          </w:p>
        </w:tc>
        <w:tc>
          <w:tcPr>
            <w:tcW w:w="269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逾期交工违约金</w:t>
            </w:r>
          </w:p>
        </w:tc>
        <w:tc>
          <w:tcPr>
            <w:tcW w:w="141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11.5</w:t>
            </w:r>
          </w:p>
        </w:tc>
        <w:tc>
          <w:tcPr>
            <w:tcW w:w="3686" w:type="dxa"/>
            <w:vAlign w:val="center"/>
          </w:tcPr>
          <w:p>
            <w:pPr>
              <w:spacing w:before="0" w:beforeAutospacing="0" w:after="0" w:afterAutospacing="0"/>
              <w:ind w:left="0" w:right="0" w:firstLine="210" w:firstLineChars="1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元/天</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65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5</w:t>
            </w:r>
          </w:p>
        </w:tc>
        <w:tc>
          <w:tcPr>
            <w:tcW w:w="269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逾期交工违约金限额</w:t>
            </w:r>
          </w:p>
        </w:tc>
        <w:tc>
          <w:tcPr>
            <w:tcW w:w="141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11.5</w:t>
            </w:r>
          </w:p>
        </w:tc>
        <w:tc>
          <w:tcPr>
            <w:tcW w:w="3686" w:type="dxa"/>
            <w:vAlign w:val="center"/>
          </w:tcPr>
          <w:p>
            <w:pPr>
              <w:spacing w:before="0" w:beforeAutospacing="0" w:after="0" w:afterAutospacing="0"/>
              <w:ind w:left="0" w:right="0" w:firstLine="210" w:firstLineChars="1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%签约合同价</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02" w:hRule="exact"/>
          <w:jc w:val="center"/>
        </w:trPr>
        <w:tc>
          <w:tcPr>
            <w:tcW w:w="65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6</w:t>
            </w:r>
          </w:p>
        </w:tc>
        <w:tc>
          <w:tcPr>
            <w:tcW w:w="269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提前交工的奖金</w:t>
            </w:r>
          </w:p>
        </w:tc>
        <w:tc>
          <w:tcPr>
            <w:tcW w:w="141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11.6</w:t>
            </w:r>
          </w:p>
        </w:tc>
        <w:tc>
          <w:tcPr>
            <w:tcW w:w="3686" w:type="dxa"/>
            <w:vAlign w:val="center"/>
          </w:tcPr>
          <w:p>
            <w:pPr>
              <w:spacing w:before="0" w:beforeAutospacing="0" w:after="0" w:afterAutospacing="0"/>
              <w:ind w:left="0" w:right="0" w:firstLine="210" w:firstLineChars="1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元/天</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65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val="en-US" w:eastAsia="zh-CN"/>
              </w:rPr>
              <w:t>7</w:t>
            </w:r>
          </w:p>
        </w:tc>
        <w:tc>
          <w:tcPr>
            <w:tcW w:w="269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提前交工的奖金限额</w:t>
            </w:r>
          </w:p>
        </w:tc>
        <w:tc>
          <w:tcPr>
            <w:tcW w:w="141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11.6</w:t>
            </w:r>
          </w:p>
        </w:tc>
        <w:tc>
          <w:tcPr>
            <w:tcW w:w="3686" w:type="dxa"/>
            <w:vAlign w:val="center"/>
          </w:tcPr>
          <w:p>
            <w:pPr>
              <w:spacing w:before="0" w:beforeAutospacing="0" w:after="0" w:afterAutospacing="0"/>
              <w:ind w:left="0" w:right="0" w:firstLine="210" w:firstLineChars="1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%签约合同价</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65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val="en-US" w:eastAsia="zh-CN"/>
              </w:rPr>
              <w:t>8</w:t>
            </w:r>
          </w:p>
        </w:tc>
        <w:tc>
          <w:tcPr>
            <w:tcW w:w="269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开工预付款金额</w:t>
            </w:r>
          </w:p>
        </w:tc>
        <w:tc>
          <w:tcPr>
            <w:tcW w:w="141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17.2.1</w:t>
            </w:r>
          </w:p>
        </w:tc>
        <w:tc>
          <w:tcPr>
            <w:tcW w:w="3686" w:type="dxa"/>
            <w:vAlign w:val="center"/>
          </w:tcPr>
          <w:p>
            <w:pPr>
              <w:spacing w:before="0" w:beforeAutospacing="0" w:after="0" w:afterAutospacing="0"/>
              <w:ind w:left="0" w:right="0" w:firstLine="210" w:firstLineChars="1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%签约合同价</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897" w:hRule="exact"/>
          <w:jc w:val="center"/>
        </w:trPr>
        <w:tc>
          <w:tcPr>
            <w:tcW w:w="65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val="en-US" w:eastAsia="zh-CN"/>
              </w:rPr>
              <w:t>9</w:t>
            </w:r>
          </w:p>
        </w:tc>
        <w:tc>
          <w:tcPr>
            <w:tcW w:w="269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材料、设备预付款</w:t>
            </w:r>
          </w:p>
        </w:tc>
        <w:tc>
          <w:tcPr>
            <w:tcW w:w="141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17.2.1</w:t>
            </w:r>
          </w:p>
        </w:tc>
        <w:tc>
          <w:tcPr>
            <w:tcW w:w="3686" w:type="dxa"/>
            <w:vAlign w:val="center"/>
          </w:tcPr>
          <w:p>
            <w:pPr>
              <w:spacing w:before="0" w:beforeAutospacing="0" w:after="0" w:afterAutospacing="0"/>
              <w:ind w:left="0" w:right="0" w:firstLine="210" w:firstLineChars="1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等主要材料、设备单据所列费用的</w:t>
            </w: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65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10</w:t>
            </w:r>
          </w:p>
        </w:tc>
        <w:tc>
          <w:tcPr>
            <w:tcW w:w="269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进度付款证书最低限额</w:t>
            </w:r>
          </w:p>
        </w:tc>
        <w:tc>
          <w:tcPr>
            <w:tcW w:w="141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17.3.3(1)</w:t>
            </w:r>
          </w:p>
        </w:tc>
        <w:tc>
          <w:tcPr>
            <w:tcW w:w="3686" w:type="dxa"/>
            <w:vAlign w:val="center"/>
          </w:tcPr>
          <w:p>
            <w:pPr>
              <w:spacing w:before="0" w:beforeAutospacing="0" w:after="0" w:afterAutospacing="0"/>
              <w:ind w:left="0" w:right="0" w:firstLine="210" w:firstLineChars="1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%签约合同价或</w:t>
            </w: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万元</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65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val="en-US" w:eastAsia="zh-CN"/>
              </w:rPr>
              <w:t>11</w:t>
            </w:r>
          </w:p>
        </w:tc>
        <w:tc>
          <w:tcPr>
            <w:tcW w:w="269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逾期付款违约金的利率</w:t>
            </w:r>
          </w:p>
        </w:tc>
        <w:tc>
          <w:tcPr>
            <w:tcW w:w="141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17.3.3(2)</w:t>
            </w:r>
          </w:p>
        </w:tc>
        <w:tc>
          <w:tcPr>
            <w:tcW w:w="3686" w:type="dxa"/>
            <w:vAlign w:val="center"/>
          </w:tcPr>
          <w:p>
            <w:pPr>
              <w:spacing w:before="0" w:beforeAutospacing="0" w:after="0" w:afterAutospacing="0"/>
              <w:ind w:left="0" w:right="0" w:firstLine="210" w:firstLineChars="1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‰/天</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1827" w:hRule="exact"/>
          <w:jc w:val="center"/>
        </w:trPr>
        <w:tc>
          <w:tcPr>
            <w:tcW w:w="65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val="en-US" w:eastAsia="zh-CN"/>
              </w:rPr>
              <w:t>12</w:t>
            </w:r>
          </w:p>
        </w:tc>
        <w:tc>
          <w:tcPr>
            <w:tcW w:w="269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质量保证金限额</w:t>
            </w:r>
          </w:p>
        </w:tc>
        <w:tc>
          <w:tcPr>
            <w:tcW w:w="141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17.4.1</w:t>
            </w:r>
          </w:p>
        </w:tc>
        <w:tc>
          <w:tcPr>
            <w:tcW w:w="3686" w:type="dxa"/>
            <w:vAlign w:val="center"/>
          </w:tcPr>
          <w:p>
            <w:pPr>
              <w:spacing w:before="0" w:beforeAutospacing="0" w:after="0" w:afterAutospacing="0"/>
              <w:ind w:left="0" w:right="0" w:firstLine="210" w:firstLineChars="1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%合同价格，若交工验收时承包人具备被招标项目所在地省级交通主管部门评定的最高信用等级，发包人给予</w:t>
            </w: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u w:val="single"/>
                <w:lang w:val="en-US" w:eastAsia="zh-CN"/>
              </w:rPr>
              <w:t xml:space="preserve">  </w:t>
            </w: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%合同价格质量保证金的优惠</w:t>
            </w:r>
            <w:r>
              <w:rPr>
                <w:rFonts w:hint="eastAsia" w:ascii="宋体" w:hAnsi="宋体" w:cs="Calibri"/>
                <w:color w:val="auto"/>
                <w:kern w:val="2"/>
                <w:sz w:val="21"/>
                <w:szCs w:val="21"/>
                <w:highlight w:val="none"/>
                <w:lang w:eastAsia="zh-CN"/>
              </w:rPr>
              <w:t>。</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65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val="en-US" w:eastAsia="zh-CN"/>
              </w:rPr>
              <w:t>13</w:t>
            </w:r>
          </w:p>
        </w:tc>
        <w:tc>
          <w:tcPr>
            <w:tcW w:w="269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保修期</w:t>
            </w:r>
          </w:p>
        </w:tc>
        <w:tc>
          <w:tcPr>
            <w:tcW w:w="141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19.7</w:t>
            </w:r>
          </w:p>
        </w:tc>
        <w:tc>
          <w:tcPr>
            <w:tcW w:w="3686" w:type="dxa"/>
            <w:vAlign w:val="center"/>
          </w:tcPr>
          <w:p>
            <w:pPr>
              <w:spacing w:before="0" w:beforeAutospacing="0" w:after="0" w:afterAutospacing="0"/>
              <w:ind w:left="0" w:right="0" w:firstLine="210" w:firstLineChars="10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自实际交工日期起计算</w:t>
            </w:r>
            <w:r>
              <w:rPr>
                <w:rFonts w:hint="eastAsia" w:ascii="宋体" w:hAnsi="宋体" w:cs="Calibri"/>
                <w:color w:val="auto"/>
                <w:kern w:val="2"/>
                <w:sz w:val="21"/>
                <w:szCs w:val="21"/>
                <w:highlight w:val="none"/>
                <w:u w:val="single"/>
              </w:rPr>
              <w:t xml:space="preserve"> 5 </w:t>
            </w:r>
            <w:r>
              <w:rPr>
                <w:rFonts w:hint="eastAsia" w:ascii="宋体" w:hAnsi="宋体" w:cs="Calibri"/>
                <w:color w:val="auto"/>
                <w:kern w:val="2"/>
                <w:sz w:val="21"/>
                <w:szCs w:val="21"/>
                <w:highlight w:val="none"/>
              </w:rPr>
              <w:t>年</w:t>
            </w:r>
          </w:p>
        </w:tc>
        <w:tc>
          <w:tcPr>
            <w:tcW w:w="11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bl>
    <w:p>
      <w:pPr>
        <w:spacing w:beforeLines="100" w:line="500" w:lineRule="exact"/>
        <w:rPr>
          <w:rFonts w:ascii="宋体" w:hAnsi="宋体"/>
          <w:color w:val="auto"/>
          <w:sz w:val="24"/>
          <w:highlight w:val="none"/>
        </w:rPr>
      </w:pPr>
      <w:r>
        <w:rPr>
          <w:rFonts w:hint="eastAsia" w:ascii="宋体" w:hAnsi="宋体"/>
          <w:color w:val="auto"/>
          <w:sz w:val="24"/>
          <w:highlight w:val="none"/>
        </w:rPr>
        <w:t xml:space="preserve">                             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ind w:right="480" w:firstLine="3480" w:firstLineChars="1450"/>
        <w:rPr>
          <w:rFonts w:ascii="宋体" w:hAnsi="宋体"/>
          <w:color w:val="auto"/>
          <w:sz w:val="24"/>
          <w:highlight w:val="none"/>
        </w:rPr>
      </w:pPr>
      <w:r>
        <w:rPr>
          <w:rFonts w:hint="eastAsia" w:ascii="宋体" w:hAnsi="宋体"/>
          <w:color w:val="auto"/>
          <w:sz w:val="24"/>
          <w:highlight w:val="none"/>
        </w:rPr>
        <w:t>投标文件签署人签名: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240" w:lineRule="exact"/>
        <w:ind w:right="480" w:firstLine="3480" w:firstLineChars="1450"/>
        <w:rPr>
          <w:rFonts w:hint="eastAsia" w:ascii="宋体" w:hAnsi="宋体"/>
          <w:color w:val="auto"/>
          <w:sz w:val="24"/>
          <w:highlight w:val="none"/>
          <w:lang w:eastAsia="zh-CN"/>
        </w:rPr>
      </w:pPr>
    </w:p>
    <w:p>
      <w:pPr>
        <w:spacing w:line="240" w:lineRule="exact"/>
        <w:ind w:right="480"/>
        <w:rPr>
          <w:rFonts w:hint="eastAsia" w:ascii="宋体" w:hAnsi="宋体"/>
          <w:color w:val="auto"/>
          <w:sz w:val="24"/>
          <w:highlight w:val="none"/>
          <w:lang w:eastAsia="zh-CN"/>
        </w:rPr>
      </w:pPr>
    </w:p>
    <w:p>
      <w:pPr>
        <w:spacing w:line="240" w:lineRule="exact"/>
        <w:ind w:right="480"/>
        <w:rPr>
          <w:rFonts w:hint="eastAsia" w:ascii="宋体" w:hAnsi="宋体"/>
          <w:color w:val="auto"/>
          <w:sz w:val="24"/>
          <w:highlight w:val="none"/>
          <w:lang w:eastAsia="zh-CN"/>
        </w:rPr>
      </w:pPr>
    </w:p>
    <w:p>
      <w:pPr>
        <w:pStyle w:val="4"/>
        <w:spacing w:beforeLines="50" w:after="0" w:line="360" w:lineRule="exact"/>
        <w:jc w:val="center"/>
        <w:rPr>
          <w:rFonts w:hint="eastAsia" w:ascii="黑体" w:hAnsi="宋体" w:eastAsia="黑体"/>
          <w:color w:val="auto"/>
          <w:sz w:val="28"/>
          <w:szCs w:val="28"/>
          <w:highlight w:val="none"/>
        </w:rPr>
      </w:pPr>
      <w:bookmarkStart w:id="222" w:name="_Toc234382961"/>
      <w:bookmarkStart w:id="223" w:name="_Toc29117"/>
      <w:bookmarkStart w:id="224" w:name="_Toc485889059"/>
      <w:bookmarkStart w:id="225" w:name="_Toc486277926"/>
    </w:p>
    <w:p>
      <w:pPr>
        <w:pStyle w:val="4"/>
        <w:spacing w:beforeLines="50" w:after="0" w:line="36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二</w:t>
      </w:r>
      <w:r>
        <w:rPr>
          <w:rFonts w:ascii="黑体" w:hAnsi="宋体" w:eastAsia="黑体"/>
          <w:color w:val="auto"/>
          <w:sz w:val="28"/>
          <w:szCs w:val="28"/>
          <w:highlight w:val="none"/>
        </w:rPr>
        <w:t>、法定代表人身份证明</w:t>
      </w:r>
      <w:r>
        <w:rPr>
          <w:rFonts w:hint="eastAsia" w:ascii="黑体" w:hAnsi="宋体" w:eastAsia="黑体"/>
          <w:color w:val="auto"/>
          <w:sz w:val="28"/>
          <w:szCs w:val="28"/>
          <w:highlight w:val="none"/>
        </w:rPr>
        <w:t>及授权委托书</w:t>
      </w:r>
      <w:bookmarkEnd w:id="222"/>
      <w:bookmarkEnd w:id="223"/>
      <w:bookmarkEnd w:id="224"/>
      <w:bookmarkEnd w:id="225"/>
    </w:p>
    <w:p>
      <w:pPr>
        <w:jc w:val="center"/>
        <w:rPr>
          <w:rFonts w:hint="eastAsia" w:ascii="黑体" w:hAnsi="宋体" w:eastAsia="黑体"/>
          <w:color w:val="auto"/>
          <w:sz w:val="28"/>
          <w:szCs w:val="28"/>
          <w:highlight w:val="none"/>
        </w:rPr>
      </w:pPr>
      <w:bookmarkStart w:id="226" w:name="_Toc4437"/>
      <w:bookmarkStart w:id="227" w:name="_Toc486277927"/>
      <w:bookmarkStart w:id="228" w:name="_Toc485889060"/>
      <w:bookmarkStart w:id="229" w:name="_Toc234382962"/>
    </w:p>
    <w:p>
      <w:pPr>
        <w:jc w:val="center"/>
        <w:rPr>
          <w:b/>
          <w:color w:val="auto"/>
          <w:sz w:val="32"/>
          <w:szCs w:val="32"/>
          <w:highlight w:val="none"/>
        </w:rPr>
      </w:pPr>
      <w:r>
        <w:rPr>
          <w:rFonts w:hint="eastAsia" w:ascii="黑体" w:hAnsi="宋体" w:eastAsia="黑体"/>
          <w:color w:val="auto"/>
          <w:sz w:val="28"/>
          <w:szCs w:val="28"/>
          <w:highlight w:val="none"/>
        </w:rPr>
        <w:t>（一）</w:t>
      </w:r>
      <w:r>
        <w:rPr>
          <w:rFonts w:hint="eastAsia" w:ascii="黑体" w:hAnsi="宋体" w:eastAsia="黑体"/>
          <w:b/>
          <w:bCs/>
          <w:color w:val="auto"/>
          <w:kern w:val="44"/>
          <w:sz w:val="28"/>
          <w:szCs w:val="28"/>
          <w:highlight w:val="none"/>
        </w:rPr>
        <w:t>授权委托书</w:t>
      </w:r>
    </w:p>
    <w:p>
      <w:pPr>
        <w:spacing w:line="500" w:lineRule="exact"/>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标段施工</w:t>
      </w:r>
      <w:r>
        <w:rPr>
          <w:rFonts w:hint="eastAsia" w:ascii="宋体" w:hAnsi="宋体"/>
          <w:color w:val="auto"/>
          <w:sz w:val="24"/>
          <w:highlight w:val="none"/>
        </w:rPr>
        <w:t>投标文件、签订合同和处理有关事宜，其法律后果由我方承担。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lang w:eastAsia="zh-CN"/>
        </w:rPr>
        <w:t>：</w:t>
      </w:r>
      <w:r>
        <w:rPr>
          <w:rFonts w:hint="eastAsia" w:ascii="宋体" w:hAnsi="宋体"/>
          <w:color w:val="auto"/>
          <w:sz w:val="24"/>
          <w:highlight w:val="none"/>
        </w:rPr>
        <w:t>自本委托书签署之日起至投标有效期期满。</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r>
        <w:rPr>
          <w:rFonts w:ascii="宋体" w:hAnsi="宋体"/>
          <w:color w:val="auto"/>
          <w:sz w:val="24"/>
          <w:highlight w:val="none"/>
        </w:rPr>
        <w:t xml:space="preserve">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附：法定代表人身份证复印件及委托代理人身份证复印件。</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投标人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1.法定代表人和委托代理人必须在授权书上亲笔签名，不得使用印章、签名章或其他电子制版签名</w:t>
      </w:r>
      <w:r>
        <w:rPr>
          <w:rFonts w:hint="eastAsia" w:ascii="宋体" w:hAnsi="宋体"/>
          <w:color w:val="auto"/>
          <w:sz w:val="24"/>
          <w:highlight w:val="none"/>
          <w:lang w:eastAsia="zh-CN"/>
        </w:rPr>
        <w:t>代替</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2.以联合体形式投标的，本授权委托书应由联合体牵头人的法定代表人按上述规定签署。</w:t>
      </w:r>
    </w:p>
    <w:p>
      <w:pPr>
        <w:pStyle w:val="4"/>
        <w:spacing w:beforeLines="100" w:afterLines="150" w:line="360" w:lineRule="exact"/>
        <w:jc w:val="both"/>
        <w:rPr>
          <w:rFonts w:hint="eastAsia" w:ascii="黑体" w:hAnsi="宋体" w:eastAsia="黑体"/>
          <w:color w:val="auto"/>
          <w:sz w:val="28"/>
          <w:szCs w:val="28"/>
          <w:highlight w:val="none"/>
          <w:lang w:eastAsia="zh-CN"/>
        </w:rPr>
      </w:pPr>
    </w:p>
    <w:p>
      <w:pPr>
        <w:pStyle w:val="4"/>
        <w:spacing w:beforeLines="100" w:afterLines="150" w:line="36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lang w:eastAsia="zh-CN"/>
        </w:rPr>
        <w:t>（二）</w:t>
      </w:r>
      <w:r>
        <w:rPr>
          <w:rFonts w:hint="eastAsia" w:ascii="黑体" w:hAnsi="宋体" w:eastAsia="黑体"/>
          <w:color w:val="auto"/>
          <w:sz w:val="28"/>
          <w:szCs w:val="28"/>
          <w:highlight w:val="none"/>
        </w:rPr>
        <w:t>法定代表人身份证明</w:t>
      </w:r>
      <w:bookmarkEnd w:id="226"/>
      <w:bookmarkEnd w:id="227"/>
      <w:bookmarkEnd w:id="228"/>
      <w:bookmarkEnd w:id="229"/>
    </w:p>
    <w:p>
      <w:pPr>
        <w:rPr>
          <w:rFonts w:ascii="宋体" w:hAnsi="宋体"/>
          <w:color w:val="auto"/>
          <w:sz w:val="24"/>
          <w:highlight w:val="none"/>
        </w:rPr>
      </w:pPr>
    </w:p>
    <w:p>
      <w:pPr>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投标人名称：____________________________</w:t>
      </w:r>
    </w:p>
    <w:p>
      <w:pPr>
        <w:spacing w:line="500" w:lineRule="exact"/>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（法定代表人亲笔签名）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职务：_______     </w:t>
      </w:r>
    </w:p>
    <w:p>
      <w:pPr>
        <w:spacing w:line="50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00" w:lineRule="exact"/>
        <w:ind w:firstLine="480" w:firstLineChars="200"/>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 w:val="24"/>
          <w:highlight w:val="none"/>
        </w:rPr>
      </w:pPr>
    </w:p>
    <w:p>
      <w:pPr>
        <w:spacing w:line="239" w:lineRule="auto"/>
        <w:rPr>
          <w:rFonts w:ascii="宋体" w:hAnsi="宋体" w:eastAsia="宋体"/>
          <w:sz w:val="21"/>
          <w:highlight w:val="none"/>
        </w:rPr>
      </w:pPr>
      <w:r>
        <w:rPr>
          <w:rFonts w:ascii="宋体" w:hAnsi="宋体" w:eastAsia="宋体"/>
          <w:sz w:val="21"/>
          <w:highlight w:val="none"/>
        </w:rPr>
        <w:t>附：法定代表人身份证复印件。</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0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2"/>
          <w:szCs w:val="22"/>
          <w:highlight w:val="none"/>
        </w:rPr>
      </w:pPr>
      <w:r>
        <w:rPr>
          <w:rFonts w:hint="eastAsia" w:ascii="宋体" w:hAnsi="宋体"/>
          <w:color w:val="auto"/>
          <w:sz w:val="22"/>
          <w:szCs w:val="22"/>
          <w:highlight w:val="none"/>
        </w:rPr>
        <w:t>注：法定代表人的签字必须是亲笔签名，不得使用印章、签名章或其他电子制版签名</w:t>
      </w:r>
      <w:r>
        <w:rPr>
          <w:rFonts w:hint="eastAsia" w:ascii="宋体" w:hAnsi="宋体"/>
          <w:color w:val="auto"/>
          <w:sz w:val="22"/>
          <w:szCs w:val="22"/>
          <w:highlight w:val="none"/>
          <w:lang w:eastAsia="zh-CN"/>
        </w:rPr>
        <w:t>代替</w:t>
      </w:r>
      <w:r>
        <w:rPr>
          <w:rFonts w:hint="eastAsia" w:ascii="宋体" w:hAnsi="宋体"/>
          <w:color w:val="auto"/>
          <w:sz w:val="22"/>
          <w:szCs w:val="22"/>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br w:type="page"/>
      </w:r>
    </w:p>
    <w:p>
      <w:pPr>
        <w:pStyle w:val="4"/>
        <w:spacing w:beforeLines="100" w:afterLines="150" w:line="360" w:lineRule="exact"/>
        <w:jc w:val="center"/>
        <w:rPr>
          <w:rFonts w:ascii="黑体" w:hAnsi="宋体" w:eastAsia="黑体"/>
          <w:color w:val="auto"/>
          <w:sz w:val="28"/>
          <w:szCs w:val="28"/>
          <w:highlight w:val="none"/>
        </w:rPr>
      </w:pPr>
      <w:bookmarkStart w:id="230" w:name="_Toc25686"/>
      <w:bookmarkStart w:id="231" w:name="_Toc485889061"/>
      <w:bookmarkStart w:id="232" w:name="_Toc486277928"/>
      <w:bookmarkStart w:id="233" w:name="_Toc234382964"/>
      <w:r>
        <w:rPr>
          <w:rFonts w:hint="eastAsia" w:ascii="黑体" w:hAnsi="宋体" w:eastAsia="黑体"/>
          <w:color w:val="auto"/>
          <w:sz w:val="28"/>
          <w:szCs w:val="28"/>
          <w:highlight w:val="none"/>
        </w:rPr>
        <w:t>三</w:t>
      </w:r>
      <w:r>
        <w:rPr>
          <w:rFonts w:ascii="黑体" w:hAnsi="宋体" w:eastAsia="黑体"/>
          <w:color w:val="auto"/>
          <w:sz w:val="28"/>
          <w:szCs w:val="28"/>
          <w:highlight w:val="none"/>
        </w:rPr>
        <w:t>、投标保证金</w:t>
      </w:r>
      <w:bookmarkEnd w:id="230"/>
      <w:bookmarkEnd w:id="231"/>
      <w:bookmarkEnd w:id="232"/>
      <w:bookmarkEnd w:id="233"/>
    </w:p>
    <w:p>
      <w:pPr>
        <w:rPr>
          <w:rFonts w:ascii="宋体" w:hAnsi="宋体"/>
          <w:color w:val="auto"/>
          <w:sz w:val="24"/>
          <w:highlight w:val="none"/>
        </w:rPr>
      </w:pPr>
      <w:r>
        <w:rPr>
          <w:rFonts w:hint="eastAsia" w:ascii="宋体" w:hAnsi="宋体"/>
          <w:color w:val="auto"/>
          <w:sz w:val="24"/>
          <w:highlight w:val="none"/>
        </w:rPr>
        <w:t xml:space="preserve">     此处附投标人递交投标保证金的银行转账证明复印件。</w:t>
      </w:r>
    </w:p>
    <w:p>
      <w:pPr>
        <w:pStyle w:val="4"/>
        <w:spacing w:beforeLines="100" w:afterLines="150" w:line="360" w:lineRule="exact"/>
        <w:jc w:val="center"/>
        <w:rPr>
          <w:color w:val="auto"/>
          <w:highlight w:val="none"/>
        </w:rPr>
      </w:pPr>
      <w:r>
        <w:rPr>
          <w:rFonts w:ascii="宋体"/>
          <w:color w:val="auto"/>
          <w:highlight w:val="none"/>
        </w:rPr>
        <w:br w:type="page"/>
      </w:r>
      <w:bookmarkStart w:id="234" w:name="_Toc234382966"/>
      <w:bookmarkStart w:id="235" w:name="_Toc486277929"/>
      <w:bookmarkStart w:id="236" w:name="_Toc19556"/>
      <w:bookmarkStart w:id="237" w:name="_Toc485889062"/>
      <w:r>
        <w:rPr>
          <w:rFonts w:hint="eastAsia" w:ascii="黑体" w:hAnsi="宋体" w:eastAsia="黑体"/>
          <w:color w:val="auto"/>
          <w:sz w:val="28"/>
          <w:szCs w:val="28"/>
          <w:highlight w:val="none"/>
        </w:rPr>
        <w:t>四</w:t>
      </w:r>
      <w:r>
        <w:rPr>
          <w:rFonts w:ascii="黑体" w:hAnsi="宋体" w:eastAsia="黑体"/>
          <w:color w:val="auto"/>
          <w:sz w:val="28"/>
          <w:szCs w:val="28"/>
          <w:highlight w:val="none"/>
        </w:rPr>
        <w:t>、施工组织设计</w:t>
      </w:r>
      <w:bookmarkEnd w:id="234"/>
      <w:bookmarkEnd w:id="235"/>
      <w:bookmarkEnd w:id="236"/>
      <w:bookmarkEnd w:id="237"/>
    </w:p>
    <w:p>
      <w:pPr>
        <w:spacing w:line="440" w:lineRule="exact"/>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1、投标人应按以下要点编制施工组织设计；</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（1）总体施工组织布置及规划</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（2）主要工程项目的施工方案、方法与技术措施（尤其对重点、关键和难点工程的施工方案、方法及其措施）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（3）工期的保证体系及保证措施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（4）工程质量管理体系及保证措施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（5）安全生产管理体系及保证措施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（6）环境保护、水土保持保证体系及保证措施</w:t>
      </w:r>
      <w:r>
        <w:rPr>
          <w:rFonts w:hint="eastAsia" w:ascii="宋体" w:hAnsi="宋体"/>
          <w:b/>
          <w:bCs/>
          <w:color w:val="auto"/>
          <w:sz w:val="24"/>
          <w:highlight w:val="none"/>
        </w:rPr>
        <w:t>（含扬尘治理措施）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（7）文明施工、文物保护保证体系及保证措施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（8）项目风险预测与防范，事故应急预案</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（9）其他应说明的事项</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施工组织设计除采用文字表述外可附下列图表，图表及格式要求附后。</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附表一  施工总体计划表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附表二  分项工程进度率计划（斜率图） </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附表三  工程管理曲线</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附表四  分项工程生产率和施工周期表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附表五  施工总平面图</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附表六  劳动力计划表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附表七  临时用地计划表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附表八  外供电力需求计划表</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pStyle w:val="4"/>
        <w:pageBreakBefore/>
        <w:spacing w:beforeLines="100" w:afterLines="150" w:line="360" w:lineRule="exact"/>
        <w:jc w:val="center"/>
        <w:rPr>
          <w:rFonts w:hint="eastAsia" w:ascii="黑体" w:hAnsi="宋体" w:eastAsia="黑体"/>
          <w:color w:val="auto"/>
          <w:sz w:val="28"/>
          <w:szCs w:val="28"/>
          <w:highlight w:val="none"/>
        </w:rPr>
        <w:sectPr>
          <w:footnotePr>
            <w:numFmt w:val="decimalEnclosedCircleChinese"/>
            <w:numRestart w:val="eachPage"/>
          </w:footnotePr>
          <w:pgSz w:w="11907" w:h="16840"/>
          <w:pgMar w:top="1440" w:right="1361" w:bottom="1440" w:left="1361" w:header="720" w:footer="907" w:gutter="0"/>
          <w:cols w:space="720" w:num="1"/>
        </w:sectPr>
      </w:pPr>
      <w:bookmarkStart w:id="238" w:name="_Toc19898"/>
      <w:bookmarkStart w:id="239" w:name="_Toc234382974"/>
      <w:bookmarkStart w:id="240" w:name="_Toc486277936"/>
      <w:bookmarkStart w:id="241" w:name="_Toc485889070"/>
    </w:p>
    <w:p>
      <w:pPr>
        <w:pStyle w:val="6"/>
        <w:spacing w:before="120" w:after="120" w:line="377" w:lineRule="auto"/>
        <w:rPr>
          <w:rFonts w:hint="eastAsia"/>
          <w:color w:val="auto"/>
          <w:highlight w:val="none"/>
        </w:rPr>
      </w:pPr>
      <w:r>
        <w:rPr>
          <w:rFonts w:hint="eastAsia"/>
          <w:color w:val="auto"/>
          <w:highlight w:val="none"/>
        </w:rPr>
        <w:t>附表一   施工总体计划表</w:t>
      </w:r>
    </w:p>
    <w:tbl>
      <w:tblPr>
        <w:tblW w:w="143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2"/>
        <w:gridCol w:w="392"/>
        <w:gridCol w:w="390"/>
        <w:gridCol w:w="394"/>
        <w:gridCol w:w="393"/>
        <w:gridCol w:w="392"/>
        <w:gridCol w:w="395"/>
        <w:gridCol w:w="392"/>
        <w:gridCol w:w="394"/>
        <w:gridCol w:w="393"/>
        <w:gridCol w:w="413"/>
        <w:gridCol w:w="414"/>
        <w:gridCol w:w="417"/>
        <w:gridCol w:w="393"/>
        <w:gridCol w:w="393"/>
        <w:gridCol w:w="394"/>
        <w:gridCol w:w="395"/>
        <w:gridCol w:w="394"/>
        <w:gridCol w:w="394"/>
        <w:gridCol w:w="395"/>
        <w:gridCol w:w="393"/>
        <w:gridCol w:w="394"/>
        <w:gridCol w:w="415"/>
        <w:gridCol w:w="414"/>
        <w:gridCol w:w="437"/>
        <w:gridCol w:w="394"/>
        <w:gridCol w:w="395"/>
        <w:gridCol w:w="394"/>
        <w:gridCol w:w="394"/>
        <w:gridCol w:w="431"/>
      </w:tblGrid>
      <w:tr>
        <w:trPr>
          <w:trHeight w:val="435" w:hRule="exact"/>
          <w:jc w:val="center"/>
        </w:trPr>
        <w:tc>
          <w:tcPr>
            <w:tcW w:w="2782" w:type="dxa"/>
            <w:tcBorders>
              <w:bottom w:val="single" w:color="auto" w:sz="6" w:space="0"/>
            </w:tcBorders>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年度</w:t>
            </w:r>
          </w:p>
        </w:tc>
        <w:tc>
          <w:tcPr>
            <w:tcW w:w="4779" w:type="dxa"/>
            <w:gridSpan w:val="12"/>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年</w:t>
            </w:r>
          </w:p>
        </w:tc>
        <w:tc>
          <w:tcPr>
            <w:tcW w:w="4811" w:type="dxa"/>
            <w:gridSpan w:val="12"/>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年</w:t>
            </w:r>
          </w:p>
        </w:tc>
        <w:tc>
          <w:tcPr>
            <w:tcW w:w="2008" w:type="dxa"/>
            <w:gridSpan w:val="5"/>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年</w:t>
            </w:r>
          </w:p>
        </w:tc>
      </w:tr>
      <w:tr>
        <w:trPr>
          <w:trHeight w:val="975" w:hRule="exact"/>
          <w:jc w:val="center"/>
        </w:trPr>
        <w:tc>
          <w:tcPr>
            <w:tcW w:w="2782" w:type="dxa"/>
            <w:tcBorders>
              <w:top w:val="single" w:color="auto" w:sz="6" w:space="0"/>
              <w:bottom w:val="single" w:color="auto" w:sz="6" w:space="0"/>
              <w:tl2br w:val="single" w:color="auto" w:sz="6" w:space="0"/>
            </w:tcBorders>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 xml:space="preserve">                    月份</w:t>
            </w:r>
          </w:p>
          <w:p>
            <w:pPr>
              <w:spacing w:before="0" w:beforeAutospacing="0" w:after="0" w:afterAutospacing="0"/>
              <w:ind w:left="0" w:right="0"/>
              <w:jc w:val="left"/>
              <w:rPr>
                <w:rFonts w:hint="eastAsia" w:ascii="宋体" w:hAnsi="宋体" w:cs="Calibri"/>
                <w:color w:val="auto"/>
                <w:kern w:val="2"/>
                <w:sz w:val="21"/>
                <w:szCs w:val="21"/>
                <w:highlight w:val="none"/>
              </w:rPr>
            </w:pPr>
          </w:p>
          <w:p>
            <w:pPr>
              <w:spacing w:before="0" w:beforeAutospacing="0" w:after="0" w:afterAutospacing="0"/>
              <w:ind w:left="0" w:right="0"/>
              <w:jc w:val="left"/>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主要工程项目</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2</w:t>
            </w: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3</w:t>
            </w: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4</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5</w:t>
            </w: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6</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7</w:t>
            </w: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8</w:t>
            </w: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9</w:t>
            </w: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10</w:t>
            </w: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11</w:t>
            </w: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12</w:t>
            </w: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2</w:t>
            </w: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3</w:t>
            </w: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4</w:t>
            </w: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5</w:t>
            </w: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6</w:t>
            </w: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7</w:t>
            </w: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8</w:t>
            </w: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9</w:t>
            </w: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10</w:t>
            </w: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11</w:t>
            </w: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12</w:t>
            </w: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2</w:t>
            </w: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3</w:t>
            </w: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4</w:t>
            </w: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w:t>
            </w:r>
          </w:p>
        </w:tc>
      </w:tr>
      <w:tr>
        <w:trPr>
          <w:trHeight w:val="325" w:hRule="exact"/>
          <w:jc w:val="center"/>
        </w:trPr>
        <w:tc>
          <w:tcPr>
            <w:tcW w:w="2782" w:type="dxa"/>
            <w:tcBorders>
              <w:top w:val="single" w:color="auto" w:sz="6" w:space="0"/>
            </w:tcBorders>
            <w:vAlign w:val="center"/>
          </w:tcPr>
          <w:p>
            <w:pPr>
              <w:spacing w:before="0" w:beforeAutospacing="0" w:after="0" w:afterAutospacing="0"/>
              <w:ind w:left="105" w:leftChars="50" w:right="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1.施工准备</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2.</w:t>
            </w:r>
            <w:r>
              <w:rPr>
                <w:rFonts w:hint="eastAsia" w:ascii="宋体" w:hAnsi="宋体" w:cs="Calibri"/>
                <w:color w:val="auto"/>
                <w:kern w:val="2"/>
                <w:sz w:val="21"/>
                <w:szCs w:val="21"/>
                <w:highlight w:val="none"/>
                <w:lang w:eastAsia="zh-CN"/>
              </w:rPr>
              <w:t>路基处理</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3.</w:t>
            </w:r>
            <w:r>
              <w:rPr>
                <w:rFonts w:hint="eastAsia" w:ascii="宋体" w:hAnsi="宋体" w:cs="Calibri"/>
                <w:color w:val="auto"/>
                <w:kern w:val="2"/>
                <w:sz w:val="21"/>
                <w:szCs w:val="21"/>
                <w:highlight w:val="none"/>
                <w:lang w:eastAsia="zh-CN"/>
              </w:rPr>
              <w:t>路基填筑</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4.</w:t>
            </w:r>
            <w:r>
              <w:rPr>
                <w:rFonts w:hint="eastAsia" w:ascii="宋体" w:hAnsi="宋体" w:cs="Calibri"/>
                <w:color w:val="auto"/>
                <w:kern w:val="2"/>
                <w:sz w:val="21"/>
                <w:szCs w:val="21"/>
                <w:highlight w:val="none"/>
                <w:lang w:eastAsia="zh-CN"/>
              </w:rPr>
              <w:t>涵洞</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5.通道</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6.防护及排水</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7.路面基层</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eastAsia="zh-CN"/>
              </w:rPr>
              <w:t>（</w:t>
            </w:r>
            <w:r>
              <w:rPr>
                <w:rFonts w:hint="eastAsia" w:ascii="宋体" w:hAnsi="宋体" w:cs="Calibri"/>
                <w:color w:val="auto"/>
                <w:kern w:val="2"/>
                <w:sz w:val="21"/>
                <w:szCs w:val="21"/>
                <w:highlight w:val="none"/>
                <w:lang w:val="en-US" w:eastAsia="zh-CN"/>
              </w:rPr>
              <w:t>1</w:t>
            </w:r>
            <w:r>
              <w:rPr>
                <w:rFonts w:hint="eastAsia" w:ascii="宋体" w:hAnsi="宋体" w:cs="Calibri"/>
                <w:color w:val="auto"/>
                <w:kern w:val="2"/>
                <w:sz w:val="21"/>
                <w:szCs w:val="21"/>
                <w:highlight w:val="none"/>
                <w:lang w:eastAsia="zh-CN"/>
              </w:rPr>
              <w:t>）底基层</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eastAsia="zh-CN"/>
              </w:rPr>
              <w:t>（</w:t>
            </w:r>
            <w:r>
              <w:rPr>
                <w:rFonts w:hint="eastAsia" w:ascii="宋体" w:hAnsi="宋体" w:cs="Calibri"/>
                <w:color w:val="auto"/>
                <w:kern w:val="2"/>
                <w:sz w:val="21"/>
                <w:szCs w:val="21"/>
                <w:highlight w:val="none"/>
                <w:lang w:val="en-US" w:eastAsia="zh-CN"/>
              </w:rPr>
              <w:t>2</w:t>
            </w:r>
            <w:r>
              <w:rPr>
                <w:rFonts w:hint="eastAsia" w:ascii="宋体" w:hAnsi="宋体" w:cs="Calibri"/>
                <w:color w:val="auto"/>
                <w:kern w:val="2"/>
                <w:sz w:val="21"/>
                <w:szCs w:val="21"/>
                <w:highlight w:val="none"/>
                <w:lang w:eastAsia="zh-CN"/>
              </w:rPr>
              <w:t>）基层</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8.路面铺筑</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9.路面标志标线</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10.桥梁工程</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（1）基础工程</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（2）墩台工程</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（3）梁体工程</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（4）梁体安装</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（5）桥面铺装及人行道</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325" w:hRule="exact"/>
          <w:jc w:val="center"/>
        </w:trPr>
        <w:tc>
          <w:tcPr>
            <w:tcW w:w="2782" w:type="dxa"/>
            <w:vAlign w:val="center"/>
          </w:tcPr>
          <w:p>
            <w:pPr>
              <w:spacing w:before="0" w:beforeAutospacing="0" w:after="0" w:afterAutospacing="0"/>
              <w:ind w:left="105" w:leftChars="50" w:right="0"/>
              <w:rPr>
                <w:rFonts w:hint="eastAsia" w:ascii="宋体" w:hAnsi="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11.隧道</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421" w:hRule="exact"/>
          <w:jc w:val="center"/>
        </w:trPr>
        <w:tc>
          <w:tcPr>
            <w:tcW w:w="2782" w:type="dxa"/>
            <w:vAlign w:val="center"/>
          </w:tcPr>
          <w:p>
            <w:pPr>
              <w:spacing w:before="0" w:beforeAutospacing="0" w:after="0" w:afterAutospacing="0"/>
              <w:ind w:left="105" w:leftChars="50" w:right="0"/>
              <w:rPr>
                <w:rFonts w:hint="eastAsia" w:ascii="宋体" w:hAnsi="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12.其他</w:t>
            </w: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1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7"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39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43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bl>
    <w:p>
      <w:pPr>
        <w:pStyle w:val="6"/>
        <w:spacing w:before="120" w:after="0" w:line="240" w:lineRule="auto"/>
        <w:rPr>
          <w:color w:val="auto"/>
          <w:highlight w:val="none"/>
        </w:rPr>
      </w:pPr>
    </w:p>
    <w:p>
      <w:pPr>
        <w:pStyle w:val="6"/>
        <w:spacing w:before="120" w:after="0" w:line="240" w:lineRule="auto"/>
        <w:rPr>
          <w:rFonts w:hint="eastAsia"/>
          <w:color w:val="auto"/>
          <w:highlight w:val="none"/>
        </w:rPr>
      </w:pPr>
      <w:r>
        <w:rPr>
          <w:color w:val="auto"/>
          <w:highlight w:val="none"/>
        </w:rPr>
        <w:br w:type="page"/>
      </w:r>
      <w:r>
        <w:rPr>
          <w:rFonts w:hint="eastAsia"/>
          <w:color w:val="auto"/>
          <w:highlight w:val="none"/>
        </w:rPr>
        <w:t>附表二   分项工程进度率计划（斜率图）</w:t>
      </w:r>
    </w:p>
    <w:tbl>
      <w:tblPr>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rPr>
          <w:trHeight w:val="340" w:hRule="exact"/>
          <w:jc w:val="center"/>
        </w:trPr>
        <w:tc>
          <w:tcPr>
            <w:tcW w:w="3998" w:type="dxa"/>
            <w:gridSpan w:val="2"/>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年  度</w:t>
            </w:r>
          </w:p>
        </w:tc>
        <w:tc>
          <w:tcPr>
            <w:tcW w:w="5605" w:type="dxa"/>
            <w:gridSpan w:val="12"/>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年</w:t>
            </w:r>
          </w:p>
        </w:tc>
        <w:tc>
          <w:tcPr>
            <w:tcW w:w="5139" w:type="dxa"/>
            <w:gridSpan w:val="11"/>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年</w:t>
            </w:r>
          </w:p>
        </w:tc>
      </w:tr>
      <w:tr>
        <w:trPr>
          <w:trHeight w:val="340" w:hRule="exact"/>
          <w:jc w:val="center"/>
        </w:trPr>
        <w:tc>
          <w:tcPr>
            <w:tcW w:w="3998" w:type="dxa"/>
            <w:gridSpan w:val="2"/>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季  度</w:t>
            </w:r>
          </w:p>
        </w:tc>
        <w:tc>
          <w:tcPr>
            <w:tcW w:w="1401" w:type="dxa"/>
            <w:gridSpan w:val="3"/>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一</w:t>
            </w:r>
          </w:p>
        </w:tc>
        <w:tc>
          <w:tcPr>
            <w:tcW w:w="1401" w:type="dxa"/>
            <w:gridSpan w:val="3"/>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二</w:t>
            </w:r>
          </w:p>
        </w:tc>
        <w:tc>
          <w:tcPr>
            <w:tcW w:w="1402" w:type="dxa"/>
            <w:gridSpan w:val="3"/>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三</w:t>
            </w:r>
          </w:p>
        </w:tc>
        <w:tc>
          <w:tcPr>
            <w:tcW w:w="1401" w:type="dxa"/>
            <w:gridSpan w:val="3"/>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四</w:t>
            </w:r>
          </w:p>
        </w:tc>
        <w:tc>
          <w:tcPr>
            <w:tcW w:w="1401" w:type="dxa"/>
            <w:gridSpan w:val="3"/>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一</w:t>
            </w:r>
          </w:p>
        </w:tc>
        <w:tc>
          <w:tcPr>
            <w:tcW w:w="1402" w:type="dxa"/>
            <w:gridSpan w:val="3"/>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二</w:t>
            </w:r>
          </w:p>
        </w:tc>
        <w:tc>
          <w:tcPr>
            <w:tcW w:w="1401" w:type="dxa"/>
            <w:gridSpan w:val="3"/>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三</w:t>
            </w:r>
          </w:p>
        </w:tc>
        <w:tc>
          <w:tcPr>
            <w:tcW w:w="935" w:type="dxa"/>
            <w:gridSpan w:val="2"/>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四</w:t>
            </w:r>
          </w:p>
        </w:tc>
      </w:tr>
      <w:tr>
        <w:trPr>
          <w:trHeight w:val="340" w:hRule="exact"/>
          <w:jc w:val="center"/>
        </w:trPr>
        <w:tc>
          <w:tcPr>
            <w:tcW w:w="3998" w:type="dxa"/>
            <w:gridSpan w:val="2"/>
            <w:tcBorders>
              <w:bottom w:val="single" w:color="auto" w:sz="6" w:space="0"/>
            </w:tcBorders>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月  份</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1</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2</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3</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4</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5</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6</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7</w:t>
            </w: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8</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9</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10</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11</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12</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1</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2</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3</w:t>
            </w: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4</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5</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6</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7</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8</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9</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10</w:t>
            </w: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default" w:ascii="宋体" w:hAnsi="宋体" w:cs="Calibri"/>
                <w:kern w:val="2"/>
                <w:sz w:val="21"/>
                <w:szCs w:val="22"/>
                <w:highlight w:val="none"/>
              </w:rPr>
              <w:t>…</w:t>
            </w:r>
          </w:p>
        </w:tc>
      </w:tr>
      <w:tr>
        <w:trPr>
          <w:trHeight w:val="340" w:hRule="exact"/>
          <w:jc w:val="center"/>
        </w:trPr>
        <w:tc>
          <w:tcPr>
            <w:tcW w:w="2722" w:type="dxa"/>
            <w:tcBorders>
              <w:top w:val="single" w:color="auto" w:sz="6" w:space="0"/>
              <w:bottom w:val="nil"/>
              <w:right w:val="nil"/>
            </w:tcBorders>
            <w:vAlign w:val="center"/>
          </w:tcPr>
          <w:p>
            <w:pPr>
              <w:spacing w:before="0" w:beforeAutospacing="0" w:after="0" w:afterAutospacing="0"/>
              <w:ind w:left="0" w:right="0"/>
              <w:jc w:val="left"/>
              <w:rPr>
                <w:rFonts w:hint="default" w:ascii="宋体" w:hAnsi="宋体" w:cs="Calibri"/>
                <w:kern w:val="2"/>
                <w:sz w:val="21"/>
                <w:szCs w:val="22"/>
                <w:highlight w:val="none"/>
              </w:rPr>
            </w:pPr>
            <w:r>
              <w:rPr>
                <w:rFonts w:hint="eastAsia" w:ascii="宋体" w:hAnsi="宋体" w:cs="Calibri"/>
                <w:kern w:val="2"/>
                <w:sz w:val="21"/>
                <w:szCs w:val="22"/>
                <w:highlight w:val="none"/>
              </w:rPr>
              <w:t>图例：</w:t>
            </w:r>
          </w:p>
        </w:tc>
        <w:tc>
          <w:tcPr>
            <w:tcW w:w="1276" w:type="dxa"/>
            <w:tcBorders>
              <w:top w:val="single" w:color="auto" w:sz="6" w:space="0"/>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r>
              <w:rPr>
                <w:rFonts w:hint="eastAsia" w:ascii="宋体" w:hAnsi="宋体" w:cs="Calibri"/>
                <w:kern w:val="2"/>
                <w:sz w:val="21"/>
                <w:szCs w:val="22"/>
                <w:highlight w:val="none"/>
              </w:rPr>
              <w:t>100（%）</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nil"/>
              <w:bottom w:val="single" w:color="auto" w:sz="24" w:space="0"/>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276" w:type="dxa"/>
            <w:tcBorders>
              <w:top w:val="nil"/>
              <w:left w:val="nil"/>
              <w:bottom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single" w:color="auto" w:sz="24" w:space="0"/>
              <w:bottom w:val="nil"/>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施工准备</w:t>
            </w: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r>
              <w:rPr>
                <w:rFonts w:hint="eastAsia" w:ascii="宋体" w:hAnsi="宋体" w:cs="Calibri"/>
                <w:kern w:val="2"/>
                <w:sz w:val="21"/>
                <w:szCs w:val="22"/>
                <w:highlight w:val="none"/>
              </w:rPr>
              <w:t>90</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nil"/>
              <w:bottom w:val="double" w:color="auto" w:sz="4" w:space="0"/>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double" w:color="auto" w:sz="4" w:space="0"/>
              <w:bottom w:val="nil"/>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路基填筑</w:t>
            </w: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r>
              <w:rPr>
                <w:rFonts w:hint="eastAsia" w:ascii="宋体" w:hAnsi="宋体" w:cs="Calibri"/>
                <w:kern w:val="2"/>
                <w:sz w:val="21"/>
                <w:szCs w:val="22"/>
                <w:highlight w:val="none"/>
              </w:rPr>
              <w:t>80</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nil"/>
              <w:bottom w:val="dashDotStroked" w:color="auto" w:sz="24" w:space="0"/>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dashDotStroked" w:color="auto" w:sz="24" w:space="0"/>
              <w:bottom w:val="nil"/>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路面基层</w:t>
            </w: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r>
              <w:rPr>
                <w:rFonts w:hint="eastAsia" w:ascii="宋体" w:hAnsi="宋体" w:cs="Calibri"/>
                <w:kern w:val="2"/>
                <w:sz w:val="21"/>
                <w:szCs w:val="22"/>
                <w:highlight w:val="none"/>
              </w:rPr>
              <w:t>70</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nil"/>
              <w:bottom w:val="triple" w:color="auto" w:sz="4" w:space="0"/>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triple" w:color="auto" w:sz="4" w:space="0"/>
              <w:bottom w:val="nil"/>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路面面层</w:t>
            </w: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r>
              <w:rPr>
                <w:rFonts w:hint="eastAsia" w:ascii="宋体" w:hAnsi="宋体" w:cs="Calibri"/>
                <w:kern w:val="2"/>
                <w:sz w:val="21"/>
                <w:szCs w:val="22"/>
                <w:highlight w:val="none"/>
              </w:rPr>
              <w:t>60</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nil"/>
              <w:bottom w:val="wave" w:color="auto" w:sz="6" w:space="0"/>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wave" w:color="auto" w:sz="6" w:space="0"/>
              <w:bottom w:val="nil"/>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防护及排水</w:t>
            </w: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r>
              <w:rPr>
                <w:rFonts w:hint="eastAsia" w:ascii="宋体" w:hAnsi="宋体" w:cs="Calibri"/>
                <w:kern w:val="2"/>
                <w:sz w:val="21"/>
                <w:szCs w:val="22"/>
                <w:highlight w:val="none"/>
              </w:rPr>
              <w:t>50</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nil"/>
              <w:bottom w:val="dotDotDash" w:color="auto" w:sz="4" w:space="0"/>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dotDotDash" w:color="auto" w:sz="4" w:space="0"/>
              <w:bottom w:val="nil"/>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涵洞及通道</w:t>
            </w: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r>
              <w:rPr>
                <w:rFonts w:hint="eastAsia" w:ascii="宋体" w:hAnsi="宋体" w:cs="Calibri"/>
                <w:kern w:val="2"/>
                <w:sz w:val="21"/>
                <w:szCs w:val="22"/>
                <w:highlight w:val="none"/>
              </w:rPr>
              <w:t>40</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nil"/>
              <w:bottom w:val="thickThinSmallGap" w:color="auto" w:sz="24" w:space="0"/>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thickThinSmallGap" w:color="auto" w:sz="24" w:space="0"/>
              <w:bottom w:val="nil"/>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桥梁下部工程</w:t>
            </w: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r>
              <w:rPr>
                <w:rFonts w:hint="eastAsia" w:ascii="宋体" w:hAnsi="宋体" w:cs="Calibri"/>
                <w:kern w:val="2"/>
                <w:sz w:val="21"/>
                <w:szCs w:val="22"/>
                <w:highlight w:val="none"/>
              </w:rPr>
              <w:t>30</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nil"/>
              <w:bottom w:val="thinThickSmallGap" w:color="auto" w:sz="24" w:space="0"/>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thinThickSmallGap" w:color="auto" w:sz="24" w:space="0"/>
              <w:bottom w:val="nil"/>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桥梁上部工程</w:t>
            </w: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r>
              <w:rPr>
                <w:rFonts w:hint="eastAsia" w:ascii="宋体" w:hAnsi="宋体" w:cs="Calibri"/>
                <w:kern w:val="2"/>
                <w:sz w:val="21"/>
                <w:szCs w:val="22"/>
                <w:highlight w:val="none"/>
              </w:rPr>
              <w:t>20</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nil"/>
              <w:bottom w:val="dashed" w:color="auto" w:sz="4" w:space="0"/>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dashed" w:color="auto" w:sz="4" w:space="0"/>
              <w:bottom w:val="nil"/>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隧道</w:t>
            </w:r>
          </w:p>
        </w:tc>
        <w:tc>
          <w:tcPr>
            <w:tcW w:w="1276" w:type="dxa"/>
            <w:tcBorders>
              <w:top w:val="nil"/>
              <w:left w:val="nil"/>
              <w:bottom w:val="nil"/>
            </w:tcBorders>
            <w:vAlign w:val="center"/>
          </w:tcPr>
          <w:p>
            <w:pPr>
              <w:spacing w:before="0" w:beforeAutospacing="0" w:after="0" w:afterAutospacing="0"/>
              <w:ind w:left="0" w:right="0"/>
              <w:jc w:val="right"/>
              <w:rPr>
                <w:rFonts w:hint="default" w:ascii="宋体" w:hAnsi="宋体" w:cs="Calibri"/>
                <w:kern w:val="2"/>
                <w:sz w:val="21"/>
                <w:szCs w:val="22"/>
                <w:highlight w:val="none"/>
              </w:rPr>
            </w:pPr>
            <w:r>
              <w:rPr>
                <w:rFonts w:hint="eastAsia" w:ascii="宋体" w:hAnsi="宋体" w:cs="Calibri"/>
                <w:kern w:val="2"/>
                <w:sz w:val="21"/>
                <w:szCs w:val="22"/>
                <w:highlight w:val="none"/>
              </w:rPr>
              <w:t>10</w:t>
            </w: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340" w:hRule="exact"/>
          <w:jc w:val="center"/>
        </w:trPr>
        <w:tc>
          <w:tcPr>
            <w:tcW w:w="2722" w:type="dxa"/>
            <w:tcBorders>
              <w:top w:val="nil"/>
              <w:bottom w:val="single" w:color="auto" w:sz="12" w:space="0"/>
              <w:right w:val="nil"/>
            </w:tcBorders>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276" w:type="dxa"/>
            <w:tcBorders>
              <w:top w:val="nil"/>
              <w:left w:val="nil"/>
              <w:bottom w:val="single" w:color="auto" w:sz="12" w:space="0"/>
            </w:tcBorders>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7"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468"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注：1.应按各标段实际工程内容填写。</w:t>
      </w:r>
    </w:p>
    <w:p>
      <w:pPr>
        <w:rPr>
          <w:rFonts w:hint="eastAsia"/>
          <w:color w:val="auto"/>
          <w:highlight w:val="none"/>
        </w:rPr>
        <w:sectPr>
          <w:footnotePr>
            <w:numFmt w:val="decimalEnclosedCircleChinese"/>
            <w:numRestart w:val="eachPage"/>
          </w:footnotePr>
          <w:pgSz w:w="16840" w:h="11907" w:orient="landscape"/>
          <w:pgMar w:top="1361" w:right="1440" w:bottom="1361" w:left="1440" w:header="720" w:footer="907" w:gutter="0"/>
          <w:cols w:space="720" w:num="1"/>
        </w:sectPr>
      </w:pPr>
      <w:r>
        <w:rPr>
          <w:rFonts w:hint="eastAsia" w:ascii="宋体" w:hAnsi="宋体"/>
          <w:color w:val="auto"/>
          <w:szCs w:val="21"/>
          <w:highlight w:val="none"/>
        </w:rPr>
        <w:t xml:space="preserve">    2.各个项目的进程可用线条的长短来表示。</w:t>
      </w:r>
    </w:p>
    <w:p>
      <w:pPr>
        <w:pStyle w:val="4"/>
        <w:spacing w:beforeLines="50" w:after="0" w:line="400" w:lineRule="exact"/>
        <w:rPr>
          <w:rFonts w:ascii="Arial" w:hAnsi="Arial" w:eastAsia="黑体"/>
          <w:color w:val="auto"/>
          <w:kern w:val="2"/>
          <w:sz w:val="28"/>
          <w:szCs w:val="28"/>
          <w:highlight w:val="none"/>
        </w:rPr>
      </w:pPr>
      <w:bookmarkStart w:id="242" w:name="_Toc234382967"/>
      <w:r>
        <w:rPr>
          <w:rFonts w:ascii="Arial" w:hAnsi="Arial" w:eastAsia="黑体"/>
          <w:color w:val="auto"/>
          <w:kern w:val="2"/>
          <w:sz w:val="28"/>
          <w:szCs w:val="28"/>
          <w:highlight w:val="none"/>
        </w:rPr>
        <w:t>附表三</w:t>
      </w:r>
      <w:r>
        <w:rPr>
          <w:rFonts w:hint="eastAsia" w:ascii="Arial" w:hAnsi="Arial" w:eastAsia="黑体"/>
          <w:color w:val="auto"/>
          <w:kern w:val="2"/>
          <w:sz w:val="28"/>
          <w:szCs w:val="28"/>
          <w:highlight w:val="none"/>
        </w:rPr>
        <w:t xml:space="preserve">   工程管理曲线</w:t>
      </w:r>
      <w:bookmarkEnd w:id="242"/>
    </w:p>
    <w:tbl>
      <w:tblPr>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rPr>
          <w:trHeight w:val="454" w:hRule="exact"/>
          <w:jc w:val="center"/>
        </w:trPr>
        <w:tc>
          <w:tcPr>
            <w:tcW w:w="2206" w:type="dxa"/>
            <w:tcBorders>
              <w:top w:val="single" w:color="auto" w:sz="12" w:space="0"/>
              <w:bottom w:val="nil"/>
              <w:tl2br w:val="single" w:color="auto" w:sz="6" w:space="0"/>
            </w:tcBorders>
            <w:vAlign w:val="center"/>
          </w:tcPr>
          <w:p>
            <w:pPr>
              <w:spacing w:before="0" w:beforeAutospacing="0" w:after="0" w:afterAutospacing="0"/>
              <w:ind w:left="0" w:right="0"/>
              <w:jc w:val="center"/>
              <w:rPr>
                <w:rFonts w:hint="eastAsia" w:ascii="Calibri" w:hAnsi="Calibri" w:cs="Calibri"/>
                <w:color w:val="auto"/>
                <w:kern w:val="2"/>
                <w:sz w:val="21"/>
                <w:szCs w:val="22"/>
                <w:highlight w:val="none"/>
              </w:rPr>
            </w:pPr>
            <w:r>
              <w:rPr>
                <w:rFonts w:hint="eastAsia" w:ascii="Calibri" w:hAnsi="Calibri" w:eastAsia="宋体" w:cs="Calibri"/>
                <w:color w:val="auto"/>
                <w:kern w:val="2"/>
                <w:sz w:val="21"/>
                <w:szCs w:val="22"/>
                <w:highlight w:val="none"/>
                <w:lang w:val="en-US" w:eastAsia="zh-CN" w:bidi="ar-SA"/>
              </w:rPr>
              <w:pict>
                <v:shape id="自选图形 3" o:spid="_x0000_s1031" type="#_x0000_t32" style="position:absolute;left:0;margin-left:-5.9pt;margin-top:-0.3pt;height:44.35pt;width:110pt;rotation:0f;z-index:251659264;" o:ole="f" fillcolor="#FFFFFF" filled="t" o:preferrelative="t" stroked="t" coordorigin="0,0" coordsize="21600,21600">
                  <v:stroke color="#000000" color2="#FFFFFF" opacity="100%" miterlimit="2"/>
                  <v:imagedata gain="65536f" blacklevel="0f" gamma="0"/>
                  <o:lock v:ext="edit" position="f" selection="f" grouping="f" rotation="f" cropping="f" text="f" aspectratio="f"/>
                </v:shape>
              </w:pict>
            </w:r>
            <w:r>
              <w:rPr>
                <w:rFonts w:hint="eastAsia" w:ascii="Calibri" w:hAnsi="Calibri" w:cs="Calibri"/>
                <w:color w:val="auto"/>
                <w:kern w:val="2"/>
                <w:sz w:val="21"/>
                <w:szCs w:val="22"/>
                <w:highlight w:val="none"/>
              </w:rPr>
              <w:t xml:space="preserve">            年  度</w:t>
            </w:r>
          </w:p>
          <w:p>
            <w:pPr>
              <w:spacing w:before="0" w:beforeAutospacing="0" w:after="0" w:afterAutospacing="0"/>
              <w:ind w:left="0" w:right="0"/>
              <w:jc w:val="center"/>
              <w:rPr>
                <w:rFonts w:hint="eastAsia" w:ascii="Calibri" w:hAnsi="Calibri" w:cs="Calibri"/>
                <w:color w:val="auto"/>
                <w:kern w:val="2"/>
                <w:sz w:val="21"/>
                <w:szCs w:val="22"/>
                <w:highlight w:val="none"/>
              </w:rPr>
            </w:pPr>
            <w:r>
              <w:rPr>
                <w:rFonts w:hint="eastAsia" w:ascii="Calibri" w:hAnsi="Calibri" w:eastAsia="宋体" w:cs="Calibri"/>
                <w:color w:val="auto"/>
                <w:kern w:val="2"/>
                <w:sz w:val="21"/>
                <w:szCs w:val="22"/>
                <w:highlight w:val="none"/>
                <w:lang w:val="en-US" w:eastAsia="zh-CN" w:bidi="ar-SA"/>
              </w:rPr>
              <w:pict>
                <v:rect id="矩形 4" o:spid="_x0000_s1032" style="position:absolute;left:0;margin-left:61.5pt;margin-top:1.6pt;height:21.55pt;width:17.15pt;rotation:0f;z-index:251660288;" o:ole="f" fillcolor="#FFFFFF" filled="f" o:preferrelative="t" stroked="f" coordsize="21600,21600">
                  <v:fill on="f" color2="#FFFFFF" focus="0%"/>
                  <v:imagedata gain="65536f" blacklevel="0f" gamma="0"/>
                  <o:lock v:ext="edit" position="f" selection="f" grouping="f" rotation="f" cropping="f" text="f" aspectratio="f"/>
                  <v:textbox>
                    <w:txbxContent>
                      <w:p>
                        <w:r>
                          <w:rPr>
                            <w:rFonts w:hint="eastAsia"/>
                          </w:rPr>
                          <w:t>季</w:t>
                        </w:r>
                      </w:p>
                    </w:txbxContent>
                  </v:textbox>
                </v:rect>
              </w:pict>
            </w:r>
            <w:r>
              <w:rPr>
                <w:rFonts w:hint="eastAsia" w:ascii="Calibri" w:hAnsi="Calibri" w:cs="Calibri"/>
                <w:color w:val="auto"/>
                <w:kern w:val="2"/>
                <w:sz w:val="21"/>
                <w:szCs w:val="22"/>
                <w:highlight w:val="none"/>
              </w:rPr>
              <w:t xml:space="preserve">        </w:t>
            </w:r>
          </w:p>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537" w:type="dxa"/>
            <w:gridSpan w:val="12"/>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年</w:t>
            </w:r>
          </w:p>
        </w:tc>
        <w:tc>
          <w:tcPr>
            <w:tcW w:w="2896" w:type="dxa"/>
            <w:gridSpan w:val="8"/>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年</w:t>
            </w:r>
          </w:p>
        </w:tc>
      </w:tr>
      <w:tr>
        <w:trPr>
          <w:trHeight w:val="454" w:hRule="exact"/>
          <w:jc w:val="center"/>
        </w:trPr>
        <w:tc>
          <w:tcPr>
            <w:tcW w:w="2206" w:type="dxa"/>
            <w:vMerge w:val="restart"/>
            <w:tcBorders>
              <w:top w:val="nil"/>
            </w:tcBorders>
            <w:vAlign w:val="center"/>
          </w:tcPr>
          <w:p>
            <w:pPr>
              <w:spacing w:before="0" w:beforeAutospacing="0" w:after="0" w:afterAutospacing="0"/>
              <w:ind w:left="0" w:right="0"/>
              <w:jc w:val="center"/>
              <w:rPr>
                <w:rFonts w:hint="eastAsia" w:ascii="Calibri" w:hAnsi="Calibri" w:cs="Calibri"/>
                <w:color w:val="auto"/>
                <w:kern w:val="2"/>
                <w:sz w:val="21"/>
                <w:szCs w:val="22"/>
                <w:highlight w:val="none"/>
              </w:rPr>
            </w:pPr>
            <w:r>
              <w:rPr>
                <w:rFonts w:hint="eastAsia" w:ascii="Calibri" w:hAnsi="Calibri" w:eastAsia="宋体" w:cs="Calibri"/>
                <w:color w:val="auto"/>
                <w:kern w:val="2"/>
                <w:sz w:val="21"/>
                <w:szCs w:val="22"/>
                <w:highlight w:val="none"/>
                <w:lang w:val="en-US" w:eastAsia="zh-CN" w:bidi="ar-SA"/>
              </w:rPr>
              <w:pict>
                <v:rect id="矩形 5" o:spid="_x0000_s1033" style="position:absolute;left:0;margin-left:84pt;margin-top:-0.45pt;height:21.55pt;width:17.15pt;rotation:0f;z-index:251661312;" o:ole="f" fillcolor="#FFFFFF" filled="f" o:preferrelative="t" stroked="f" coordsize="21600,21600">
                  <v:fill on="f" color2="#FFFFFF" focus="0%"/>
                  <v:imagedata gain="65536f" blacklevel="0f" gamma="0"/>
                  <o:lock v:ext="edit" position="f" selection="f" grouping="f" rotation="f" cropping="f" text="f" aspectratio="f"/>
                  <v:textbox>
                    <w:txbxContent>
                      <w:p>
                        <w:r>
                          <w:rPr>
                            <w:rFonts w:hint="eastAsia"/>
                          </w:rPr>
                          <w:t>度</w:t>
                        </w:r>
                      </w:p>
                    </w:txbxContent>
                  </v:textbox>
                </v:rect>
              </w:pict>
            </w:r>
            <w:r>
              <w:rPr>
                <w:rFonts w:hint="eastAsia" w:ascii="Calibri" w:hAnsi="Calibri" w:cs="Calibri"/>
                <w:color w:val="auto"/>
                <w:kern w:val="2"/>
                <w:sz w:val="21"/>
                <w:szCs w:val="22"/>
                <w:highlight w:val="none"/>
              </w:rPr>
              <w:t xml:space="preserve">     </w:t>
            </w:r>
          </w:p>
          <w:p>
            <w:pPr>
              <w:spacing w:before="0" w:beforeAutospacing="0" w:after="0" w:afterAutospacing="0"/>
              <w:ind w:left="0" w:right="0"/>
              <w:jc w:val="left"/>
              <w:rPr>
                <w:rFonts w:hint="eastAsia" w:ascii="Calibri" w:hAnsi="Calibri" w:cs="Calibri"/>
                <w:color w:val="auto"/>
                <w:kern w:val="2"/>
                <w:sz w:val="21"/>
                <w:szCs w:val="22"/>
                <w:highlight w:val="none"/>
              </w:rPr>
            </w:pPr>
          </w:p>
          <w:p>
            <w:pPr>
              <w:spacing w:before="0" w:beforeAutospacing="0" w:after="0" w:afterAutospacing="0"/>
              <w:ind w:left="0" w:right="0"/>
              <w:jc w:val="left"/>
              <w:rPr>
                <w:rFonts w:hint="default" w:ascii="Calibri" w:hAnsi="Calibri" w:cs="Calibri"/>
                <w:color w:val="auto"/>
                <w:kern w:val="2"/>
                <w:sz w:val="21"/>
                <w:szCs w:val="22"/>
                <w:highlight w:val="none"/>
              </w:rPr>
            </w:pPr>
            <w:r>
              <w:rPr>
                <w:rFonts w:hint="eastAsia" w:ascii="Calibri" w:hAnsi="Calibri" w:eastAsia="宋体" w:cs="Calibri"/>
                <w:color w:val="auto"/>
                <w:kern w:val="2"/>
                <w:sz w:val="21"/>
                <w:szCs w:val="22"/>
                <w:highlight w:val="none"/>
                <w:lang w:val="en-US" w:eastAsia="zh-CN" w:bidi="ar-SA"/>
              </w:rPr>
              <w:pict>
                <v:rect id="矩形 6" o:spid="_x0000_s1034" style="position:absolute;left:0;margin-left:-5.55pt;margin-top:19.35pt;height:454.5pt;width:89.9pt;rotation:0f;z-index:251662336;" o:ole="f" fillcolor="#FFFFFF" filled="f" o:preferrelative="t" stroked="f" coordsize="21600,21600">
                  <v:fill on="f" color2="#FFFFFF" focus="0%"/>
                  <v:imagedata gain="65536f" blacklevel="0f" gamma="0"/>
                  <o:lock v:ext="edit" position="f" selection="f" grouping="f" rotation="f" cropping="f" text="f"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line="240" w:lineRule="exact"/>
                          <w:jc w:val="center"/>
                          <w:rPr>
                            <w:rFonts w:hint="eastAsia"/>
                          </w:rPr>
                        </w:pPr>
                        <w:r>
                          <w:rPr>
                            <w:rFonts w:hint="eastAsia"/>
                          </w:rPr>
                          <w:t>工</w:t>
                        </w:r>
                      </w:p>
                      <w:p>
                        <w:pPr>
                          <w:spacing w:line="240" w:lineRule="exact"/>
                          <w:jc w:val="center"/>
                          <w:rPr>
                            <w:rFonts w:hint="eastAsia"/>
                          </w:rPr>
                        </w:pPr>
                      </w:p>
                      <w:p>
                        <w:pPr>
                          <w:spacing w:line="240" w:lineRule="exact"/>
                          <w:jc w:val="center"/>
                          <w:rPr>
                            <w:rFonts w:hint="eastAsia"/>
                          </w:rPr>
                        </w:pPr>
                        <w:r>
                          <w:rPr>
                            <w:rFonts w:hint="eastAsia"/>
                          </w:rPr>
                          <w:t>程</w:t>
                        </w:r>
                      </w:p>
                      <w:p>
                        <w:pPr>
                          <w:spacing w:line="240" w:lineRule="exact"/>
                          <w:jc w:val="center"/>
                          <w:rPr>
                            <w:rFonts w:hint="eastAsia"/>
                          </w:rPr>
                        </w:pPr>
                      </w:p>
                      <w:p>
                        <w:pPr>
                          <w:spacing w:line="240" w:lineRule="exact"/>
                          <w:jc w:val="center"/>
                          <w:rPr>
                            <w:rFonts w:hint="eastAsia"/>
                          </w:rPr>
                        </w:pPr>
                        <w:r>
                          <w:rPr>
                            <w:rFonts w:hint="eastAsia"/>
                          </w:rPr>
                          <w:t>完</w:t>
                        </w:r>
                      </w:p>
                      <w:p>
                        <w:pPr>
                          <w:spacing w:line="240" w:lineRule="exact"/>
                          <w:jc w:val="center"/>
                          <w:rPr>
                            <w:rFonts w:hint="eastAsia"/>
                          </w:rPr>
                        </w:pPr>
                      </w:p>
                      <w:p>
                        <w:pPr>
                          <w:spacing w:line="240" w:lineRule="exact"/>
                          <w:jc w:val="center"/>
                          <w:rPr>
                            <w:rFonts w:hint="eastAsia"/>
                          </w:rPr>
                        </w:pPr>
                        <w:r>
                          <w:rPr>
                            <w:rFonts w:hint="eastAsia"/>
                          </w:rPr>
                          <w:t>成</w:t>
                        </w:r>
                      </w:p>
                      <w:p>
                        <w:pPr>
                          <w:spacing w:line="240" w:lineRule="exact"/>
                          <w:jc w:val="center"/>
                          <w:rPr>
                            <w:rFonts w:hint="eastAsia"/>
                          </w:rPr>
                        </w:pPr>
                      </w:p>
                      <w:p>
                        <w:pPr>
                          <w:spacing w:line="240" w:lineRule="exact"/>
                          <w:jc w:val="center"/>
                          <w:rPr>
                            <w:rFonts w:hint="eastAsia"/>
                          </w:rPr>
                        </w:pPr>
                        <w:r>
                          <w:rPr>
                            <w:rFonts w:hint="eastAsia"/>
                          </w:rPr>
                          <w:t>的</w:t>
                        </w:r>
                      </w:p>
                      <w:p>
                        <w:pPr>
                          <w:spacing w:line="240" w:lineRule="exact"/>
                          <w:jc w:val="center"/>
                          <w:rPr>
                            <w:rFonts w:hint="eastAsia"/>
                          </w:rPr>
                        </w:pPr>
                      </w:p>
                      <w:p>
                        <w:pPr>
                          <w:spacing w:line="240" w:lineRule="exact"/>
                          <w:jc w:val="center"/>
                          <w:rPr>
                            <w:rFonts w:hint="eastAsia"/>
                          </w:rPr>
                        </w:pPr>
                        <w:r>
                          <w:rPr>
                            <w:rFonts w:hint="eastAsia"/>
                          </w:rPr>
                          <w:t>百</w:t>
                        </w:r>
                      </w:p>
                      <w:p>
                        <w:pPr>
                          <w:spacing w:line="240" w:lineRule="exact"/>
                          <w:jc w:val="center"/>
                          <w:rPr>
                            <w:rFonts w:hint="eastAsia"/>
                          </w:rPr>
                        </w:pPr>
                      </w:p>
                      <w:p>
                        <w:pPr>
                          <w:spacing w:line="240" w:lineRule="exact"/>
                          <w:jc w:val="center"/>
                          <w:rPr>
                            <w:rFonts w:hint="eastAsia"/>
                          </w:rPr>
                        </w:pPr>
                        <w:r>
                          <w:rPr>
                            <w:rFonts w:hint="eastAsia"/>
                          </w:rPr>
                          <w:t>分</w:t>
                        </w:r>
                      </w:p>
                      <w:p>
                        <w:pPr>
                          <w:spacing w:line="240" w:lineRule="exact"/>
                          <w:jc w:val="center"/>
                          <w:rPr>
                            <w:rFonts w:hint="eastAsia"/>
                          </w:rPr>
                        </w:pPr>
                      </w:p>
                      <w:p>
                        <w:pPr>
                          <w:spacing w:line="240" w:lineRule="exact"/>
                          <w:jc w:val="center"/>
                          <w:rPr>
                            <w:rFonts w:hint="eastAsia"/>
                          </w:rPr>
                        </w:pPr>
                        <w:r>
                          <w:rPr>
                            <w:rFonts w:hint="eastAsia"/>
                          </w:rPr>
                          <w:t>比</w:t>
                        </w:r>
                      </w:p>
                      <w:p>
                        <w:pPr>
                          <w:spacing w:line="240" w:lineRule="exact"/>
                          <w:jc w:val="center"/>
                          <w:rPr>
                            <w:rFonts w:hint="eastAsia"/>
                          </w:rPr>
                        </w:pPr>
                      </w:p>
                      <w:p>
                        <w:pPr>
                          <w:spacing w:line="240" w:lineRule="exact"/>
                          <w:jc w:val="center"/>
                        </w:pPr>
                        <w:r>
                          <w:rPr>
                            <w:rFonts w:hint="eastAsia"/>
                          </w:rPr>
                          <w:t>（%）</w:t>
                        </w:r>
                      </w:p>
                    </w:txbxContent>
                  </v:textbox>
                </v:rect>
              </w:pict>
            </w:r>
            <w:r>
              <w:rPr>
                <w:rFonts w:hint="eastAsia" w:ascii="Calibri" w:hAnsi="Calibri" w:cs="Calibri"/>
                <w:color w:val="auto"/>
                <w:kern w:val="2"/>
                <w:sz w:val="21"/>
                <w:szCs w:val="22"/>
                <w:highlight w:val="none"/>
              </w:rPr>
              <w:t>进  度</w:t>
            </w:r>
          </w:p>
        </w:tc>
        <w:tc>
          <w:tcPr>
            <w:tcW w:w="1093" w:type="dxa"/>
            <w:gridSpan w:val="3"/>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一</w:t>
            </w:r>
          </w:p>
        </w:tc>
        <w:tc>
          <w:tcPr>
            <w:tcW w:w="1089" w:type="dxa"/>
            <w:gridSpan w:val="3"/>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二</w:t>
            </w:r>
          </w:p>
        </w:tc>
        <w:tc>
          <w:tcPr>
            <w:tcW w:w="1084" w:type="dxa"/>
            <w:gridSpan w:val="3"/>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三</w:t>
            </w:r>
          </w:p>
        </w:tc>
        <w:tc>
          <w:tcPr>
            <w:tcW w:w="1271" w:type="dxa"/>
            <w:gridSpan w:val="3"/>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四</w:t>
            </w:r>
          </w:p>
        </w:tc>
        <w:tc>
          <w:tcPr>
            <w:tcW w:w="1084" w:type="dxa"/>
            <w:gridSpan w:val="3"/>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一</w:t>
            </w:r>
          </w:p>
        </w:tc>
        <w:tc>
          <w:tcPr>
            <w:tcW w:w="1088" w:type="dxa"/>
            <w:gridSpan w:val="3"/>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二</w:t>
            </w:r>
          </w:p>
        </w:tc>
        <w:tc>
          <w:tcPr>
            <w:tcW w:w="724" w:type="dxa"/>
            <w:gridSpan w:val="2"/>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default" w:ascii="宋体" w:hAnsi="宋体" w:cs="Calibri"/>
                <w:color w:val="auto"/>
                <w:kern w:val="2"/>
                <w:sz w:val="21"/>
                <w:szCs w:val="22"/>
                <w:highlight w:val="none"/>
              </w:rPr>
              <w:t>……</w:t>
            </w:r>
          </w:p>
        </w:tc>
      </w:tr>
      <w:tr>
        <w:trPr>
          <w:trHeight w:val="454" w:hRule="exact"/>
          <w:jc w:val="center"/>
        </w:trPr>
        <w:tc>
          <w:tcPr>
            <w:tcW w:w="2206" w:type="dxa"/>
            <w:vMerge w:val="continue"/>
            <w:tcBorders>
              <w:bottom w:val="single" w:color="auto" w:sz="6" w:space="0"/>
            </w:tcBorders>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1</w:t>
            </w: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2</w:t>
            </w: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3</w:t>
            </w: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4</w:t>
            </w: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5</w:t>
            </w: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6</w:t>
            </w: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7</w:t>
            </w: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8</w:t>
            </w: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9</w:t>
            </w: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10</w:t>
            </w: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11</w:t>
            </w: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12</w:t>
            </w: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1</w:t>
            </w: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2</w:t>
            </w: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3</w:t>
            </w: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4</w:t>
            </w: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5</w:t>
            </w: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6</w:t>
            </w:r>
          </w:p>
        </w:tc>
        <w:tc>
          <w:tcPr>
            <w:tcW w:w="724" w:type="dxa"/>
            <w:gridSpan w:val="2"/>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single" w:color="auto" w:sz="6" w:space="0"/>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100</w:t>
            </w: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90</w:t>
            </w: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80</w:t>
            </w: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70</w:t>
            </w: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60</w:t>
            </w: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50</w:t>
            </w: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40</w:t>
            </w: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30</w:t>
            </w: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20</w:t>
            </w: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nil"/>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r>
              <w:rPr>
                <w:rFonts w:hint="eastAsia" w:ascii="Calibri" w:hAnsi="Calibri" w:cs="Calibri"/>
                <w:color w:val="auto"/>
                <w:kern w:val="2"/>
                <w:sz w:val="21"/>
                <w:szCs w:val="22"/>
                <w:highlight w:val="none"/>
              </w:rPr>
              <w:t>10</w:t>
            </w: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r>
        <w:trPr>
          <w:trHeight w:val="454" w:hRule="exact"/>
          <w:jc w:val="center"/>
        </w:trPr>
        <w:tc>
          <w:tcPr>
            <w:tcW w:w="2206" w:type="dxa"/>
            <w:tcBorders>
              <w:top w:val="nil"/>
              <w:bottom w:val="single" w:color="auto" w:sz="12" w:space="0"/>
            </w:tcBorders>
            <w:vAlign w:val="center"/>
          </w:tcPr>
          <w:p>
            <w:pPr>
              <w:spacing w:before="0" w:beforeAutospacing="0" w:after="0" w:afterAutospacing="0"/>
              <w:ind w:left="0" w:right="0"/>
              <w:jc w:val="right"/>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7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1"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7"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19"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426"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0"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4"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c>
          <w:tcPr>
            <w:tcW w:w="362" w:type="dxa"/>
            <w:vAlign w:val="center"/>
          </w:tcPr>
          <w:p>
            <w:pPr>
              <w:spacing w:before="0" w:beforeAutospacing="0" w:after="0" w:afterAutospacing="0"/>
              <w:ind w:left="0" w:right="0"/>
              <w:jc w:val="center"/>
              <w:rPr>
                <w:rFonts w:hint="default" w:ascii="Calibri" w:hAnsi="Calibri" w:cs="Calibri"/>
                <w:color w:val="auto"/>
                <w:kern w:val="2"/>
                <w:sz w:val="21"/>
                <w:szCs w:val="22"/>
                <w:highlight w:val="none"/>
              </w:rPr>
            </w:pPr>
          </w:p>
        </w:tc>
      </w:tr>
    </w:tbl>
    <w:p>
      <w:pPr>
        <w:rPr>
          <w:rFonts w:hint="eastAsia"/>
          <w:color w:val="auto"/>
          <w:highlight w:val="none"/>
        </w:rPr>
      </w:pPr>
      <w:r>
        <w:rPr>
          <w:rFonts w:hint="eastAsia" w:ascii="隶书" w:hAnsi="Times New Roman" w:eastAsia="隶书" w:cs="Times New Roman"/>
          <w:color w:val="auto"/>
          <w:kern w:val="2"/>
          <w:sz w:val="24"/>
          <w:szCs w:val="24"/>
          <w:highlight w:val="none"/>
          <w:lang w:val="en-US" w:eastAsia="zh-CN" w:bidi="ar-SA"/>
        </w:rPr>
        <w:pict>
          <v:rect id="文本框 2" o:spid="_x0000_s1035" style="position:absolute;left:0;margin-left:72.35pt;margin-top:29.85pt;height:23pt;width:288pt;rotation:0f;z-index:251658240;" o:ole="f" fillcolor="#FFFFFF" filled="f" o:preferrelative="t" stroked="f" coordsize="21600,21600">
            <v:fill on="f" color2="#FFFFFF" focus="0%"/>
            <v:imagedata gain="65536f" blacklevel="0f" gamma="0"/>
            <o:lock v:ext="edit" position="f" selection="f" grouping="f" rotation="f" cropping="f" text="f" aspectratio="f"/>
            <v:textbox>
              <w:txbxContent>
                <w:p>
                  <w:pPr>
                    <w:jc w:val="center"/>
                    <w:rPr>
                      <w:rFonts w:hint="eastAsia" w:ascii="宋体" w:hAnsi="宋体"/>
                    </w:rPr>
                  </w:pPr>
                  <w:r>
                    <w:rPr>
                      <w:rFonts w:hint="eastAsia" w:ascii="宋体" w:hAnsi="宋体"/>
                    </w:rPr>
                    <w:t>工期历程的百分比（%）</w:t>
                  </w:r>
                </w:p>
              </w:txbxContent>
            </v:textbox>
          </v:rect>
        </w:pict>
      </w:r>
      <w:r>
        <w:rPr>
          <w:rFonts w:ascii="Times New Roman" w:hAnsi="Times New Roman" w:eastAsia="宋体" w:cs="Times New Roman"/>
          <w:color w:val="auto"/>
          <w:kern w:val="2"/>
          <w:sz w:val="21"/>
          <w:szCs w:val="24"/>
          <w:highlight w:val="none"/>
          <w:lang w:val="en-US" w:eastAsia="zh-CN" w:bidi="ar-SA"/>
        </w:rPr>
        <w:pict>
          <v:rect id="矩形 19" o:spid="_x0000_s1036" style="position:absolute;left:0;margin-left:90.5pt;margin-top:1.65pt;height:21.05pt;width:410.9pt;rotation:0f;z-index:251663360;" o:ole="f" fillcolor="#FFFFFF" filled="f" o:preferrelative="t" stroked="f" coordsize="21600,21600">
            <v:fill on="f" color2="#FFFFFF" focus="0%"/>
            <v:imagedata gain="65536f" blacklevel="0f" gamma="0"/>
            <o:lock v:ext="edit" position="f" selection="f" grouping="f" rotation="f" cropping="f" text="f" aspectratio="f"/>
            <v:textbox>
              <w:txbxContent>
                <w:p>
                  <w:r>
                    <w:rPr>
                      <w:rFonts w:hint="eastAsia"/>
                    </w:rPr>
                    <w:t>0     10     20     30     40      50     60     70     80     90    100</w:t>
                  </w:r>
                </w:p>
              </w:txbxContent>
            </v:textbox>
          </v:rect>
        </w:pict>
      </w:r>
      <w:r>
        <w:rPr>
          <w:rFonts w:hint="eastAsia"/>
          <w:color w:val="auto"/>
          <w:highlight w:val="none"/>
        </w:rPr>
        <w:t xml:space="preserve">                 </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pageBreakBefore/>
        <w:spacing w:beforeLines="100" w:afterLines="150" w:line="360" w:lineRule="exact"/>
        <w:jc w:val="center"/>
        <w:rPr>
          <w:rFonts w:hint="eastAsia" w:ascii="黑体" w:hAnsi="宋体" w:eastAsia="黑体"/>
          <w:color w:val="auto"/>
          <w:sz w:val="28"/>
          <w:szCs w:val="28"/>
          <w:highlight w:val="none"/>
        </w:rPr>
        <w:sectPr>
          <w:footnotePr>
            <w:numFmt w:val="decimalEnclosedCircleChinese"/>
            <w:numRestart w:val="eachPage"/>
          </w:footnotePr>
          <w:pgSz w:w="11907" w:h="16840"/>
          <w:pgMar w:top="1440" w:right="1361" w:bottom="1440" w:left="1361" w:header="720" w:footer="907" w:gutter="0"/>
          <w:cols w:space="720" w:num="1"/>
        </w:sectPr>
      </w:pPr>
    </w:p>
    <w:p>
      <w:pPr>
        <w:pStyle w:val="4"/>
        <w:spacing w:beforeLines="50" w:after="240" w:line="400" w:lineRule="exact"/>
        <w:rPr>
          <w:rFonts w:ascii="Arial" w:hAnsi="Arial" w:eastAsia="黑体"/>
          <w:color w:val="auto"/>
          <w:kern w:val="2"/>
          <w:sz w:val="28"/>
          <w:szCs w:val="28"/>
          <w:highlight w:val="none"/>
        </w:rPr>
      </w:pPr>
      <w:bookmarkStart w:id="243" w:name="_Toc234382968"/>
      <w:r>
        <w:rPr>
          <w:rFonts w:ascii="Arial" w:hAnsi="Arial" w:eastAsia="黑体"/>
          <w:color w:val="auto"/>
          <w:kern w:val="2"/>
          <w:sz w:val="28"/>
          <w:szCs w:val="28"/>
          <w:highlight w:val="none"/>
        </w:rPr>
        <w:t>附表四</w:t>
      </w:r>
      <w:r>
        <w:rPr>
          <w:rFonts w:hint="eastAsia" w:ascii="Arial" w:hAnsi="Arial" w:eastAsia="黑体"/>
          <w:color w:val="auto"/>
          <w:kern w:val="2"/>
          <w:sz w:val="28"/>
          <w:szCs w:val="28"/>
          <w:highlight w:val="none"/>
        </w:rPr>
        <w:t xml:space="preserve">   分项工程生产率和施工周期表</w:t>
      </w:r>
      <w:bookmarkEnd w:id="243"/>
    </w:p>
    <w:tbl>
      <w:tblPr>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rPr>
          <w:trHeight w:val="1053" w:hRule="atLeast"/>
          <w:jc w:val="center"/>
        </w:trPr>
        <w:tc>
          <w:tcPr>
            <w:tcW w:w="816"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序号</w:t>
            </w:r>
          </w:p>
        </w:tc>
        <w:tc>
          <w:tcPr>
            <w:tcW w:w="212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工程项目</w:t>
            </w:r>
          </w:p>
        </w:tc>
        <w:tc>
          <w:tcPr>
            <w:tcW w:w="92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单位</w:t>
            </w:r>
          </w:p>
        </w:tc>
        <w:tc>
          <w:tcPr>
            <w:tcW w:w="92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数量</w:t>
            </w:r>
          </w:p>
        </w:tc>
        <w:tc>
          <w:tcPr>
            <w:tcW w:w="340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平均每生产单位规模（</w:t>
            </w: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人，各种机械</w:t>
            </w: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台）</w:t>
            </w: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平均每生产单位生产率（数量，每周）</w:t>
            </w:r>
          </w:p>
        </w:tc>
        <w:tc>
          <w:tcPr>
            <w:tcW w:w="218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每生产单位</w:t>
            </w:r>
          </w:p>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平均施工时间（周）</w:t>
            </w:r>
          </w:p>
        </w:tc>
        <w:tc>
          <w:tcPr>
            <w:tcW w:w="218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生产单位总数</w:t>
            </w:r>
          </w:p>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（个）</w:t>
            </w:r>
          </w:p>
        </w:tc>
      </w:tr>
      <w:tr>
        <w:trPr>
          <w:trHeight w:val="680" w:hRule="exact"/>
          <w:jc w:val="center"/>
        </w:trPr>
        <w:tc>
          <w:tcPr>
            <w:tcW w:w="816"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c>
          <w:tcPr>
            <w:tcW w:w="2125" w:type="dxa"/>
            <w:vAlign w:val="bottom"/>
          </w:tcPr>
          <w:p>
            <w:pPr>
              <w:spacing w:before="0" w:beforeAutospacing="0" w:after="0" w:afterAutospacing="0" w:line="0" w:lineRule="atLeast"/>
              <w:ind w:left="100" w:leftChars="0" w:right="0"/>
              <w:rPr>
                <w:rFonts w:hint="default" w:ascii="宋体" w:hAnsi="宋体" w:cs="Calibri"/>
                <w:color w:val="auto"/>
                <w:kern w:val="2"/>
                <w:sz w:val="21"/>
                <w:szCs w:val="21"/>
                <w:highlight w:val="none"/>
              </w:rPr>
            </w:pPr>
            <w:r>
              <w:rPr>
                <w:rFonts w:hint="default" w:ascii="宋体" w:hAnsi="宋体" w:eastAsia="宋体" w:cs="Calibri"/>
                <w:kern w:val="2"/>
                <w:sz w:val="21"/>
                <w:szCs w:val="22"/>
                <w:highlight w:val="none"/>
              </w:rPr>
              <w:t>特殊路基处理</w:t>
            </w:r>
          </w:p>
        </w:tc>
        <w:tc>
          <w:tcPr>
            <w:tcW w:w="92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万m</w:t>
            </w:r>
            <w:r>
              <w:rPr>
                <w:rFonts w:hint="eastAsia" w:ascii="宋体" w:hAnsi="宋体" w:cs="Calibri"/>
                <w:color w:val="auto"/>
                <w:kern w:val="2"/>
                <w:sz w:val="21"/>
                <w:szCs w:val="21"/>
                <w:highlight w:val="none"/>
                <w:vertAlign w:val="superscript"/>
              </w:rPr>
              <w:t>3</w:t>
            </w:r>
          </w:p>
        </w:tc>
        <w:tc>
          <w:tcPr>
            <w:tcW w:w="92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340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816"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val="en-US" w:eastAsia="zh-CN"/>
              </w:rPr>
              <w:t>2</w:t>
            </w:r>
          </w:p>
        </w:tc>
        <w:tc>
          <w:tcPr>
            <w:tcW w:w="2125" w:type="dxa"/>
            <w:vAlign w:val="bottom"/>
          </w:tcPr>
          <w:p>
            <w:pPr>
              <w:spacing w:before="0" w:beforeAutospacing="0" w:after="0" w:afterAutospacing="0" w:line="0" w:lineRule="atLeast"/>
              <w:ind w:left="100" w:leftChars="0" w:right="0"/>
              <w:rPr>
                <w:rFonts w:hint="default" w:ascii="宋体" w:hAnsi="宋体" w:cs="Calibri"/>
                <w:color w:val="auto"/>
                <w:kern w:val="2"/>
                <w:sz w:val="21"/>
                <w:szCs w:val="21"/>
                <w:highlight w:val="none"/>
              </w:rPr>
            </w:pPr>
            <w:r>
              <w:rPr>
                <w:rFonts w:hint="default" w:ascii="宋体" w:hAnsi="宋体" w:eastAsia="宋体" w:cs="Calibri"/>
                <w:kern w:val="2"/>
                <w:sz w:val="21"/>
                <w:szCs w:val="22"/>
                <w:highlight w:val="none"/>
              </w:rPr>
              <w:t>路基填筑</w:t>
            </w:r>
          </w:p>
        </w:tc>
        <w:tc>
          <w:tcPr>
            <w:tcW w:w="92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万m</w:t>
            </w:r>
            <w:r>
              <w:rPr>
                <w:rFonts w:hint="eastAsia" w:ascii="宋体" w:hAnsi="宋体" w:cs="Calibri"/>
                <w:color w:val="auto"/>
                <w:kern w:val="2"/>
                <w:sz w:val="21"/>
                <w:szCs w:val="21"/>
                <w:highlight w:val="none"/>
                <w:vertAlign w:val="superscript"/>
              </w:rPr>
              <w:t>2</w:t>
            </w:r>
          </w:p>
        </w:tc>
        <w:tc>
          <w:tcPr>
            <w:tcW w:w="92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340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816"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3</w:t>
            </w:r>
          </w:p>
        </w:tc>
        <w:tc>
          <w:tcPr>
            <w:tcW w:w="2125" w:type="dxa"/>
            <w:vAlign w:val="bottom"/>
          </w:tcPr>
          <w:p>
            <w:pPr>
              <w:spacing w:before="0" w:beforeAutospacing="0" w:after="0" w:afterAutospacing="0" w:line="0" w:lineRule="atLeast"/>
              <w:ind w:left="100" w:leftChars="0" w:right="0"/>
              <w:rPr>
                <w:rFonts w:hint="eastAsia" w:ascii="宋体" w:hAnsi="宋体" w:cs="Calibri"/>
                <w:color w:val="auto"/>
                <w:kern w:val="2"/>
                <w:sz w:val="21"/>
                <w:szCs w:val="21"/>
                <w:highlight w:val="none"/>
              </w:rPr>
            </w:pPr>
            <w:r>
              <w:rPr>
                <w:rFonts w:hint="default" w:ascii="宋体" w:hAnsi="宋体" w:eastAsia="宋体" w:cs="Calibri"/>
                <w:kern w:val="2"/>
                <w:sz w:val="21"/>
                <w:szCs w:val="22"/>
                <w:highlight w:val="none"/>
              </w:rPr>
              <w:t>路面基层</w:t>
            </w:r>
          </w:p>
        </w:tc>
        <w:tc>
          <w:tcPr>
            <w:tcW w:w="92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万m</w:t>
            </w:r>
            <w:r>
              <w:rPr>
                <w:rFonts w:hint="eastAsia" w:ascii="宋体" w:hAnsi="宋体" w:cs="Calibri"/>
                <w:color w:val="auto"/>
                <w:kern w:val="2"/>
                <w:sz w:val="21"/>
                <w:szCs w:val="21"/>
                <w:highlight w:val="none"/>
                <w:vertAlign w:val="superscript"/>
              </w:rPr>
              <w:t>3</w:t>
            </w:r>
          </w:p>
        </w:tc>
        <w:tc>
          <w:tcPr>
            <w:tcW w:w="92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340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816"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4</w:t>
            </w:r>
          </w:p>
        </w:tc>
        <w:tc>
          <w:tcPr>
            <w:tcW w:w="2125" w:type="dxa"/>
            <w:vAlign w:val="bottom"/>
          </w:tcPr>
          <w:p>
            <w:pPr>
              <w:spacing w:before="0" w:beforeAutospacing="0" w:after="0" w:afterAutospacing="0" w:line="0" w:lineRule="atLeast"/>
              <w:ind w:left="100" w:leftChars="0" w:right="0"/>
              <w:rPr>
                <w:rFonts w:hint="eastAsia" w:ascii="宋体" w:hAnsi="宋体" w:cs="Calibri"/>
                <w:color w:val="auto"/>
                <w:kern w:val="2"/>
                <w:sz w:val="21"/>
                <w:szCs w:val="21"/>
                <w:highlight w:val="none"/>
              </w:rPr>
            </w:pPr>
            <w:r>
              <w:rPr>
                <w:rFonts w:hint="default" w:ascii="宋体" w:hAnsi="宋体" w:eastAsia="宋体" w:cs="Calibri"/>
                <w:kern w:val="2"/>
                <w:sz w:val="21"/>
                <w:szCs w:val="22"/>
                <w:highlight w:val="none"/>
              </w:rPr>
              <w:t>路面面层</w:t>
            </w:r>
          </w:p>
        </w:tc>
        <w:tc>
          <w:tcPr>
            <w:tcW w:w="92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万m</w:t>
            </w:r>
            <w:r>
              <w:rPr>
                <w:rFonts w:hint="eastAsia" w:ascii="宋体" w:hAnsi="宋体" w:cs="Calibri"/>
                <w:color w:val="auto"/>
                <w:kern w:val="2"/>
                <w:sz w:val="21"/>
                <w:szCs w:val="21"/>
                <w:highlight w:val="none"/>
                <w:vertAlign w:val="superscript"/>
              </w:rPr>
              <w:t>2</w:t>
            </w:r>
          </w:p>
        </w:tc>
        <w:tc>
          <w:tcPr>
            <w:tcW w:w="92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340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816"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5</w:t>
            </w:r>
          </w:p>
        </w:tc>
        <w:tc>
          <w:tcPr>
            <w:tcW w:w="2125" w:type="dxa"/>
            <w:vAlign w:val="center"/>
          </w:tcPr>
          <w:p>
            <w:pPr>
              <w:spacing w:before="0" w:beforeAutospacing="0" w:after="0" w:afterAutospacing="0" w:line="0" w:lineRule="atLeast"/>
              <w:ind w:left="100" w:leftChars="0" w:right="0"/>
              <w:jc w:val="left"/>
              <w:rPr>
                <w:rFonts w:hint="eastAsia" w:ascii="宋体" w:hAnsi="宋体" w:cs="Calibri"/>
                <w:color w:val="auto"/>
                <w:kern w:val="2"/>
                <w:sz w:val="21"/>
                <w:szCs w:val="21"/>
                <w:highlight w:val="none"/>
              </w:rPr>
            </w:pPr>
            <w:r>
              <w:rPr>
                <w:rFonts w:hint="default" w:ascii="宋体" w:hAnsi="宋体" w:eastAsia="宋体" w:cs="Calibri"/>
                <w:kern w:val="2"/>
                <w:sz w:val="21"/>
                <w:szCs w:val="22"/>
                <w:highlight w:val="none"/>
              </w:rPr>
              <w:t>路基防护及排水</w:t>
            </w:r>
          </w:p>
        </w:tc>
        <w:tc>
          <w:tcPr>
            <w:tcW w:w="92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2"/>
                <w:szCs w:val="22"/>
                <w:highlight w:val="none"/>
              </w:rPr>
              <w:t>km</w:t>
            </w:r>
          </w:p>
        </w:tc>
        <w:tc>
          <w:tcPr>
            <w:tcW w:w="92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340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816"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6</w:t>
            </w:r>
          </w:p>
        </w:tc>
        <w:tc>
          <w:tcPr>
            <w:tcW w:w="2125" w:type="dxa"/>
            <w:vAlign w:val="center"/>
          </w:tcPr>
          <w:p>
            <w:pPr>
              <w:spacing w:before="0" w:beforeAutospacing="0" w:after="0" w:afterAutospacing="0" w:line="0" w:lineRule="atLeast"/>
              <w:ind w:left="100" w:leftChars="0" w:right="0"/>
              <w:jc w:val="left"/>
              <w:rPr>
                <w:rFonts w:hint="eastAsia" w:ascii="宋体" w:hAnsi="宋体" w:cs="Calibri"/>
                <w:color w:val="auto"/>
                <w:kern w:val="2"/>
                <w:sz w:val="21"/>
                <w:szCs w:val="21"/>
                <w:highlight w:val="none"/>
              </w:rPr>
            </w:pPr>
            <w:r>
              <w:rPr>
                <w:rFonts w:hint="default" w:ascii="宋体" w:hAnsi="宋体" w:eastAsia="宋体" w:cs="Calibri"/>
                <w:kern w:val="2"/>
                <w:sz w:val="21"/>
                <w:szCs w:val="22"/>
                <w:highlight w:val="none"/>
              </w:rPr>
              <w:t>涵洞</w:t>
            </w:r>
          </w:p>
        </w:tc>
        <w:tc>
          <w:tcPr>
            <w:tcW w:w="92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道</w:t>
            </w:r>
          </w:p>
        </w:tc>
        <w:tc>
          <w:tcPr>
            <w:tcW w:w="92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340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816" w:type="dxa"/>
            <w:vAlign w:val="top"/>
          </w:tcPr>
          <w:p>
            <w:pPr>
              <w:spacing w:before="0" w:beforeAutospacing="0" w:after="0" w:afterAutospacing="0"/>
              <w:ind w:left="0" w:right="0"/>
              <w:jc w:val="center"/>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7</w:t>
            </w:r>
          </w:p>
        </w:tc>
        <w:tc>
          <w:tcPr>
            <w:tcW w:w="2125" w:type="dxa"/>
            <w:vAlign w:val="center"/>
          </w:tcPr>
          <w:p>
            <w:pPr>
              <w:spacing w:before="0" w:beforeAutospacing="0" w:after="0" w:afterAutospacing="0" w:line="0" w:lineRule="atLeast"/>
              <w:ind w:left="100" w:leftChars="0" w:right="0"/>
              <w:jc w:val="left"/>
              <w:rPr>
                <w:rFonts w:hint="eastAsia" w:ascii="宋体" w:hAnsi="宋体" w:cs="Calibri"/>
                <w:color w:val="auto"/>
                <w:kern w:val="2"/>
                <w:sz w:val="21"/>
                <w:szCs w:val="21"/>
                <w:highlight w:val="none"/>
              </w:rPr>
            </w:pPr>
            <w:r>
              <w:rPr>
                <w:rFonts w:hint="default" w:ascii="宋体" w:hAnsi="宋体" w:eastAsia="宋体" w:cs="Calibri"/>
                <w:kern w:val="2"/>
                <w:sz w:val="21"/>
                <w:szCs w:val="22"/>
                <w:highlight w:val="none"/>
              </w:rPr>
              <w:t>通道</w:t>
            </w:r>
          </w:p>
        </w:tc>
        <w:tc>
          <w:tcPr>
            <w:tcW w:w="923"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道</w:t>
            </w:r>
          </w:p>
        </w:tc>
        <w:tc>
          <w:tcPr>
            <w:tcW w:w="923"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3400"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816" w:type="dxa"/>
            <w:vAlign w:val="top"/>
          </w:tcPr>
          <w:p>
            <w:pPr>
              <w:spacing w:before="0" w:beforeAutospacing="0" w:after="0" w:afterAutospacing="0"/>
              <w:ind w:left="0" w:right="0"/>
              <w:jc w:val="center"/>
              <w:rPr>
                <w:rFonts w:hint="eastAsia" w:ascii="宋体" w:hAnsi="宋体" w:eastAsia="宋体" w:cs="Calibri"/>
                <w:color w:val="auto"/>
                <w:kern w:val="2"/>
                <w:sz w:val="24"/>
                <w:szCs w:val="24"/>
                <w:highlight w:val="none"/>
                <w:lang w:val="en-US" w:eastAsia="zh-CN"/>
              </w:rPr>
            </w:pPr>
            <w:r>
              <w:rPr>
                <w:rFonts w:hint="eastAsia" w:ascii="宋体" w:hAnsi="宋体" w:cs="Calibri"/>
                <w:color w:val="auto"/>
                <w:kern w:val="2"/>
                <w:sz w:val="24"/>
                <w:szCs w:val="24"/>
                <w:highlight w:val="none"/>
                <w:lang w:val="en-US" w:eastAsia="zh-CN"/>
              </w:rPr>
              <w:t>8</w:t>
            </w:r>
          </w:p>
        </w:tc>
        <w:tc>
          <w:tcPr>
            <w:tcW w:w="2125" w:type="dxa"/>
            <w:vAlign w:val="center"/>
          </w:tcPr>
          <w:p>
            <w:pPr>
              <w:spacing w:before="0" w:beforeAutospacing="0" w:after="0" w:afterAutospacing="0" w:line="0" w:lineRule="atLeast"/>
              <w:ind w:left="100" w:leftChars="0" w:right="0"/>
              <w:jc w:val="left"/>
              <w:rPr>
                <w:rFonts w:hint="eastAsia" w:ascii="宋体" w:hAnsi="宋体" w:cs="Calibri"/>
                <w:color w:val="auto"/>
                <w:kern w:val="2"/>
                <w:sz w:val="21"/>
                <w:szCs w:val="21"/>
                <w:highlight w:val="none"/>
              </w:rPr>
            </w:pPr>
            <w:r>
              <w:rPr>
                <w:rFonts w:hint="default" w:ascii="宋体" w:hAnsi="宋体" w:eastAsia="宋体" w:cs="Calibri"/>
                <w:kern w:val="2"/>
                <w:sz w:val="21"/>
                <w:szCs w:val="22"/>
                <w:highlight w:val="none"/>
              </w:rPr>
              <w:t>桥梁基桩</w:t>
            </w:r>
          </w:p>
        </w:tc>
        <w:tc>
          <w:tcPr>
            <w:tcW w:w="92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eastAsia="zh-CN"/>
              </w:rPr>
              <w:t>根</w:t>
            </w:r>
          </w:p>
        </w:tc>
        <w:tc>
          <w:tcPr>
            <w:tcW w:w="923"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3400"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816" w:type="dxa"/>
            <w:vAlign w:val="top"/>
          </w:tcPr>
          <w:p>
            <w:pPr>
              <w:spacing w:before="0" w:beforeAutospacing="0" w:after="0" w:afterAutospacing="0"/>
              <w:ind w:left="0" w:right="0"/>
              <w:jc w:val="center"/>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9</w:t>
            </w:r>
          </w:p>
        </w:tc>
        <w:tc>
          <w:tcPr>
            <w:tcW w:w="2125" w:type="dxa"/>
            <w:vAlign w:val="center"/>
          </w:tcPr>
          <w:p>
            <w:pPr>
              <w:spacing w:before="0" w:beforeAutospacing="0" w:after="0" w:afterAutospacing="0" w:line="0" w:lineRule="atLeast"/>
              <w:ind w:left="100" w:leftChars="0" w:right="0"/>
              <w:jc w:val="left"/>
              <w:rPr>
                <w:rFonts w:hint="eastAsia" w:ascii="宋体" w:hAnsi="宋体" w:cs="Calibri"/>
                <w:color w:val="auto"/>
                <w:kern w:val="2"/>
                <w:sz w:val="21"/>
                <w:szCs w:val="21"/>
                <w:highlight w:val="none"/>
              </w:rPr>
            </w:pPr>
            <w:r>
              <w:rPr>
                <w:rFonts w:hint="default" w:ascii="宋体" w:hAnsi="宋体" w:eastAsia="宋体" w:cs="Calibri"/>
                <w:kern w:val="2"/>
                <w:sz w:val="21"/>
                <w:szCs w:val="22"/>
                <w:highlight w:val="none"/>
              </w:rPr>
              <w:t>桥梁墩台</w:t>
            </w:r>
          </w:p>
        </w:tc>
        <w:tc>
          <w:tcPr>
            <w:tcW w:w="92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eastAsia="zh-CN"/>
              </w:rPr>
              <w:t>座</w:t>
            </w:r>
          </w:p>
        </w:tc>
        <w:tc>
          <w:tcPr>
            <w:tcW w:w="923"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3400"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0" w:hRule="exact"/>
          <w:jc w:val="center"/>
        </w:trPr>
        <w:tc>
          <w:tcPr>
            <w:tcW w:w="816" w:type="dxa"/>
            <w:vAlign w:val="top"/>
          </w:tcPr>
          <w:p>
            <w:pPr>
              <w:spacing w:before="0" w:beforeAutospacing="0" w:after="0" w:afterAutospacing="0"/>
              <w:ind w:left="0" w:right="0"/>
              <w:jc w:val="center"/>
              <w:rPr>
                <w:rFonts w:hint="eastAsia" w:ascii="宋体" w:hAnsi="宋体" w:eastAsia="宋体" w:cs="Calibri"/>
                <w:color w:val="auto"/>
                <w:kern w:val="2"/>
                <w:sz w:val="21"/>
                <w:szCs w:val="21"/>
                <w:highlight w:val="none"/>
                <w:lang w:val="en-US" w:eastAsia="zh-CN"/>
              </w:rPr>
            </w:pPr>
            <w:r>
              <w:rPr>
                <w:rFonts w:hint="eastAsia" w:ascii="宋体" w:hAnsi="宋体" w:cs="Calibri"/>
                <w:color w:val="auto"/>
                <w:kern w:val="2"/>
                <w:sz w:val="21"/>
                <w:szCs w:val="21"/>
                <w:highlight w:val="none"/>
                <w:lang w:val="en-US" w:eastAsia="zh-CN"/>
              </w:rPr>
              <w:t>10</w:t>
            </w:r>
          </w:p>
        </w:tc>
        <w:tc>
          <w:tcPr>
            <w:tcW w:w="2125" w:type="dxa"/>
            <w:vAlign w:val="center"/>
          </w:tcPr>
          <w:p>
            <w:pPr>
              <w:spacing w:before="0" w:beforeAutospacing="0" w:after="0" w:afterAutospacing="0" w:line="0" w:lineRule="atLeast"/>
              <w:ind w:left="100" w:leftChars="0" w:right="0"/>
              <w:jc w:val="left"/>
              <w:rPr>
                <w:rFonts w:hint="eastAsia" w:ascii="宋体" w:hAnsi="宋体" w:cs="Calibri"/>
                <w:color w:val="auto"/>
                <w:kern w:val="2"/>
                <w:sz w:val="21"/>
                <w:szCs w:val="21"/>
                <w:highlight w:val="none"/>
              </w:rPr>
            </w:pPr>
            <w:r>
              <w:rPr>
                <w:rFonts w:hint="default" w:ascii="宋体" w:hAnsi="宋体" w:eastAsia="宋体" w:cs="Calibri"/>
                <w:kern w:val="2"/>
                <w:sz w:val="21"/>
                <w:szCs w:val="22"/>
                <w:highlight w:val="none"/>
              </w:rPr>
              <w:t>梁体预制安装</w:t>
            </w:r>
          </w:p>
        </w:tc>
        <w:tc>
          <w:tcPr>
            <w:tcW w:w="923"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eastAsia="zh-CN"/>
              </w:rPr>
              <w:t>片</w:t>
            </w:r>
          </w:p>
        </w:tc>
        <w:tc>
          <w:tcPr>
            <w:tcW w:w="923"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3400"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185" w:type="dxa"/>
            <w:vAlign w:val="top"/>
          </w:tcPr>
          <w:p>
            <w:pPr>
              <w:spacing w:before="0" w:beforeAutospacing="0" w:after="0" w:afterAutospacing="0"/>
              <w:ind w:left="0" w:right="0"/>
              <w:jc w:val="center"/>
              <w:rPr>
                <w:rFonts w:hint="default" w:ascii="宋体" w:hAnsi="宋体" w:cs="Calibri"/>
                <w:color w:val="auto"/>
                <w:kern w:val="2"/>
                <w:sz w:val="21"/>
                <w:szCs w:val="21"/>
                <w:highlight w:val="none"/>
              </w:rPr>
            </w:pPr>
          </w:p>
        </w:tc>
      </w:tr>
    </w:tbl>
    <w:p>
      <w:pPr>
        <w:spacing w:line="0" w:lineRule="atLeast"/>
        <w:ind w:left="160"/>
        <w:rPr>
          <w:rFonts w:ascii="宋体" w:hAnsi="宋体" w:eastAsia="宋体"/>
          <w:highlight w:val="none"/>
        </w:rPr>
      </w:pPr>
      <w:r>
        <w:rPr>
          <w:rFonts w:ascii="宋体" w:hAnsi="宋体" w:eastAsia="宋体"/>
          <w:highlight w:val="none"/>
        </w:rPr>
        <w:t>注：互通立交、分离立交的匝道、匝道涵洞、通道、桥梁分别归入表中相关的项目内。</w:t>
      </w:r>
    </w:p>
    <w:p>
      <w:pPr>
        <w:rPr>
          <w:rFonts w:hint="eastAsia"/>
          <w:color w:val="auto"/>
          <w:highlight w:val="none"/>
        </w:rPr>
        <w:sectPr>
          <w:footnotePr>
            <w:numFmt w:val="decimalEnclosedCircleChinese"/>
            <w:numRestart w:val="eachPage"/>
          </w:footnotePr>
          <w:type w:val="continuous"/>
          <w:pgSz w:w="16840" w:h="11907" w:orient="landscape"/>
          <w:pgMar w:top="1361" w:right="1440" w:bottom="1361" w:left="1440" w:header="720" w:footer="907" w:gutter="0"/>
          <w:cols w:space="720" w:num="1"/>
        </w:sectPr>
      </w:pPr>
    </w:p>
    <w:p>
      <w:pPr>
        <w:pStyle w:val="4"/>
        <w:spacing w:beforeLines="50" w:after="240" w:line="400" w:lineRule="exact"/>
        <w:rPr>
          <w:rFonts w:ascii="Arial" w:hAnsi="Arial" w:eastAsia="黑体"/>
          <w:color w:val="auto"/>
          <w:kern w:val="2"/>
          <w:sz w:val="28"/>
          <w:szCs w:val="28"/>
          <w:highlight w:val="none"/>
        </w:rPr>
      </w:pPr>
      <w:bookmarkStart w:id="244" w:name="_Toc234382969"/>
      <w:r>
        <w:rPr>
          <w:rFonts w:ascii="Arial" w:hAnsi="Arial" w:eastAsia="黑体"/>
          <w:color w:val="auto"/>
          <w:kern w:val="2"/>
          <w:sz w:val="28"/>
          <w:szCs w:val="28"/>
          <w:highlight w:val="none"/>
        </w:rPr>
        <w:t>附表五</w:t>
      </w:r>
      <w:r>
        <w:rPr>
          <w:rFonts w:hint="eastAsia" w:ascii="Arial" w:hAnsi="Arial" w:eastAsia="黑体"/>
          <w:color w:val="auto"/>
          <w:kern w:val="2"/>
          <w:sz w:val="28"/>
          <w:szCs w:val="28"/>
          <w:highlight w:val="none"/>
        </w:rPr>
        <w:t xml:space="preserve">   </w:t>
      </w:r>
      <w:r>
        <w:rPr>
          <w:rFonts w:ascii="Arial" w:hAnsi="Arial" w:eastAsia="黑体"/>
          <w:color w:val="auto"/>
          <w:kern w:val="2"/>
          <w:sz w:val="28"/>
          <w:szCs w:val="28"/>
          <w:highlight w:val="none"/>
        </w:rPr>
        <w:t>施工总平面图</w:t>
      </w:r>
      <w:bookmarkEnd w:id="244"/>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投标人应递交一份施工总平面图，绘出现场临时设施布置图表并附文字说明，说明</w:t>
      </w:r>
      <w:r>
        <w:rPr>
          <w:rFonts w:hint="eastAsia" w:ascii="宋体" w:hAnsi="宋体"/>
          <w:color w:val="auto"/>
          <w:sz w:val="24"/>
          <w:highlight w:val="none"/>
        </w:rPr>
        <w:t>施工营地、料场、</w:t>
      </w:r>
      <w:r>
        <w:rPr>
          <w:rFonts w:ascii="宋体" w:hAnsi="宋体"/>
          <w:color w:val="auto"/>
          <w:sz w:val="24"/>
          <w:highlight w:val="none"/>
        </w:rPr>
        <w:t>临时设施、加工车间、现场办公、设备及仓储、供电、供水、卫生、生活、道路、消防等设施的情况和布置。</w:t>
      </w:r>
    </w:p>
    <w:p>
      <w:pPr>
        <w:rPr>
          <w:rFonts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pStyle w:val="4"/>
        <w:spacing w:beforeLines="50" w:after="240" w:line="400" w:lineRule="exact"/>
        <w:rPr>
          <w:rFonts w:ascii="Arial" w:hAnsi="Arial" w:eastAsia="黑体"/>
          <w:color w:val="auto"/>
          <w:kern w:val="2"/>
          <w:sz w:val="28"/>
          <w:szCs w:val="28"/>
          <w:highlight w:val="none"/>
        </w:rPr>
      </w:pPr>
      <w:bookmarkStart w:id="245" w:name="_Toc234382970"/>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六   劳动力计划表</w:t>
      </w:r>
      <w:bookmarkEnd w:id="245"/>
    </w:p>
    <w:p>
      <w:pPr>
        <w:jc w:val="right"/>
        <w:rPr>
          <w:rFonts w:hint="eastAsia" w:ascii="宋体" w:hAnsi="宋体"/>
          <w:color w:val="auto"/>
          <w:sz w:val="24"/>
          <w:highlight w:val="none"/>
        </w:rPr>
      </w:pPr>
      <w:r>
        <w:rPr>
          <w:rFonts w:hint="eastAsia" w:ascii="宋体" w:hAnsi="宋体"/>
          <w:color w:val="auto"/>
          <w:sz w:val="24"/>
          <w:highlight w:val="none"/>
        </w:rPr>
        <w:t>单位：人</w:t>
      </w:r>
    </w:p>
    <w:tbl>
      <w:tblPr>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rPr>
          <w:trHeight w:val="423"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工种</w:t>
            </w:r>
          </w:p>
        </w:tc>
        <w:tc>
          <w:tcPr>
            <w:tcW w:w="8434" w:type="dxa"/>
            <w:gridSpan w:val="7"/>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按工程施工阶段投入劳动力情况</w:t>
            </w: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r>
      <w:tr>
        <w:trPr>
          <w:trHeight w:val="423" w:hRule="atLeast"/>
          <w:jc w:val="center"/>
        </w:trPr>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隶书" w:hAnsi="宋体" w:eastAsia="隶书"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23"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23"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23"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23"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23"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4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23"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r>
        <w:trPr>
          <w:trHeight w:val="461" w:hRule="atLeast"/>
          <w:jc w:val="center"/>
        </w:trPr>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4"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c>
          <w:tcPr>
            <w:tcW w:w="1205" w:type="dxa"/>
            <w:vAlign w:val="center"/>
          </w:tcPr>
          <w:p>
            <w:pPr>
              <w:spacing w:before="0" w:beforeAutospacing="0" w:after="0" w:afterAutospacing="0"/>
              <w:ind w:left="0" w:right="0"/>
              <w:jc w:val="center"/>
              <w:rPr>
                <w:rFonts w:hint="eastAsia" w:ascii="宋体" w:hAnsi="宋体" w:cs="Calibri"/>
                <w:color w:val="auto"/>
                <w:kern w:val="2"/>
                <w:sz w:val="24"/>
                <w:szCs w:val="22"/>
                <w:highlight w:val="none"/>
              </w:rPr>
            </w:pPr>
          </w:p>
        </w:tc>
      </w:tr>
    </w:tbl>
    <w:p>
      <w:pPr>
        <w:ind w:firstLine="6600" w:firstLineChars="2750"/>
        <w:rPr>
          <w:rFonts w:hint="eastAsia" w:ascii="宋体" w:hAnsi="宋体"/>
          <w:color w:val="auto"/>
          <w:sz w:val="24"/>
          <w:highlight w:val="none"/>
        </w:rPr>
      </w:pPr>
    </w:p>
    <w:p>
      <w:pPr>
        <w:pStyle w:val="4"/>
        <w:spacing w:beforeLines="50" w:after="240" w:line="400" w:lineRule="exact"/>
        <w:rPr>
          <w:rFonts w:ascii="Arial" w:hAnsi="Arial" w:eastAsia="黑体"/>
          <w:color w:val="auto"/>
          <w:kern w:val="2"/>
          <w:sz w:val="28"/>
          <w:szCs w:val="28"/>
          <w:highlight w:val="none"/>
        </w:rPr>
      </w:pPr>
      <w:r>
        <w:rPr>
          <w:rFonts w:ascii="宋体"/>
          <w:color w:val="auto"/>
          <w:sz w:val="24"/>
          <w:highlight w:val="none"/>
        </w:rPr>
        <w:br w:type="page"/>
      </w:r>
      <w:bookmarkStart w:id="246" w:name="_Toc234382971"/>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七  临时占地计划表</w:t>
      </w:r>
      <w:bookmarkEnd w:id="246"/>
    </w:p>
    <w:tbl>
      <w:tblPr>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rPr>
          <w:jc w:val="center"/>
        </w:trPr>
        <w:tc>
          <w:tcPr>
            <w:tcW w:w="2197" w:type="dxa"/>
            <w:vMerge w:val="restart"/>
            <w:vAlign w:val="center"/>
          </w:tcPr>
          <w:p>
            <w:pPr>
              <w:spacing w:before="0" w:beforeAutospacing="0" w:after="0" w:afterAutospacing="0"/>
              <w:ind w:left="0" w:right="0"/>
              <w:jc w:val="center"/>
              <w:rPr>
                <w:rFonts w:hint="default" w:ascii="宋体" w:hAnsi="宋体" w:cs="Calibri"/>
                <w:kern w:val="2"/>
                <w:sz w:val="21"/>
                <w:szCs w:val="22"/>
                <w:highlight w:val="none"/>
              </w:rPr>
            </w:pPr>
            <w:bookmarkStart w:id="247" w:name="_Toc234382972"/>
            <w:r>
              <w:rPr>
                <w:rFonts w:hint="eastAsia" w:ascii="宋体" w:hAnsi="宋体" w:cs="Calibri"/>
                <w:kern w:val="2"/>
                <w:sz w:val="21"/>
                <w:szCs w:val="22"/>
                <w:highlight w:val="none"/>
              </w:rPr>
              <w:t>用   途</w:t>
            </w:r>
          </w:p>
        </w:tc>
        <w:tc>
          <w:tcPr>
            <w:tcW w:w="3507" w:type="dxa"/>
            <w:gridSpan w:val="5"/>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面积（m</w:t>
            </w:r>
            <w:r>
              <w:rPr>
                <w:rFonts w:hint="eastAsia" w:ascii="宋体" w:hAnsi="宋体" w:cs="Calibri"/>
                <w:kern w:val="2"/>
                <w:sz w:val="21"/>
                <w:szCs w:val="22"/>
                <w:highlight w:val="none"/>
                <w:vertAlign w:val="superscript"/>
              </w:rPr>
              <w:t>2</w:t>
            </w:r>
            <w:r>
              <w:rPr>
                <w:rFonts w:hint="eastAsia" w:ascii="宋体" w:hAnsi="宋体" w:cs="Calibri"/>
                <w:kern w:val="2"/>
                <w:sz w:val="21"/>
                <w:szCs w:val="22"/>
                <w:highlight w:val="none"/>
              </w:rPr>
              <w:t>）</w:t>
            </w:r>
          </w:p>
        </w:tc>
        <w:tc>
          <w:tcPr>
            <w:tcW w:w="1779" w:type="dxa"/>
            <w:vMerge w:val="restart"/>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需用时间</w:t>
            </w:r>
          </w:p>
          <w:p>
            <w:pPr>
              <w:spacing w:before="0" w:beforeAutospacing="0" w:after="0" w:afterAutospacing="0"/>
              <w:ind w:left="0" w:right="0" w:firstLine="5"/>
              <w:jc w:val="center"/>
              <w:rPr>
                <w:rFonts w:hint="default" w:ascii="宋体" w:hAnsi="宋体" w:cs="Calibri"/>
                <w:kern w:val="2"/>
                <w:sz w:val="21"/>
                <w:szCs w:val="22"/>
                <w:highlight w:val="none"/>
              </w:rPr>
            </w:pPr>
            <w:r>
              <w:rPr>
                <w:rFonts w:hint="eastAsia" w:ascii="宋体" w:hAnsi="宋体" w:cs="Calibri"/>
                <w:kern w:val="2"/>
                <w:sz w:val="21"/>
                <w:szCs w:val="22"/>
                <w:highlight w:val="none"/>
                <w:u w:val="single"/>
              </w:rPr>
              <w:t xml:space="preserve">   </w:t>
            </w:r>
            <w:r>
              <w:rPr>
                <w:rFonts w:hint="eastAsia" w:ascii="宋体" w:hAnsi="宋体" w:cs="Calibri"/>
                <w:kern w:val="2"/>
                <w:sz w:val="21"/>
                <w:szCs w:val="22"/>
                <w:highlight w:val="none"/>
              </w:rPr>
              <w:t>年</w:t>
            </w:r>
            <w:r>
              <w:rPr>
                <w:rFonts w:hint="eastAsia" w:ascii="宋体" w:hAnsi="宋体" w:cs="Calibri"/>
                <w:kern w:val="2"/>
                <w:sz w:val="21"/>
                <w:szCs w:val="22"/>
                <w:highlight w:val="none"/>
                <w:u w:val="single"/>
              </w:rPr>
              <w:t xml:space="preserve">   </w:t>
            </w:r>
            <w:r>
              <w:rPr>
                <w:rFonts w:hint="eastAsia" w:ascii="宋体" w:hAnsi="宋体" w:cs="Calibri"/>
                <w:kern w:val="2"/>
                <w:sz w:val="21"/>
                <w:szCs w:val="22"/>
                <w:highlight w:val="none"/>
              </w:rPr>
              <w:t>月至</w:t>
            </w:r>
          </w:p>
          <w:p>
            <w:pPr>
              <w:spacing w:before="0" w:beforeAutospacing="0" w:after="0" w:afterAutospacing="0"/>
              <w:ind w:left="0" w:right="0" w:firstLine="5"/>
              <w:jc w:val="center"/>
              <w:rPr>
                <w:rFonts w:hint="default" w:ascii="宋体" w:hAnsi="宋体" w:cs="Calibri"/>
                <w:kern w:val="2"/>
                <w:sz w:val="21"/>
                <w:szCs w:val="22"/>
                <w:highlight w:val="none"/>
              </w:rPr>
            </w:pPr>
            <w:r>
              <w:rPr>
                <w:rFonts w:hint="eastAsia" w:ascii="宋体" w:hAnsi="宋体" w:cs="Calibri"/>
                <w:kern w:val="2"/>
                <w:sz w:val="21"/>
                <w:szCs w:val="22"/>
                <w:highlight w:val="none"/>
                <w:u w:val="single"/>
              </w:rPr>
              <w:t xml:space="preserve">    </w:t>
            </w:r>
            <w:r>
              <w:rPr>
                <w:rFonts w:hint="eastAsia" w:ascii="宋体" w:hAnsi="宋体" w:cs="Calibri"/>
                <w:kern w:val="2"/>
                <w:sz w:val="21"/>
                <w:szCs w:val="22"/>
                <w:highlight w:val="none"/>
              </w:rPr>
              <w:t>年</w:t>
            </w:r>
            <w:r>
              <w:rPr>
                <w:rFonts w:hint="eastAsia" w:ascii="宋体" w:hAnsi="宋体" w:cs="Calibri"/>
                <w:kern w:val="2"/>
                <w:sz w:val="21"/>
                <w:szCs w:val="22"/>
                <w:highlight w:val="none"/>
                <w:u w:val="single"/>
              </w:rPr>
              <w:t xml:space="preserve">    </w:t>
            </w:r>
            <w:r>
              <w:rPr>
                <w:rFonts w:hint="eastAsia" w:ascii="宋体" w:hAnsi="宋体" w:cs="Calibri"/>
                <w:kern w:val="2"/>
                <w:sz w:val="21"/>
                <w:szCs w:val="22"/>
                <w:highlight w:val="none"/>
              </w:rPr>
              <w:t>月</w:t>
            </w:r>
          </w:p>
        </w:tc>
        <w:tc>
          <w:tcPr>
            <w:tcW w:w="2156" w:type="dxa"/>
            <w:gridSpan w:val="3"/>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用地位置</w:t>
            </w:r>
          </w:p>
        </w:tc>
      </w:tr>
      <w:tr>
        <w:trPr>
          <w:trHeight w:val="624" w:hRule="atLeast"/>
          <w:jc w:val="center"/>
        </w:trPr>
        <w:tc>
          <w:tcPr>
            <w:tcW w:w="2197" w:type="dxa"/>
            <w:vMerge w:val="continue"/>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菜地</w:t>
            </w: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水田</w:t>
            </w: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旱地</w:t>
            </w: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果园</w:t>
            </w: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荒地</w:t>
            </w:r>
          </w:p>
        </w:tc>
        <w:tc>
          <w:tcPr>
            <w:tcW w:w="1779" w:type="dxa"/>
            <w:vMerge w:val="continue"/>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桩</w:t>
            </w:r>
          </w:p>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号</w:t>
            </w: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左侧（m）</w:t>
            </w: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右侧（m）</w:t>
            </w:r>
          </w:p>
        </w:tc>
      </w:tr>
      <w:tr>
        <w:trPr>
          <w:trHeight w:val="454" w:hRule="exact"/>
          <w:jc w:val="center"/>
        </w:trPr>
        <w:tc>
          <w:tcPr>
            <w:tcW w:w="2197" w:type="dxa"/>
            <w:vAlign w:val="center"/>
          </w:tcPr>
          <w:p>
            <w:pPr>
              <w:spacing w:before="0" w:beforeAutospacing="0" w:after="0" w:afterAutospacing="0"/>
              <w:ind w:left="0" w:right="0" w:firstLine="210" w:firstLineChars="100"/>
              <w:rPr>
                <w:rFonts w:hint="default" w:ascii="宋体" w:hAnsi="宋体" w:cs="Calibri"/>
                <w:kern w:val="2"/>
                <w:sz w:val="21"/>
                <w:szCs w:val="22"/>
                <w:highlight w:val="none"/>
              </w:rPr>
            </w:pPr>
            <w:r>
              <w:rPr>
                <w:rFonts w:hint="eastAsia" w:ascii="宋体" w:hAnsi="宋体" w:cs="Calibri"/>
                <w:kern w:val="2"/>
                <w:sz w:val="21"/>
                <w:szCs w:val="22"/>
                <w:highlight w:val="none"/>
              </w:rPr>
              <w:t>一、临时工程</w:t>
            </w: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454" w:hRule="exact"/>
          <w:jc w:val="center"/>
        </w:trPr>
        <w:tc>
          <w:tcPr>
            <w:tcW w:w="2197" w:type="dxa"/>
            <w:vAlign w:val="center"/>
          </w:tcPr>
          <w:p>
            <w:pPr>
              <w:spacing w:before="0" w:beforeAutospacing="0" w:after="0" w:afterAutospacing="0"/>
              <w:ind w:left="0" w:right="0" w:firstLine="420" w:firstLineChars="200"/>
              <w:rPr>
                <w:rFonts w:hint="default" w:ascii="宋体" w:hAnsi="宋体" w:cs="Calibri"/>
                <w:kern w:val="2"/>
                <w:sz w:val="21"/>
                <w:szCs w:val="22"/>
                <w:highlight w:val="none"/>
              </w:rPr>
            </w:pPr>
            <w:r>
              <w:rPr>
                <w:rFonts w:hint="eastAsia" w:ascii="宋体" w:hAnsi="宋体" w:cs="Calibri"/>
                <w:kern w:val="2"/>
                <w:sz w:val="21"/>
                <w:szCs w:val="22"/>
                <w:highlight w:val="none"/>
              </w:rPr>
              <w:t>1.便道</w:t>
            </w: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454" w:hRule="exact"/>
          <w:jc w:val="center"/>
        </w:trPr>
        <w:tc>
          <w:tcPr>
            <w:tcW w:w="2197" w:type="dxa"/>
            <w:vAlign w:val="center"/>
          </w:tcPr>
          <w:p>
            <w:pPr>
              <w:spacing w:before="0" w:beforeAutospacing="0" w:after="0" w:afterAutospacing="0"/>
              <w:ind w:left="0" w:right="0" w:firstLine="420" w:firstLineChars="200"/>
              <w:rPr>
                <w:rFonts w:hint="default" w:ascii="宋体" w:hAnsi="宋体" w:cs="Calibri"/>
                <w:kern w:val="2"/>
                <w:sz w:val="21"/>
                <w:szCs w:val="22"/>
                <w:highlight w:val="none"/>
              </w:rPr>
            </w:pPr>
            <w:r>
              <w:rPr>
                <w:rFonts w:hint="eastAsia" w:ascii="宋体" w:hAnsi="宋体" w:cs="Calibri"/>
                <w:kern w:val="2"/>
                <w:sz w:val="21"/>
                <w:szCs w:val="22"/>
                <w:highlight w:val="none"/>
              </w:rPr>
              <w:t>2.便桥</w:t>
            </w: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454" w:hRule="exact"/>
          <w:jc w:val="center"/>
        </w:trPr>
        <w:tc>
          <w:tcPr>
            <w:tcW w:w="2197" w:type="dxa"/>
            <w:vAlign w:val="center"/>
          </w:tcPr>
          <w:p>
            <w:pPr>
              <w:spacing w:before="0" w:beforeAutospacing="0" w:after="0" w:afterAutospacing="0"/>
              <w:ind w:left="0" w:right="0" w:firstLine="420" w:firstLineChars="200"/>
              <w:rPr>
                <w:rFonts w:hint="default" w:ascii="宋体" w:hAnsi="宋体" w:cs="Calibri"/>
                <w:kern w:val="2"/>
                <w:sz w:val="21"/>
                <w:szCs w:val="22"/>
                <w:highlight w:val="none"/>
              </w:rPr>
            </w:pPr>
            <w:r>
              <w:rPr>
                <w:rFonts w:hint="eastAsia" w:ascii="宋体" w:hAnsi="宋体" w:cs="Calibri"/>
                <w:kern w:val="2"/>
                <w:sz w:val="21"/>
                <w:szCs w:val="22"/>
                <w:highlight w:val="none"/>
              </w:rPr>
              <w:t>3.……</w:t>
            </w: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454" w:hRule="exact"/>
          <w:jc w:val="center"/>
        </w:trPr>
        <w:tc>
          <w:tcPr>
            <w:tcW w:w="2197" w:type="dxa"/>
            <w:vAlign w:val="center"/>
          </w:tcPr>
          <w:p>
            <w:pPr>
              <w:spacing w:before="0" w:beforeAutospacing="0" w:after="0" w:afterAutospacing="0"/>
              <w:ind w:left="0" w:right="0" w:firstLine="420" w:firstLineChars="200"/>
              <w:rPr>
                <w:rFonts w:hint="default" w:ascii="宋体" w:hAnsi="宋体" w:cs="Calibri"/>
                <w:kern w:val="2"/>
                <w:sz w:val="21"/>
                <w:szCs w:val="22"/>
                <w:highlight w:val="none"/>
              </w:rPr>
            </w:pPr>
            <w:r>
              <w:rPr>
                <w:rFonts w:hint="eastAsia" w:ascii="宋体" w:hAnsi="宋体" w:cs="Calibri"/>
                <w:kern w:val="2"/>
                <w:sz w:val="21"/>
                <w:szCs w:val="22"/>
                <w:highlight w:val="none"/>
              </w:rPr>
              <w:t>……</w:t>
            </w: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851" w:hRule="exact"/>
          <w:jc w:val="center"/>
        </w:trPr>
        <w:tc>
          <w:tcPr>
            <w:tcW w:w="2197" w:type="dxa"/>
            <w:vAlign w:val="center"/>
          </w:tcPr>
          <w:p>
            <w:pPr>
              <w:spacing w:before="0" w:beforeAutospacing="0" w:after="0" w:afterAutospacing="0"/>
              <w:ind w:left="0" w:right="0"/>
              <w:rPr>
                <w:rFonts w:hint="default" w:ascii="宋体" w:hAnsi="宋体" w:cs="Calibri"/>
                <w:kern w:val="2"/>
                <w:sz w:val="21"/>
                <w:szCs w:val="22"/>
                <w:highlight w:val="none"/>
              </w:rPr>
            </w:pPr>
            <w:r>
              <w:rPr>
                <w:rFonts w:hint="eastAsia" w:ascii="宋体" w:hAnsi="宋体" w:cs="Calibri"/>
                <w:kern w:val="2"/>
                <w:sz w:val="21"/>
                <w:szCs w:val="22"/>
                <w:highlight w:val="none"/>
              </w:rPr>
              <w:t>二、生产及生活临时设施</w:t>
            </w: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420" w:firstLineChars="200"/>
              <w:rPr>
                <w:rFonts w:hint="default" w:ascii="宋体" w:hAnsi="宋体" w:cs="Calibri"/>
                <w:kern w:val="2"/>
                <w:sz w:val="21"/>
                <w:szCs w:val="22"/>
                <w:highlight w:val="none"/>
              </w:rPr>
            </w:pPr>
            <w:r>
              <w:rPr>
                <w:rFonts w:hint="eastAsia" w:ascii="宋体" w:hAnsi="宋体" w:cs="Calibri"/>
                <w:kern w:val="2"/>
                <w:sz w:val="21"/>
                <w:szCs w:val="22"/>
                <w:highlight w:val="none"/>
              </w:rPr>
              <w:t>1.临时住房</w:t>
            </w: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851" w:hRule="exact"/>
          <w:jc w:val="center"/>
        </w:trPr>
        <w:tc>
          <w:tcPr>
            <w:tcW w:w="2197" w:type="dxa"/>
            <w:vAlign w:val="center"/>
          </w:tcPr>
          <w:p>
            <w:pPr>
              <w:spacing w:before="0" w:beforeAutospacing="0" w:after="0" w:afterAutospacing="0"/>
              <w:ind w:left="0" w:right="0"/>
              <w:jc w:val="center"/>
              <w:rPr>
                <w:rFonts w:hint="default" w:ascii="宋体" w:hAnsi="宋体" w:cs="Calibri"/>
                <w:kern w:val="2"/>
                <w:sz w:val="21"/>
                <w:szCs w:val="22"/>
                <w:highlight w:val="none"/>
              </w:rPr>
            </w:pPr>
            <w:r>
              <w:rPr>
                <w:rFonts w:hint="eastAsia" w:ascii="宋体" w:hAnsi="宋体" w:cs="Calibri"/>
                <w:kern w:val="2"/>
                <w:sz w:val="21"/>
                <w:szCs w:val="22"/>
                <w:highlight w:val="none"/>
              </w:rPr>
              <w:t>2.办公等公用房屋</w:t>
            </w: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420" w:firstLineChars="200"/>
              <w:rPr>
                <w:rFonts w:hint="default" w:ascii="宋体" w:hAnsi="宋体" w:cs="Calibri"/>
                <w:kern w:val="2"/>
                <w:sz w:val="21"/>
                <w:szCs w:val="22"/>
                <w:highlight w:val="none"/>
              </w:rPr>
            </w:pPr>
            <w:r>
              <w:rPr>
                <w:rFonts w:hint="eastAsia" w:ascii="宋体" w:hAnsi="宋体" w:cs="Calibri"/>
                <w:kern w:val="2"/>
                <w:sz w:val="21"/>
                <w:szCs w:val="22"/>
                <w:highlight w:val="none"/>
              </w:rPr>
              <w:t>3.料场</w:t>
            </w: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420" w:firstLineChars="200"/>
              <w:rPr>
                <w:rFonts w:hint="default" w:ascii="宋体" w:hAnsi="宋体" w:cs="Calibri"/>
                <w:kern w:val="2"/>
                <w:sz w:val="21"/>
                <w:szCs w:val="22"/>
                <w:highlight w:val="none"/>
              </w:rPr>
            </w:pPr>
            <w:r>
              <w:rPr>
                <w:rFonts w:hint="eastAsia" w:ascii="宋体" w:hAnsi="宋体" w:cs="Calibri"/>
                <w:kern w:val="2"/>
                <w:sz w:val="21"/>
                <w:szCs w:val="22"/>
                <w:highlight w:val="none"/>
              </w:rPr>
              <w:t>4.预制场</w:t>
            </w: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420" w:firstLineChars="200"/>
              <w:rPr>
                <w:rFonts w:hint="default" w:ascii="宋体" w:hAnsi="宋体" w:cs="Calibri"/>
                <w:kern w:val="2"/>
                <w:sz w:val="21"/>
                <w:szCs w:val="22"/>
                <w:highlight w:val="none"/>
              </w:rPr>
            </w:pPr>
            <w:r>
              <w:rPr>
                <w:rFonts w:hint="eastAsia" w:ascii="宋体" w:hAnsi="宋体" w:cs="Calibri"/>
                <w:kern w:val="2"/>
                <w:sz w:val="21"/>
                <w:szCs w:val="22"/>
                <w:highlight w:val="none"/>
              </w:rPr>
              <w:t>……</w:t>
            </w: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210" w:firstLineChars="100"/>
              <w:rPr>
                <w:rFonts w:hint="default" w:ascii="宋体" w:hAnsi="宋体" w:cs="Calibri"/>
                <w:kern w:val="2"/>
                <w:sz w:val="21"/>
                <w:szCs w:val="22"/>
                <w:highlight w:val="none"/>
              </w:rPr>
            </w:pP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210" w:firstLineChars="100"/>
              <w:rPr>
                <w:rFonts w:hint="default" w:ascii="宋体" w:hAnsi="宋体" w:cs="Calibri"/>
                <w:kern w:val="2"/>
                <w:sz w:val="21"/>
                <w:szCs w:val="22"/>
                <w:highlight w:val="none"/>
              </w:rPr>
            </w:pP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210" w:firstLineChars="100"/>
              <w:rPr>
                <w:rFonts w:hint="default" w:ascii="宋体" w:hAnsi="宋体" w:cs="Calibri"/>
                <w:kern w:val="2"/>
                <w:sz w:val="21"/>
                <w:szCs w:val="22"/>
                <w:highlight w:val="none"/>
              </w:rPr>
            </w:pP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210" w:firstLineChars="100"/>
              <w:rPr>
                <w:rFonts w:hint="default" w:ascii="宋体" w:hAnsi="宋体" w:cs="Calibri"/>
                <w:kern w:val="2"/>
                <w:sz w:val="21"/>
                <w:szCs w:val="22"/>
                <w:highlight w:val="none"/>
              </w:rPr>
            </w:pP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210" w:firstLineChars="100"/>
              <w:rPr>
                <w:rFonts w:hint="default" w:ascii="宋体" w:hAnsi="宋体" w:cs="Calibri"/>
                <w:kern w:val="2"/>
                <w:sz w:val="21"/>
                <w:szCs w:val="22"/>
                <w:highlight w:val="none"/>
              </w:rPr>
            </w:pP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210" w:firstLineChars="100"/>
              <w:rPr>
                <w:rFonts w:hint="default" w:ascii="宋体" w:hAnsi="宋体" w:cs="Calibri"/>
                <w:kern w:val="2"/>
                <w:sz w:val="21"/>
                <w:szCs w:val="22"/>
                <w:highlight w:val="none"/>
              </w:rPr>
            </w:pP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210" w:firstLineChars="100"/>
              <w:rPr>
                <w:rFonts w:hint="default" w:ascii="宋体" w:hAnsi="宋体" w:cs="Calibri"/>
                <w:kern w:val="2"/>
                <w:sz w:val="21"/>
                <w:szCs w:val="22"/>
                <w:highlight w:val="none"/>
              </w:rPr>
            </w:pP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210" w:firstLineChars="100"/>
              <w:rPr>
                <w:rFonts w:hint="default" w:ascii="宋体" w:hAnsi="宋体" w:cs="Calibri"/>
                <w:kern w:val="2"/>
                <w:sz w:val="21"/>
                <w:szCs w:val="22"/>
                <w:highlight w:val="none"/>
              </w:rPr>
            </w:pP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210" w:firstLineChars="100"/>
              <w:rPr>
                <w:rFonts w:hint="default" w:ascii="宋体" w:hAnsi="宋体" w:cs="Calibri"/>
                <w:kern w:val="2"/>
                <w:sz w:val="21"/>
                <w:szCs w:val="22"/>
                <w:highlight w:val="none"/>
              </w:rPr>
            </w:pP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r>
        <w:trPr>
          <w:trHeight w:val="567" w:hRule="exact"/>
          <w:jc w:val="center"/>
        </w:trPr>
        <w:tc>
          <w:tcPr>
            <w:tcW w:w="2197" w:type="dxa"/>
            <w:vAlign w:val="center"/>
          </w:tcPr>
          <w:p>
            <w:pPr>
              <w:spacing w:before="0" w:beforeAutospacing="0" w:after="0" w:afterAutospacing="0"/>
              <w:ind w:left="0" w:right="0" w:firstLine="210" w:firstLineChars="100"/>
              <w:rPr>
                <w:rFonts w:hint="default" w:ascii="宋体" w:hAnsi="宋体" w:cs="Calibri"/>
                <w:kern w:val="2"/>
                <w:sz w:val="21"/>
                <w:szCs w:val="22"/>
                <w:highlight w:val="none"/>
              </w:rPr>
            </w:pPr>
            <w:r>
              <w:rPr>
                <w:rFonts w:hint="eastAsia" w:ascii="宋体" w:hAnsi="宋体" w:cs="Calibri"/>
                <w:kern w:val="2"/>
                <w:sz w:val="21"/>
                <w:szCs w:val="22"/>
                <w:highlight w:val="none"/>
              </w:rPr>
              <w:t>租用面积合计</w:t>
            </w:r>
          </w:p>
        </w:tc>
        <w:tc>
          <w:tcPr>
            <w:tcW w:w="69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0"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06"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1779"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673"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1"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c>
          <w:tcPr>
            <w:tcW w:w="742" w:type="dxa"/>
            <w:vAlign w:val="center"/>
          </w:tcPr>
          <w:p>
            <w:pPr>
              <w:spacing w:before="0" w:beforeAutospacing="0" w:after="0" w:afterAutospacing="0"/>
              <w:ind w:left="0" w:right="0"/>
              <w:jc w:val="center"/>
              <w:rPr>
                <w:rFonts w:hint="default" w:ascii="宋体" w:hAnsi="宋体" w:cs="Calibri"/>
                <w:kern w:val="2"/>
                <w:sz w:val="21"/>
                <w:szCs w:val="22"/>
                <w:highlight w:val="none"/>
              </w:rPr>
            </w:pPr>
          </w:p>
        </w:tc>
      </w:tr>
    </w:tbl>
    <w:p>
      <w:pPr>
        <w:pStyle w:val="4"/>
        <w:spacing w:beforeLines="50" w:after="240" w:line="400" w:lineRule="exact"/>
        <w:rPr>
          <w:rFonts w:hint="eastAsia" w:ascii="隶书" w:hAnsi="宋体" w:eastAsia="隶书"/>
          <w:color w:val="auto"/>
          <w:sz w:val="30"/>
          <w:szCs w:val="30"/>
          <w:highlight w:val="none"/>
        </w:rPr>
      </w:pPr>
      <w:r>
        <w:rPr>
          <w:rFonts w:hint="eastAsia" w:ascii="Arial" w:hAnsi="Arial" w:eastAsia="黑体"/>
          <w:color w:val="auto"/>
          <w:kern w:val="2"/>
          <w:sz w:val="28"/>
          <w:szCs w:val="28"/>
          <w:highlight w:val="none"/>
        </w:rPr>
        <w:t>附表八  外供电力需求计划表</w:t>
      </w:r>
      <w:bookmarkEnd w:id="247"/>
    </w:p>
    <w:tbl>
      <w:tblPr>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rPr>
          <w:trHeight w:val="775" w:hRule="atLeast"/>
          <w:jc w:val="center"/>
        </w:trPr>
        <w:tc>
          <w:tcPr>
            <w:tcW w:w="2212" w:type="dxa"/>
            <w:gridSpan w:val="2"/>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用电位置</w:t>
            </w:r>
          </w:p>
        </w:tc>
        <w:tc>
          <w:tcPr>
            <w:tcW w:w="1984" w:type="dxa"/>
            <w:vMerge w:val="restart"/>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计划用电数量（KW·h）</w:t>
            </w:r>
          </w:p>
        </w:tc>
        <w:tc>
          <w:tcPr>
            <w:tcW w:w="1701" w:type="dxa"/>
            <w:vMerge w:val="restart"/>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用  途</w:t>
            </w:r>
          </w:p>
        </w:tc>
        <w:tc>
          <w:tcPr>
            <w:tcW w:w="2552" w:type="dxa"/>
            <w:vMerge w:val="restart"/>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需 用 时 间</w:t>
            </w:r>
          </w:p>
          <w:p>
            <w:pPr>
              <w:spacing w:before="0" w:beforeAutospacing="0" w:after="0" w:afterAutospacing="0"/>
              <w:ind w:left="735" w:right="0" w:hanging="735" w:hangingChars="35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年</w:t>
            </w: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月</w:t>
            </w:r>
          </w:p>
          <w:p>
            <w:pPr>
              <w:spacing w:before="0" w:beforeAutospacing="0" w:after="0" w:afterAutospacing="0"/>
              <w:ind w:left="735" w:right="0" w:hanging="735" w:hangingChars="35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至</w:t>
            </w: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年</w:t>
            </w: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月</w:t>
            </w:r>
          </w:p>
        </w:tc>
        <w:tc>
          <w:tcPr>
            <w:tcW w:w="1190" w:type="dxa"/>
            <w:vMerge w:val="restart"/>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备  注</w:t>
            </w:r>
          </w:p>
        </w:tc>
      </w:tr>
      <w:tr>
        <w:trPr>
          <w:trHeight w:val="687" w:hRule="atLeas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桩号</w:t>
            </w: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左或右（m）</w:t>
            </w:r>
          </w:p>
        </w:tc>
        <w:tc>
          <w:tcPr>
            <w:tcW w:w="1984" w:type="dxa"/>
            <w:vMerge w:val="continue"/>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Merge w:val="continue"/>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Merge w:val="continue"/>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Merge w:val="continue"/>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r>
        <w:trPr>
          <w:trHeight w:val="567" w:hRule="exact"/>
          <w:jc w:val="center"/>
        </w:trPr>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06"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984"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701"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2552"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c>
          <w:tcPr>
            <w:tcW w:w="119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p>
        </w:tc>
      </w:tr>
    </w:tbl>
    <w:p>
      <w:pPr>
        <w:numPr>
          <w:numId w:val="0"/>
        </w:numPr>
        <w:spacing w:line="0" w:lineRule="atLeast"/>
        <w:jc w:val="center"/>
        <w:rPr>
          <w:rFonts w:hint="eastAsia" w:ascii="黑体" w:hAnsi="黑体" w:eastAsia="黑体" w:cs="黑体"/>
          <w:b/>
          <w:bCs/>
          <w:sz w:val="28"/>
          <w:highlight w:val="none"/>
        </w:rPr>
      </w:pPr>
      <w:r>
        <w:rPr>
          <w:rFonts w:hint="eastAsia" w:ascii="黑体" w:hAnsi="黑体" w:eastAsia="黑体" w:cs="黑体"/>
          <w:b/>
          <w:bCs/>
          <w:sz w:val="28"/>
          <w:highlight w:val="none"/>
          <w:lang w:eastAsia="zh-CN"/>
        </w:rPr>
        <w:t>五、</w:t>
      </w:r>
      <w:r>
        <w:rPr>
          <w:rFonts w:hint="eastAsia" w:ascii="黑体" w:hAnsi="黑体" w:eastAsia="黑体" w:cs="黑体"/>
          <w:b/>
          <w:bCs/>
          <w:sz w:val="28"/>
          <w:highlight w:val="none"/>
        </w:rPr>
        <w:t>项目管理机构</w:t>
      </w:r>
    </w:p>
    <w:p>
      <w:pPr>
        <w:numPr>
          <w:numId w:val="0"/>
        </w:numPr>
        <w:spacing w:line="0" w:lineRule="atLeast"/>
        <w:rPr>
          <w:rFonts w:ascii="宋体" w:hAnsi="宋体" w:eastAsia="宋体"/>
          <w:sz w:val="28"/>
          <w:highlight w:val="none"/>
        </w:rPr>
      </w:pPr>
    </w:p>
    <w:tbl>
      <w:tblPr>
        <w:tblW w:w="9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rPr>
          <w:trHeight w:val="6701" w:hRule="atLeast"/>
        </w:trPr>
        <w:tc>
          <w:tcPr>
            <w:tcW w:w="9500" w:type="dxa"/>
            <w:vAlign w:val="top"/>
          </w:tcPr>
          <w:p>
            <w:pPr>
              <w:numPr>
                <w:numId w:val="0"/>
              </w:numPr>
              <w:spacing w:before="0" w:beforeAutospacing="0" w:after="0" w:afterAutospacing="0" w:line="0" w:lineRule="atLeast"/>
              <w:ind w:left="0" w:right="0"/>
              <w:rPr>
                <w:rFonts w:hint="eastAsia" w:ascii="宋体" w:hAnsi="宋体" w:eastAsia="宋体"/>
                <w:sz w:val="28"/>
                <w:highlight w:val="none"/>
              </w:rPr>
            </w:pPr>
          </w:p>
          <w:p>
            <w:pPr>
              <w:numPr>
                <w:numId w:val="0"/>
              </w:numPr>
              <w:spacing w:before="0" w:beforeAutospacing="0" w:after="0" w:afterAutospacing="0" w:line="0" w:lineRule="atLeast"/>
              <w:ind w:left="0" w:right="0"/>
              <w:rPr>
                <w:rFonts w:hint="eastAsia" w:ascii="宋体" w:hAnsi="宋体" w:eastAsia="宋体"/>
                <w:sz w:val="28"/>
                <w:highlight w:val="none"/>
              </w:rPr>
            </w:pPr>
          </w:p>
          <w:p>
            <w:pPr>
              <w:numPr>
                <w:numId w:val="0"/>
              </w:numPr>
              <w:spacing w:before="0" w:beforeAutospacing="0" w:after="0" w:afterAutospacing="0" w:line="0" w:lineRule="atLeast"/>
              <w:ind w:left="0" w:right="0"/>
              <w:rPr>
                <w:rFonts w:hint="default" w:ascii="宋体" w:hAnsi="宋体" w:eastAsia="宋体"/>
                <w:sz w:val="28"/>
                <w:highlight w:val="none"/>
              </w:rPr>
            </w:pPr>
            <w:r>
              <w:rPr>
                <w:rFonts w:hint="eastAsia" w:ascii="宋体" w:hAnsi="宋体" w:eastAsia="宋体"/>
                <w:sz w:val="24"/>
                <w:szCs w:val="22"/>
                <w:highlight w:val="none"/>
              </w:rPr>
              <w:t>拟为承包本标段工程设立的组织机构以框图方式表示。</w:t>
            </w:r>
          </w:p>
        </w:tc>
      </w:tr>
      <w:tr>
        <w:trPr>
          <w:trHeight w:val="4413" w:hRule="atLeast"/>
        </w:trPr>
        <w:tc>
          <w:tcPr>
            <w:tcW w:w="9500" w:type="dxa"/>
            <w:vAlign w:val="top"/>
          </w:tcPr>
          <w:p>
            <w:pPr>
              <w:numPr>
                <w:numId w:val="0"/>
              </w:numPr>
              <w:spacing w:before="0" w:beforeAutospacing="0" w:after="0" w:afterAutospacing="0" w:line="0" w:lineRule="atLeast"/>
              <w:ind w:left="0" w:right="0"/>
              <w:rPr>
                <w:rFonts w:hint="eastAsia" w:ascii="宋体" w:hAnsi="宋体"/>
                <w:sz w:val="24"/>
                <w:szCs w:val="22"/>
                <w:highlight w:val="none"/>
                <w:lang w:eastAsia="zh-CN"/>
              </w:rPr>
            </w:pPr>
          </w:p>
          <w:p>
            <w:pPr>
              <w:numPr>
                <w:numId w:val="0"/>
              </w:numPr>
              <w:spacing w:before="0" w:beforeAutospacing="0" w:after="0" w:afterAutospacing="0" w:line="0" w:lineRule="atLeast"/>
              <w:ind w:left="0" w:right="0" w:firstLine="480" w:firstLineChars="200"/>
              <w:rPr>
                <w:rFonts w:hint="eastAsia" w:ascii="宋体" w:hAnsi="宋体" w:eastAsia="宋体"/>
                <w:sz w:val="28"/>
                <w:highlight w:val="none"/>
                <w:lang w:eastAsia="zh-CN"/>
              </w:rPr>
            </w:pPr>
            <w:r>
              <w:rPr>
                <w:rFonts w:hint="eastAsia" w:ascii="宋体" w:hAnsi="宋体"/>
                <w:sz w:val="24"/>
                <w:szCs w:val="22"/>
                <w:highlight w:val="none"/>
                <w:lang w:eastAsia="zh-CN"/>
              </w:rPr>
              <w:t>说明</w:t>
            </w:r>
          </w:p>
        </w:tc>
      </w:tr>
    </w:tbl>
    <w:p>
      <w:pPr>
        <w:numPr>
          <w:numId w:val="0"/>
        </w:numPr>
        <w:spacing w:line="0" w:lineRule="atLeast"/>
        <w:rPr>
          <w:rFonts w:ascii="宋体" w:hAnsi="宋体" w:eastAsia="宋体"/>
          <w:sz w:val="28"/>
          <w:highlight w:val="none"/>
        </w:rPr>
      </w:pPr>
    </w:p>
    <w:p>
      <w:pPr>
        <w:spacing w:line="0" w:lineRule="atLeast"/>
        <w:ind w:left="2940"/>
        <w:rPr>
          <w:rFonts w:ascii="宋体" w:hAnsi="宋体" w:eastAsia="宋体"/>
          <w:sz w:val="28"/>
          <w:highlight w:val="none"/>
        </w:rPr>
      </w:pPr>
    </w:p>
    <w:p>
      <w:pPr>
        <w:spacing w:line="0" w:lineRule="atLeast"/>
        <w:ind w:left="2940"/>
        <w:rPr>
          <w:rFonts w:ascii="宋体" w:hAnsi="宋体" w:eastAsia="宋体"/>
          <w:sz w:val="28"/>
          <w:highlight w:val="none"/>
        </w:rPr>
      </w:pPr>
    </w:p>
    <w:p>
      <w:pPr>
        <w:spacing w:line="0" w:lineRule="atLeast"/>
        <w:ind w:left="2940"/>
        <w:rPr>
          <w:rFonts w:ascii="宋体" w:hAnsi="宋体" w:eastAsia="宋体"/>
          <w:sz w:val="28"/>
          <w:highlight w:val="none"/>
        </w:rPr>
      </w:pPr>
    </w:p>
    <w:p>
      <w:pPr>
        <w:spacing w:line="0" w:lineRule="atLeast"/>
        <w:ind w:left="2940"/>
        <w:rPr>
          <w:rFonts w:ascii="宋体" w:hAnsi="宋体" w:eastAsia="宋体"/>
          <w:sz w:val="28"/>
          <w:highlight w:val="none"/>
        </w:rPr>
      </w:pPr>
    </w:p>
    <w:p>
      <w:pPr>
        <w:spacing w:line="0" w:lineRule="atLeast"/>
        <w:ind w:left="2940"/>
        <w:rPr>
          <w:rFonts w:ascii="宋体" w:hAnsi="宋体" w:eastAsia="宋体"/>
          <w:sz w:val="28"/>
          <w:highlight w:val="none"/>
        </w:rPr>
      </w:pPr>
    </w:p>
    <w:p>
      <w:pPr>
        <w:spacing w:line="0" w:lineRule="atLeast"/>
        <w:jc w:val="center"/>
        <w:rPr>
          <w:rFonts w:hint="eastAsia" w:ascii="黑体" w:hAnsi="黑体" w:eastAsia="黑体" w:cs="黑体"/>
          <w:b/>
          <w:bCs/>
          <w:sz w:val="28"/>
          <w:highlight w:val="none"/>
        </w:rPr>
      </w:pPr>
      <w:r>
        <w:rPr>
          <w:rFonts w:hint="eastAsia" w:ascii="黑体" w:hAnsi="黑体" w:eastAsia="黑体" w:cs="黑体"/>
          <w:b/>
          <w:bCs/>
          <w:sz w:val="28"/>
          <w:highlight w:val="none"/>
          <w:lang w:eastAsia="zh-CN"/>
        </w:rPr>
        <w:t>六</w:t>
      </w:r>
      <w:r>
        <w:rPr>
          <w:rFonts w:hint="eastAsia" w:ascii="黑体" w:hAnsi="黑体" w:eastAsia="黑体" w:cs="黑体"/>
          <w:b/>
          <w:bCs/>
          <w:sz w:val="28"/>
          <w:highlight w:val="none"/>
        </w:rPr>
        <w:t>、拟分包项目情况表</w:t>
      </w:r>
    </w:p>
    <w:p>
      <w:pPr>
        <w:spacing w:line="0" w:lineRule="atLeast"/>
        <w:ind w:left="2940"/>
        <w:rPr>
          <w:rFonts w:ascii="宋体" w:hAnsi="宋体" w:eastAsia="宋体"/>
          <w:sz w:val="28"/>
          <w:highlight w:val="none"/>
        </w:rPr>
      </w:pPr>
    </w:p>
    <w:tbl>
      <w:tblPr>
        <w:tblW w:w="9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1"/>
      </w:tblGrid>
      <w:tr>
        <w:tc>
          <w:tcPr>
            <w:tcW w:w="2350" w:type="dxa"/>
            <w:vAlign w:val="top"/>
          </w:tcPr>
          <w:p>
            <w:pPr>
              <w:pStyle w:val="4"/>
              <w:spacing w:beforeLines="50" w:beforeAutospacing="0" w:after="240" w:afterAutospacing="0" w:line="400" w:lineRule="exact"/>
              <w:ind w:left="0" w:right="0"/>
              <w:jc w:val="center"/>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拟分包的工程项目</w:t>
            </w:r>
          </w:p>
        </w:tc>
        <w:tc>
          <w:tcPr>
            <w:tcW w:w="2350" w:type="dxa"/>
            <w:vAlign w:val="top"/>
          </w:tcPr>
          <w:p>
            <w:pPr>
              <w:pStyle w:val="4"/>
              <w:spacing w:beforeLines="50" w:beforeAutospacing="0" w:after="240" w:afterAutospacing="0" w:line="400" w:lineRule="exact"/>
              <w:ind w:left="0" w:right="0"/>
              <w:jc w:val="center"/>
              <w:rPr>
                <w:rFonts w:hint="eastAsia" w:ascii="宋体" w:hAnsi="宋体" w:eastAsia="宋体" w:cs="宋体"/>
                <w:b w:val="0"/>
                <w:bCs w:val="0"/>
                <w:color w:val="auto"/>
                <w:kern w:val="2"/>
                <w:sz w:val="24"/>
                <w:szCs w:val="24"/>
                <w:highlight w:val="none"/>
                <w:lang w:eastAsia="zh-CN"/>
              </w:rPr>
            </w:pPr>
            <w:r>
              <w:rPr>
                <w:rFonts w:hint="eastAsia" w:ascii="宋体" w:hAnsi="宋体" w:cs="宋体"/>
                <w:b w:val="0"/>
                <w:bCs w:val="0"/>
                <w:color w:val="auto"/>
                <w:kern w:val="2"/>
                <w:sz w:val="24"/>
                <w:szCs w:val="24"/>
                <w:highlight w:val="none"/>
                <w:lang w:eastAsia="zh-CN"/>
              </w:rPr>
              <w:t>主要工程内容</w:t>
            </w:r>
          </w:p>
        </w:tc>
        <w:tc>
          <w:tcPr>
            <w:tcW w:w="2350" w:type="dxa"/>
            <w:vAlign w:val="top"/>
          </w:tcPr>
          <w:p>
            <w:pPr>
              <w:pStyle w:val="4"/>
              <w:spacing w:beforeLines="50" w:beforeAutospacing="0" w:after="240" w:afterAutospacing="0" w:line="400" w:lineRule="exact"/>
              <w:ind w:left="0" w:right="0"/>
              <w:jc w:val="center"/>
              <w:rPr>
                <w:rFonts w:hint="eastAsia" w:ascii="宋体" w:hAnsi="宋体" w:eastAsia="宋体" w:cs="宋体"/>
                <w:b w:val="0"/>
                <w:bCs w:val="0"/>
                <w:color w:val="auto"/>
                <w:kern w:val="2"/>
                <w:sz w:val="24"/>
                <w:szCs w:val="24"/>
                <w:highlight w:val="none"/>
                <w:lang w:eastAsia="zh-CN"/>
              </w:rPr>
            </w:pPr>
            <w:r>
              <w:rPr>
                <w:rFonts w:hint="eastAsia" w:ascii="宋体" w:hAnsi="宋体" w:cs="宋体"/>
                <w:b w:val="0"/>
                <w:bCs w:val="0"/>
                <w:color w:val="auto"/>
                <w:kern w:val="2"/>
                <w:sz w:val="24"/>
                <w:szCs w:val="24"/>
                <w:highlight w:val="none"/>
                <w:lang w:eastAsia="zh-CN"/>
              </w:rPr>
              <w:t>预计造价（万元）</w:t>
            </w:r>
          </w:p>
        </w:tc>
        <w:tc>
          <w:tcPr>
            <w:tcW w:w="2351" w:type="dxa"/>
            <w:vAlign w:val="top"/>
          </w:tcPr>
          <w:p>
            <w:pPr>
              <w:pStyle w:val="4"/>
              <w:spacing w:beforeLines="50" w:beforeAutospacing="0" w:after="240" w:afterAutospacing="0" w:line="400" w:lineRule="exact"/>
              <w:ind w:left="0" w:right="0"/>
              <w:jc w:val="center"/>
              <w:rPr>
                <w:rFonts w:hint="eastAsia" w:ascii="宋体" w:hAnsi="宋体" w:eastAsia="宋体" w:cs="宋体"/>
                <w:b w:val="0"/>
                <w:bCs w:val="0"/>
                <w:color w:val="auto"/>
                <w:kern w:val="2"/>
                <w:sz w:val="24"/>
                <w:szCs w:val="24"/>
                <w:highlight w:val="none"/>
                <w:lang w:eastAsia="zh-CN"/>
              </w:rPr>
            </w:pPr>
            <w:r>
              <w:rPr>
                <w:rFonts w:hint="eastAsia" w:ascii="宋体" w:hAnsi="宋体" w:cs="宋体"/>
                <w:b w:val="0"/>
                <w:bCs w:val="0"/>
                <w:color w:val="auto"/>
                <w:kern w:val="2"/>
                <w:sz w:val="24"/>
                <w:szCs w:val="24"/>
                <w:highlight w:val="none"/>
                <w:lang w:eastAsia="zh-CN"/>
              </w:rPr>
              <w:t>备注</w:t>
            </w:r>
          </w:p>
        </w:tc>
      </w:tr>
      <w:tr>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restart"/>
            <w:vAlign w:val="top"/>
          </w:tcPr>
          <w:p>
            <w:pPr>
              <w:pStyle w:val="4"/>
              <w:spacing w:beforeLines="50" w:beforeAutospacing="0" w:after="240" w:afterAutospacing="0" w:line="400" w:lineRule="exact"/>
              <w:ind w:left="0" w:right="0"/>
              <w:jc w:val="center"/>
              <w:rPr>
                <w:rFonts w:hint="eastAsia" w:ascii="宋体" w:hAnsi="宋体" w:cs="宋体"/>
                <w:b w:val="0"/>
                <w:bCs w:val="0"/>
                <w:color w:val="auto"/>
                <w:kern w:val="2"/>
                <w:sz w:val="24"/>
                <w:szCs w:val="24"/>
                <w:highlight w:val="none"/>
                <w:lang w:eastAsia="zh-CN"/>
              </w:rPr>
            </w:pPr>
          </w:p>
          <w:p>
            <w:pPr>
              <w:pStyle w:val="4"/>
              <w:spacing w:beforeLines="50" w:beforeAutospacing="0" w:after="240" w:afterAutospacing="0" w:line="400" w:lineRule="exact"/>
              <w:ind w:left="0" w:right="0"/>
              <w:jc w:val="center"/>
              <w:rPr>
                <w:rFonts w:hint="eastAsia" w:ascii="宋体" w:hAnsi="宋体" w:cs="宋体"/>
                <w:b w:val="0"/>
                <w:bCs w:val="0"/>
                <w:color w:val="auto"/>
                <w:kern w:val="2"/>
                <w:sz w:val="24"/>
                <w:szCs w:val="24"/>
                <w:highlight w:val="none"/>
                <w:lang w:eastAsia="zh-CN"/>
              </w:rPr>
            </w:pPr>
          </w:p>
          <w:p>
            <w:pPr>
              <w:pStyle w:val="4"/>
              <w:spacing w:beforeLines="50" w:beforeAutospacing="0" w:after="240" w:afterAutospacing="0" w:line="400" w:lineRule="exact"/>
              <w:ind w:left="0" w:right="0"/>
              <w:jc w:val="center"/>
              <w:rPr>
                <w:rFonts w:hint="eastAsia" w:ascii="宋体" w:hAnsi="宋体" w:cs="宋体"/>
                <w:b w:val="0"/>
                <w:bCs w:val="0"/>
                <w:color w:val="auto"/>
                <w:kern w:val="2"/>
                <w:sz w:val="24"/>
                <w:szCs w:val="24"/>
                <w:highlight w:val="none"/>
                <w:lang w:eastAsia="zh-CN"/>
              </w:rPr>
            </w:pPr>
          </w:p>
          <w:p>
            <w:pPr>
              <w:pStyle w:val="4"/>
              <w:spacing w:beforeLines="50" w:beforeAutospacing="0" w:after="240" w:afterAutospacing="0" w:line="400" w:lineRule="exact"/>
              <w:ind w:left="0" w:right="0"/>
              <w:jc w:val="center"/>
              <w:rPr>
                <w:rFonts w:hint="eastAsia" w:ascii="宋体" w:hAnsi="宋体" w:cs="宋体"/>
                <w:b w:val="0"/>
                <w:bCs w:val="0"/>
                <w:color w:val="auto"/>
                <w:kern w:val="2"/>
                <w:sz w:val="24"/>
                <w:szCs w:val="24"/>
                <w:highlight w:val="none"/>
                <w:lang w:eastAsia="zh-CN"/>
              </w:rPr>
            </w:pPr>
          </w:p>
          <w:p>
            <w:pPr>
              <w:pStyle w:val="4"/>
              <w:spacing w:beforeLines="50" w:beforeAutospacing="0" w:after="240" w:afterAutospacing="0" w:line="400" w:lineRule="exact"/>
              <w:ind w:left="0" w:right="0"/>
              <w:jc w:val="center"/>
              <w:rPr>
                <w:rFonts w:hint="eastAsia" w:ascii="宋体" w:hAnsi="宋体" w:cs="宋体"/>
                <w:b w:val="0"/>
                <w:bCs w:val="0"/>
                <w:color w:val="auto"/>
                <w:kern w:val="2"/>
                <w:sz w:val="24"/>
                <w:szCs w:val="24"/>
                <w:highlight w:val="none"/>
                <w:lang w:eastAsia="zh-CN"/>
              </w:rPr>
            </w:pPr>
          </w:p>
          <w:p>
            <w:pPr>
              <w:pStyle w:val="4"/>
              <w:spacing w:beforeLines="50" w:beforeAutospacing="0" w:after="240" w:afterAutospacing="0" w:line="400" w:lineRule="exact"/>
              <w:ind w:left="0" w:right="0"/>
              <w:jc w:val="center"/>
              <w:rPr>
                <w:rFonts w:hint="eastAsia" w:ascii="宋体" w:hAnsi="宋体" w:cs="宋体"/>
                <w:b w:val="0"/>
                <w:bCs w:val="0"/>
                <w:color w:val="auto"/>
                <w:kern w:val="2"/>
                <w:sz w:val="24"/>
                <w:szCs w:val="24"/>
                <w:highlight w:val="none"/>
                <w:lang w:eastAsia="zh-CN"/>
              </w:rPr>
            </w:pPr>
          </w:p>
          <w:p>
            <w:pPr>
              <w:pStyle w:val="4"/>
              <w:spacing w:beforeLines="50" w:beforeAutospacing="0" w:after="240" w:afterAutospacing="0" w:line="400" w:lineRule="exact"/>
              <w:ind w:left="0" w:right="0"/>
              <w:jc w:val="center"/>
              <w:rPr>
                <w:rFonts w:hint="eastAsia" w:ascii="宋体" w:hAnsi="宋体" w:eastAsia="宋体" w:cs="宋体"/>
                <w:b w:val="0"/>
                <w:bCs w:val="0"/>
                <w:color w:val="auto"/>
                <w:kern w:val="2"/>
                <w:sz w:val="24"/>
                <w:szCs w:val="24"/>
                <w:highlight w:val="none"/>
                <w:lang w:eastAsia="zh-CN"/>
              </w:rPr>
            </w:pPr>
            <w:r>
              <w:rPr>
                <w:rFonts w:hint="eastAsia" w:ascii="宋体" w:hAnsi="宋体" w:cs="宋体"/>
                <w:b w:val="0"/>
                <w:bCs w:val="0"/>
                <w:color w:val="auto"/>
                <w:kern w:val="2"/>
                <w:sz w:val="24"/>
                <w:szCs w:val="24"/>
                <w:highlight w:val="none"/>
                <w:lang w:eastAsia="zh-CN"/>
              </w:rPr>
              <w:t>注：若无分包计划，则投标人应在本表填写“无”</w:t>
            </w:r>
          </w:p>
        </w:tc>
      </w:tr>
      <w:tr>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continue"/>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r>
      <w:tr>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continue"/>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r>
      <w:tr>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continue"/>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r>
      <w:tr>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continue"/>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r>
      <w:tr>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continue"/>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r>
      <w:tr>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continue"/>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r>
      <w:tr>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continue"/>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r>
      <w:tr>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continue"/>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r>
      <w:tr>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continue"/>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r>
      <w:tr>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continue"/>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r>
      <w:tr>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continue"/>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r>
      <w:tr>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continue"/>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r>
      <w:tr>
        <w:tc>
          <w:tcPr>
            <w:tcW w:w="4700" w:type="dxa"/>
            <w:gridSpan w:val="2"/>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lang w:eastAsia="zh-CN"/>
              </w:rPr>
            </w:pPr>
            <w:r>
              <w:rPr>
                <w:rFonts w:hint="eastAsia" w:ascii="宋体" w:hAnsi="宋体" w:cs="宋体"/>
                <w:b w:val="0"/>
                <w:bCs w:val="0"/>
                <w:color w:val="auto"/>
                <w:kern w:val="2"/>
                <w:sz w:val="24"/>
                <w:szCs w:val="24"/>
                <w:highlight w:val="none"/>
                <w:lang w:eastAsia="zh-CN"/>
              </w:rPr>
              <w:t>拟分包工程造价合计（万元）</w:t>
            </w:r>
          </w:p>
        </w:tc>
        <w:tc>
          <w:tcPr>
            <w:tcW w:w="2350" w:type="dxa"/>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c>
          <w:tcPr>
            <w:tcW w:w="2351" w:type="dxa"/>
            <w:vMerge w:val="continue"/>
            <w:vAlign w:val="top"/>
          </w:tcPr>
          <w:p>
            <w:pPr>
              <w:pStyle w:val="4"/>
              <w:spacing w:beforeLines="50" w:beforeAutospacing="0" w:after="240" w:afterAutospacing="0" w:line="400" w:lineRule="exact"/>
              <w:ind w:left="0" w:right="0"/>
              <w:rPr>
                <w:rFonts w:hint="eastAsia" w:ascii="宋体" w:hAnsi="宋体" w:eastAsia="宋体" w:cs="宋体"/>
                <w:b w:val="0"/>
                <w:bCs w:val="0"/>
                <w:color w:val="auto"/>
                <w:kern w:val="2"/>
                <w:sz w:val="24"/>
                <w:szCs w:val="24"/>
                <w:highlight w:val="none"/>
              </w:rPr>
            </w:pPr>
          </w:p>
        </w:tc>
      </w:tr>
    </w:tbl>
    <w:p>
      <w:pPr>
        <w:pStyle w:val="4"/>
        <w:spacing w:beforeLines="50" w:after="240" w:line="400" w:lineRule="exact"/>
        <w:rPr>
          <w:rFonts w:hint="eastAsia" w:ascii="Arial" w:hAnsi="Arial" w:eastAsia="黑体"/>
          <w:color w:val="auto"/>
          <w:kern w:val="2"/>
          <w:sz w:val="28"/>
          <w:szCs w:val="28"/>
          <w:highlight w:val="none"/>
        </w:rPr>
      </w:pPr>
    </w:p>
    <w:p>
      <w:pPr>
        <w:rPr>
          <w:rFonts w:hint="eastAsia" w:ascii="Arial" w:hAnsi="Arial" w:eastAsia="黑体"/>
          <w:color w:val="auto"/>
          <w:kern w:val="2"/>
          <w:sz w:val="28"/>
          <w:szCs w:val="28"/>
          <w:highlight w:val="none"/>
        </w:rPr>
      </w:pPr>
    </w:p>
    <w:bookmarkEnd w:id="238"/>
    <w:bookmarkEnd w:id="239"/>
    <w:bookmarkEnd w:id="240"/>
    <w:bookmarkEnd w:id="241"/>
    <w:p>
      <w:pPr>
        <w:pStyle w:val="4"/>
        <w:spacing w:beforeLines="100" w:afterLines="150" w:line="360" w:lineRule="exact"/>
        <w:jc w:val="center"/>
        <w:rPr>
          <w:rFonts w:ascii="黑体" w:hAnsi="宋体" w:eastAsia="黑体"/>
          <w:color w:val="auto"/>
          <w:sz w:val="28"/>
          <w:szCs w:val="28"/>
          <w:highlight w:val="none"/>
        </w:rPr>
      </w:pPr>
      <w:bookmarkStart w:id="248" w:name="_Toc234382977"/>
      <w:bookmarkStart w:id="249" w:name="_Toc485889072"/>
      <w:bookmarkStart w:id="250" w:name="_Toc18211"/>
      <w:bookmarkStart w:id="251" w:name="_Toc486277938"/>
      <w:r>
        <w:rPr>
          <w:rFonts w:hint="eastAsia" w:ascii="黑体" w:hAnsi="宋体" w:eastAsia="黑体"/>
          <w:color w:val="auto"/>
          <w:sz w:val="28"/>
          <w:szCs w:val="28"/>
          <w:highlight w:val="none"/>
          <w:lang w:eastAsia="zh-CN"/>
        </w:rPr>
        <w:t>七</w:t>
      </w:r>
      <w:r>
        <w:rPr>
          <w:rFonts w:hint="eastAsia" w:ascii="黑体" w:hAnsi="宋体" w:eastAsia="黑体"/>
          <w:color w:val="auto"/>
          <w:sz w:val="28"/>
          <w:szCs w:val="28"/>
          <w:highlight w:val="none"/>
        </w:rPr>
        <w:t>、资格审查资料</w:t>
      </w:r>
      <w:bookmarkEnd w:id="248"/>
      <w:bookmarkEnd w:id="249"/>
      <w:bookmarkEnd w:id="250"/>
      <w:bookmarkEnd w:id="251"/>
    </w:p>
    <w:p>
      <w:pPr>
        <w:pStyle w:val="4"/>
        <w:spacing w:beforeLines="100" w:afterLines="150" w:line="360" w:lineRule="exact"/>
        <w:jc w:val="center"/>
        <w:rPr>
          <w:rFonts w:ascii="黑体" w:hAnsi="宋体" w:eastAsia="黑体"/>
          <w:color w:val="auto"/>
          <w:sz w:val="28"/>
          <w:szCs w:val="28"/>
          <w:highlight w:val="none"/>
        </w:rPr>
      </w:pPr>
      <w:bookmarkStart w:id="252" w:name="_Toc234382978"/>
      <w:bookmarkStart w:id="253" w:name="_Toc9432"/>
      <w:bookmarkStart w:id="254" w:name="_Toc485889073"/>
      <w:bookmarkStart w:id="255" w:name="_Toc486277939"/>
      <w:r>
        <w:rPr>
          <w:rFonts w:hint="eastAsia" w:ascii="黑体" w:hAnsi="宋体" w:eastAsia="黑体"/>
          <w:color w:val="auto"/>
          <w:sz w:val="28"/>
          <w:szCs w:val="28"/>
          <w:highlight w:val="none"/>
        </w:rPr>
        <w:t>（一）投标人基本情况表</w:t>
      </w:r>
      <w:bookmarkEnd w:id="252"/>
      <w:bookmarkEnd w:id="253"/>
      <w:bookmarkEnd w:id="254"/>
      <w:bookmarkEnd w:id="255"/>
    </w:p>
    <w:tbl>
      <w:tblPr>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rPr>
          <w:trHeight w:val="567" w:hRule="exact"/>
          <w:jc w:val="center"/>
        </w:trPr>
        <w:tc>
          <w:tcPr>
            <w:tcW w:w="194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投标人名称</w:t>
            </w:r>
          </w:p>
        </w:tc>
        <w:tc>
          <w:tcPr>
            <w:tcW w:w="7697" w:type="dxa"/>
            <w:gridSpan w:val="8"/>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r>
      <w:tr>
        <w:trPr>
          <w:trHeight w:val="567" w:hRule="exact"/>
          <w:jc w:val="center"/>
        </w:trPr>
        <w:tc>
          <w:tcPr>
            <w:tcW w:w="194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注册地址</w:t>
            </w:r>
          </w:p>
        </w:tc>
        <w:tc>
          <w:tcPr>
            <w:tcW w:w="3846" w:type="dxa"/>
            <w:gridSpan w:val="4"/>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121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邮政编码</w:t>
            </w:r>
          </w:p>
        </w:tc>
        <w:tc>
          <w:tcPr>
            <w:tcW w:w="2639" w:type="dxa"/>
            <w:gridSpan w:val="3"/>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r>
      <w:tr>
        <w:trPr>
          <w:trHeight w:val="567" w:hRule="exact"/>
          <w:jc w:val="center"/>
        </w:trPr>
        <w:tc>
          <w:tcPr>
            <w:tcW w:w="1942" w:type="dxa"/>
            <w:vMerge w:val="restart"/>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联系方式</w:t>
            </w:r>
          </w:p>
        </w:tc>
        <w:tc>
          <w:tcPr>
            <w:tcW w:w="1010"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联系人</w:t>
            </w:r>
          </w:p>
        </w:tc>
        <w:tc>
          <w:tcPr>
            <w:tcW w:w="2836" w:type="dxa"/>
            <w:gridSpan w:val="3"/>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121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电</w:t>
            </w:r>
            <w:r>
              <w:rPr>
                <w:rFonts w:hint="eastAsia" w:ascii="宋体" w:hAnsi="宋体" w:cs="Calibri"/>
                <w:color w:val="auto"/>
                <w:kern w:val="0"/>
                <w:sz w:val="21"/>
                <w:szCs w:val="21"/>
                <w:highlight w:val="none"/>
              </w:rPr>
              <w:t xml:space="preserve"> </w:t>
            </w:r>
            <w:r>
              <w:rPr>
                <w:rFonts w:hint="eastAsia" w:ascii="宋体" w:hAnsi="宋体" w:cs="MingLiU"/>
                <w:color w:val="auto"/>
                <w:kern w:val="0"/>
                <w:sz w:val="21"/>
                <w:szCs w:val="21"/>
                <w:highlight w:val="none"/>
              </w:rPr>
              <w:t>话</w:t>
            </w:r>
          </w:p>
        </w:tc>
        <w:tc>
          <w:tcPr>
            <w:tcW w:w="2639" w:type="dxa"/>
            <w:gridSpan w:val="3"/>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r>
      <w:tr>
        <w:trPr>
          <w:trHeight w:val="567" w:hRule="exact"/>
          <w:jc w:val="center"/>
        </w:trPr>
        <w:tc>
          <w:tcPr>
            <w:tcW w:w="1942" w:type="dxa"/>
            <w:vMerge w:val="continue"/>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1010" w:type="dxa"/>
            <w:vAlign w:val="center"/>
          </w:tcPr>
          <w:p>
            <w:pPr>
              <w:tabs>
                <w:tab w:val="left" w:pos="540"/>
              </w:tabs>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传</w:t>
            </w:r>
            <w:r>
              <w:rPr>
                <w:rFonts w:hint="eastAsia" w:ascii="宋体" w:hAnsi="宋体" w:cs="Calibri"/>
                <w:color w:val="auto"/>
                <w:kern w:val="0"/>
                <w:sz w:val="21"/>
                <w:szCs w:val="21"/>
                <w:highlight w:val="none"/>
              </w:rPr>
              <w:t xml:space="preserve"> </w:t>
            </w:r>
            <w:r>
              <w:rPr>
                <w:rFonts w:hint="eastAsia" w:ascii="宋体" w:hAnsi="宋体" w:cs="MingLiU"/>
                <w:color w:val="auto"/>
                <w:kern w:val="0"/>
                <w:sz w:val="21"/>
                <w:szCs w:val="21"/>
                <w:highlight w:val="none"/>
              </w:rPr>
              <w:t>真</w:t>
            </w:r>
          </w:p>
        </w:tc>
        <w:tc>
          <w:tcPr>
            <w:tcW w:w="2836" w:type="dxa"/>
            <w:gridSpan w:val="3"/>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121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电子邮件</w:t>
            </w:r>
          </w:p>
        </w:tc>
        <w:tc>
          <w:tcPr>
            <w:tcW w:w="2639" w:type="dxa"/>
            <w:gridSpan w:val="3"/>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r>
      <w:tr>
        <w:trPr>
          <w:trHeight w:val="567" w:hRule="exact"/>
          <w:jc w:val="center"/>
        </w:trPr>
        <w:tc>
          <w:tcPr>
            <w:tcW w:w="194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法定代表人</w:t>
            </w:r>
          </w:p>
        </w:tc>
        <w:tc>
          <w:tcPr>
            <w:tcW w:w="1010"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姓名</w:t>
            </w:r>
          </w:p>
        </w:tc>
        <w:tc>
          <w:tcPr>
            <w:tcW w:w="1070"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1416"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技术职称</w:t>
            </w:r>
          </w:p>
        </w:tc>
        <w:tc>
          <w:tcPr>
            <w:tcW w:w="2119" w:type="dxa"/>
            <w:gridSpan w:val="3"/>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966"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电话</w:t>
            </w:r>
          </w:p>
        </w:tc>
        <w:tc>
          <w:tcPr>
            <w:tcW w:w="1116"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r>
      <w:tr>
        <w:trPr>
          <w:trHeight w:val="567" w:hRule="exact"/>
          <w:jc w:val="center"/>
        </w:trPr>
        <w:tc>
          <w:tcPr>
            <w:tcW w:w="194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技术负责人</w:t>
            </w:r>
          </w:p>
        </w:tc>
        <w:tc>
          <w:tcPr>
            <w:tcW w:w="1010"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姓名</w:t>
            </w:r>
          </w:p>
        </w:tc>
        <w:tc>
          <w:tcPr>
            <w:tcW w:w="1070"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1416"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技术职称</w:t>
            </w:r>
          </w:p>
        </w:tc>
        <w:tc>
          <w:tcPr>
            <w:tcW w:w="2119" w:type="dxa"/>
            <w:gridSpan w:val="3"/>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966"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电话</w:t>
            </w:r>
          </w:p>
        </w:tc>
        <w:tc>
          <w:tcPr>
            <w:tcW w:w="1116"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r>
      <w:tr>
        <w:trPr>
          <w:trHeight w:val="567" w:hRule="exact"/>
          <w:jc w:val="center"/>
        </w:trPr>
        <w:tc>
          <w:tcPr>
            <w:tcW w:w="194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default" w:ascii="宋体" w:hAnsi="宋体" w:eastAsia="宋体" w:cs="Calibri"/>
                <w:kern w:val="2"/>
                <w:sz w:val="21"/>
                <w:szCs w:val="22"/>
                <w:highlight w:val="none"/>
              </w:rPr>
              <w:t>营业执照号</w:t>
            </w:r>
          </w:p>
        </w:tc>
        <w:tc>
          <w:tcPr>
            <w:tcW w:w="2080" w:type="dxa"/>
            <w:gridSpan w:val="2"/>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5617" w:type="dxa"/>
            <w:gridSpan w:val="6"/>
            <w:vAlign w:val="center"/>
          </w:tcPr>
          <w:p>
            <w:pPr>
              <w:autoSpaceDE w:val="0"/>
              <w:autoSpaceDN w:val="0"/>
              <w:adjustRightInd w:val="0"/>
              <w:spacing w:before="0" w:beforeAutospacing="0" w:after="0" w:afterAutospacing="0"/>
              <w:ind w:left="105" w:leftChars="50" w:right="0"/>
              <w:jc w:val="center"/>
              <w:rPr>
                <w:rFonts w:hint="default" w:ascii="宋体" w:hAnsi="宋体" w:cs="Calibri"/>
                <w:color w:val="auto"/>
                <w:kern w:val="0"/>
                <w:sz w:val="21"/>
                <w:szCs w:val="21"/>
                <w:highlight w:val="none"/>
                <w:u w:val="single"/>
              </w:rPr>
            </w:pPr>
            <w:r>
              <w:rPr>
                <w:rFonts w:hint="eastAsia" w:ascii="宋体" w:hAnsi="宋体" w:cs="MingLiU"/>
                <w:color w:val="auto"/>
                <w:kern w:val="0"/>
                <w:sz w:val="21"/>
                <w:szCs w:val="21"/>
                <w:highlight w:val="none"/>
              </w:rPr>
              <w:t>员工总人数：</w:t>
            </w:r>
          </w:p>
        </w:tc>
      </w:tr>
      <w:tr>
        <w:trPr>
          <w:trHeight w:val="567" w:hRule="exact"/>
          <w:jc w:val="center"/>
        </w:trPr>
        <w:tc>
          <w:tcPr>
            <w:tcW w:w="194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企业资质等级</w:t>
            </w:r>
          </w:p>
        </w:tc>
        <w:tc>
          <w:tcPr>
            <w:tcW w:w="2080" w:type="dxa"/>
            <w:gridSpan w:val="2"/>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1416" w:type="dxa"/>
            <w:vMerge w:val="restart"/>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其中</w:t>
            </w:r>
          </w:p>
        </w:tc>
        <w:tc>
          <w:tcPr>
            <w:tcW w:w="2119" w:type="dxa"/>
            <w:gridSpan w:val="3"/>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项目经理</w:t>
            </w:r>
          </w:p>
        </w:tc>
        <w:tc>
          <w:tcPr>
            <w:tcW w:w="2082" w:type="dxa"/>
            <w:gridSpan w:val="2"/>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r>
      <w:tr>
        <w:trPr>
          <w:trHeight w:val="567" w:hRule="exact"/>
          <w:jc w:val="center"/>
        </w:trPr>
        <w:tc>
          <w:tcPr>
            <w:tcW w:w="1942" w:type="dxa"/>
            <w:vAlign w:val="center"/>
          </w:tcPr>
          <w:p>
            <w:pPr>
              <w:autoSpaceDE w:val="0"/>
              <w:autoSpaceDN w:val="0"/>
              <w:adjustRightInd w:val="0"/>
              <w:spacing w:before="0" w:beforeAutospacing="0" w:after="0" w:afterAutospacing="0"/>
              <w:ind w:left="0" w:right="0"/>
              <w:jc w:val="center"/>
              <w:rPr>
                <w:rFonts w:hint="eastAsia" w:ascii="宋体" w:hAnsi="宋体" w:eastAsia="宋体" w:cs="Calibri"/>
                <w:color w:val="auto"/>
                <w:kern w:val="0"/>
                <w:sz w:val="21"/>
                <w:szCs w:val="21"/>
                <w:highlight w:val="none"/>
                <w:lang w:eastAsia="zh-CN"/>
              </w:rPr>
            </w:pPr>
            <w:r>
              <w:rPr>
                <w:rFonts w:hint="eastAsia" w:ascii="宋体" w:hAnsi="宋体" w:cs="MingLiU"/>
                <w:color w:val="auto"/>
                <w:kern w:val="0"/>
                <w:sz w:val="21"/>
                <w:szCs w:val="21"/>
                <w:highlight w:val="none"/>
              </w:rPr>
              <w:t>注册资金</w:t>
            </w:r>
          </w:p>
        </w:tc>
        <w:tc>
          <w:tcPr>
            <w:tcW w:w="2080" w:type="dxa"/>
            <w:gridSpan w:val="2"/>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1416" w:type="dxa"/>
            <w:vMerge w:val="continue"/>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2119" w:type="dxa"/>
            <w:gridSpan w:val="3"/>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高级职称人员</w:t>
            </w:r>
          </w:p>
        </w:tc>
        <w:tc>
          <w:tcPr>
            <w:tcW w:w="2082" w:type="dxa"/>
            <w:gridSpan w:val="2"/>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r>
      <w:tr>
        <w:trPr>
          <w:trHeight w:val="567" w:hRule="exact"/>
          <w:jc w:val="center"/>
        </w:trPr>
        <w:tc>
          <w:tcPr>
            <w:tcW w:w="194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lang w:eastAsia="zh-CN"/>
              </w:rPr>
              <w:t>成立日期</w:t>
            </w:r>
          </w:p>
        </w:tc>
        <w:tc>
          <w:tcPr>
            <w:tcW w:w="2080" w:type="dxa"/>
            <w:gridSpan w:val="2"/>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1416" w:type="dxa"/>
            <w:vMerge w:val="continue"/>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2119" w:type="dxa"/>
            <w:gridSpan w:val="3"/>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中级职称人员</w:t>
            </w:r>
          </w:p>
        </w:tc>
        <w:tc>
          <w:tcPr>
            <w:tcW w:w="2082" w:type="dxa"/>
            <w:gridSpan w:val="2"/>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r>
      <w:tr>
        <w:trPr>
          <w:trHeight w:val="567" w:hRule="exact"/>
          <w:jc w:val="center"/>
        </w:trPr>
        <w:tc>
          <w:tcPr>
            <w:tcW w:w="194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基本账户开户银行</w:t>
            </w:r>
          </w:p>
        </w:tc>
        <w:tc>
          <w:tcPr>
            <w:tcW w:w="2080" w:type="dxa"/>
            <w:gridSpan w:val="2"/>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1416" w:type="dxa"/>
            <w:vMerge w:val="continue"/>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2119" w:type="dxa"/>
            <w:gridSpan w:val="3"/>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初级职称人员</w:t>
            </w:r>
          </w:p>
        </w:tc>
        <w:tc>
          <w:tcPr>
            <w:tcW w:w="2082" w:type="dxa"/>
            <w:gridSpan w:val="2"/>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r>
      <w:tr>
        <w:trPr>
          <w:trHeight w:val="567" w:hRule="exact"/>
          <w:jc w:val="center"/>
        </w:trPr>
        <w:tc>
          <w:tcPr>
            <w:tcW w:w="194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基本账户</w:t>
            </w:r>
            <w:r>
              <w:rPr>
                <w:rFonts w:hint="eastAsia" w:ascii="宋体" w:hAnsi="宋体" w:cs="MingLiU"/>
                <w:color w:val="auto"/>
                <w:kern w:val="0"/>
                <w:sz w:val="21"/>
                <w:szCs w:val="21"/>
                <w:highlight w:val="none"/>
                <w:lang w:eastAsia="zh-CN"/>
              </w:rPr>
              <w:t>银行</w:t>
            </w:r>
            <w:r>
              <w:rPr>
                <w:rFonts w:hint="eastAsia" w:ascii="宋体" w:hAnsi="宋体" w:cs="MingLiU"/>
                <w:color w:val="auto"/>
                <w:kern w:val="0"/>
                <w:sz w:val="21"/>
                <w:szCs w:val="21"/>
                <w:highlight w:val="none"/>
              </w:rPr>
              <w:t>账号</w:t>
            </w:r>
          </w:p>
        </w:tc>
        <w:tc>
          <w:tcPr>
            <w:tcW w:w="2080" w:type="dxa"/>
            <w:gridSpan w:val="2"/>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1416" w:type="dxa"/>
            <w:vMerge w:val="continue"/>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2119" w:type="dxa"/>
            <w:gridSpan w:val="3"/>
            <w:vAlign w:val="center"/>
          </w:tcPr>
          <w:p>
            <w:pPr>
              <w:tabs>
                <w:tab w:val="left" w:pos="1240"/>
              </w:tabs>
              <w:autoSpaceDE w:val="0"/>
              <w:autoSpaceDN w:val="0"/>
              <w:adjustRightInd w:val="0"/>
              <w:spacing w:before="98"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技工</w:t>
            </w:r>
          </w:p>
        </w:tc>
        <w:tc>
          <w:tcPr>
            <w:tcW w:w="2082" w:type="dxa"/>
            <w:gridSpan w:val="2"/>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r>
      <w:tr>
        <w:trPr>
          <w:trHeight w:val="1458" w:hRule="exact"/>
          <w:jc w:val="center"/>
        </w:trPr>
        <w:tc>
          <w:tcPr>
            <w:tcW w:w="194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经营范围</w:t>
            </w:r>
          </w:p>
        </w:tc>
        <w:tc>
          <w:tcPr>
            <w:tcW w:w="7697" w:type="dxa"/>
            <w:gridSpan w:val="8"/>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r>
      <w:tr>
        <w:trPr>
          <w:trHeight w:val="1665" w:hRule="exact"/>
          <w:jc w:val="center"/>
        </w:trPr>
        <w:tc>
          <w:tcPr>
            <w:tcW w:w="1942" w:type="dxa"/>
            <w:vAlign w:val="center"/>
          </w:tcPr>
          <w:p>
            <w:pPr>
              <w:autoSpaceDE w:val="0"/>
              <w:autoSpaceDN w:val="0"/>
              <w:adjustRightInd w:val="0"/>
              <w:spacing w:before="0" w:beforeAutospacing="0" w:after="0" w:afterAutospacing="0"/>
              <w:ind w:left="0" w:right="0"/>
              <w:jc w:val="center"/>
              <w:rPr>
                <w:rFonts w:hint="default" w:ascii="宋体" w:hAnsi="宋体" w:cs="MingLiU"/>
                <w:color w:val="auto"/>
                <w:kern w:val="0"/>
                <w:sz w:val="21"/>
                <w:szCs w:val="21"/>
                <w:highlight w:val="none"/>
              </w:rPr>
            </w:pPr>
            <w:r>
              <w:rPr>
                <w:rFonts w:hint="eastAsia" w:ascii="宋体" w:hAnsi="宋体" w:cs="MingLiU"/>
                <w:color w:val="auto"/>
                <w:kern w:val="0"/>
                <w:sz w:val="21"/>
                <w:szCs w:val="21"/>
                <w:highlight w:val="none"/>
                <w:lang w:eastAsia="zh-CN"/>
              </w:rPr>
              <w:t>投标人</w:t>
            </w:r>
            <w:r>
              <w:rPr>
                <w:rFonts w:hint="eastAsia" w:ascii="宋体" w:hAnsi="宋体" w:cs="MingLiU"/>
                <w:color w:val="auto"/>
                <w:kern w:val="0"/>
                <w:sz w:val="21"/>
                <w:szCs w:val="21"/>
                <w:highlight w:val="none"/>
              </w:rPr>
              <w:t>关联企业情况</w:t>
            </w:r>
          </w:p>
        </w:tc>
        <w:tc>
          <w:tcPr>
            <w:tcW w:w="7697" w:type="dxa"/>
            <w:gridSpan w:val="8"/>
            <w:vAlign w:val="center"/>
          </w:tcPr>
          <w:p>
            <w:pPr>
              <w:autoSpaceDE w:val="0"/>
              <w:autoSpaceDN w:val="0"/>
              <w:adjustRightInd w:val="0"/>
              <w:spacing w:before="0" w:beforeAutospacing="0" w:after="0" w:afterAutospacing="0"/>
              <w:ind w:left="0" w:right="0"/>
              <w:jc w:val="center"/>
              <w:rPr>
                <w:rFonts w:hint="eastAsia" w:ascii="宋体" w:hAnsi="宋体" w:cs="Calibri"/>
                <w:color w:val="auto"/>
                <w:kern w:val="0"/>
                <w:sz w:val="21"/>
                <w:szCs w:val="21"/>
                <w:highlight w:val="none"/>
              </w:rPr>
            </w:pPr>
            <w:r>
              <w:rPr>
                <w:rFonts w:hint="eastAsia" w:ascii="宋体" w:hAnsi="宋体" w:cs="Calibri"/>
                <w:color w:val="auto"/>
                <w:kern w:val="0"/>
                <w:sz w:val="21"/>
                <w:szCs w:val="21"/>
                <w:highlight w:val="none"/>
              </w:rPr>
              <w:t>投标人应提供关联企业情况，包括：</w:t>
            </w:r>
          </w:p>
          <w:p>
            <w:pPr>
              <w:numPr>
                <w:ilvl w:val="0"/>
                <w:numId w:val="16"/>
              </w:numPr>
              <w:autoSpaceDE w:val="0"/>
              <w:autoSpaceDN w:val="0"/>
              <w:adjustRightInd w:val="0"/>
              <w:spacing w:before="0" w:beforeAutospacing="0" w:after="0" w:afterAutospacing="0"/>
              <w:ind w:left="0" w:right="0"/>
              <w:jc w:val="center"/>
              <w:rPr>
                <w:rFonts w:hint="eastAsia" w:ascii="宋体" w:hAnsi="宋体" w:cs="Calibri"/>
                <w:color w:val="auto"/>
                <w:kern w:val="0"/>
                <w:sz w:val="21"/>
                <w:szCs w:val="21"/>
                <w:highlight w:val="none"/>
                <w:u w:val="none"/>
                <w:lang w:val="en-US" w:eastAsia="zh-CN"/>
              </w:rPr>
            </w:pPr>
            <w:r>
              <w:rPr>
                <w:rFonts w:hint="eastAsia" w:ascii="宋体" w:hAnsi="宋体" w:cs="Calibri"/>
                <w:color w:val="auto"/>
                <w:kern w:val="0"/>
                <w:sz w:val="21"/>
                <w:szCs w:val="21"/>
                <w:highlight w:val="none"/>
              </w:rPr>
              <w:t>投标人的所有股东名称及相应股权（出资额）比例；如投标人为上市</w:t>
            </w:r>
            <w:r>
              <w:rPr>
                <w:rFonts w:hint="eastAsia" w:ascii="宋体" w:hAnsi="宋体" w:cs="Calibri"/>
                <w:color w:val="auto"/>
                <w:kern w:val="0"/>
                <w:sz w:val="21"/>
                <w:szCs w:val="21"/>
                <w:highlight w:val="none"/>
                <w:lang w:eastAsia="zh-CN"/>
              </w:rPr>
              <w:t>公司，投</w:t>
            </w:r>
          </w:p>
          <w:p>
            <w:pPr>
              <w:numPr>
                <w:numId w:val="0"/>
              </w:numPr>
              <w:autoSpaceDE w:val="0"/>
              <w:autoSpaceDN w:val="0"/>
              <w:adjustRightInd w:val="0"/>
              <w:spacing w:before="0" w:beforeAutospacing="0" w:after="0" w:afterAutospacing="0"/>
              <w:ind w:left="0" w:right="0"/>
              <w:jc w:val="both"/>
              <w:rPr>
                <w:rFonts w:hint="eastAsia" w:ascii="宋体" w:hAnsi="宋体" w:cs="Calibri"/>
                <w:color w:val="auto"/>
                <w:kern w:val="0"/>
                <w:sz w:val="21"/>
                <w:szCs w:val="21"/>
                <w:highlight w:val="none"/>
                <w:u w:val="none"/>
                <w:lang w:val="en-US" w:eastAsia="zh-CN"/>
              </w:rPr>
            </w:pPr>
            <w:r>
              <w:rPr>
                <w:rFonts w:hint="eastAsia" w:ascii="宋体" w:hAnsi="宋体" w:cs="Calibri"/>
                <w:color w:val="auto"/>
                <w:kern w:val="0"/>
                <w:sz w:val="21"/>
                <w:szCs w:val="21"/>
                <w:highlight w:val="none"/>
                <w:lang w:eastAsia="zh-CN"/>
              </w:rPr>
              <w:t>标人应提供股权占公司股份总数</w:t>
            </w:r>
            <w:r>
              <w:rPr>
                <w:rFonts w:hint="eastAsia" w:ascii="宋体" w:hAnsi="宋体" w:cs="Calibri"/>
                <w:color w:val="auto"/>
                <w:kern w:val="0"/>
                <w:sz w:val="21"/>
                <w:szCs w:val="21"/>
                <w:highlight w:val="none"/>
                <w:u w:val="single"/>
                <w:lang w:val="en-US" w:eastAsia="zh-CN"/>
              </w:rPr>
              <w:t xml:space="preserve">    </w:t>
            </w:r>
            <w:r>
              <w:rPr>
                <w:rFonts w:hint="eastAsia" w:ascii="宋体" w:hAnsi="宋体" w:cs="Calibri"/>
                <w:color w:val="auto"/>
                <w:kern w:val="0"/>
                <w:sz w:val="21"/>
                <w:szCs w:val="21"/>
                <w:highlight w:val="none"/>
                <w:u w:val="none"/>
                <w:lang w:val="en-US" w:eastAsia="zh-CN"/>
              </w:rPr>
              <w:t>%以上的所有股东名称及相应股权比例；</w:t>
            </w:r>
          </w:p>
          <w:p>
            <w:pPr>
              <w:numPr>
                <w:ilvl w:val="0"/>
                <w:numId w:val="16"/>
              </w:numPr>
              <w:autoSpaceDE w:val="0"/>
              <w:autoSpaceDN w:val="0"/>
              <w:adjustRightInd w:val="0"/>
              <w:spacing w:before="0" w:beforeAutospacing="0" w:after="0" w:afterAutospacing="0"/>
              <w:ind w:left="0" w:right="0"/>
              <w:jc w:val="both"/>
              <w:rPr>
                <w:rFonts w:hint="eastAsia" w:ascii="宋体" w:hAnsi="宋体" w:cs="Calibri"/>
                <w:color w:val="auto"/>
                <w:kern w:val="0"/>
                <w:sz w:val="21"/>
                <w:szCs w:val="21"/>
                <w:highlight w:val="none"/>
                <w:u w:val="none"/>
                <w:lang w:val="en-US" w:eastAsia="zh-CN"/>
              </w:rPr>
            </w:pPr>
            <w:r>
              <w:rPr>
                <w:rFonts w:hint="eastAsia" w:ascii="宋体" w:hAnsi="宋体" w:cs="Calibri"/>
                <w:color w:val="auto"/>
                <w:kern w:val="0"/>
                <w:sz w:val="21"/>
                <w:szCs w:val="21"/>
                <w:highlight w:val="none"/>
                <w:u w:val="none"/>
                <w:lang w:val="en-US" w:eastAsia="zh-CN"/>
              </w:rPr>
              <w:t>投标人投资（控股）或管理的下属企业名称、持有股权（出资额）比例；</w:t>
            </w:r>
          </w:p>
          <w:p>
            <w:pPr>
              <w:numPr>
                <w:ilvl w:val="0"/>
                <w:numId w:val="16"/>
              </w:numPr>
              <w:autoSpaceDE w:val="0"/>
              <w:autoSpaceDN w:val="0"/>
              <w:adjustRightInd w:val="0"/>
              <w:spacing w:before="0" w:beforeAutospacing="0" w:after="0" w:afterAutospacing="0"/>
              <w:ind w:left="0" w:right="0"/>
              <w:jc w:val="both"/>
              <w:rPr>
                <w:rFonts w:hint="eastAsia" w:ascii="宋体" w:hAnsi="宋体" w:cs="Calibri"/>
                <w:color w:val="auto"/>
                <w:kern w:val="0"/>
                <w:sz w:val="21"/>
                <w:szCs w:val="21"/>
                <w:highlight w:val="none"/>
                <w:u w:val="none"/>
                <w:lang w:val="en-US" w:eastAsia="zh-CN"/>
              </w:rPr>
            </w:pPr>
            <w:r>
              <w:rPr>
                <w:rFonts w:hint="eastAsia" w:ascii="宋体" w:hAnsi="宋体" w:cs="Calibri"/>
                <w:color w:val="auto"/>
                <w:kern w:val="0"/>
                <w:sz w:val="21"/>
                <w:szCs w:val="21"/>
                <w:highlight w:val="none"/>
                <w:u w:val="none"/>
                <w:lang w:val="en-US" w:eastAsia="zh-CN"/>
              </w:rPr>
              <w:t>与投标人单位负责人（即法定代表人）为同一人的其他单位名称。</w:t>
            </w:r>
          </w:p>
        </w:tc>
      </w:tr>
      <w:tr>
        <w:trPr>
          <w:trHeight w:val="567" w:hRule="exact"/>
          <w:jc w:val="center"/>
        </w:trPr>
        <w:tc>
          <w:tcPr>
            <w:tcW w:w="1942"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备    注</w:t>
            </w:r>
          </w:p>
        </w:tc>
        <w:tc>
          <w:tcPr>
            <w:tcW w:w="7697" w:type="dxa"/>
            <w:gridSpan w:val="8"/>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r>
    </w:tbl>
    <w:p>
      <w:pPr>
        <w:numPr>
          <w:numId w:val="0"/>
        </w:numPr>
        <w:autoSpaceDE w:val="0"/>
        <w:autoSpaceDN w:val="0"/>
        <w:adjustRightInd w:val="0"/>
        <w:jc w:val="both"/>
        <w:rPr>
          <w:rFonts w:hint="eastAsia" w:ascii="宋体" w:hAnsi="宋体"/>
          <w:color w:val="auto"/>
          <w:kern w:val="0"/>
          <w:szCs w:val="21"/>
          <w:highlight w:val="none"/>
          <w:u w:val="none"/>
          <w:lang w:val="en-US" w:eastAsia="zh-CN"/>
        </w:rPr>
      </w:pPr>
      <w:bookmarkStart w:id="256" w:name="_Toc234382979"/>
      <w:bookmarkStart w:id="257" w:name="_Toc486277940"/>
      <w:bookmarkStart w:id="258" w:name="_Toc10076"/>
      <w:bookmarkStart w:id="259" w:name="_Toc485889074"/>
      <w:r>
        <w:rPr>
          <w:rFonts w:hint="eastAsia" w:ascii="宋体" w:hAnsi="宋体"/>
          <w:color w:val="auto"/>
          <w:kern w:val="0"/>
          <w:szCs w:val="21"/>
          <w:highlight w:val="none"/>
          <w:u w:val="none"/>
          <w:lang w:val="en-US" w:eastAsia="zh-CN"/>
        </w:rPr>
        <w:t>注：1.投标人应根据招标文件第二章“投标人须知”第3.5.1项的要求在本表后附相关证明材料。</w:t>
      </w:r>
    </w:p>
    <w:p>
      <w:pPr>
        <w:numPr>
          <w:numId w:val="0"/>
        </w:numPr>
        <w:autoSpaceDE w:val="0"/>
        <w:autoSpaceDN w:val="0"/>
        <w:adjustRightInd w:val="0"/>
        <w:ind w:firstLine="420" w:firstLineChars="200"/>
        <w:jc w:val="both"/>
        <w:rPr>
          <w:rFonts w:ascii="黑体" w:hAnsi="宋体" w:eastAsia="黑体"/>
          <w:color w:val="auto"/>
          <w:sz w:val="28"/>
          <w:szCs w:val="28"/>
          <w:highlight w:val="none"/>
        </w:rPr>
      </w:pPr>
      <w:r>
        <w:rPr>
          <w:rFonts w:hint="eastAsia" w:ascii="宋体" w:hAnsi="宋体" w:eastAsia="宋体" w:cs="Times New Roman"/>
          <w:b w:val="0"/>
          <w:bCs w:val="0"/>
          <w:color w:val="auto"/>
          <w:kern w:val="0"/>
          <w:sz w:val="21"/>
          <w:szCs w:val="21"/>
          <w:highlight w:val="none"/>
          <w:u w:val="none"/>
          <w:lang w:val="en-US" w:eastAsia="zh-CN" w:bidi="ar-SA"/>
        </w:rPr>
        <w:t>2.以联合体形式参与投标的，联合体各成员应分别填写。</w:t>
      </w:r>
    </w:p>
    <w:p>
      <w:pPr>
        <w:numPr>
          <w:numId w:val="0"/>
        </w:numPr>
        <w:autoSpaceDE w:val="0"/>
        <w:autoSpaceDN w:val="0"/>
        <w:adjustRightInd w:val="0"/>
        <w:jc w:val="both"/>
        <w:rPr>
          <w:rFonts w:hint="eastAsia" w:ascii="宋体" w:hAnsi="宋体" w:eastAsia="宋体" w:cs="Times New Roman"/>
          <w:b w:val="0"/>
          <w:bCs w:val="0"/>
          <w:color w:val="auto"/>
          <w:kern w:val="0"/>
          <w:sz w:val="21"/>
          <w:szCs w:val="21"/>
          <w:highlight w:val="none"/>
          <w:u w:val="none"/>
          <w:lang w:val="en-US" w:eastAsia="zh-CN" w:bidi="ar-SA"/>
        </w:rPr>
      </w:pPr>
    </w:p>
    <w:p>
      <w:pPr>
        <w:numPr>
          <w:numId w:val="0"/>
        </w:numPr>
        <w:autoSpaceDE w:val="0"/>
        <w:autoSpaceDN w:val="0"/>
        <w:adjustRightInd w:val="0"/>
        <w:jc w:val="both"/>
        <w:rPr>
          <w:rFonts w:hint="eastAsia" w:ascii="宋体" w:hAnsi="宋体" w:eastAsia="宋体" w:cs="Times New Roman"/>
          <w:b w:val="0"/>
          <w:bCs w:val="0"/>
          <w:color w:val="auto"/>
          <w:kern w:val="0"/>
          <w:sz w:val="21"/>
          <w:szCs w:val="21"/>
          <w:highlight w:val="none"/>
          <w:u w:val="none"/>
          <w:lang w:val="en-US" w:eastAsia="zh-CN" w:bidi="ar-SA"/>
        </w:rPr>
      </w:pPr>
    </w:p>
    <w:p>
      <w:pPr>
        <w:numPr>
          <w:numId w:val="0"/>
        </w:numPr>
        <w:autoSpaceDE w:val="0"/>
        <w:autoSpaceDN w:val="0"/>
        <w:adjustRightInd w:val="0"/>
        <w:jc w:val="both"/>
        <w:rPr>
          <w:rFonts w:hint="eastAsia" w:ascii="宋体" w:hAnsi="宋体" w:eastAsia="宋体" w:cs="Times New Roman"/>
          <w:b w:val="0"/>
          <w:bCs w:val="0"/>
          <w:color w:val="auto"/>
          <w:kern w:val="0"/>
          <w:sz w:val="21"/>
          <w:szCs w:val="21"/>
          <w:highlight w:val="none"/>
          <w:u w:val="none"/>
          <w:lang w:val="en-US" w:eastAsia="zh-CN" w:bidi="ar-SA"/>
        </w:rPr>
      </w:pPr>
    </w:p>
    <w:p>
      <w:pPr>
        <w:numPr>
          <w:numId w:val="0"/>
        </w:numPr>
        <w:autoSpaceDE w:val="0"/>
        <w:autoSpaceDN w:val="0"/>
        <w:adjustRightInd w:val="0"/>
        <w:jc w:val="both"/>
        <w:rPr>
          <w:rFonts w:hint="eastAsia" w:ascii="宋体" w:hAnsi="宋体" w:eastAsia="宋体" w:cs="Times New Roman"/>
          <w:b w:val="0"/>
          <w:bCs w:val="0"/>
          <w:color w:val="auto"/>
          <w:kern w:val="0"/>
          <w:sz w:val="21"/>
          <w:szCs w:val="21"/>
          <w:highlight w:val="none"/>
          <w:u w:val="none"/>
          <w:lang w:val="en-US" w:eastAsia="zh-CN" w:bidi="ar-SA"/>
        </w:rPr>
      </w:pPr>
    </w:p>
    <w:p>
      <w:pPr>
        <w:numPr>
          <w:numId w:val="0"/>
        </w:numPr>
        <w:autoSpaceDE w:val="0"/>
        <w:autoSpaceDN w:val="0"/>
        <w:adjustRightInd w:val="0"/>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（二）投标人企业组织结构框图</w:t>
      </w:r>
      <w:bookmarkEnd w:id="256"/>
      <w:bookmarkEnd w:id="257"/>
      <w:bookmarkEnd w:id="258"/>
      <w:bookmarkEnd w:id="259"/>
    </w:p>
    <w:tbl>
      <w:tblPr>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rPr>
          <w:trHeight w:val="8876" w:hRule="atLeast"/>
          <w:jc w:val="center"/>
        </w:trPr>
        <w:tc>
          <w:tcPr>
            <w:tcW w:w="9639" w:type="dxa"/>
            <w:vAlign w:val="top"/>
          </w:tcPr>
          <w:p>
            <w:pPr>
              <w:spacing w:before="0" w:beforeAutospacing="0" w:after="0" w:afterAutospacing="0"/>
              <w:ind w:left="0" w:right="0"/>
              <w:rPr>
                <w:rFonts w:hint="eastAsia" w:ascii="Calibri" w:hAnsi="Calibri" w:cs="宋体"/>
                <w:color w:val="auto"/>
                <w:kern w:val="2"/>
                <w:sz w:val="24"/>
                <w:szCs w:val="21"/>
                <w:highlight w:val="none"/>
              </w:rPr>
            </w:pPr>
          </w:p>
          <w:p>
            <w:pPr>
              <w:spacing w:before="0" w:beforeAutospacing="0" w:after="0" w:afterAutospacing="0"/>
              <w:ind w:left="0" w:right="0"/>
              <w:rPr>
                <w:rFonts w:hint="default" w:ascii="Calibri" w:hAnsi="Calibri" w:cs="宋体"/>
                <w:color w:val="auto"/>
                <w:kern w:val="2"/>
                <w:sz w:val="21"/>
                <w:szCs w:val="21"/>
                <w:highlight w:val="none"/>
              </w:rPr>
            </w:pPr>
            <w:r>
              <w:rPr>
                <w:rFonts w:hint="eastAsia" w:ascii="Calibri" w:hAnsi="Calibri" w:cs="宋体"/>
                <w:color w:val="auto"/>
                <w:kern w:val="2"/>
                <w:sz w:val="24"/>
                <w:szCs w:val="21"/>
                <w:highlight w:val="none"/>
              </w:rPr>
              <w:t>以框图方式表示</w:t>
            </w:r>
            <w:r>
              <w:rPr>
                <w:rFonts w:hint="eastAsia" w:ascii="Calibri" w:hAnsi="Calibri" w:cs="宋体"/>
                <w:color w:val="auto"/>
                <w:kern w:val="2"/>
                <w:sz w:val="24"/>
                <w:szCs w:val="21"/>
                <w:highlight w:val="none"/>
                <w:lang w:eastAsia="zh-CN"/>
              </w:rPr>
              <w:t>：</w:t>
            </w:r>
          </w:p>
        </w:tc>
      </w:tr>
      <w:tr>
        <w:trPr>
          <w:trHeight w:val="2813" w:hRule="atLeast"/>
          <w:jc w:val="center"/>
        </w:trPr>
        <w:tc>
          <w:tcPr>
            <w:tcW w:w="9639" w:type="dxa"/>
            <w:vAlign w:val="top"/>
          </w:tcPr>
          <w:p>
            <w:pPr>
              <w:spacing w:before="0" w:beforeAutospacing="0" w:after="0" w:afterAutospacing="0"/>
              <w:ind w:left="0" w:right="0"/>
              <w:rPr>
                <w:rFonts w:hint="default" w:ascii="Calibri" w:hAnsi="Calibri" w:cs="宋体"/>
                <w:color w:val="auto"/>
                <w:kern w:val="2"/>
                <w:sz w:val="24"/>
                <w:szCs w:val="22"/>
                <w:highlight w:val="none"/>
              </w:rPr>
            </w:pPr>
          </w:p>
          <w:p>
            <w:pPr>
              <w:spacing w:before="0" w:beforeAutospacing="0" w:after="0" w:afterAutospacing="0"/>
              <w:ind w:left="0" w:right="0"/>
              <w:rPr>
                <w:rFonts w:hint="default" w:ascii="Calibri" w:hAnsi="Calibri" w:cs="宋体"/>
                <w:color w:val="auto"/>
                <w:kern w:val="2"/>
                <w:sz w:val="21"/>
                <w:szCs w:val="21"/>
                <w:highlight w:val="none"/>
              </w:rPr>
            </w:pPr>
            <w:r>
              <w:rPr>
                <w:rFonts w:hint="eastAsia" w:ascii="Calibri" w:hAnsi="Calibri" w:cs="宋体"/>
                <w:color w:val="auto"/>
                <w:kern w:val="2"/>
                <w:sz w:val="21"/>
                <w:szCs w:val="21"/>
                <w:highlight w:val="none"/>
              </w:rPr>
              <w:t>说明</w:t>
            </w:r>
            <w:r>
              <w:rPr>
                <w:rFonts w:hint="eastAsia" w:ascii="Calibri" w:hAnsi="Calibri" w:cs="宋体"/>
                <w:color w:val="auto"/>
                <w:kern w:val="2"/>
                <w:sz w:val="21"/>
                <w:szCs w:val="21"/>
                <w:highlight w:val="none"/>
                <w:lang w:eastAsia="zh-CN"/>
              </w:rPr>
              <w:t>：</w:t>
            </w:r>
          </w:p>
        </w:tc>
      </w:tr>
    </w:tbl>
    <w:p>
      <w:pPr>
        <w:ind w:left="105" w:firstLine="315"/>
        <w:jc w:val="center"/>
        <w:rPr>
          <w:rFonts w:ascii="宋体" w:hAnsi="宋体"/>
          <w:color w:val="auto"/>
          <w:szCs w:val="21"/>
          <w:highlight w:val="none"/>
        </w:rPr>
      </w:pPr>
      <w:r>
        <w:rPr>
          <w:color w:val="auto"/>
          <w:highlight w:val="none"/>
        </w:rPr>
        <w:br w:type="page"/>
      </w:r>
      <w:bookmarkStart w:id="260" w:name="_Toc8347"/>
      <w:bookmarkStart w:id="261" w:name="_Toc486277941"/>
      <w:bookmarkStart w:id="262" w:name="_Toc485889075"/>
      <w:bookmarkStart w:id="263" w:name="_Toc234382980"/>
      <w:r>
        <w:rPr>
          <w:rFonts w:hint="eastAsia" w:ascii="黑体" w:hAnsi="宋体" w:eastAsia="黑体"/>
          <w:color w:val="auto"/>
          <w:sz w:val="28"/>
          <w:szCs w:val="28"/>
          <w:highlight w:val="none"/>
        </w:rPr>
        <w:t>（三）</w:t>
      </w:r>
      <w:bookmarkStart w:id="264" w:name="_Toc485889076"/>
      <w:r>
        <w:rPr>
          <w:rFonts w:hint="eastAsia" w:ascii="黑体" w:hAnsi="宋体" w:eastAsia="黑体"/>
          <w:b/>
          <w:bCs/>
          <w:color w:val="auto"/>
          <w:kern w:val="44"/>
          <w:sz w:val="28"/>
          <w:szCs w:val="28"/>
          <w:highlight w:val="none"/>
        </w:rPr>
        <w:t>近年财务状况表</w:t>
      </w:r>
      <w:bookmarkEnd w:id="264"/>
    </w:p>
    <w:p>
      <w:pPr>
        <w:spacing w:after="120"/>
        <w:jc w:val="center"/>
        <w:rPr>
          <w:rFonts w:ascii="黑体" w:eastAsia="黑体"/>
          <w:b/>
          <w:color w:val="auto"/>
          <w:sz w:val="24"/>
          <w:highlight w:val="none"/>
        </w:rPr>
      </w:pPr>
      <w:r>
        <w:rPr>
          <w:rFonts w:hint="eastAsia" w:ascii="黑体" w:eastAsia="黑体"/>
          <w:b/>
          <w:color w:val="auto"/>
          <w:sz w:val="24"/>
          <w:highlight w:val="none"/>
        </w:rPr>
        <w:t>财务状况表</w:t>
      </w:r>
    </w:p>
    <w:tbl>
      <w:tblPr>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rPr>
          <w:trHeight w:val="510" w:hRule="atLeast"/>
          <w:jc w:val="center"/>
        </w:trPr>
        <w:tc>
          <w:tcPr>
            <w:tcW w:w="4873"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项目或指标</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单位</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年</w:t>
            </w: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年</w:t>
            </w: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年</w:t>
            </w:r>
          </w:p>
        </w:tc>
      </w:tr>
      <w:tr>
        <w:trPr>
          <w:trHeight w:val="510" w:hRule="atLeast"/>
          <w:jc w:val="center"/>
        </w:trPr>
        <w:tc>
          <w:tcPr>
            <w:tcW w:w="4873" w:type="dxa"/>
            <w:vAlign w:val="center"/>
          </w:tcPr>
          <w:p>
            <w:pPr>
              <w:spacing w:before="0" w:beforeAutospacing="0" w:after="0" w:afterAutospacing="0"/>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一、注册资金</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万元</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二、净资产</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万元</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三、总资产</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万元</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四、固定资产</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万元</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五、流动资产</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万元</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六、流动负债</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万元</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七、负债合计</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万元</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八、营业收入</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万元</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九、净利润</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万元</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十、现金流量净额</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十一、主要财务指标</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firstLine="525" w:firstLineChars="25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1．净资产收益率</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firstLine="525" w:firstLineChars="25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2．总资产报酬</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firstLine="525" w:firstLineChars="25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3．主营业务利润率</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firstLine="525" w:firstLineChars="25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4．资产负债率</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firstLine="525" w:firstLineChars="25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5、流动比率</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10" w:hRule="atLeast"/>
          <w:jc w:val="center"/>
        </w:trPr>
        <w:tc>
          <w:tcPr>
            <w:tcW w:w="4873" w:type="dxa"/>
            <w:vAlign w:val="center"/>
          </w:tcPr>
          <w:p>
            <w:pPr>
              <w:spacing w:before="0" w:beforeAutospacing="0" w:after="0" w:afterAutospacing="0"/>
              <w:ind w:left="0" w:right="0" w:firstLine="525" w:firstLineChars="250"/>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6、速动比率</w:t>
            </w:r>
          </w:p>
        </w:tc>
        <w:tc>
          <w:tcPr>
            <w:tcW w:w="99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w:t>
            </w:r>
          </w:p>
        </w:tc>
        <w:tc>
          <w:tcPr>
            <w:tcW w:w="125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25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bl>
    <w:p>
      <w:pPr>
        <w:spacing w:line="239" w:lineRule="auto"/>
        <w:rPr>
          <w:rFonts w:ascii="宋体" w:hAnsi="宋体" w:eastAsia="宋体"/>
          <w:sz w:val="21"/>
          <w:highlight w:val="none"/>
        </w:rPr>
      </w:pPr>
      <w:r>
        <w:rPr>
          <w:rFonts w:ascii="宋体" w:hAnsi="宋体" w:eastAsia="宋体"/>
          <w:sz w:val="21"/>
          <w:highlight w:val="none"/>
        </w:rPr>
        <w:t>注：</w:t>
      </w:r>
      <w:r>
        <w:rPr>
          <w:rFonts w:ascii="Times New Roman" w:hAnsi="Times New Roman" w:eastAsia="Times New Roman"/>
          <w:sz w:val="21"/>
          <w:highlight w:val="none"/>
        </w:rPr>
        <w:t>1.</w:t>
      </w:r>
      <w:r>
        <w:rPr>
          <w:rFonts w:ascii="宋体" w:hAnsi="宋体" w:eastAsia="宋体"/>
          <w:sz w:val="21"/>
          <w:highlight w:val="none"/>
        </w:rPr>
        <w:t>投标人应根据招标文件第二章</w:t>
      </w:r>
      <w:r>
        <w:rPr>
          <w:rFonts w:ascii="Arial" w:hAnsi="Arial" w:eastAsia="Arial"/>
          <w:sz w:val="21"/>
          <w:highlight w:val="none"/>
        </w:rPr>
        <w:t>“</w:t>
      </w:r>
      <w:r>
        <w:rPr>
          <w:rFonts w:ascii="宋体" w:hAnsi="宋体" w:eastAsia="宋体"/>
          <w:sz w:val="21"/>
          <w:highlight w:val="none"/>
        </w:rPr>
        <w:t>投标人须知</w:t>
      </w:r>
      <w:r>
        <w:rPr>
          <w:rFonts w:ascii="Arial" w:hAnsi="Arial" w:eastAsia="Arial"/>
          <w:sz w:val="21"/>
          <w:highlight w:val="none"/>
        </w:rPr>
        <w:t>”</w:t>
      </w:r>
      <w:r>
        <w:rPr>
          <w:rFonts w:ascii="宋体" w:hAnsi="宋体" w:eastAsia="宋体"/>
          <w:sz w:val="21"/>
          <w:highlight w:val="none"/>
        </w:rPr>
        <w:t xml:space="preserve">第 </w:t>
      </w:r>
      <w:r>
        <w:rPr>
          <w:rFonts w:ascii="Times New Roman" w:hAnsi="Times New Roman" w:eastAsia="Times New Roman"/>
          <w:sz w:val="21"/>
          <w:highlight w:val="none"/>
        </w:rPr>
        <w:t>3.5.2</w:t>
      </w:r>
      <w:r>
        <w:rPr>
          <w:rFonts w:ascii="宋体" w:hAnsi="宋体" w:eastAsia="宋体"/>
          <w:sz w:val="21"/>
          <w:highlight w:val="none"/>
        </w:rPr>
        <w:t xml:space="preserve"> 项的要求在本表后附相关证明材料。</w:t>
      </w:r>
    </w:p>
    <w:p>
      <w:pPr>
        <w:spacing w:line="147" w:lineRule="exact"/>
        <w:rPr>
          <w:rFonts w:ascii="Times New Roman" w:hAnsi="Times New Roman" w:eastAsia="Times New Roman"/>
          <w:highlight w:val="none"/>
        </w:rPr>
      </w:pPr>
    </w:p>
    <w:p>
      <w:pPr>
        <w:spacing w:line="239" w:lineRule="auto"/>
        <w:ind w:left="520"/>
        <w:rPr>
          <w:rFonts w:ascii="宋体" w:hAnsi="宋体" w:eastAsia="宋体"/>
          <w:sz w:val="21"/>
          <w:highlight w:val="none"/>
        </w:rPr>
      </w:pPr>
      <w:r>
        <w:rPr>
          <w:rFonts w:ascii="Times New Roman" w:hAnsi="Times New Roman" w:eastAsia="Times New Roman"/>
          <w:sz w:val="21"/>
          <w:highlight w:val="none"/>
        </w:rPr>
        <w:t>2.</w:t>
      </w:r>
      <w:r>
        <w:rPr>
          <w:rFonts w:ascii="宋体" w:hAnsi="宋体" w:eastAsia="宋体"/>
          <w:sz w:val="21"/>
          <w:highlight w:val="none"/>
        </w:rPr>
        <w:t>本表所列数据必须与本表各附件中的数据相一致。</w:t>
      </w:r>
    </w:p>
    <w:p>
      <w:pPr>
        <w:spacing w:line="146" w:lineRule="exact"/>
        <w:rPr>
          <w:rFonts w:ascii="Times New Roman" w:hAnsi="Times New Roman" w:eastAsia="Times New Roman"/>
          <w:highlight w:val="none"/>
        </w:rPr>
      </w:pPr>
    </w:p>
    <w:p>
      <w:pPr>
        <w:spacing w:line="239" w:lineRule="auto"/>
        <w:ind w:left="520"/>
        <w:rPr>
          <w:rFonts w:ascii="宋体" w:hAnsi="宋体" w:eastAsia="宋体"/>
          <w:sz w:val="21"/>
          <w:highlight w:val="none"/>
        </w:rPr>
      </w:pPr>
      <w:r>
        <w:rPr>
          <w:rFonts w:ascii="Times New Roman" w:hAnsi="Times New Roman" w:eastAsia="Times New Roman"/>
          <w:sz w:val="21"/>
          <w:highlight w:val="none"/>
        </w:rPr>
        <w:t>3.</w:t>
      </w:r>
      <w:r>
        <w:rPr>
          <w:rFonts w:ascii="宋体" w:hAnsi="宋体" w:eastAsia="宋体"/>
          <w:sz w:val="21"/>
          <w:highlight w:val="none"/>
        </w:rPr>
        <w:t>以联合体形式参与投标的，联合体各成员应分别填写。</w:t>
      </w: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pStyle w:val="4"/>
        <w:spacing w:beforeLines="100" w:afterLines="100" w:line="360" w:lineRule="exact"/>
        <w:jc w:val="center"/>
        <w:rPr>
          <w:rFonts w:ascii="黑体" w:hAnsi="宋体" w:eastAsia="黑体"/>
          <w:color w:val="auto"/>
          <w:sz w:val="28"/>
          <w:szCs w:val="28"/>
          <w:highlight w:val="none"/>
        </w:rPr>
      </w:pPr>
      <w:bookmarkStart w:id="265" w:name="_Toc485889077"/>
      <w:bookmarkStart w:id="266" w:name="_Toc486277942"/>
      <w:bookmarkStart w:id="267" w:name="_Toc234242181"/>
      <w:bookmarkStart w:id="268" w:name="_Toc234382982"/>
      <w:bookmarkStart w:id="269" w:name="_Toc30568"/>
      <w:r>
        <w:rPr>
          <w:rFonts w:hint="eastAsia" w:ascii="黑体" w:hAnsi="宋体" w:eastAsia="黑体"/>
          <w:color w:val="auto"/>
          <w:sz w:val="28"/>
          <w:szCs w:val="28"/>
          <w:highlight w:val="none"/>
        </w:rPr>
        <w:t>（</w:t>
      </w:r>
      <w:r>
        <w:rPr>
          <w:rFonts w:hint="eastAsia" w:ascii="黑体" w:hAnsi="宋体" w:eastAsia="黑体"/>
          <w:color w:val="auto"/>
          <w:sz w:val="28"/>
          <w:szCs w:val="28"/>
          <w:highlight w:val="none"/>
          <w:lang w:eastAsia="zh-CN"/>
        </w:rPr>
        <w:t>四</w:t>
      </w:r>
      <w:r>
        <w:rPr>
          <w:rFonts w:hint="eastAsia" w:ascii="黑体" w:hAnsi="宋体" w:eastAsia="黑体"/>
          <w:color w:val="auto"/>
          <w:sz w:val="28"/>
          <w:szCs w:val="28"/>
          <w:highlight w:val="none"/>
        </w:rPr>
        <w:t>）近年完成的类似项目汇总表</w:t>
      </w:r>
      <w:bookmarkEnd w:id="265"/>
      <w:bookmarkEnd w:id="266"/>
      <w:bookmarkEnd w:id="267"/>
      <w:bookmarkEnd w:id="268"/>
      <w:bookmarkEnd w:id="269"/>
    </w:p>
    <w:tbl>
      <w:tblPr>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rPr>
          <w:trHeight w:val="567" w:hRule="atLeast"/>
          <w:jc w:val="center"/>
        </w:trPr>
        <w:tc>
          <w:tcPr>
            <w:tcW w:w="2610" w:type="dxa"/>
            <w:vAlign w:val="center"/>
          </w:tcPr>
          <w:p>
            <w:pPr>
              <w:spacing w:before="0" w:beforeAutospacing="0" w:after="0" w:afterAutospacing="0"/>
              <w:ind w:left="0" w:right="0"/>
              <w:jc w:val="center"/>
              <w:rPr>
                <w:rFonts w:hint="eastAsia" w:ascii="宋体" w:hAnsi="宋体" w:eastAsia="宋体" w:cs="Calibri"/>
                <w:color w:val="auto"/>
                <w:kern w:val="2"/>
                <w:sz w:val="21"/>
                <w:szCs w:val="21"/>
                <w:highlight w:val="none"/>
                <w:lang w:eastAsia="zh-CN"/>
              </w:rPr>
            </w:pPr>
            <w:r>
              <w:rPr>
                <w:rFonts w:hint="eastAsia" w:ascii="宋体" w:hAnsi="宋体" w:cs="Calibri"/>
                <w:color w:val="auto"/>
                <w:kern w:val="2"/>
                <w:sz w:val="21"/>
                <w:szCs w:val="21"/>
                <w:highlight w:val="none"/>
                <w:lang w:eastAsia="zh-CN"/>
              </w:rPr>
              <w:t>序号</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jc w:val="center"/>
        </w:trPr>
        <w:tc>
          <w:tcPr>
            <w:tcW w:w="2610" w:type="dxa"/>
            <w:vAlign w:val="center"/>
          </w:tcPr>
          <w:p>
            <w:pPr>
              <w:spacing w:before="0" w:beforeAutospacing="0" w:after="0" w:afterAutospacing="0"/>
              <w:ind w:left="0" w:right="0"/>
              <w:jc w:val="center"/>
              <w:rPr>
                <w:rFonts w:hint="eastAsia" w:ascii="宋体" w:hAnsi="宋体" w:cs="Calibri"/>
                <w:color w:val="auto"/>
                <w:kern w:val="2"/>
                <w:sz w:val="21"/>
                <w:szCs w:val="21"/>
                <w:highlight w:val="none"/>
              </w:rPr>
            </w:pPr>
            <w:r>
              <w:rPr>
                <w:rFonts w:hint="eastAsia" w:ascii="宋体" w:hAnsi="宋体" w:cs="Calibri"/>
                <w:color w:val="auto"/>
                <w:kern w:val="2"/>
                <w:sz w:val="21"/>
                <w:szCs w:val="21"/>
                <w:highlight w:val="none"/>
              </w:rPr>
              <w:t>项目名称</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项目所在地</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发包人名称</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发包人地址</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发包人电话</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合同价格</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开工日期</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交工日期</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承担的工作</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工程质量</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项目经理</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项目总工</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总监理工程师及电话</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783"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项目描述</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689" w:hRule="atLeast"/>
          <w:jc w:val="center"/>
        </w:trPr>
        <w:tc>
          <w:tcPr>
            <w:tcW w:w="261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备注</w:t>
            </w:r>
          </w:p>
        </w:tc>
        <w:tc>
          <w:tcPr>
            <w:tcW w:w="702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注：1.每张表格只填写一个项目，并标明序号。</w:t>
      </w:r>
    </w:p>
    <w:p>
      <w:pPr>
        <w:rPr>
          <w:rFonts w:hint="eastAsia" w:ascii="宋体" w:hAnsi="宋体"/>
          <w:color w:val="auto"/>
          <w:szCs w:val="21"/>
          <w:highlight w:val="none"/>
        </w:rPr>
      </w:pPr>
      <w:r>
        <w:rPr>
          <w:rFonts w:hint="eastAsia" w:ascii="宋体" w:hAnsi="宋体"/>
          <w:color w:val="auto"/>
          <w:szCs w:val="21"/>
          <w:highlight w:val="none"/>
        </w:rPr>
        <w:t>2.投标人应根据招标文件第二章“投标人须知”第 3.5.3 项的要求在本表后附相关证明材料。</w:t>
      </w:r>
    </w:p>
    <w:p>
      <w:pPr>
        <w:rPr>
          <w:rFonts w:hint="eastAsia" w:ascii="宋体" w:hAnsi="宋体"/>
          <w:color w:val="auto"/>
          <w:szCs w:val="21"/>
          <w:highlight w:val="none"/>
        </w:rPr>
      </w:pPr>
      <w:r>
        <w:rPr>
          <w:rFonts w:hint="eastAsia" w:ascii="宋体" w:hAnsi="宋体"/>
          <w:color w:val="auto"/>
          <w:szCs w:val="21"/>
          <w:highlight w:val="none"/>
        </w:rPr>
        <w:t>3.如近年来，投标人法人机构发生合法变更或重组或法人名称变更时，应提供相关部门的合法批件或其他相关证明材料来证明其所附业绩的继承性。</w:t>
      </w:r>
    </w:p>
    <w:p>
      <w:pPr>
        <w:rPr>
          <w:rFonts w:hint="eastAsia" w:ascii="宋体" w:hAnsi="宋体"/>
          <w:color w:val="auto"/>
          <w:szCs w:val="21"/>
          <w:highlight w:val="none"/>
        </w:rPr>
      </w:pPr>
      <w:r>
        <w:rPr>
          <w:rFonts w:hint="eastAsia" w:ascii="宋体" w:hAnsi="宋体"/>
          <w:color w:val="auto"/>
          <w:szCs w:val="21"/>
          <w:highlight w:val="none"/>
        </w:rPr>
        <w:t>4.以联合体形式参与投标的，联合体各成员应分别填写。</w:t>
      </w:r>
    </w:p>
    <w:p>
      <w:pPr>
        <w:pStyle w:val="4"/>
        <w:spacing w:beforeLines="100" w:afterLines="150" w:line="360" w:lineRule="exact"/>
        <w:jc w:val="both"/>
        <w:rPr>
          <w:rFonts w:hint="eastAsia" w:ascii="黑体" w:hAnsi="宋体" w:eastAsia="黑体"/>
          <w:b/>
          <w:bCs/>
          <w:color w:val="auto"/>
          <w:kern w:val="44"/>
          <w:sz w:val="28"/>
          <w:szCs w:val="28"/>
          <w:highlight w:val="none"/>
        </w:rPr>
      </w:pPr>
    </w:p>
    <w:p>
      <w:pPr>
        <w:rPr>
          <w:rFonts w:hint="eastAsia"/>
          <w:highlight w:val="none"/>
        </w:rPr>
      </w:pPr>
    </w:p>
    <w:p>
      <w:pPr>
        <w:pStyle w:val="4"/>
        <w:numPr>
          <w:ilvl w:val="0"/>
          <w:numId w:val="17"/>
        </w:numPr>
        <w:spacing w:beforeLines="100" w:afterLines="150" w:line="360" w:lineRule="exact"/>
        <w:jc w:val="center"/>
        <w:rPr>
          <w:rFonts w:hint="eastAsia" w:ascii="黑体" w:hAnsi="宋体" w:eastAsia="黑体"/>
          <w:b/>
          <w:bCs/>
          <w:color w:val="auto"/>
          <w:kern w:val="44"/>
          <w:sz w:val="28"/>
          <w:szCs w:val="28"/>
          <w:highlight w:val="none"/>
          <w:lang w:eastAsia="zh-CN"/>
        </w:rPr>
      </w:pPr>
      <w:r>
        <w:rPr>
          <w:rFonts w:hint="eastAsia" w:ascii="黑体" w:hAnsi="宋体" w:eastAsia="黑体"/>
          <w:b/>
          <w:bCs/>
          <w:color w:val="auto"/>
          <w:kern w:val="44"/>
          <w:sz w:val="28"/>
          <w:szCs w:val="28"/>
          <w:highlight w:val="none"/>
          <w:lang w:eastAsia="zh-CN"/>
        </w:rPr>
        <w:t>投标人的信誉情况表</w:t>
      </w:r>
    </w:p>
    <w:tbl>
      <w:tblPr>
        <w:tblW w:w="9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0"/>
        <w:gridCol w:w="4610"/>
      </w:tblGrid>
      <w:tr>
        <w:trPr>
          <w:trHeight w:val="1015" w:hRule="atLeast"/>
        </w:trPr>
        <w:tc>
          <w:tcPr>
            <w:tcW w:w="4610" w:type="dxa"/>
            <w:vAlign w:val="center"/>
          </w:tcPr>
          <w:p>
            <w:pPr>
              <w:numPr>
                <w:numId w:val="0"/>
              </w:numPr>
              <w:spacing w:before="0" w:beforeAutospacing="0" w:after="0" w:afterAutospacing="0"/>
              <w:ind w:left="0" w:right="0"/>
              <w:jc w:val="center"/>
              <w:rPr>
                <w:rFonts w:hint="eastAsia" w:eastAsia="宋体"/>
                <w:highlight w:val="none"/>
                <w:lang w:eastAsia="zh-CN"/>
              </w:rPr>
            </w:pPr>
            <w:r>
              <w:rPr>
                <w:rFonts w:hint="eastAsia"/>
                <w:highlight w:val="none"/>
                <w:lang w:eastAsia="zh-CN"/>
              </w:rPr>
              <w:t>项目</w:t>
            </w:r>
          </w:p>
        </w:tc>
        <w:tc>
          <w:tcPr>
            <w:tcW w:w="4610" w:type="dxa"/>
            <w:vAlign w:val="center"/>
          </w:tcPr>
          <w:p>
            <w:pPr>
              <w:numPr>
                <w:numId w:val="0"/>
              </w:numPr>
              <w:spacing w:before="0" w:beforeAutospacing="0" w:after="0" w:afterAutospacing="0"/>
              <w:ind w:left="0" w:right="0"/>
              <w:jc w:val="center"/>
              <w:rPr>
                <w:rFonts w:hint="eastAsia" w:eastAsia="宋体"/>
                <w:highlight w:val="none"/>
                <w:lang w:eastAsia="zh-CN"/>
              </w:rPr>
            </w:pPr>
            <w:r>
              <w:rPr>
                <w:rFonts w:hint="eastAsia"/>
                <w:highlight w:val="none"/>
                <w:lang w:eastAsia="zh-CN"/>
              </w:rPr>
              <w:t>投标人情况说明</w:t>
            </w:r>
          </w:p>
        </w:tc>
      </w:tr>
      <w:tr>
        <w:trPr>
          <w:trHeight w:val="1015" w:hRule="atLeast"/>
        </w:trPr>
        <w:tc>
          <w:tcPr>
            <w:tcW w:w="4610" w:type="dxa"/>
            <w:vAlign w:val="center"/>
          </w:tcPr>
          <w:p>
            <w:pPr>
              <w:numPr>
                <w:numId w:val="0"/>
              </w:numPr>
              <w:spacing w:before="0" w:beforeAutospacing="0" w:after="0" w:afterAutospacing="0"/>
              <w:ind w:left="0" w:right="0"/>
              <w:rPr>
                <w:rFonts w:hint="eastAsia"/>
                <w:highlight w:val="none"/>
              </w:rPr>
            </w:pPr>
          </w:p>
        </w:tc>
        <w:tc>
          <w:tcPr>
            <w:tcW w:w="4610" w:type="dxa"/>
            <w:vAlign w:val="center"/>
          </w:tcPr>
          <w:p>
            <w:pPr>
              <w:numPr>
                <w:numId w:val="0"/>
              </w:numPr>
              <w:spacing w:before="0" w:beforeAutospacing="0" w:after="0" w:afterAutospacing="0"/>
              <w:ind w:left="0" w:right="0"/>
              <w:rPr>
                <w:rFonts w:hint="eastAsia"/>
                <w:highlight w:val="none"/>
              </w:rPr>
            </w:pPr>
          </w:p>
        </w:tc>
      </w:tr>
      <w:tr>
        <w:trPr>
          <w:trHeight w:val="1015" w:hRule="atLeast"/>
        </w:trPr>
        <w:tc>
          <w:tcPr>
            <w:tcW w:w="4610" w:type="dxa"/>
            <w:vAlign w:val="center"/>
          </w:tcPr>
          <w:p>
            <w:pPr>
              <w:numPr>
                <w:numId w:val="0"/>
              </w:numPr>
              <w:spacing w:before="0" w:beforeAutospacing="0" w:after="0" w:afterAutospacing="0"/>
              <w:ind w:left="0" w:right="0"/>
              <w:rPr>
                <w:rFonts w:hint="eastAsia"/>
                <w:highlight w:val="none"/>
              </w:rPr>
            </w:pPr>
          </w:p>
        </w:tc>
        <w:tc>
          <w:tcPr>
            <w:tcW w:w="4610" w:type="dxa"/>
            <w:vAlign w:val="center"/>
          </w:tcPr>
          <w:p>
            <w:pPr>
              <w:numPr>
                <w:numId w:val="0"/>
              </w:numPr>
              <w:spacing w:before="0" w:beforeAutospacing="0" w:after="0" w:afterAutospacing="0"/>
              <w:ind w:left="0" w:right="0"/>
              <w:rPr>
                <w:rFonts w:hint="eastAsia"/>
                <w:highlight w:val="none"/>
              </w:rPr>
            </w:pPr>
          </w:p>
        </w:tc>
      </w:tr>
      <w:tr>
        <w:trPr>
          <w:trHeight w:val="1015" w:hRule="atLeast"/>
        </w:trPr>
        <w:tc>
          <w:tcPr>
            <w:tcW w:w="4610" w:type="dxa"/>
            <w:vAlign w:val="center"/>
          </w:tcPr>
          <w:p>
            <w:pPr>
              <w:numPr>
                <w:numId w:val="0"/>
              </w:numPr>
              <w:spacing w:before="0" w:beforeAutospacing="0" w:after="0" w:afterAutospacing="0"/>
              <w:ind w:left="0" w:right="0"/>
              <w:rPr>
                <w:rFonts w:hint="eastAsia"/>
                <w:highlight w:val="none"/>
              </w:rPr>
            </w:pPr>
          </w:p>
        </w:tc>
        <w:tc>
          <w:tcPr>
            <w:tcW w:w="4610" w:type="dxa"/>
            <w:vAlign w:val="center"/>
          </w:tcPr>
          <w:p>
            <w:pPr>
              <w:numPr>
                <w:numId w:val="0"/>
              </w:numPr>
              <w:spacing w:before="0" w:beforeAutospacing="0" w:after="0" w:afterAutospacing="0"/>
              <w:ind w:left="0" w:right="0"/>
              <w:rPr>
                <w:rFonts w:hint="eastAsia"/>
                <w:highlight w:val="none"/>
              </w:rPr>
            </w:pPr>
          </w:p>
        </w:tc>
      </w:tr>
      <w:tr>
        <w:trPr>
          <w:trHeight w:val="1015" w:hRule="atLeast"/>
        </w:trPr>
        <w:tc>
          <w:tcPr>
            <w:tcW w:w="4610" w:type="dxa"/>
            <w:vAlign w:val="center"/>
          </w:tcPr>
          <w:p>
            <w:pPr>
              <w:numPr>
                <w:numId w:val="0"/>
              </w:numPr>
              <w:spacing w:before="0" w:beforeAutospacing="0" w:after="0" w:afterAutospacing="0"/>
              <w:ind w:left="0" w:right="0"/>
              <w:rPr>
                <w:rFonts w:hint="eastAsia"/>
                <w:highlight w:val="none"/>
              </w:rPr>
            </w:pPr>
          </w:p>
        </w:tc>
        <w:tc>
          <w:tcPr>
            <w:tcW w:w="4610" w:type="dxa"/>
            <w:vAlign w:val="center"/>
          </w:tcPr>
          <w:p>
            <w:pPr>
              <w:numPr>
                <w:numId w:val="0"/>
              </w:numPr>
              <w:spacing w:before="0" w:beforeAutospacing="0" w:after="0" w:afterAutospacing="0"/>
              <w:ind w:left="0" w:right="0"/>
              <w:rPr>
                <w:rFonts w:hint="eastAsia"/>
                <w:highlight w:val="none"/>
              </w:rPr>
            </w:pPr>
          </w:p>
        </w:tc>
      </w:tr>
      <w:tr>
        <w:trPr>
          <w:trHeight w:val="1015" w:hRule="atLeast"/>
        </w:trPr>
        <w:tc>
          <w:tcPr>
            <w:tcW w:w="4610" w:type="dxa"/>
            <w:vAlign w:val="center"/>
          </w:tcPr>
          <w:p>
            <w:pPr>
              <w:numPr>
                <w:numId w:val="0"/>
              </w:numPr>
              <w:spacing w:before="0" w:beforeAutospacing="0" w:after="0" w:afterAutospacing="0"/>
              <w:ind w:left="0" w:right="0"/>
              <w:rPr>
                <w:rFonts w:hint="eastAsia"/>
                <w:highlight w:val="none"/>
              </w:rPr>
            </w:pPr>
          </w:p>
        </w:tc>
        <w:tc>
          <w:tcPr>
            <w:tcW w:w="4610" w:type="dxa"/>
            <w:vAlign w:val="center"/>
          </w:tcPr>
          <w:p>
            <w:pPr>
              <w:numPr>
                <w:numId w:val="0"/>
              </w:numPr>
              <w:spacing w:before="0" w:beforeAutospacing="0" w:after="0" w:afterAutospacing="0"/>
              <w:ind w:left="0" w:right="0"/>
              <w:rPr>
                <w:rFonts w:hint="eastAsia"/>
                <w:highlight w:val="none"/>
              </w:rPr>
            </w:pPr>
          </w:p>
        </w:tc>
      </w:tr>
      <w:tr>
        <w:trPr>
          <w:trHeight w:val="1015" w:hRule="atLeast"/>
        </w:trPr>
        <w:tc>
          <w:tcPr>
            <w:tcW w:w="4610" w:type="dxa"/>
            <w:vAlign w:val="center"/>
          </w:tcPr>
          <w:p>
            <w:pPr>
              <w:numPr>
                <w:numId w:val="0"/>
              </w:numPr>
              <w:spacing w:before="0" w:beforeAutospacing="0" w:after="0" w:afterAutospacing="0"/>
              <w:ind w:left="0" w:right="0"/>
              <w:rPr>
                <w:rFonts w:hint="eastAsia"/>
                <w:highlight w:val="none"/>
              </w:rPr>
            </w:pPr>
          </w:p>
        </w:tc>
        <w:tc>
          <w:tcPr>
            <w:tcW w:w="4610" w:type="dxa"/>
            <w:vAlign w:val="center"/>
          </w:tcPr>
          <w:p>
            <w:pPr>
              <w:numPr>
                <w:numId w:val="0"/>
              </w:numPr>
              <w:spacing w:before="0" w:beforeAutospacing="0" w:after="0" w:afterAutospacing="0"/>
              <w:ind w:left="0" w:right="0"/>
              <w:rPr>
                <w:rFonts w:hint="eastAsia"/>
                <w:highlight w:val="none"/>
              </w:rPr>
            </w:pPr>
          </w:p>
        </w:tc>
      </w:tr>
      <w:tr>
        <w:trPr>
          <w:trHeight w:val="1055" w:hRule="atLeast"/>
        </w:trPr>
        <w:tc>
          <w:tcPr>
            <w:tcW w:w="4610" w:type="dxa"/>
            <w:vAlign w:val="center"/>
          </w:tcPr>
          <w:p>
            <w:pPr>
              <w:numPr>
                <w:numId w:val="0"/>
              </w:numPr>
              <w:spacing w:before="0" w:beforeAutospacing="0" w:after="0" w:afterAutospacing="0"/>
              <w:ind w:left="0" w:right="0"/>
              <w:rPr>
                <w:rFonts w:hint="eastAsia"/>
                <w:highlight w:val="none"/>
              </w:rPr>
            </w:pPr>
          </w:p>
        </w:tc>
        <w:tc>
          <w:tcPr>
            <w:tcW w:w="4610" w:type="dxa"/>
            <w:vAlign w:val="center"/>
          </w:tcPr>
          <w:p>
            <w:pPr>
              <w:numPr>
                <w:numId w:val="0"/>
              </w:numPr>
              <w:spacing w:before="0" w:beforeAutospacing="0" w:after="0" w:afterAutospacing="0"/>
              <w:ind w:left="0" w:right="0"/>
              <w:rPr>
                <w:rFonts w:hint="eastAsia"/>
                <w:highlight w:val="none"/>
              </w:rPr>
            </w:pPr>
          </w:p>
        </w:tc>
      </w:tr>
    </w:tbl>
    <w:p>
      <w:pPr>
        <w:autoSpaceDE w:val="0"/>
        <w:autoSpaceDN w:val="0"/>
        <w:adjustRightInd w:val="0"/>
        <w:spacing w:before="73"/>
        <w:jc w:val="center"/>
        <w:rPr>
          <w:rFonts w:hint="eastAsia" w:ascii="宋体" w:hAnsi="宋体" w:cs="MingLiU"/>
          <w:color w:val="auto"/>
          <w:kern w:val="0"/>
          <w:szCs w:val="21"/>
          <w:highlight w:val="none"/>
        </w:rPr>
      </w:pPr>
      <w:r>
        <w:rPr>
          <w:rFonts w:hint="eastAsia" w:ascii="宋体" w:hAnsi="宋体" w:cs="MingLiU"/>
          <w:color w:val="auto"/>
          <w:kern w:val="0"/>
          <w:szCs w:val="21"/>
          <w:highlight w:val="none"/>
        </w:rPr>
        <w:t>注：1.投标人应按照招标文件第二章“投标人须知”前附表附录 4 和“投标人须知”正文第 1.4.4 项</w:t>
      </w:r>
    </w:p>
    <w:p>
      <w:pPr>
        <w:autoSpaceDE w:val="0"/>
        <w:autoSpaceDN w:val="0"/>
        <w:adjustRightInd w:val="0"/>
        <w:spacing w:before="73"/>
        <w:jc w:val="both"/>
        <w:rPr>
          <w:rFonts w:hint="eastAsia" w:ascii="宋体" w:hAnsi="宋体" w:cs="MingLiU"/>
          <w:color w:val="auto"/>
          <w:kern w:val="0"/>
          <w:szCs w:val="21"/>
          <w:highlight w:val="none"/>
        </w:rPr>
      </w:pPr>
      <w:r>
        <w:rPr>
          <w:rFonts w:hint="eastAsia" w:ascii="宋体" w:hAnsi="宋体" w:cs="MingLiU"/>
          <w:color w:val="auto"/>
          <w:kern w:val="0"/>
          <w:szCs w:val="21"/>
          <w:highlight w:val="none"/>
        </w:rPr>
        <w:t>规定，逐条说明其信誉情况。</w:t>
      </w:r>
    </w:p>
    <w:p>
      <w:pPr>
        <w:autoSpaceDE w:val="0"/>
        <w:autoSpaceDN w:val="0"/>
        <w:adjustRightInd w:val="0"/>
        <w:spacing w:before="73"/>
        <w:jc w:val="both"/>
        <w:rPr>
          <w:rFonts w:hint="eastAsia" w:ascii="宋体" w:hAnsi="宋体" w:cs="MingLiU"/>
          <w:color w:val="auto"/>
          <w:kern w:val="0"/>
          <w:szCs w:val="21"/>
          <w:highlight w:val="none"/>
        </w:rPr>
      </w:pPr>
      <w:r>
        <w:rPr>
          <w:rFonts w:hint="eastAsia" w:ascii="宋体" w:hAnsi="宋体" w:cs="MingLiU"/>
          <w:color w:val="auto"/>
          <w:kern w:val="0"/>
          <w:szCs w:val="21"/>
          <w:highlight w:val="none"/>
        </w:rPr>
        <w:t>2.投标人应根据招标文件第二章“投标人须知”第 3.5.4 项的要求在本表后附相关证明材料。</w:t>
      </w:r>
    </w:p>
    <w:p>
      <w:pPr>
        <w:autoSpaceDE w:val="0"/>
        <w:autoSpaceDN w:val="0"/>
        <w:adjustRightInd w:val="0"/>
        <w:spacing w:before="73"/>
        <w:jc w:val="both"/>
        <w:rPr>
          <w:rFonts w:hint="eastAsia" w:ascii="宋体" w:hAnsi="宋体" w:cs="MingLiU"/>
          <w:color w:val="auto"/>
          <w:kern w:val="0"/>
          <w:szCs w:val="21"/>
          <w:highlight w:val="none"/>
        </w:rPr>
      </w:pPr>
      <w:r>
        <w:rPr>
          <w:rFonts w:hint="eastAsia" w:ascii="宋体" w:hAnsi="宋体" w:cs="MingLiU"/>
          <w:color w:val="auto"/>
          <w:kern w:val="0"/>
          <w:szCs w:val="21"/>
          <w:highlight w:val="none"/>
        </w:rPr>
        <w:t>3.以联合体形式参与投标的，联合体各成员应分别填写。</w:t>
      </w:r>
    </w:p>
    <w:p>
      <w:pPr>
        <w:pStyle w:val="4"/>
        <w:spacing w:beforeLines="100" w:afterLines="150" w:line="360" w:lineRule="exact"/>
        <w:jc w:val="center"/>
        <w:rPr>
          <w:rFonts w:hint="eastAsia" w:ascii="黑体" w:hAnsi="宋体" w:eastAsia="黑体"/>
          <w:color w:val="auto"/>
          <w:sz w:val="28"/>
          <w:szCs w:val="28"/>
          <w:highlight w:val="none"/>
          <w:lang w:eastAsia="zh-CN"/>
        </w:rPr>
      </w:pPr>
    </w:p>
    <w:p>
      <w:pPr>
        <w:rPr>
          <w:rFonts w:hint="eastAsia" w:ascii="黑体" w:hAnsi="宋体" w:eastAsia="黑体"/>
          <w:color w:val="auto"/>
          <w:sz w:val="28"/>
          <w:szCs w:val="28"/>
          <w:highlight w:val="none"/>
          <w:lang w:eastAsia="zh-CN"/>
        </w:rPr>
      </w:pPr>
    </w:p>
    <w:p>
      <w:pPr>
        <w:rPr>
          <w:rFonts w:hint="eastAsia" w:ascii="黑体" w:hAnsi="宋体" w:eastAsia="黑体"/>
          <w:color w:val="auto"/>
          <w:sz w:val="28"/>
          <w:szCs w:val="28"/>
          <w:highlight w:val="none"/>
          <w:lang w:eastAsia="zh-CN"/>
        </w:rPr>
      </w:pPr>
    </w:p>
    <w:p>
      <w:pPr>
        <w:rPr>
          <w:rFonts w:hint="eastAsia" w:ascii="黑体" w:hAnsi="宋体" w:eastAsia="黑体"/>
          <w:color w:val="auto"/>
          <w:sz w:val="28"/>
          <w:szCs w:val="28"/>
          <w:highlight w:val="none"/>
          <w:lang w:eastAsia="zh-CN"/>
        </w:rPr>
      </w:pPr>
    </w:p>
    <w:p>
      <w:pPr>
        <w:pStyle w:val="4"/>
        <w:spacing w:beforeLines="100" w:afterLines="150" w:line="360" w:lineRule="exact"/>
        <w:jc w:val="center"/>
        <w:rPr>
          <w:color w:val="auto"/>
          <w:highlight w:val="none"/>
        </w:rPr>
      </w:pPr>
      <w:r>
        <w:rPr>
          <w:rFonts w:hint="eastAsia" w:ascii="黑体" w:hAnsi="宋体" w:eastAsia="黑体"/>
          <w:color w:val="auto"/>
          <w:sz w:val="28"/>
          <w:szCs w:val="28"/>
          <w:highlight w:val="none"/>
          <w:lang w:eastAsia="zh-CN"/>
        </w:rPr>
        <w:t>（六）</w:t>
      </w:r>
      <w:r>
        <w:rPr>
          <w:rFonts w:hint="eastAsia" w:ascii="黑体" w:hAnsi="宋体" w:eastAsia="黑体"/>
          <w:color w:val="auto"/>
          <w:sz w:val="28"/>
          <w:szCs w:val="28"/>
          <w:highlight w:val="none"/>
        </w:rPr>
        <w:t>拟委任的项目经理和项目总工资历表</w:t>
      </w:r>
      <w:bookmarkEnd w:id="260"/>
      <w:bookmarkEnd w:id="261"/>
      <w:bookmarkEnd w:id="262"/>
      <w:bookmarkEnd w:id="263"/>
    </w:p>
    <w:tbl>
      <w:tblPr>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rPr>
          <w:trHeight w:val="504" w:hRule="atLeast"/>
          <w:jc w:val="center"/>
        </w:trPr>
        <w:tc>
          <w:tcPr>
            <w:tcW w:w="1354" w:type="dxa"/>
            <w:vAlign w:val="center"/>
          </w:tcPr>
          <w:p>
            <w:pPr>
              <w:tabs>
                <w:tab w:val="left" w:pos="680"/>
              </w:tabs>
              <w:autoSpaceDE w:val="0"/>
              <w:autoSpaceDN w:val="0"/>
              <w:adjustRightInd w:val="0"/>
              <w:spacing w:before="73"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姓</w:t>
            </w:r>
            <w:r>
              <w:rPr>
                <w:rFonts w:hint="eastAsia" w:ascii="宋体" w:hAnsi="宋体" w:cs="Calibri"/>
                <w:color w:val="auto"/>
                <w:kern w:val="0"/>
                <w:sz w:val="21"/>
                <w:szCs w:val="21"/>
                <w:highlight w:val="none"/>
              </w:rPr>
              <w:tab/>
            </w:r>
            <w:r>
              <w:rPr>
                <w:rFonts w:hint="eastAsia" w:ascii="宋体" w:hAnsi="宋体" w:cs="MingLiU"/>
                <w:color w:val="auto"/>
                <w:kern w:val="0"/>
                <w:sz w:val="21"/>
                <w:szCs w:val="21"/>
                <w:highlight w:val="none"/>
              </w:rPr>
              <w:t>名</w:t>
            </w:r>
          </w:p>
        </w:tc>
        <w:tc>
          <w:tcPr>
            <w:tcW w:w="1645"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1516" w:type="dxa"/>
            <w:vAlign w:val="center"/>
          </w:tcPr>
          <w:p>
            <w:pPr>
              <w:autoSpaceDE w:val="0"/>
              <w:autoSpaceDN w:val="0"/>
              <w:adjustRightInd w:val="0"/>
              <w:spacing w:before="73"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年</w:t>
            </w:r>
            <w:r>
              <w:rPr>
                <w:rFonts w:hint="eastAsia" w:ascii="宋体" w:hAnsi="宋体" w:cs="Calibri"/>
                <w:color w:val="auto"/>
                <w:kern w:val="0"/>
                <w:sz w:val="21"/>
                <w:szCs w:val="21"/>
                <w:highlight w:val="none"/>
              </w:rPr>
              <w:t xml:space="preserve">  </w:t>
            </w:r>
            <w:r>
              <w:rPr>
                <w:rFonts w:hint="eastAsia" w:ascii="宋体" w:hAnsi="宋体" w:cs="MingLiU"/>
                <w:color w:val="auto"/>
                <w:kern w:val="0"/>
                <w:sz w:val="21"/>
                <w:szCs w:val="21"/>
                <w:highlight w:val="none"/>
              </w:rPr>
              <w:t>龄</w:t>
            </w:r>
          </w:p>
        </w:tc>
        <w:tc>
          <w:tcPr>
            <w:tcW w:w="1478" w:type="dxa"/>
            <w:gridSpan w:val="2"/>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2169" w:type="dxa"/>
            <w:gridSpan w:val="2"/>
            <w:vAlign w:val="center"/>
          </w:tcPr>
          <w:p>
            <w:pPr>
              <w:autoSpaceDE w:val="0"/>
              <w:autoSpaceDN w:val="0"/>
              <w:adjustRightInd w:val="0"/>
              <w:spacing w:before="73"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专  业</w:t>
            </w:r>
          </w:p>
        </w:tc>
        <w:tc>
          <w:tcPr>
            <w:tcW w:w="147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04" w:hRule="atLeast"/>
          <w:jc w:val="center"/>
        </w:trPr>
        <w:tc>
          <w:tcPr>
            <w:tcW w:w="1354" w:type="dxa"/>
            <w:vAlign w:val="center"/>
          </w:tcPr>
          <w:p>
            <w:pPr>
              <w:tabs>
                <w:tab w:val="left" w:pos="680"/>
              </w:tabs>
              <w:autoSpaceDE w:val="0"/>
              <w:autoSpaceDN w:val="0"/>
              <w:adjustRightInd w:val="0"/>
              <w:spacing w:before="73"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职</w:t>
            </w:r>
            <w:r>
              <w:rPr>
                <w:rFonts w:hint="eastAsia" w:ascii="宋体" w:hAnsi="宋体" w:cs="Calibri"/>
                <w:color w:val="auto"/>
                <w:kern w:val="0"/>
                <w:sz w:val="21"/>
                <w:szCs w:val="21"/>
                <w:highlight w:val="none"/>
              </w:rPr>
              <w:tab/>
            </w:r>
            <w:r>
              <w:rPr>
                <w:rFonts w:hint="eastAsia" w:ascii="宋体" w:hAnsi="宋体" w:cs="MingLiU"/>
                <w:color w:val="auto"/>
                <w:kern w:val="0"/>
                <w:sz w:val="21"/>
                <w:szCs w:val="21"/>
                <w:highlight w:val="none"/>
              </w:rPr>
              <w:t>称</w:t>
            </w:r>
          </w:p>
        </w:tc>
        <w:tc>
          <w:tcPr>
            <w:tcW w:w="1645" w:type="dxa"/>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1516" w:type="dxa"/>
            <w:vAlign w:val="center"/>
          </w:tcPr>
          <w:p>
            <w:pPr>
              <w:autoSpaceDE w:val="0"/>
              <w:autoSpaceDN w:val="0"/>
              <w:adjustRightInd w:val="0"/>
              <w:spacing w:before="73" w:beforeAutospacing="0" w:after="0" w:afterAutospacing="0"/>
              <w:ind w:left="0" w:right="0"/>
              <w:jc w:val="center"/>
              <w:rPr>
                <w:rFonts w:hint="default" w:ascii="宋体" w:hAnsi="宋体" w:cs="MingLiU"/>
                <w:color w:val="auto"/>
                <w:kern w:val="0"/>
                <w:sz w:val="21"/>
                <w:szCs w:val="21"/>
                <w:highlight w:val="none"/>
              </w:rPr>
            </w:pPr>
            <w:r>
              <w:rPr>
                <w:rFonts w:hint="eastAsia" w:ascii="宋体" w:hAnsi="宋体" w:cs="MingLiU"/>
                <w:color w:val="auto"/>
                <w:kern w:val="0"/>
                <w:sz w:val="21"/>
                <w:szCs w:val="21"/>
                <w:highlight w:val="none"/>
              </w:rPr>
              <w:t>公司单位</w:t>
            </w:r>
          </w:p>
          <w:p>
            <w:pPr>
              <w:autoSpaceDE w:val="0"/>
              <w:autoSpaceDN w:val="0"/>
              <w:adjustRightInd w:val="0"/>
              <w:spacing w:before="73"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职    务</w:t>
            </w:r>
          </w:p>
        </w:tc>
        <w:tc>
          <w:tcPr>
            <w:tcW w:w="1478" w:type="dxa"/>
            <w:gridSpan w:val="2"/>
            <w:vAlign w:val="center"/>
          </w:tcPr>
          <w:p>
            <w:pPr>
              <w:autoSpaceDE w:val="0"/>
              <w:autoSpaceDN w:val="0"/>
              <w:adjustRightInd w:val="0"/>
              <w:spacing w:before="0" w:beforeAutospacing="0" w:after="0" w:afterAutospacing="0"/>
              <w:ind w:left="0" w:right="0"/>
              <w:jc w:val="center"/>
              <w:rPr>
                <w:rFonts w:hint="default" w:ascii="宋体" w:hAnsi="宋体" w:cs="Calibri"/>
                <w:color w:val="auto"/>
                <w:kern w:val="0"/>
                <w:sz w:val="21"/>
                <w:szCs w:val="21"/>
                <w:highlight w:val="none"/>
              </w:rPr>
            </w:pPr>
          </w:p>
        </w:tc>
        <w:tc>
          <w:tcPr>
            <w:tcW w:w="2169" w:type="dxa"/>
            <w:gridSpan w:val="2"/>
            <w:vAlign w:val="center"/>
          </w:tcPr>
          <w:p>
            <w:pPr>
              <w:autoSpaceDE w:val="0"/>
              <w:autoSpaceDN w:val="0"/>
              <w:adjustRightInd w:val="0"/>
              <w:spacing w:before="73" w:beforeAutospacing="0" w:after="0" w:afterAutospacing="0"/>
              <w:ind w:left="0" w:right="0"/>
              <w:jc w:val="center"/>
              <w:rPr>
                <w:rFonts w:hint="default" w:ascii="宋体" w:hAnsi="宋体" w:cs="MingLiU"/>
                <w:color w:val="auto"/>
                <w:kern w:val="0"/>
                <w:sz w:val="21"/>
                <w:szCs w:val="21"/>
                <w:highlight w:val="none"/>
              </w:rPr>
            </w:pPr>
            <w:r>
              <w:rPr>
                <w:rFonts w:hint="eastAsia" w:ascii="宋体" w:hAnsi="宋体" w:cs="MingLiU"/>
                <w:color w:val="auto"/>
                <w:kern w:val="0"/>
                <w:sz w:val="21"/>
                <w:szCs w:val="21"/>
                <w:highlight w:val="none"/>
              </w:rPr>
              <w:t>拟在本标段</w:t>
            </w:r>
          </w:p>
          <w:p>
            <w:pPr>
              <w:autoSpaceDE w:val="0"/>
              <w:autoSpaceDN w:val="0"/>
              <w:adjustRightInd w:val="0"/>
              <w:spacing w:before="73"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工程担任职务</w:t>
            </w:r>
          </w:p>
        </w:tc>
        <w:tc>
          <w:tcPr>
            <w:tcW w:w="147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04" w:hRule="atLeast"/>
          <w:jc w:val="center"/>
        </w:trPr>
        <w:tc>
          <w:tcPr>
            <w:tcW w:w="1354" w:type="dxa"/>
            <w:vAlign w:val="center"/>
          </w:tcPr>
          <w:p>
            <w:pPr>
              <w:autoSpaceDE w:val="0"/>
              <w:autoSpaceDN w:val="0"/>
              <w:adjustRightInd w:val="0"/>
              <w:spacing w:before="73" w:beforeAutospacing="0" w:after="0" w:afterAutospacing="0"/>
              <w:ind w:left="0" w:right="0"/>
              <w:jc w:val="center"/>
              <w:rPr>
                <w:rFonts w:hint="default" w:ascii="宋体" w:hAnsi="宋体" w:cs="Calibri"/>
                <w:color w:val="auto"/>
                <w:kern w:val="0"/>
                <w:sz w:val="21"/>
                <w:szCs w:val="21"/>
                <w:highlight w:val="none"/>
              </w:rPr>
            </w:pPr>
            <w:r>
              <w:rPr>
                <w:rFonts w:hint="eastAsia" w:ascii="宋体" w:hAnsi="宋体" w:cs="MingLiU"/>
                <w:color w:val="auto"/>
                <w:kern w:val="0"/>
                <w:sz w:val="21"/>
                <w:szCs w:val="21"/>
                <w:highlight w:val="none"/>
              </w:rPr>
              <w:t>毕业学校</w:t>
            </w:r>
          </w:p>
        </w:tc>
        <w:tc>
          <w:tcPr>
            <w:tcW w:w="8285" w:type="dxa"/>
            <w:gridSpan w:val="7"/>
            <w:vAlign w:val="center"/>
          </w:tcPr>
          <w:p>
            <w:pPr>
              <w:tabs>
                <w:tab w:val="left" w:pos="2820"/>
                <w:tab w:val="left" w:pos="4080"/>
              </w:tabs>
              <w:autoSpaceDE w:val="0"/>
              <w:autoSpaceDN w:val="0"/>
              <w:adjustRightInd w:val="0"/>
              <w:spacing w:before="73" w:beforeAutospacing="0" w:after="0" w:afterAutospacing="0"/>
              <w:ind w:left="-1291" w:leftChars="-615" w:right="0" w:firstLine="1260" w:firstLineChars="600"/>
              <w:rPr>
                <w:rFonts w:hint="default" w:ascii="宋体" w:hAnsi="宋体" w:cs="Calibri"/>
                <w:color w:val="auto"/>
                <w:kern w:val="0"/>
                <w:sz w:val="21"/>
                <w:szCs w:val="21"/>
                <w:highlight w:val="none"/>
              </w:rPr>
            </w:pPr>
            <w:r>
              <w:rPr>
                <w:rFonts w:hint="eastAsia" w:ascii="宋体" w:hAnsi="宋体" w:cs="Calibri"/>
                <w:color w:val="auto"/>
                <w:kern w:val="0"/>
                <w:sz w:val="21"/>
                <w:szCs w:val="21"/>
                <w:highlight w:val="none"/>
                <w:u w:val="single"/>
              </w:rPr>
              <w:t xml:space="preserve">    </w:t>
            </w:r>
            <w:r>
              <w:rPr>
                <w:rFonts w:hint="eastAsia" w:ascii="宋体" w:hAnsi="宋体" w:cs="Calibri"/>
                <w:color w:val="auto"/>
                <w:kern w:val="0"/>
                <w:sz w:val="21"/>
                <w:szCs w:val="21"/>
                <w:highlight w:val="none"/>
              </w:rPr>
              <w:t>年</w:t>
            </w:r>
            <w:r>
              <w:rPr>
                <w:rFonts w:hint="eastAsia" w:ascii="宋体" w:hAnsi="宋体" w:cs="Calibri"/>
                <w:color w:val="auto"/>
                <w:kern w:val="0"/>
                <w:sz w:val="21"/>
                <w:szCs w:val="21"/>
                <w:highlight w:val="none"/>
                <w:u w:val="single"/>
              </w:rPr>
              <w:t xml:space="preserve">   </w:t>
            </w:r>
            <w:r>
              <w:rPr>
                <w:rFonts w:hint="eastAsia" w:ascii="宋体" w:hAnsi="宋体" w:cs="Calibri"/>
                <w:color w:val="auto"/>
                <w:kern w:val="0"/>
                <w:sz w:val="21"/>
                <w:szCs w:val="21"/>
                <w:highlight w:val="none"/>
              </w:rPr>
              <w:t>月毕业于</w:t>
            </w:r>
            <w:r>
              <w:rPr>
                <w:rFonts w:hint="eastAsia" w:ascii="宋体" w:hAnsi="宋体" w:cs="Calibri"/>
                <w:color w:val="auto"/>
                <w:kern w:val="0"/>
                <w:sz w:val="21"/>
                <w:szCs w:val="21"/>
                <w:highlight w:val="none"/>
                <w:u w:val="single"/>
              </w:rPr>
              <w:t xml:space="preserve">                 </w:t>
            </w:r>
            <w:r>
              <w:rPr>
                <w:rFonts w:hint="eastAsia" w:ascii="宋体" w:hAnsi="宋体" w:cs="Calibri"/>
                <w:color w:val="auto"/>
                <w:kern w:val="0"/>
                <w:sz w:val="21"/>
                <w:szCs w:val="21"/>
                <w:highlight w:val="none"/>
              </w:rPr>
              <w:t>学校</w:t>
            </w:r>
            <w:r>
              <w:rPr>
                <w:rFonts w:hint="eastAsia" w:ascii="宋体" w:hAnsi="宋体" w:cs="Calibri"/>
                <w:color w:val="auto"/>
                <w:kern w:val="0"/>
                <w:sz w:val="21"/>
                <w:szCs w:val="21"/>
                <w:highlight w:val="none"/>
                <w:u w:val="single"/>
              </w:rPr>
              <w:t xml:space="preserve">       </w:t>
            </w:r>
            <w:r>
              <w:rPr>
                <w:rFonts w:hint="eastAsia" w:ascii="宋体" w:hAnsi="宋体" w:cs="Calibri"/>
                <w:color w:val="auto"/>
                <w:kern w:val="0"/>
                <w:sz w:val="21"/>
                <w:szCs w:val="21"/>
                <w:highlight w:val="none"/>
              </w:rPr>
              <w:t>专业，学制</w:t>
            </w:r>
            <w:r>
              <w:rPr>
                <w:rFonts w:hint="eastAsia" w:ascii="宋体" w:hAnsi="宋体" w:cs="Calibri"/>
                <w:color w:val="auto"/>
                <w:kern w:val="0"/>
                <w:sz w:val="21"/>
                <w:szCs w:val="21"/>
                <w:highlight w:val="none"/>
                <w:u w:val="single"/>
              </w:rPr>
              <w:t xml:space="preserve">      </w:t>
            </w:r>
            <w:r>
              <w:rPr>
                <w:rFonts w:hint="eastAsia" w:ascii="宋体" w:hAnsi="宋体" w:cs="Calibri"/>
                <w:color w:val="auto"/>
                <w:kern w:val="0"/>
                <w:sz w:val="21"/>
                <w:szCs w:val="21"/>
                <w:highlight w:val="none"/>
              </w:rPr>
              <w:t>年</w:t>
            </w:r>
          </w:p>
        </w:tc>
      </w:tr>
      <w:tr>
        <w:trPr>
          <w:trHeight w:val="504" w:hRule="atLeast"/>
          <w:jc w:val="center"/>
        </w:trPr>
        <w:tc>
          <w:tcPr>
            <w:tcW w:w="9639" w:type="dxa"/>
            <w:gridSpan w:val="8"/>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MingLiU"/>
                <w:color w:val="auto"/>
                <w:kern w:val="0"/>
                <w:sz w:val="21"/>
                <w:szCs w:val="21"/>
                <w:highlight w:val="none"/>
              </w:rPr>
              <w:t>经     历</w:t>
            </w:r>
          </w:p>
        </w:tc>
      </w:tr>
      <w:tr>
        <w:trPr>
          <w:trHeight w:val="504" w:hRule="atLeast"/>
          <w:jc w:val="center"/>
        </w:trPr>
        <w:tc>
          <w:tcPr>
            <w:tcW w:w="1354"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年～</w:t>
            </w:r>
          </w:p>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u w:val="single"/>
              </w:rPr>
              <w:t xml:space="preserve">     </w:t>
            </w:r>
            <w:r>
              <w:rPr>
                <w:rFonts w:hint="eastAsia" w:ascii="宋体" w:hAnsi="宋体" w:cs="Calibri"/>
                <w:color w:val="auto"/>
                <w:kern w:val="2"/>
                <w:sz w:val="21"/>
                <w:szCs w:val="21"/>
                <w:highlight w:val="none"/>
              </w:rPr>
              <w:t>年</w:t>
            </w:r>
          </w:p>
        </w:tc>
        <w:tc>
          <w:tcPr>
            <w:tcW w:w="4023" w:type="dxa"/>
            <w:gridSpan w:val="3"/>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MingLiU"/>
                <w:color w:val="auto"/>
                <w:kern w:val="0"/>
                <w:sz w:val="21"/>
                <w:szCs w:val="21"/>
                <w:highlight w:val="none"/>
              </w:rPr>
              <w:t>参加过的工程项目名称</w:t>
            </w:r>
          </w:p>
        </w:tc>
        <w:tc>
          <w:tcPr>
            <w:tcW w:w="1392"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MingLiU"/>
                <w:color w:val="auto"/>
                <w:kern w:val="0"/>
                <w:sz w:val="21"/>
                <w:szCs w:val="21"/>
                <w:highlight w:val="none"/>
              </w:rPr>
              <w:t>担任何职</w:t>
            </w:r>
          </w:p>
        </w:tc>
        <w:tc>
          <w:tcPr>
            <w:tcW w:w="2870" w:type="dxa"/>
            <w:gridSpan w:val="2"/>
            <w:vAlign w:val="center"/>
          </w:tcPr>
          <w:p>
            <w:pPr>
              <w:spacing w:before="0" w:beforeAutospacing="0" w:after="0" w:afterAutospacing="0"/>
              <w:ind w:left="0" w:right="0"/>
              <w:jc w:val="center"/>
              <w:rPr>
                <w:rFonts w:hint="default" w:ascii="宋体" w:hAnsi="宋体" w:cs="MingLiU"/>
                <w:color w:val="auto"/>
                <w:kern w:val="0"/>
                <w:sz w:val="21"/>
                <w:szCs w:val="21"/>
                <w:highlight w:val="none"/>
              </w:rPr>
            </w:pPr>
            <w:r>
              <w:rPr>
                <w:rFonts w:hint="eastAsia" w:ascii="宋体" w:hAnsi="宋体" w:cs="MingLiU"/>
                <w:color w:val="auto"/>
                <w:kern w:val="0"/>
                <w:sz w:val="21"/>
                <w:szCs w:val="21"/>
                <w:highlight w:val="none"/>
              </w:rPr>
              <w:t>发包人及</w:t>
            </w:r>
          </w:p>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MingLiU"/>
                <w:color w:val="auto"/>
                <w:kern w:val="0"/>
                <w:sz w:val="21"/>
                <w:szCs w:val="21"/>
                <w:highlight w:val="none"/>
              </w:rPr>
              <w:t>联系电话</w:t>
            </w:r>
          </w:p>
        </w:tc>
      </w:tr>
      <w:tr>
        <w:trPr>
          <w:trHeight w:val="454" w:hRule="exact"/>
          <w:jc w:val="center"/>
        </w:trPr>
        <w:tc>
          <w:tcPr>
            <w:tcW w:w="1354"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4023" w:type="dxa"/>
            <w:gridSpan w:val="3"/>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392"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870"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454" w:hRule="exact"/>
          <w:jc w:val="center"/>
        </w:trPr>
        <w:tc>
          <w:tcPr>
            <w:tcW w:w="1354"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4023" w:type="dxa"/>
            <w:gridSpan w:val="3"/>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392"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870"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454" w:hRule="exact"/>
          <w:jc w:val="center"/>
        </w:trPr>
        <w:tc>
          <w:tcPr>
            <w:tcW w:w="1354"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4023" w:type="dxa"/>
            <w:gridSpan w:val="3"/>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392"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870"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454" w:hRule="exact"/>
          <w:jc w:val="center"/>
        </w:trPr>
        <w:tc>
          <w:tcPr>
            <w:tcW w:w="1354"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4023" w:type="dxa"/>
            <w:gridSpan w:val="3"/>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392"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870"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454" w:hRule="exact"/>
          <w:jc w:val="center"/>
        </w:trPr>
        <w:tc>
          <w:tcPr>
            <w:tcW w:w="1354"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4023" w:type="dxa"/>
            <w:gridSpan w:val="3"/>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392"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870"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454" w:hRule="exact"/>
          <w:jc w:val="center"/>
        </w:trPr>
        <w:tc>
          <w:tcPr>
            <w:tcW w:w="1354"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4023" w:type="dxa"/>
            <w:gridSpan w:val="3"/>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392"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870"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454" w:hRule="exact"/>
          <w:jc w:val="center"/>
        </w:trPr>
        <w:tc>
          <w:tcPr>
            <w:tcW w:w="1354"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4023" w:type="dxa"/>
            <w:gridSpan w:val="3"/>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392"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870"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454" w:hRule="exact"/>
          <w:jc w:val="center"/>
        </w:trPr>
        <w:tc>
          <w:tcPr>
            <w:tcW w:w="5377" w:type="dxa"/>
            <w:gridSpan w:val="4"/>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获奖情况</w:t>
            </w:r>
          </w:p>
        </w:tc>
        <w:tc>
          <w:tcPr>
            <w:tcW w:w="1392"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870"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1272" w:hRule="exact"/>
          <w:jc w:val="center"/>
        </w:trPr>
        <w:tc>
          <w:tcPr>
            <w:tcW w:w="1354"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说明在岗情况</w:t>
            </w:r>
          </w:p>
        </w:tc>
        <w:tc>
          <w:tcPr>
            <w:tcW w:w="8285" w:type="dxa"/>
            <w:gridSpan w:val="7"/>
            <w:vAlign w:val="center"/>
          </w:tcPr>
          <w:p>
            <w:pPr>
              <w:spacing w:before="0" w:beforeAutospacing="0" w:after="0" w:afterAutospacing="0"/>
              <w:ind w:left="0" w:right="0"/>
              <w:jc w:val="both"/>
              <w:rPr>
                <w:rFonts w:hint="default" w:ascii="Arial" w:hAnsi="Arial" w:eastAsia="Arial" w:cs="Calibri"/>
                <w:kern w:val="2"/>
                <w:sz w:val="21"/>
                <w:szCs w:val="22"/>
                <w:highlight w:val="none"/>
              </w:rPr>
            </w:pPr>
            <w:r>
              <w:rPr>
                <w:rFonts w:hint="default" w:ascii="Arial" w:hAnsi="Arial" w:eastAsia="Arial" w:cs="Calibri"/>
                <w:kern w:val="2"/>
                <w:sz w:val="21"/>
                <w:szCs w:val="22"/>
                <w:highlight w:val="none"/>
              </w:rPr>
              <w:t>□</w:t>
            </w:r>
            <w:r>
              <w:rPr>
                <w:rFonts w:hint="default" w:ascii="宋体" w:hAnsi="宋体" w:eastAsia="宋体" w:cs="Calibri"/>
                <w:kern w:val="2"/>
                <w:sz w:val="21"/>
                <w:szCs w:val="22"/>
                <w:highlight w:val="none"/>
              </w:rPr>
              <w:t>目前未在其他项目上任职，现从事工作为：</w:t>
            </w:r>
            <w:r>
              <w:rPr>
                <w:rFonts w:hint="eastAsia" w:ascii="宋体" w:hAnsi="宋体" w:cs="Calibri"/>
                <w:kern w:val="2"/>
                <w:sz w:val="21"/>
                <w:szCs w:val="22"/>
                <w:highlight w:val="none"/>
                <w:u w:val="single"/>
                <w:lang w:val="en-US" w:eastAsia="zh-CN"/>
              </w:rPr>
              <w:t xml:space="preserve">               。</w:t>
            </w:r>
          </w:p>
          <w:p>
            <w:pPr>
              <w:spacing w:before="0" w:beforeAutospacing="0" w:after="0" w:afterAutospacing="0"/>
              <w:ind w:left="0" w:right="0"/>
              <w:jc w:val="both"/>
              <w:rPr>
                <w:rFonts w:hint="default" w:ascii="宋体" w:hAnsi="宋体" w:cs="Calibri"/>
                <w:color w:val="auto"/>
                <w:kern w:val="2"/>
                <w:sz w:val="21"/>
                <w:szCs w:val="21"/>
                <w:highlight w:val="none"/>
              </w:rPr>
            </w:pPr>
            <w:r>
              <w:rPr>
                <w:rFonts w:hint="default" w:ascii="Arial" w:hAnsi="Arial" w:eastAsia="Arial" w:cs="Calibri"/>
                <w:kern w:val="2"/>
                <w:sz w:val="21"/>
                <w:szCs w:val="22"/>
                <w:highlight w:val="none"/>
              </w:rPr>
              <w:t>□</w:t>
            </w:r>
            <w:r>
              <w:rPr>
                <w:rFonts w:hint="default" w:ascii="宋体" w:hAnsi="宋体" w:eastAsia="宋体" w:cs="Calibri"/>
                <w:kern w:val="2"/>
                <w:sz w:val="21"/>
                <w:szCs w:val="22"/>
                <w:highlight w:val="none"/>
              </w:rPr>
              <w:t>目前虽在其他项目上任职，但本项目中标后能够从该项目撤</w:t>
            </w:r>
            <w:r>
              <w:rPr>
                <w:rFonts w:hint="eastAsia" w:ascii="宋体" w:hAnsi="宋体" w:cs="Calibri"/>
                <w:kern w:val="2"/>
                <w:sz w:val="21"/>
                <w:szCs w:val="22"/>
                <w:highlight w:val="none"/>
                <w:lang w:eastAsia="zh-CN"/>
              </w:rPr>
              <w:t>离，目前任职项目：</w:t>
            </w:r>
            <w:r>
              <w:rPr>
                <w:rFonts w:hint="eastAsia" w:ascii="宋体" w:hAnsi="宋体" w:cs="Calibri"/>
                <w:kern w:val="2"/>
                <w:sz w:val="21"/>
                <w:szCs w:val="22"/>
                <w:highlight w:val="none"/>
                <w:u w:val="single"/>
                <w:lang w:val="en-US" w:eastAsia="zh-CN"/>
              </w:rPr>
              <w:t xml:space="preserve">           </w:t>
            </w:r>
            <w:r>
              <w:rPr>
                <w:rFonts w:hint="eastAsia" w:ascii="宋体" w:hAnsi="宋体" w:cs="Calibri"/>
                <w:kern w:val="2"/>
                <w:sz w:val="21"/>
                <w:szCs w:val="22"/>
                <w:highlight w:val="none"/>
                <w:lang w:val="en-US" w:eastAsia="zh-CN"/>
              </w:rPr>
              <w:t>，担任职位：</w:t>
            </w:r>
            <w:r>
              <w:rPr>
                <w:rFonts w:hint="eastAsia" w:ascii="宋体" w:hAnsi="宋体" w:cs="Calibri"/>
                <w:kern w:val="2"/>
                <w:sz w:val="21"/>
                <w:szCs w:val="22"/>
                <w:highlight w:val="none"/>
                <w:u w:val="single"/>
                <w:lang w:val="en-US" w:eastAsia="zh-CN"/>
              </w:rPr>
              <w:t xml:space="preserve">                  </w:t>
            </w:r>
            <w:r>
              <w:rPr>
                <w:rFonts w:hint="eastAsia" w:ascii="宋体" w:hAnsi="宋体" w:cs="Calibri"/>
                <w:kern w:val="2"/>
                <w:sz w:val="21"/>
                <w:szCs w:val="22"/>
                <w:highlight w:val="none"/>
                <w:lang w:val="en-US" w:eastAsia="zh-CN"/>
              </w:rPr>
              <w:t xml:space="preserve"> 。</w:t>
            </w:r>
          </w:p>
        </w:tc>
      </w:tr>
      <w:tr>
        <w:trPr>
          <w:trHeight w:val="1385" w:hRule="atLeast"/>
          <w:jc w:val="center"/>
        </w:trPr>
        <w:tc>
          <w:tcPr>
            <w:tcW w:w="1354"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备注</w:t>
            </w:r>
          </w:p>
        </w:tc>
        <w:tc>
          <w:tcPr>
            <w:tcW w:w="8285" w:type="dxa"/>
            <w:gridSpan w:val="7"/>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bl>
    <w:p>
      <w:pPr>
        <w:spacing w:line="400" w:lineRule="exact"/>
        <w:rPr>
          <w:rFonts w:hint="eastAsia" w:ascii="宋体" w:hAnsi="宋体"/>
          <w:color w:val="auto"/>
          <w:szCs w:val="21"/>
          <w:highlight w:val="none"/>
        </w:rPr>
      </w:pPr>
      <w:r>
        <w:rPr>
          <w:rFonts w:hint="eastAsia" w:ascii="宋体" w:hAnsi="宋体"/>
          <w:color w:val="auto"/>
          <w:szCs w:val="21"/>
          <w:highlight w:val="none"/>
        </w:rPr>
        <w:t>注：1.本表应填写项目经理和项目总工相关情况。</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2.投标人应根据招标文件第二章“投标人须知”第 3.5.5 项的要求在本表后附相关证明材料。</w:t>
      </w:r>
    </w:p>
    <w:p>
      <w:pPr>
        <w:jc w:val="center"/>
        <w:rPr>
          <w:rFonts w:ascii="隶书" w:eastAsia="隶书"/>
          <w:color w:val="auto"/>
          <w:sz w:val="24"/>
          <w:highlight w:val="none"/>
        </w:rPr>
      </w:pPr>
    </w:p>
    <w:p>
      <w:pPr>
        <w:jc w:val="center"/>
        <w:rPr>
          <w:rFonts w:ascii="隶书" w:eastAsia="隶书"/>
          <w:color w:val="auto"/>
          <w:sz w:val="24"/>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widowControl w:val="0"/>
        <w:numPr>
          <w:numId w:val="0"/>
        </w:numPr>
        <w:jc w:val="both"/>
        <w:rPr>
          <w:highlight w:val="none"/>
        </w:rPr>
      </w:pPr>
    </w:p>
    <w:p>
      <w:pPr>
        <w:widowControl w:val="0"/>
        <w:numPr>
          <w:numId w:val="0"/>
        </w:numPr>
        <w:jc w:val="both"/>
        <w:rPr>
          <w:highlight w:val="none"/>
        </w:rPr>
      </w:pPr>
    </w:p>
    <w:p>
      <w:pPr>
        <w:widowControl w:val="0"/>
        <w:numPr>
          <w:numId w:val="0"/>
        </w:numPr>
        <w:jc w:val="both"/>
        <w:rPr>
          <w:highlight w:val="none"/>
        </w:rPr>
      </w:pPr>
    </w:p>
    <w:p>
      <w:pPr>
        <w:widowControl w:val="0"/>
        <w:numPr>
          <w:numId w:val="0"/>
        </w:numPr>
        <w:jc w:val="both"/>
        <w:rPr>
          <w:highlight w:val="none"/>
        </w:rPr>
      </w:pPr>
    </w:p>
    <w:p>
      <w:pPr>
        <w:rPr>
          <w:color w:val="auto"/>
          <w:sz w:val="24"/>
          <w:highlight w:val="none"/>
        </w:rPr>
      </w:pPr>
    </w:p>
    <w:p>
      <w:pPr>
        <w:spacing w:before="120" w:after="120"/>
        <w:jc w:val="center"/>
        <w:rPr>
          <w:rFonts w:ascii="黑体" w:eastAsia="黑体"/>
          <w:b/>
          <w:bCs/>
          <w:color w:val="auto"/>
          <w:kern w:val="44"/>
          <w:sz w:val="30"/>
          <w:szCs w:val="30"/>
          <w:highlight w:val="none"/>
        </w:rPr>
      </w:pPr>
      <w:bookmarkStart w:id="270" w:name="_Toc7381"/>
      <w:bookmarkStart w:id="271" w:name="_Toc234382984"/>
      <w:bookmarkStart w:id="272" w:name="_Toc486277944"/>
      <w:bookmarkStart w:id="273" w:name="_Toc485889079"/>
      <w:r>
        <w:rPr>
          <w:rFonts w:hint="eastAsia" w:ascii="黑体" w:eastAsia="黑体"/>
          <w:b/>
          <w:bCs/>
          <w:color w:val="auto"/>
          <w:kern w:val="44"/>
          <w:sz w:val="30"/>
          <w:szCs w:val="30"/>
          <w:highlight w:val="none"/>
          <w:lang w:eastAsia="zh-CN"/>
        </w:rPr>
        <w:t>（</w:t>
      </w:r>
      <w:r>
        <w:rPr>
          <w:rFonts w:hint="eastAsia" w:ascii="黑体" w:eastAsia="黑体"/>
          <w:b/>
          <w:bCs/>
          <w:color w:val="auto"/>
          <w:kern w:val="44"/>
          <w:sz w:val="30"/>
          <w:szCs w:val="30"/>
          <w:highlight w:val="none"/>
          <w:lang w:val="en-US" w:eastAsia="zh-CN"/>
        </w:rPr>
        <w:tab/>
      </w:r>
      <w:r>
        <w:rPr>
          <w:rFonts w:hint="eastAsia" w:ascii="黑体" w:eastAsia="黑体"/>
          <w:b/>
          <w:bCs/>
          <w:color w:val="auto"/>
          <w:kern w:val="44"/>
          <w:sz w:val="30"/>
          <w:szCs w:val="30"/>
          <w:highlight w:val="none"/>
          <w:lang w:val="en-US" w:eastAsia="zh-CN"/>
        </w:rPr>
        <w:t>七</w:t>
      </w:r>
      <w:r>
        <w:rPr>
          <w:rFonts w:hint="eastAsia" w:ascii="黑体" w:eastAsia="黑体"/>
          <w:b/>
          <w:bCs/>
          <w:color w:val="auto"/>
          <w:kern w:val="44"/>
          <w:sz w:val="30"/>
          <w:szCs w:val="30"/>
          <w:highlight w:val="none"/>
          <w:lang w:eastAsia="zh-CN"/>
        </w:rPr>
        <w:t>）</w:t>
      </w:r>
      <w:r>
        <w:rPr>
          <w:rFonts w:hint="eastAsia" w:ascii="黑体" w:eastAsia="黑体"/>
          <w:b/>
          <w:bCs/>
          <w:color w:val="auto"/>
          <w:kern w:val="44"/>
          <w:sz w:val="30"/>
          <w:szCs w:val="30"/>
          <w:highlight w:val="none"/>
        </w:rPr>
        <w:t>主要进场管理人员和技术人员最低要求</w:t>
      </w:r>
    </w:p>
    <w:tbl>
      <w:tblPr>
        <w:tblW w:w="930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rPr>
          <w:trHeight w:val="706" w:hRule="atLeast"/>
        </w:trPr>
        <w:tc>
          <w:tcPr>
            <w:tcW w:w="225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人  员</w:t>
            </w:r>
          </w:p>
        </w:tc>
        <w:tc>
          <w:tcPr>
            <w:tcW w:w="1997"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数  量</w:t>
            </w:r>
          </w:p>
        </w:tc>
        <w:tc>
          <w:tcPr>
            <w:tcW w:w="5053"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资 格 要 求</w:t>
            </w:r>
          </w:p>
        </w:tc>
      </w:tr>
      <w:tr>
        <w:trPr>
          <w:trHeight w:val="995" w:hRule="atLeast"/>
        </w:trPr>
        <w:tc>
          <w:tcPr>
            <w:tcW w:w="225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项目经理</w:t>
            </w:r>
          </w:p>
        </w:tc>
        <w:tc>
          <w:tcPr>
            <w:tcW w:w="1997"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w:t>
            </w:r>
          </w:p>
        </w:tc>
        <w:tc>
          <w:tcPr>
            <w:tcW w:w="5053" w:type="dxa"/>
            <w:vAlign w:val="top"/>
          </w:tcPr>
          <w:p>
            <w:pPr>
              <w:spacing w:before="0" w:beforeAutospacing="0" w:after="0" w:afterAutospacing="0"/>
              <w:ind w:left="0" w:right="0"/>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具备贰级及以上公路工程专业注册建造师执业资格，具备有效的安全生产考核合格证书，且未担任其他在施建设项目的项目经理。</w:t>
            </w:r>
          </w:p>
        </w:tc>
      </w:tr>
      <w:tr>
        <w:trPr>
          <w:trHeight w:val="510" w:hRule="atLeast"/>
        </w:trPr>
        <w:tc>
          <w:tcPr>
            <w:tcW w:w="225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项目总工程师</w:t>
            </w:r>
          </w:p>
        </w:tc>
        <w:tc>
          <w:tcPr>
            <w:tcW w:w="1997"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r>
              <w:rPr>
                <w:rFonts w:hint="eastAsia" w:ascii="宋体" w:hAnsi="宋体" w:cs="Calibri"/>
                <w:color w:val="auto"/>
                <w:kern w:val="2"/>
                <w:sz w:val="24"/>
                <w:szCs w:val="22"/>
                <w:highlight w:val="none"/>
              </w:rPr>
              <w:t>1</w:t>
            </w:r>
          </w:p>
        </w:tc>
        <w:tc>
          <w:tcPr>
            <w:tcW w:w="5053" w:type="dxa"/>
            <w:vAlign w:val="top"/>
          </w:tcPr>
          <w:p>
            <w:pPr>
              <w:spacing w:before="0" w:beforeAutospacing="0" w:after="0" w:afterAutospacing="0"/>
              <w:ind w:left="0" w:right="0"/>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中级及以上相关专业技术职称。</w:t>
            </w:r>
            <w:r>
              <w:rPr>
                <w:rFonts w:hint="default" w:ascii="Calibri" w:hAnsi="Calibri" w:cs="Calibri"/>
                <w:color w:val="auto"/>
                <w:kern w:val="2"/>
                <w:sz w:val="21"/>
                <w:szCs w:val="21"/>
                <w:highlight w:val="none"/>
              </w:rPr>
              <w:t xml:space="preserve"> </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财务负责人</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会计师，工程经验</w:t>
            </w:r>
            <w:r>
              <w:rPr>
                <w:rFonts w:hint="eastAsia" w:ascii="Calibri" w:hAnsi="Calibri" w:cs="Calibri"/>
                <w:color w:val="auto"/>
                <w:kern w:val="2"/>
                <w:sz w:val="21"/>
                <w:szCs w:val="21"/>
                <w:highlight w:val="none"/>
              </w:rPr>
              <w:t>3</w:t>
            </w:r>
            <w:r>
              <w:rPr>
                <w:rFonts w:hint="default" w:ascii="Calibri" w:hAnsi="Calibri" w:cs="Calibri"/>
                <w:color w:val="auto"/>
                <w:kern w:val="2"/>
                <w:sz w:val="21"/>
                <w:szCs w:val="21"/>
                <w:highlight w:val="none"/>
              </w:rPr>
              <w:t>年以上，从事类似工作</w:t>
            </w:r>
            <w:r>
              <w:rPr>
                <w:rFonts w:hint="eastAsia" w:ascii="Calibri" w:hAnsi="Calibri" w:cs="Calibri"/>
                <w:color w:val="auto"/>
                <w:kern w:val="2"/>
                <w:sz w:val="21"/>
                <w:szCs w:val="21"/>
                <w:highlight w:val="none"/>
              </w:rPr>
              <w:t>2</w:t>
            </w:r>
            <w:r>
              <w:rPr>
                <w:rFonts w:hint="default" w:ascii="Calibri" w:hAnsi="Calibri" w:cs="Calibri"/>
                <w:color w:val="auto"/>
                <w:kern w:val="2"/>
                <w:sz w:val="21"/>
                <w:szCs w:val="21"/>
                <w:highlight w:val="none"/>
              </w:rPr>
              <w:t>年以上。</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质检工程师</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工程师，工程经验</w:t>
            </w:r>
            <w:r>
              <w:rPr>
                <w:rFonts w:hint="eastAsia" w:ascii="Calibri" w:hAnsi="Calibri" w:cs="Calibri"/>
                <w:color w:val="auto"/>
                <w:kern w:val="2"/>
                <w:sz w:val="21"/>
                <w:szCs w:val="21"/>
                <w:highlight w:val="none"/>
              </w:rPr>
              <w:t>3</w:t>
            </w:r>
            <w:r>
              <w:rPr>
                <w:rFonts w:hint="default" w:ascii="Calibri" w:hAnsi="Calibri" w:cs="Calibri"/>
                <w:color w:val="auto"/>
                <w:kern w:val="2"/>
                <w:sz w:val="21"/>
                <w:szCs w:val="21"/>
                <w:highlight w:val="none"/>
              </w:rPr>
              <w:t>年以上，从事类似工程</w:t>
            </w:r>
            <w:r>
              <w:rPr>
                <w:rFonts w:hint="eastAsia" w:ascii="Calibri" w:hAnsi="Calibri" w:cs="Calibri"/>
                <w:color w:val="auto"/>
                <w:kern w:val="2"/>
                <w:sz w:val="21"/>
                <w:szCs w:val="21"/>
                <w:highlight w:val="none"/>
              </w:rPr>
              <w:t>2</w:t>
            </w:r>
            <w:r>
              <w:rPr>
                <w:rFonts w:hint="default" w:ascii="Calibri" w:hAnsi="Calibri" w:cs="Calibri"/>
                <w:color w:val="auto"/>
                <w:kern w:val="2"/>
                <w:sz w:val="21"/>
                <w:szCs w:val="21"/>
                <w:highlight w:val="none"/>
              </w:rPr>
              <w:t>年以上。</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路基</w:t>
            </w:r>
            <w:r>
              <w:rPr>
                <w:rFonts w:hint="eastAsia" w:ascii="Calibri" w:hAnsi="Calibri" w:cs="Calibri"/>
                <w:color w:val="auto"/>
                <w:kern w:val="2"/>
                <w:sz w:val="21"/>
                <w:szCs w:val="21"/>
                <w:highlight w:val="none"/>
              </w:rPr>
              <w:t>、路面</w:t>
            </w:r>
            <w:r>
              <w:rPr>
                <w:rFonts w:hint="default" w:ascii="Calibri" w:hAnsi="Calibri" w:cs="Calibri"/>
                <w:color w:val="auto"/>
                <w:kern w:val="2"/>
                <w:sz w:val="21"/>
                <w:szCs w:val="21"/>
                <w:highlight w:val="none"/>
              </w:rPr>
              <w:t>工程师</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工程师，工程经验</w:t>
            </w:r>
            <w:r>
              <w:rPr>
                <w:rFonts w:hint="eastAsia" w:ascii="Calibri" w:hAnsi="Calibri" w:cs="Calibri"/>
                <w:color w:val="auto"/>
                <w:kern w:val="2"/>
                <w:sz w:val="21"/>
                <w:szCs w:val="21"/>
                <w:highlight w:val="none"/>
              </w:rPr>
              <w:t>3</w:t>
            </w:r>
            <w:r>
              <w:rPr>
                <w:rFonts w:hint="default" w:ascii="Calibri" w:hAnsi="Calibri" w:cs="Calibri"/>
                <w:color w:val="auto"/>
                <w:kern w:val="2"/>
                <w:sz w:val="21"/>
                <w:szCs w:val="21"/>
                <w:highlight w:val="none"/>
              </w:rPr>
              <w:t>年以上，从事类似工作</w:t>
            </w:r>
            <w:r>
              <w:rPr>
                <w:rFonts w:hint="eastAsia" w:ascii="Calibri" w:hAnsi="Calibri" w:cs="Calibri"/>
                <w:color w:val="auto"/>
                <w:kern w:val="2"/>
                <w:sz w:val="21"/>
                <w:szCs w:val="21"/>
                <w:highlight w:val="none"/>
              </w:rPr>
              <w:t>2</w:t>
            </w:r>
            <w:r>
              <w:rPr>
                <w:rFonts w:hint="default" w:ascii="Calibri" w:hAnsi="Calibri" w:cs="Calibri"/>
                <w:color w:val="auto"/>
                <w:kern w:val="2"/>
                <w:sz w:val="21"/>
                <w:szCs w:val="21"/>
                <w:highlight w:val="none"/>
              </w:rPr>
              <w:t>年以上。</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测量工程师</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工程师，工程经验</w:t>
            </w:r>
            <w:r>
              <w:rPr>
                <w:rFonts w:hint="eastAsia" w:ascii="Calibri" w:hAnsi="Calibri" w:cs="Calibri"/>
                <w:color w:val="auto"/>
                <w:kern w:val="2"/>
                <w:sz w:val="21"/>
                <w:szCs w:val="21"/>
                <w:highlight w:val="none"/>
              </w:rPr>
              <w:t>3</w:t>
            </w:r>
            <w:r>
              <w:rPr>
                <w:rFonts w:hint="default" w:ascii="Calibri" w:hAnsi="Calibri" w:cs="Calibri"/>
                <w:color w:val="auto"/>
                <w:kern w:val="2"/>
                <w:sz w:val="21"/>
                <w:szCs w:val="21"/>
                <w:highlight w:val="none"/>
              </w:rPr>
              <w:t>年以上，从事类似工作</w:t>
            </w:r>
            <w:r>
              <w:rPr>
                <w:rFonts w:hint="eastAsia" w:ascii="Calibri" w:hAnsi="Calibri" w:cs="Calibri"/>
                <w:color w:val="auto"/>
                <w:kern w:val="2"/>
                <w:sz w:val="21"/>
                <w:szCs w:val="21"/>
                <w:highlight w:val="none"/>
              </w:rPr>
              <w:t>2</w:t>
            </w:r>
            <w:r>
              <w:rPr>
                <w:rFonts w:hint="default" w:ascii="Calibri" w:hAnsi="Calibri" w:cs="Calibri"/>
                <w:color w:val="auto"/>
                <w:kern w:val="2"/>
                <w:sz w:val="21"/>
                <w:szCs w:val="21"/>
                <w:highlight w:val="none"/>
              </w:rPr>
              <w:t>年以上。</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试验负责人</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工程师，工程经验</w:t>
            </w:r>
            <w:r>
              <w:rPr>
                <w:rFonts w:hint="eastAsia" w:ascii="Calibri" w:hAnsi="Calibri" w:cs="Calibri"/>
                <w:color w:val="auto"/>
                <w:kern w:val="2"/>
                <w:sz w:val="21"/>
                <w:szCs w:val="21"/>
                <w:highlight w:val="none"/>
              </w:rPr>
              <w:t>3</w:t>
            </w:r>
            <w:r>
              <w:rPr>
                <w:rFonts w:hint="default" w:ascii="Calibri" w:hAnsi="Calibri" w:cs="Calibri"/>
                <w:color w:val="auto"/>
                <w:kern w:val="2"/>
                <w:sz w:val="21"/>
                <w:szCs w:val="21"/>
                <w:highlight w:val="none"/>
              </w:rPr>
              <w:t>年以上，从事类似工作</w:t>
            </w:r>
            <w:r>
              <w:rPr>
                <w:rFonts w:hint="eastAsia" w:ascii="Calibri" w:hAnsi="Calibri" w:cs="Calibri"/>
                <w:color w:val="auto"/>
                <w:kern w:val="2"/>
                <w:sz w:val="21"/>
                <w:szCs w:val="21"/>
                <w:highlight w:val="none"/>
              </w:rPr>
              <w:t>2</w:t>
            </w:r>
            <w:r>
              <w:rPr>
                <w:rFonts w:hint="default" w:ascii="Calibri" w:hAnsi="Calibri" w:cs="Calibri"/>
                <w:color w:val="auto"/>
                <w:kern w:val="2"/>
                <w:sz w:val="21"/>
                <w:szCs w:val="21"/>
                <w:highlight w:val="none"/>
              </w:rPr>
              <w:t>年以上，具有交通运输部颁发的试验检测工程师资格证。</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机械工程师</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工程师，工程经验</w:t>
            </w:r>
            <w:r>
              <w:rPr>
                <w:rFonts w:hint="eastAsia" w:ascii="Calibri" w:hAnsi="Calibri" w:cs="Calibri"/>
                <w:color w:val="auto"/>
                <w:kern w:val="2"/>
                <w:sz w:val="21"/>
                <w:szCs w:val="21"/>
                <w:highlight w:val="none"/>
              </w:rPr>
              <w:t>3</w:t>
            </w:r>
            <w:r>
              <w:rPr>
                <w:rFonts w:hint="default" w:ascii="Calibri" w:hAnsi="Calibri" w:cs="Calibri"/>
                <w:color w:val="auto"/>
                <w:kern w:val="2"/>
                <w:sz w:val="21"/>
                <w:szCs w:val="21"/>
                <w:highlight w:val="none"/>
              </w:rPr>
              <w:t>年以上，从事类似工作</w:t>
            </w:r>
            <w:r>
              <w:rPr>
                <w:rFonts w:hint="eastAsia" w:ascii="Calibri" w:hAnsi="Calibri" w:cs="Calibri"/>
                <w:color w:val="auto"/>
                <w:kern w:val="2"/>
                <w:sz w:val="21"/>
                <w:szCs w:val="21"/>
                <w:highlight w:val="none"/>
              </w:rPr>
              <w:t>2</w:t>
            </w:r>
            <w:r>
              <w:rPr>
                <w:rFonts w:hint="default" w:ascii="Calibri" w:hAnsi="Calibri" w:cs="Calibri"/>
                <w:color w:val="auto"/>
                <w:kern w:val="2"/>
                <w:sz w:val="21"/>
                <w:szCs w:val="21"/>
                <w:highlight w:val="none"/>
              </w:rPr>
              <w:t>年以上。</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专职安全员</w:t>
            </w: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1</w:t>
            </w: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从事类似工作3年以上</w:t>
            </w:r>
            <w:r>
              <w:rPr>
                <w:rFonts w:hint="default" w:ascii="Calibri" w:hAnsi="Calibri" w:cs="Calibri"/>
                <w:color w:val="auto"/>
                <w:kern w:val="2"/>
                <w:sz w:val="21"/>
                <w:szCs w:val="21"/>
                <w:highlight w:val="none"/>
                <w:lang w:val="zh-CN"/>
              </w:rPr>
              <w:t>，</w:t>
            </w:r>
            <w:r>
              <w:rPr>
                <w:rFonts w:hint="default" w:ascii="Calibri" w:hAnsi="Calibri" w:cs="Calibri"/>
                <w:color w:val="auto"/>
                <w:kern w:val="2"/>
                <w:sz w:val="21"/>
                <w:szCs w:val="21"/>
                <w:highlight w:val="none"/>
              </w:rPr>
              <w:t>具</w:t>
            </w:r>
            <w:r>
              <w:rPr>
                <w:rFonts w:hint="eastAsia" w:ascii="Calibri" w:hAnsi="Calibri" w:cs="Calibri"/>
                <w:color w:val="auto"/>
                <w:kern w:val="2"/>
                <w:sz w:val="21"/>
                <w:szCs w:val="21"/>
                <w:highlight w:val="none"/>
              </w:rPr>
              <w:t>有有效</w:t>
            </w:r>
            <w:r>
              <w:rPr>
                <w:rFonts w:hint="default" w:ascii="Calibri" w:hAnsi="Calibri" w:cs="Calibri"/>
                <w:color w:val="auto"/>
                <w:kern w:val="2"/>
                <w:sz w:val="21"/>
                <w:szCs w:val="21"/>
                <w:highlight w:val="none"/>
              </w:rPr>
              <w:t>的安全生产考核合格证。</w:t>
            </w: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5053" w:type="dxa"/>
            <w:vAlign w:val="center"/>
          </w:tcPr>
          <w:p>
            <w:pPr>
              <w:spacing w:before="0" w:beforeAutospacing="0" w:after="0" w:afterAutospacing="0" w:line="400" w:lineRule="exact"/>
              <w:ind w:left="0" w:right="0"/>
              <w:jc w:val="left"/>
              <w:rPr>
                <w:rFonts w:hint="default" w:ascii="Calibri" w:hAnsi="Calibri" w:cs="Calibri"/>
                <w:color w:val="auto"/>
                <w:kern w:val="2"/>
                <w:sz w:val="21"/>
                <w:szCs w:val="21"/>
                <w:highlight w:val="none"/>
              </w:rPr>
            </w:pPr>
          </w:p>
        </w:tc>
      </w:tr>
      <w:tr>
        <w:trPr>
          <w:trHeight w:val="642" w:hRule="atLeast"/>
        </w:trPr>
        <w:tc>
          <w:tcPr>
            <w:tcW w:w="2250"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1997"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c>
          <w:tcPr>
            <w:tcW w:w="5053" w:type="dxa"/>
            <w:vAlign w:val="center"/>
          </w:tcPr>
          <w:p>
            <w:pPr>
              <w:spacing w:before="0" w:beforeAutospacing="0" w:after="0" w:afterAutospacing="0"/>
              <w:ind w:left="0" w:right="0"/>
              <w:rPr>
                <w:rFonts w:hint="default" w:ascii="Calibri" w:hAnsi="Calibri" w:cs="Calibri"/>
                <w:color w:val="auto"/>
                <w:kern w:val="2"/>
                <w:sz w:val="21"/>
                <w:szCs w:val="21"/>
                <w:highlight w:val="none"/>
              </w:rPr>
            </w:pPr>
          </w:p>
        </w:tc>
      </w:tr>
      <w:tr>
        <w:trPr>
          <w:trHeight w:val="642" w:hRule="atLeast"/>
        </w:trPr>
        <w:tc>
          <w:tcPr>
            <w:tcW w:w="225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1997"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5053"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r>
    </w:tbl>
    <w:p>
      <w:pPr>
        <w:spacing w:line="500" w:lineRule="exact"/>
        <w:ind w:firstLine="420" w:firstLineChars="200"/>
        <w:rPr>
          <w:rFonts w:ascii="宋体" w:hAnsi="宋体"/>
          <w:color w:val="auto"/>
          <w:szCs w:val="21"/>
          <w:highlight w:val="none"/>
        </w:rPr>
      </w:pP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360" w:lineRule="auto"/>
        <w:jc w:val="center"/>
        <w:rPr>
          <w:rFonts w:hint="eastAsia" w:ascii="黑体" w:hAnsi="宋体" w:eastAsia="黑体"/>
          <w:color w:val="auto"/>
          <w:sz w:val="28"/>
          <w:szCs w:val="28"/>
          <w:highlight w:val="non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pStyle w:val="4"/>
        <w:spacing w:beforeLines="100" w:afterLines="100" w:line="36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lang w:eastAsia="zh-CN"/>
        </w:rPr>
        <w:t>八</w:t>
      </w:r>
      <w:r>
        <w:rPr>
          <w:rFonts w:hint="eastAsia" w:ascii="黑体" w:hAnsi="宋体" w:eastAsia="黑体"/>
          <w:color w:val="auto"/>
          <w:sz w:val="28"/>
          <w:szCs w:val="28"/>
          <w:highlight w:val="none"/>
        </w:rPr>
        <w:t>）近年发生的诉讼及仲裁情况</w:t>
      </w:r>
      <w:bookmarkEnd w:id="270"/>
      <w:bookmarkEnd w:id="271"/>
      <w:bookmarkEnd w:id="272"/>
      <w:bookmarkEnd w:id="273"/>
    </w:p>
    <w:tbl>
      <w:tblPr>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rPr>
          <w:trHeight w:val="1134" w:hRule="exact"/>
          <w:jc w:val="center"/>
        </w:trPr>
        <w:tc>
          <w:tcPr>
            <w:tcW w:w="4819"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项目</w:t>
            </w:r>
          </w:p>
        </w:tc>
        <w:tc>
          <w:tcPr>
            <w:tcW w:w="482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投标人情况说明</w:t>
            </w:r>
          </w:p>
        </w:tc>
      </w:tr>
      <w:tr>
        <w:trPr>
          <w:trHeight w:val="1134" w:hRule="exact"/>
          <w:jc w:val="center"/>
        </w:trPr>
        <w:tc>
          <w:tcPr>
            <w:tcW w:w="4819"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482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r>
      <w:tr>
        <w:trPr>
          <w:trHeight w:val="1134" w:hRule="exact"/>
          <w:jc w:val="center"/>
        </w:trPr>
        <w:tc>
          <w:tcPr>
            <w:tcW w:w="4819"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482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r>
      <w:tr>
        <w:trPr>
          <w:trHeight w:val="1134" w:hRule="exact"/>
          <w:jc w:val="center"/>
        </w:trPr>
        <w:tc>
          <w:tcPr>
            <w:tcW w:w="4819"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482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r>
      <w:tr>
        <w:trPr>
          <w:trHeight w:val="1134" w:hRule="exact"/>
          <w:jc w:val="center"/>
        </w:trPr>
        <w:tc>
          <w:tcPr>
            <w:tcW w:w="4819"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482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r>
      <w:tr>
        <w:trPr>
          <w:trHeight w:val="1134" w:hRule="exact"/>
          <w:jc w:val="center"/>
        </w:trPr>
        <w:tc>
          <w:tcPr>
            <w:tcW w:w="4819"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482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r>
      <w:tr>
        <w:trPr>
          <w:trHeight w:val="1134" w:hRule="exact"/>
          <w:jc w:val="center"/>
        </w:trPr>
        <w:tc>
          <w:tcPr>
            <w:tcW w:w="4819"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482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r>
      <w:tr>
        <w:trPr>
          <w:trHeight w:val="1134" w:hRule="exact"/>
          <w:jc w:val="center"/>
        </w:trPr>
        <w:tc>
          <w:tcPr>
            <w:tcW w:w="4819"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482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r>
      <w:tr>
        <w:trPr>
          <w:trHeight w:val="1134" w:hRule="exact"/>
          <w:jc w:val="center"/>
        </w:trPr>
        <w:tc>
          <w:tcPr>
            <w:tcW w:w="4819"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c>
          <w:tcPr>
            <w:tcW w:w="4820" w:type="dxa"/>
            <w:vAlign w:val="center"/>
          </w:tcPr>
          <w:p>
            <w:pPr>
              <w:spacing w:before="0" w:beforeAutospacing="0" w:after="0" w:afterAutospacing="0"/>
              <w:ind w:left="0" w:right="0"/>
              <w:jc w:val="center"/>
              <w:rPr>
                <w:rFonts w:hint="default" w:ascii="宋体" w:hAnsi="宋体" w:cs="Calibri"/>
                <w:color w:val="auto"/>
                <w:kern w:val="2"/>
                <w:sz w:val="24"/>
                <w:szCs w:val="22"/>
                <w:highlight w:val="none"/>
              </w:rPr>
            </w:pPr>
          </w:p>
        </w:tc>
      </w:tr>
    </w:tbl>
    <w:p>
      <w:pPr>
        <w:spacing w:line="400" w:lineRule="exact"/>
        <w:ind w:firstLine="420"/>
        <w:rPr>
          <w:rFonts w:ascii="宋体" w:hAnsi="宋体"/>
          <w:color w:val="auto"/>
          <w:szCs w:val="21"/>
          <w:highlight w:val="none"/>
        </w:rPr>
      </w:pPr>
    </w:p>
    <w:p>
      <w:pPr>
        <w:rPr>
          <w:color w:val="auto"/>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spacing w:before="120" w:after="120"/>
        <w:jc w:val="both"/>
        <w:rPr>
          <w:rFonts w:ascii="黑体" w:eastAsia="黑体"/>
          <w:b/>
          <w:bCs/>
          <w:color w:val="auto"/>
          <w:kern w:val="44"/>
          <w:sz w:val="30"/>
          <w:szCs w:val="30"/>
          <w:highlight w:val="none"/>
        </w:rPr>
      </w:pPr>
      <w:bookmarkStart w:id="274" w:name="_Toc234382989"/>
    </w:p>
    <w:p>
      <w:pPr>
        <w:pageBreakBefore/>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lang w:eastAsia="zh-CN"/>
        </w:rPr>
        <w:t>（九）</w:t>
      </w:r>
      <w:r>
        <w:rPr>
          <w:rFonts w:hint="eastAsia" w:ascii="黑体" w:eastAsia="黑体"/>
          <w:b/>
          <w:bCs/>
          <w:color w:val="auto"/>
          <w:kern w:val="44"/>
          <w:sz w:val="30"/>
          <w:szCs w:val="30"/>
          <w:highlight w:val="none"/>
        </w:rPr>
        <w:t>关键设备最低条件</w:t>
      </w:r>
    </w:p>
    <w:tbl>
      <w:tblPr>
        <w:tblW w:w="93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0"/>
        <w:gridCol w:w="2048"/>
        <w:gridCol w:w="784"/>
        <w:gridCol w:w="1476"/>
        <w:gridCol w:w="2375"/>
      </w:tblGrid>
      <w:tr>
        <w:trPr>
          <w:trHeight w:val="400" w:hRule="atLeast"/>
        </w:trPr>
        <w:tc>
          <w:tcPr>
            <w:tcW w:w="262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设备名称</w:t>
            </w:r>
          </w:p>
        </w:tc>
        <w:tc>
          <w:tcPr>
            <w:tcW w:w="204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规格、功率及容量</w:t>
            </w:r>
          </w:p>
        </w:tc>
        <w:tc>
          <w:tcPr>
            <w:tcW w:w="784"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单位</w:t>
            </w:r>
          </w:p>
        </w:tc>
        <w:tc>
          <w:tcPr>
            <w:tcW w:w="1476"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最低数量要求</w:t>
            </w:r>
          </w:p>
        </w:tc>
        <w:tc>
          <w:tcPr>
            <w:tcW w:w="237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default" w:ascii="Calibri" w:hAnsi="Calibri" w:cs="Calibri"/>
                <w:color w:val="auto"/>
                <w:kern w:val="2"/>
                <w:sz w:val="21"/>
                <w:szCs w:val="21"/>
                <w:highlight w:val="none"/>
              </w:rPr>
              <w:t>要</w:t>
            </w:r>
            <w:r>
              <w:rPr>
                <w:rFonts w:hint="eastAsia" w:ascii="Calibri" w:hAnsi="Calibri" w:cs="Calibri"/>
                <w:color w:val="auto"/>
                <w:kern w:val="2"/>
                <w:sz w:val="21"/>
                <w:szCs w:val="21"/>
                <w:highlight w:val="none"/>
              </w:rPr>
              <w:t xml:space="preserve">  </w:t>
            </w:r>
            <w:r>
              <w:rPr>
                <w:rFonts w:hint="default" w:ascii="Calibri" w:hAnsi="Calibri" w:cs="Calibri"/>
                <w:color w:val="auto"/>
                <w:kern w:val="2"/>
                <w:sz w:val="21"/>
                <w:szCs w:val="21"/>
                <w:highlight w:val="none"/>
              </w:rPr>
              <w:t>求</w:t>
            </w:r>
          </w:p>
        </w:tc>
      </w:tr>
      <w:tr>
        <w:trPr>
          <w:trHeight w:val="400" w:hRule="atLeast"/>
        </w:trPr>
        <w:tc>
          <w:tcPr>
            <w:tcW w:w="2620" w:type="dxa"/>
            <w:vAlign w:val="center"/>
          </w:tcPr>
          <w:p>
            <w:pPr>
              <w:adjustRightInd w:val="0"/>
              <w:snapToGrid w:val="0"/>
              <w:spacing w:before="0" w:beforeAutospacing="0" w:after="0" w:afterAutospacing="0" w:line="360" w:lineRule="auto"/>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水泥砼搅拌站</w:t>
            </w:r>
          </w:p>
        </w:tc>
        <w:tc>
          <w:tcPr>
            <w:tcW w:w="2048"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476"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2375"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adjustRightInd w:val="0"/>
              <w:snapToGrid w:val="0"/>
              <w:spacing w:before="0" w:beforeAutospacing="0" w:after="0" w:afterAutospacing="0" w:line="360" w:lineRule="auto"/>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架桥机</w:t>
            </w:r>
          </w:p>
        </w:tc>
        <w:tc>
          <w:tcPr>
            <w:tcW w:w="204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default"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476"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1</w:t>
            </w:r>
          </w:p>
        </w:tc>
        <w:tc>
          <w:tcPr>
            <w:tcW w:w="2375"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adjustRightInd w:val="0"/>
              <w:snapToGrid w:val="0"/>
              <w:spacing w:before="0" w:beforeAutospacing="0" w:after="0" w:afterAutospacing="0" w:line="360" w:lineRule="auto"/>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水泥砼搅拌运输车</w:t>
            </w:r>
          </w:p>
        </w:tc>
        <w:tc>
          <w:tcPr>
            <w:tcW w:w="2048"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台</w:t>
            </w:r>
          </w:p>
        </w:tc>
        <w:tc>
          <w:tcPr>
            <w:tcW w:w="1476"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3</w:t>
            </w:r>
          </w:p>
        </w:tc>
        <w:tc>
          <w:tcPr>
            <w:tcW w:w="2375"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adjustRightInd w:val="0"/>
              <w:snapToGrid w:val="0"/>
              <w:spacing w:before="0" w:beforeAutospacing="0" w:after="0" w:afterAutospacing="0" w:line="360" w:lineRule="auto"/>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水泥砼输送泵</w:t>
            </w:r>
          </w:p>
        </w:tc>
        <w:tc>
          <w:tcPr>
            <w:tcW w:w="2048"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台</w:t>
            </w:r>
          </w:p>
        </w:tc>
        <w:tc>
          <w:tcPr>
            <w:tcW w:w="1476"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1</w:t>
            </w:r>
          </w:p>
        </w:tc>
        <w:tc>
          <w:tcPr>
            <w:tcW w:w="2375"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风镐</w:t>
            </w:r>
          </w:p>
        </w:tc>
        <w:tc>
          <w:tcPr>
            <w:tcW w:w="2048"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476"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4</w:t>
            </w:r>
          </w:p>
        </w:tc>
        <w:tc>
          <w:tcPr>
            <w:tcW w:w="2375"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水泥混凝土路面振捣设备</w:t>
            </w:r>
          </w:p>
        </w:tc>
        <w:tc>
          <w:tcPr>
            <w:tcW w:w="2048"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套</w:t>
            </w:r>
          </w:p>
        </w:tc>
        <w:tc>
          <w:tcPr>
            <w:tcW w:w="1476"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4</w:t>
            </w:r>
          </w:p>
        </w:tc>
        <w:tc>
          <w:tcPr>
            <w:tcW w:w="2375"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adjustRightInd w:val="0"/>
              <w:snapToGrid w:val="0"/>
              <w:spacing w:before="0" w:beforeAutospacing="0" w:after="0" w:afterAutospacing="0" w:line="360" w:lineRule="auto"/>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吊车</w:t>
            </w:r>
          </w:p>
        </w:tc>
        <w:tc>
          <w:tcPr>
            <w:tcW w:w="2048"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满足施工需要</w:t>
            </w:r>
          </w:p>
        </w:tc>
        <w:tc>
          <w:tcPr>
            <w:tcW w:w="784"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台</w:t>
            </w:r>
          </w:p>
        </w:tc>
        <w:tc>
          <w:tcPr>
            <w:tcW w:w="1476"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c>
          <w:tcPr>
            <w:tcW w:w="2375"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挖掘机</w:t>
            </w:r>
          </w:p>
        </w:tc>
        <w:tc>
          <w:tcPr>
            <w:tcW w:w="2048"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default"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47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1</w:t>
            </w:r>
          </w:p>
        </w:tc>
        <w:tc>
          <w:tcPr>
            <w:tcW w:w="2375"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装载机</w:t>
            </w:r>
          </w:p>
        </w:tc>
        <w:tc>
          <w:tcPr>
            <w:tcW w:w="2048"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套</w:t>
            </w:r>
          </w:p>
        </w:tc>
        <w:tc>
          <w:tcPr>
            <w:tcW w:w="1476"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2</w:t>
            </w:r>
          </w:p>
        </w:tc>
        <w:tc>
          <w:tcPr>
            <w:tcW w:w="2375"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2000KN压力试验机</w:t>
            </w:r>
          </w:p>
        </w:tc>
        <w:tc>
          <w:tcPr>
            <w:tcW w:w="2048"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476"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c>
          <w:tcPr>
            <w:tcW w:w="2375"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60KN万能材料试验机</w:t>
            </w:r>
          </w:p>
        </w:tc>
        <w:tc>
          <w:tcPr>
            <w:tcW w:w="2048"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台</w:t>
            </w:r>
          </w:p>
        </w:tc>
        <w:tc>
          <w:tcPr>
            <w:tcW w:w="1476"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c>
          <w:tcPr>
            <w:tcW w:w="2375"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水泥试验设备</w:t>
            </w:r>
          </w:p>
        </w:tc>
        <w:tc>
          <w:tcPr>
            <w:tcW w:w="2048"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台</w:t>
            </w:r>
          </w:p>
        </w:tc>
        <w:tc>
          <w:tcPr>
            <w:tcW w:w="1476"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c>
          <w:tcPr>
            <w:tcW w:w="2375"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标准养护箱</w:t>
            </w:r>
          </w:p>
        </w:tc>
        <w:tc>
          <w:tcPr>
            <w:tcW w:w="2048"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476"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c>
          <w:tcPr>
            <w:tcW w:w="2375"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全站仪及附件</w:t>
            </w:r>
          </w:p>
        </w:tc>
        <w:tc>
          <w:tcPr>
            <w:tcW w:w="2048"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台</w:t>
            </w:r>
          </w:p>
        </w:tc>
        <w:tc>
          <w:tcPr>
            <w:tcW w:w="1476"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w:t>
            </w:r>
          </w:p>
        </w:tc>
        <w:tc>
          <w:tcPr>
            <w:tcW w:w="2375"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自动安平水准仪</w:t>
            </w:r>
          </w:p>
        </w:tc>
        <w:tc>
          <w:tcPr>
            <w:tcW w:w="2048" w:type="dxa"/>
            <w:vAlign w:val="center"/>
          </w:tcPr>
          <w:p>
            <w:pPr>
              <w:spacing w:before="0" w:beforeAutospacing="0" w:after="0" w:afterAutospacing="0" w:line="40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满足施工需要</w:t>
            </w: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eastAsia" w:ascii="Calibri" w:hAnsi="Calibri" w:cs="Calibri"/>
                <w:color w:val="auto"/>
                <w:kern w:val="2"/>
                <w:sz w:val="21"/>
                <w:szCs w:val="21"/>
                <w:highlight w:val="none"/>
              </w:rPr>
              <w:t>台</w:t>
            </w:r>
          </w:p>
        </w:tc>
        <w:tc>
          <w:tcPr>
            <w:tcW w:w="1476"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2</w:t>
            </w:r>
          </w:p>
        </w:tc>
        <w:tc>
          <w:tcPr>
            <w:tcW w:w="2375"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r>
              <w:rPr>
                <w:rFonts w:hint="default" w:ascii="Calibri" w:hAnsi="Calibri" w:cs="Calibri"/>
                <w:color w:val="auto"/>
                <w:kern w:val="2"/>
                <w:sz w:val="21"/>
                <w:szCs w:val="21"/>
                <w:highlight w:val="none"/>
              </w:rPr>
              <w:t>近5年内购置</w:t>
            </w:r>
          </w:p>
        </w:tc>
      </w:tr>
      <w:tr>
        <w:trPr>
          <w:trHeight w:val="400" w:hRule="atLeast"/>
        </w:trPr>
        <w:tc>
          <w:tcPr>
            <w:tcW w:w="2620"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p>
        </w:tc>
        <w:tc>
          <w:tcPr>
            <w:tcW w:w="2048"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p>
        </w:tc>
        <w:tc>
          <w:tcPr>
            <w:tcW w:w="1476"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375"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r>
      <w:tr>
        <w:trPr>
          <w:trHeight w:val="405" w:hRule="exact"/>
        </w:trPr>
        <w:tc>
          <w:tcPr>
            <w:tcW w:w="2620"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p>
        </w:tc>
        <w:tc>
          <w:tcPr>
            <w:tcW w:w="2048"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p>
        </w:tc>
        <w:tc>
          <w:tcPr>
            <w:tcW w:w="784" w:type="dxa"/>
            <w:vAlign w:val="center"/>
          </w:tcPr>
          <w:p>
            <w:pPr>
              <w:spacing w:before="0" w:beforeAutospacing="0" w:after="0" w:afterAutospacing="0" w:line="440" w:lineRule="exact"/>
              <w:ind w:left="0" w:right="0"/>
              <w:jc w:val="center"/>
              <w:rPr>
                <w:rFonts w:hint="default" w:ascii="Calibri" w:hAnsi="Calibri" w:cs="Calibri"/>
                <w:color w:val="auto"/>
                <w:kern w:val="2"/>
                <w:sz w:val="21"/>
                <w:szCs w:val="21"/>
                <w:highlight w:val="none"/>
              </w:rPr>
            </w:pPr>
          </w:p>
        </w:tc>
        <w:tc>
          <w:tcPr>
            <w:tcW w:w="1476"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375" w:type="dxa"/>
            <w:vAlign w:val="center"/>
          </w:tcPr>
          <w:p>
            <w:pPr>
              <w:spacing w:before="0" w:beforeAutospacing="0" w:after="0" w:afterAutospacing="0"/>
              <w:ind w:left="0" w:right="0"/>
              <w:jc w:val="center"/>
              <w:rPr>
                <w:rFonts w:hint="default" w:ascii="Calibri" w:hAnsi="Calibri" w:cs="Calibri"/>
                <w:color w:val="auto"/>
                <w:kern w:val="2"/>
                <w:sz w:val="21"/>
                <w:szCs w:val="21"/>
                <w:highlight w:val="none"/>
              </w:rPr>
            </w:pPr>
          </w:p>
        </w:tc>
      </w:tr>
      <w:tr>
        <w:trPr>
          <w:trHeight w:val="405" w:hRule="exact"/>
        </w:trPr>
        <w:tc>
          <w:tcPr>
            <w:tcW w:w="2620"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p>
        </w:tc>
        <w:tc>
          <w:tcPr>
            <w:tcW w:w="2048" w:type="dxa"/>
            <w:vAlign w:val="center"/>
          </w:tcPr>
          <w:p>
            <w:pPr>
              <w:spacing w:before="0" w:beforeAutospacing="0" w:after="0" w:afterAutospacing="0" w:line="440" w:lineRule="exact"/>
              <w:ind w:left="0" w:right="0"/>
              <w:jc w:val="center"/>
              <w:rPr>
                <w:rFonts w:hint="default" w:ascii="宋体" w:hAnsi="宋体" w:cs="Calibri"/>
                <w:color w:val="auto"/>
                <w:kern w:val="2"/>
                <w:sz w:val="21"/>
                <w:szCs w:val="21"/>
                <w:highlight w:val="none"/>
              </w:rPr>
            </w:pPr>
          </w:p>
        </w:tc>
        <w:tc>
          <w:tcPr>
            <w:tcW w:w="784"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476"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2375"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bookmarkEnd w:id="274"/>
    </w:tbl>
    <w:p>
      <w:pPr>
        <w:spacing w:line="500" w:lineRule="exact"/>
        <w:ind w:firstLine="420" w:firstLineChars="200"/>
        <w:rPr>
          <w:rFonts w:ascii="宋体" w:hAnsi="宋体"/>
          <w:color w:val="auto"/>
          <w:szCs w:val="21"/>
          <w:highlight w:val="none"/>
        </w:rPr>
      </w:pPr>
      <w:bookmarkStart w:id="275" w:name="_Toc234382990"/>
      <w:r>
        <w:rPr>
          <w:rFonts w:hint="eastAsia" w:ascii="宋体" w:hAnsi="宋体"/>
          <w:color w:val="auto"/>
          <w:szCs w:val="21"/>
          <w:highlight w:val="none"/>
        </w:rPr>
        <w:t>我方在此承诺：若我方中标，我方将严格按照在投标文件中填报的主要机械设备和试验检测设备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360" w:lineRule="auto"/>
        <w:jc w:val="center"/>
        <w:rPr>
          <w:rFonts w:ascii="黑体" w:eastAsia="黑体"/>
          <w:color w:val="auto"/>
          <w:sz w:val="30"/>
          <w:szCs w:val="30"/>
          <w:highlight w:val="none"/>
          <w:u w:val="singl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adjustRightInd w:val="0"/>
        <w:snapToGrid w:val="0"/>
        <w:spacing w:line="360" w:lineRule="auto"/>
        <w:jc w:val="center"/>
        <w:rPr>
          <w:rFonts w:ascii="黑体" w:eastAsia="黑体"/>
          <w:color w:val="auto"/>
          <w:sz w:val="30"/>
          <w:szCs w:val="30"/>
          <w:highlight w:val="none"/>
          <w:u w:val="single"/>
        </w:rPr>
      </w:pPr>
    </w:p>
    <w:p>
      <w:pPr>
        <w:adjustRightInd w:val="0"/>
        <w:snapToGrid w:val="0"/>
        <w:spacing w:line="360" w:lineRule="auto"/>
        <w:jc w:val="center"/>
        <w:rPr>
          <w:rFonts w:ascii="黑体" w:eastAsia="黑体"/>
          <w:color w:val="auto"/>
          <w:sz w:val="30"/>
          <w:szCs w:val="30"/>
          <w:highlight w:val="none"/>
          <w:u w:val="single"/>
        </w:rPr>
      </w:pPr>
    </w:p>
    <w:p>
      <w:pPr>
        <w:adjustRightInd w:val="0"/>
        <w:snapToGrid w:val="0"/>
        <w:spacing w:afterLines="50" w:line="343" w:lineRule="auto"/>
        <w:rPr>
          <w:rFonts w:ascii="黑体" w:eastAsia="黑体"/>
          <w:color w:val="auto"/>
          <w:sz w:val="28"/>
          <w:szCs w:val="28"/>
          <w:highlight w:val="none"/>
        </w:rPr>
      </w:pPr>
    </w:p>
    <w:p>
      <w:pPr>
        <w:pStyle w:val="4"/>
        <w:spacing w:beforeLines="100" w:afterLines="150" w:line="360" w:lineRule="exact"/>
        <w:jc w:val="center"/>
        <w:rPr>
          <w:rFonts w:hint="eastAsia" w:ascii="黑体" w:hAnsi="宋体" w:eastAsia="黑体"/>
          <w:color w:val="auto"/>
          <w:sz w:val="30"/>
          <w:szCs w:val="30"/>
          <w:highlight w:val="none"/>
          <w:lang w:eastAsia="zh-CN"/>
        </w:rPr>
      </w:pPr>
      <w:bookmarkStart w:id="276" w:name="_Toc486277946"/>
      <w:bookmarkStart w:id="277" w:name="_Toc485889081"/>
      <w:bookmarkStart w:id="278" w:name="_Toc5401"/>
    </w:p>
    <w:p>
      <w:pPr>
        <w:pStyle w:val="4"/>
        <w:spacing w:beforeLines="100" w:afterLines="150" w:line="360" w:lineRule="exact"/>
        <w:jc w:val="center"/>
        <w:rPr>
          <w:rFonts w:ascii="黑体" w:hAnsi="宋体" w:eastAsia="黑体"/>
          <w:color w:val="auto"/>
          <w:sz w:val="30"/>
          <w:szCs w:val="30"/>
          <w:highlight w:val="none"/>
        </w:rPr>
      </w:pPr>
      <w:r>
        <w:rPr>
          <w:rFonts w:hint="eastAsia" w:ascii="黑体" w:hAnsi="宋体" w:eastAsia="黑体"/>
          <w:color w:val="auto"/>
          <w:sz w:val="30"/>
          <w:szCs w:val="30"/>
          <w:highlight w:val="none"/>
          <w:lang w:eastAsia="zh-CN"/>
        </w:rPr>
        <w:t>八</w:t>
      </w:r>
      <w:r>
        <w:rPr>
          <w:rFonts w:hint="eastAsia" w:ascii="黑体" w:hAnsi="宋体" w:eastAsia="黑体"/>
          <w:color w:val="auto"/>
          <w:sz w:val="30"/>
          <w:szCs w:val="30"/>
          <w:highlight w:val="none"/>
        </w:rPr>
        <w:t>、其 他 材 料</w:t>
      </w:r>
      <w:bookmarkEnd w:id="275"/>
      <w:bookmarkEnd w:id="276"/>
      <w:bookmarkEnd w:id="277"/>
      <w:bookmarkEnd w:id="27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spacing w:beforeLines="100" w:afterLines="150" w:line="360" w:lineRule="exact"/>
        <w:jc w:val="center"/>
        <w:rPr>
          <w:color w:val="auto"/>
          <w:highlight w:val="none"/>
        </w:rPr>
      </w:pPr>
    </w:p>
    <w:p>
      <w:pPr>
        <w:pStyle w:val="4"/>
        <w:spacing w:beforeLines="100" w:afterLines="150" w:line="360" w:lineRule="exact"/>
        <w:jc w:val="cente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right"/>
        <w:rPr>
          <w:rFonts w:hint="eastAsia" w:ascii="黑体" w:hAnsi="宋体" w:eastAsia="黑体"/>
          <w:b w:val="0"/>
          <w:bCs/>
          <w:color w:val="auto"/>
          <w:sz w:val="36"/>
          <w:szCs w:val="36"/>
          <w:highlight w:val="none"/>
          <w:lang w:eastAsia="zh-CN"/>
        </w:rPr>
      </w:pPr>
      <w:r>
        <w:rPr>
          <w:rFonts w:hint="eastAsia" w:ascii="黑体" w:hAnsi="宋体" w:eastAsia="黑体"/>
          <w:b w:val="0"/>
          <w:bCs/>
          <w:color w:val="auto"/>
          <w:sz w:val="36"/>
          <w:szCs w:val="36"/>
          <w:highlight w:val="none"/>
          <w:lang w:eastAsia="zh-CN"/>
        </w:rPr>
        <w:t>正（副）本</w:t>
      </w:r>
    </w:p>
    <w:p>
      <w:pPr>
        <w:jc w:val="center"/>
        <w:rPr>
          <w:rFonts w:hint="eastAsia" w:ascii="黑体" w:hAnsi="华文中宋" w:eastAsia="黑体"/>
          <w:b w:val="0"/>
          <w:bCs/>
          <w:color w:val="auto"/>
          <w:sz w:val="36"/>
          <w:szCs w:val="36"/>
          <w:highlight w:val="none"/>
          <w:lang w:eastAsia="zh-CN"/>
        </w:rPr>
      </w:pPr>
      <w:r>
        <w:rPr>
          <w:rFonts w:hint="eastAsia" w:ascii="黑体" w:hAnsi="宋体" w:eastAsia="黑体"/>
          <w:b w:val="0"/>
          <w:bCs/>
          <w:color w:val="auto"/>
          <w:sz w:val="52"/>
          <w:szCs w:val="52"/>
          <w:highlight w:val="none"/>
          <w:lang w:eastAsia="zh-CN"/>
        </w:rPr>
        <w:t>韩庄西桥（位村东桥）危桥改造项目</w:t>
      </w:r>
    </w:p>
    <w:p>
      <w:pPr>
        <w:spacing w:line="360" w:lineRule="auto"/>
        <w:rPr>
          <w:rFonts w:ascii="黑体" w:hAnsi="华文中宋" w:eastAsia="黑体"/>
          <w:color w:val="auto"/>
          <w:sz w:val="36"/>
          <w:szCs w:val="36"/>
          <w:highlight w:val="none"/>
        </w:rPr>
      </w:pP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建安建工公字〔2018〕</w:t>
      </w:r>
      <w:r>
        <w:rPr>
          <w:rFonts w:hint="eastAsia" w:ascii="黑体" w:hAnsi="华文中宋" w:eastAsia="黑体"/>
          <w:color w:val="auto"/>
          <w:sz w:val="36"/>
          <w:szCs w:val="36"/>
          <w:highlight w:val="none"/>
          <w:lang w:val="en-US" w:eastAsia="zh-CN"/>
        </w:rPr>
        <w:t>213</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 xml:space="preserve">第二信封  </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（投标报价）</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ind w:firstLine="2570" w:firstLineChars="800"/>
        <w:rPr>
          <w:rFonts w:ascii="黑体" w:hAnsi="宋体" w:eastAsia="黑体"/>
          <w:b/>
          <w:color w:val="auto"/>
          <w:sz w:val="32"/>
          <w:szCs w:val="32"/>
          <w:highlight w:val="none"/>
        </w:rPr>
      </w:pP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rPr>
          <w:rFonts w:ascii="宋体" w:hAnsi="宋体" w:eastAsia="宋体"/>
          <w:color w:val="auto"/>
          <w:highlight w:val="none"/>
        </w:rPr>
      </w:pPr>
    </w:p>
    <w:p>
      <w:pPr>
        <w:pageBreakBefore/>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目 录</w:t>
      </w:r>
    </w:p>
    <w:p>
      <w:pPr>
        <w:spacing w:line="360" w:lineRule="auto"/>
        <w:jc w:val="center"/>
        <w:rPr>
          <w:rFonts w:ascii="宋体" w:hAnsi="宋体" w:eastAsia="宋体"/>
          <w:b/>
          <w:color w:val="auto"/>
          <w:sz w:val="32"/>
          <w:szCs w:val="32"/>
          <w:highlight w:val="none"/>
        </w:rPr>
      </w:pP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一、投标函</w:t>
      </w: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二、已标价工程量清单</w:t>
      </w: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三</w:t>
      </w:r>
      <w:r>
        <w:rPr>
          <w:rFonts w:hint="eastAsia" w:ascii="宋体" w:hAnsi="宋体" w:eastAsia="宋体"/>
          <w:color w:val="auto"/>
          <w:sz w:val="28"/>
          <w:szCs w:val="28"/>
          <w:highlight w:val="none"/>
        </w:rPr>
        <w:t>、合同用款估算表</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一、投标函</w:t>
      </w:r>
    </w:p>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投 标 函</w:t>
      </w:r>
    </w:p>
    <w:p>
      <w:pPr>
        <w:spacing w:line="360" w:lineRule="auto"/>
        <w:jc w:val="left"/>
        <w:rPr>
          <w:rFonts w:ascii="宋体" w:hAnsi="宋体" w:eastAsia="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(招标人名称)：</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1．我方已仔细研究</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(项目名称)施工招标文件的全部内容</w:t>
      </w:r>
      <w:r>
        <w:rPr>
          <w:rFonts w:hint="eastAsia" w:ascii="宋体" w:hAnsi="宋体"/>
          <w:color w:val="auto"/>
          <w:sz w:val="24"/>
          <w:highlight w:val="none"/>
        </w:rPr>
        <w:t>（含补遗书第</w:t>
      </w:r>
      <w:r>
        <w:rPr>
          <w:rFonts w:hint="eastAsia" w:ascii="宋体" w:hAnsi="宋体"/>
          <w:color w:val="auto"/>
          <w:sz w:val="24"/>
          <w:highlight w:val="none"/>
          <w:u w:val="single"/>
        </w:rPr>
        <w:t xml:space="preserve">  </w:t>
      </w:r>
      <w:r>
        <w:rPr>
          <w:rFonts w:hint="eastAsia" w:ascii="宋体" w:hAnsi="宋体"/>
          <w:color w:val="auto"/>
          <w:sz w:val="24"/>
          <w:highlight w:val="none"/>
        </w:rPr>
        <w:t>号至第</w:t>
      </w:r>
      <w:r>
        <w:rPr>
          <w:rFonts w:hint="eastAsia" w:ascii="宋体" w:hAnsi="宋体"/>
          <w:color w:val="auto"/>
          <w:sz w:val="24"/>
          <w:highlight w:val="none"/>
          <w:u w:val="single"/>
        </w:rPr>
        <w:t xml:space="preserve">  </w:t>
      </w:r>
      <w:r>
        <w:rPr>
          <w:rFonts w:hint="eastAsia" w:ascii="宋体" w:hAnsi="宋体"/>
          <w:color w:val="auto"/>
          <w:sz w:val="24"/>
          <w:highlight w:val="none"/>
        </w:rPr>
        <w:t>号）</w:t>
      </w:r>
      <w:r>
        <w:rPr>
          <w:rFonts w:hint="eastAsia" w:ascii="宋体" w:hAnsi="宋体" w:eastAsia="宋体"/>
          <w:color w:val="auto"/>
          <w:sz w:val="24"/>
          <w:highlight w:val="none"/>
        </w:rPr>
        <w:t>，在考察工程现场后，愿意以人民币(大写)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(其他补充说明)。</w:t>
      </w:r>
    </w:p>
    <w:p>
      <w:pPr>
        <w:spacing w:line="360" w:lineRule="auto"/>
        <w:ind w:firstLine="480" w:firstLineChars="200"/>
        <w:jc w:val="left"/>
        <w:rPr>
          <w:rFonts w:ascii="宋体" w:hAnsi="宋体" w:eastAsia="宋体"/>
          <w:color w:val="auto"/>
          <w:sz w:val="24"/>
          <w:highlight w:val="none"/>
        </w:rPr>
      </w:pPr>
    </w:p>
    <w:p>
      <w:pPr>
        <w:spacing w:line="360" w:lineRule="auto"/>
        <w:ind w:firstLine="480" w:firstLineChars="200"/>
        <w:jc w:val="left"/>
        <w:rPr>
          <w:rFonts w:ascii="宋体" w:hAnsi="宋体" w:eastAsia="宋体"/>
          <w:color w:val="auto"/>
          <w:sz w:val="24"/>
          <w:highlight w:val="none"/>
        </w:rPr>
      </w:pP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投 标 人：___________________(盖单位章)</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法定代表人或其委托代理人:____________(签字)</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地址：________________________________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网址：________________________________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电话：________________________________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传真：________________________________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邮政编码：____________________________</w:t>
      </w:r>
    </w:p>
    <w:p>
      <w:pPr>
        <w:spacing w:line="360" w:lineRule="auto"/>
        <w:ind w:left="3543" w:leftChars="1687"/>
        <w:jc w:val="left"/>
        <w:rPr>
          <w:rFonts w:ascii="宋体" w:hAnsi="宋体" w:eastAsia="宋体"/>
          <w:color w:val="auto"/>
          <w:sz w:val="24"/>
          <w:highlight w:val="none"/>
        </w:rPr>
      </w:pPr>
    </w:p>
    <w:p>
      <w:pPr>
        <w:spacing w:line="360" w:lineRule="auto"/>
        <w:ind w:left="3543" w:leftChars="1687" w:firstLine="720" w:firstLineChars="300"/>
        <w:jc w:val="left"/>
        <w:rPr>
          <w:rFonts w:ascii="宋体" w:hAnsi="宋体" w:eastAsia="宋体"/>
          <w:color w:val="auto"/>
          <w:sz w:val="24"/>
          <w:highlight w:val="none"/>
        </w:rPr>
      </w:pPr>
      <w:r>
        <w:rPr>
          <w:rFonts w:hint="eastAsia" w:ascii="宋体" w:hAnsi="宋体" w:eastAsia="宋体"/>
          <w:color w:val="auto"/>
          <w:sz w:val="24"/>
          <w:highlight w:val="none"/>
        </w:rPr>
        <w:t>________年______月_______日</w:t>
      </w:r>
    </w:p>
    <w:p>
      <w:pPr>
        <w:spacing w:line="360" w:lineRule="auto"/>
        <w:ind w:left="1"/>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ind w:left="3543" w:leftChars="1687" w:firstLine="720" w:firstLineChars="300"/>
        <w:jc w:val="left"/>
        <w:rPr>
          <w:rFonts w:ascii="宋体" w:hAnsi="宋体" w:eastAsia="宋体"/>
          <w:color w:val="auto"/>
          <w:sz w:val="24"/>
          <w:highlight w:val="none"/>
        </w:rPr>
      </w:pPr>
    </w:p>
    <w:p>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二、已标价工程量清单</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投标人应按照第五章“工程量清单”的要求逐项填报工程量清单，包括工程量清</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单说明、投标报价说明、计日工说明、其他说明及工程量清单各项表格（工程量清</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单表5.1）</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center"/>
        <w:rPr>
          <w:rFonts w:ascii="宋体" w:hAnsi="宋体" w:eastAsia="宋体"/>
          <w:b/>
          <w:color w:val="auto"/>
          <w:sz w:val="32"/>
          <w:szCs w:val="32"/>
          <w:highlight w:val="none"/>
        </w:rPr>
      </w:pPr>
    </w:p>
    <w:p>
      <w:pPr>
        <w:spacing w:line="360" w:lineRule="auto"/>
        <w:jc w:val="center"/>
        <w:rPr>
          <w:rFonts w:ascii="宋体" w:hAnsi="宋体" w:eastAsia="宋体"/>
          <w:b/>
          <w:color w:val="auto"/>
          <w:sz w:val="32"/>
          <w:szCs w:val="32"/>
          <w:highlight w:val="none"/>
        </w:rPr>
      </w:pPr>
    </w:p>
    <w:p>
      <w:pPr>
        <w:pStyle w:val="4"/>
        <w:spacing w:beforeLines="50" w:after="240" w:line="400" w:lineRule="exact"/>
        <w:jc w:val="center"/>
        <w:rPr>
          <w:rFonts w:ascii="宋体" w:hAnsi="宋体" w:eastAsia="宋体"/>
          <w:color w:val="auto"/>
          <w:kern w:val="2"/>
          <w:sz w:val="32"/>
          <w:szCs w:val="28"/>
          <w:highlight w:val="none"/>
        </w:rPr>
      </w:pPr>
      <w:bookmarkStart w:id="279" w:name="_Toc5044"/>
      <w:r>
        <w:rPr>
          <w:rFonts w:hint="eastAsia" w:ascii="宋体" w:hAnsi="宋体" w:eastAsia="宋体"/>
          <w:color w:val="auto"/>
          <w:kern w:val="2"/>
          <w:sz w:val="32"/>
          <w:szCs w:val="28"/>
          <w:highlight w:val="none"/>
          <w:lang w:eastAsia="zh-CN"/>
        </w:rPr>
        <w:t>三</w:t>
      </w:r>
      <w:r>
        <w:rPr>
          <w:rFonts w:hint="eastAsia" w:ascii="宋体" w:hAnsi="宋体" w:eastAsia="宋体"/>
          <w:color w:val="auto"/>
          <w:kern w:val="2"/>
          <w:sz w:val="32"/>
          <w:szCs w:val="28"/>
          <w:highlight w:val="none"/>
        </w:rPr>
        <w:t>、合同用款估算表</w:t>
      </w:r>
      <w:bookmarkEnd w:id="279"/>
    </w:p>
    <w:tbl>
      <w:tblPr>
        <w:tblpPr w:leftFromText="180" w:rightFromText="180" w:vertAnchor="text" w:horzAnchor="margin" w:tblpXSpec="left" w:tblpY="172"/>
        <w:tblW w:w="963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rPr>
          <w:trHeight w:val="454" w:hRule="exact"/>
        </w:trPr>
        <w:tc>
          <w:tcPr>
            <w:tcW w:w="2714" w:type="dxa"/>
            <w:gridSpan w:val="2"/>
            <w:vMerge w:val="restart"/>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从开工月算起的时间（月）</w:t>
            </w:r>
          </w:p>
        </w:tc>
        <w:tc>
          <w:tcPr>
            <w:tcW w:w="6925" w:type="dxa"/>
            <w:gridSpan w:val="4"/>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投标人的估算</w:t>
            </w:r>
          </w:p>
        </w:tc>
      </w:tr>
      <w:tr>
        <w:trPr>
          <w:trHeight w:val="454" w:hRule="exact"/>
        </w:trPr>
        <w:tc>
          <w:tcPr>
            <w:tcW w:w="2714" w:type="dxa"/>
            <w:gridSpan w:val="2"/>
            <w:vMerge w:val="continue"/>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3462" w:type="dxa"/>
            <w:gridSpan w:val="2"/>
            <w:vAlign w:val="center"/>
          </w:tcPr>
          <w:p>
            <w:pPr>
              <w:tabs>
                <w:tab w:val="left" w:pos="4863"/>
              </w:tabs>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分  期</w:t>
            </w:r>
          </w:p>
        </w:tc>
        <w:tc>
          <w:tcPr>
            <w:tcW w:w="3463" w:type="dxa"/>
            <w:gridSpan w:val="2"/>
            <w:vAlign w:val="center"/>
          </w:tcPr>
          <w:p>
            <w:pPr>
              <w:tabs>
                <w:tab w:val="left" w:pos="4863"/>
              </w:tabs>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累  计</w:t>
            </w:r>
          </w:p>
        </w:tc>
      </w:tr>
      <w:tr>
        <w:trPr>
          <w:trHeight w:val="454" w:hRule="exact"/>
        </w:trPr>
        <w:tc>
          <w:tcPr>
            <w:tcW w:w="2714" w:type="dxa"/>
            <w:gridSpan w:val="2"/>
            <w:vMerge w:val="continue"/>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金额（元）</w:t>
            </w: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w:t>
            </w: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金额（元）</w:t>
            </w:r>
          </w:p>
        </w:tc>
        <w:tc>
          <w:tcPr>
            <w:tcW w:w="1732"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w:t>
            </w:r>
          </w:p>
        </w:tc>
      </w:tr>
      <w:tr>
        <w:trPr>
          <w:trHeight w:val="567" w:hRule="atLeast"/>
        </w:trPr>
        <w:tc>
          <w:tcPr>
            <w:tcW w:w="2714"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第一次开工预付款</w:t>
            </w: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2"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43" w:hRule="atLeast"/>
        </w:trPr>
        <w:tc>
          <w:tcPr>
            <w:tcW w:w="2714"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1～3</w:t>
            </w: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2"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trPr>
        <w:tc>
          <w:tcPr>
            <w:tcW w:w="2714"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4～6</w:t>
            </w: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2"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trPr>
        <w:tc>
          <w:tcPr>
            <w:tcW w:w="2714"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7～9</w:t>
            </w: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2"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43" w:hRule="atLeast"/>
        </w:trPr>
        <w:tc>
          <w:tcPr>
            <w:tcW w:w="2714"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10～12</w:t>
            </w: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2"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trPr>
        <w:tc>
          <w:tcPr>
            <w:tcW w:w="2714"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13～15</w:t>
            </w: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2"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trPr>
        <w:tc>
          <w:tcPr>
            <w:tcW w:w="2714"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w:t>
            </w: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2"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trPr>
        <w:tc>
          <w:tcPr>
            <w:tcW w:w="2714"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w:t>
            </w: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2"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trPr>
        <w:tc>
          <w:tcPr>
            <w:tcW w:w="2714"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缺陷责任期</w:t>
            </w: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2"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67" w:hRule="atLeast"/>
        </w:trPr>
        <w:tc>
          <w:tcPr>
            <w:tcW w:w="2714" w:type="dxa"/>
            <w:gridSpan w:val="2"/>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小计</w:t>
            </w: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100．00</w:t>
            </w:r>
          </w:p>
        </w:tc>
        <w:tc>
          <w:tcPr>
            <w:tcW w:w="1731"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c>
          <w:tcPr>
            <w:tcW w:w="1732"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p>
        </w:tc>
      </w:tr>
      <w:tr>
        <w:trPr>
          <w:trHeight w:val="543" w:hRule="atLeast"/>
        </w:trPr>
        <w:tc>
          <w:tcPr>
            <w:tcW w:w="9639" w:type="dxa"/>
            <w:gridSpan w:val="6"/>
            <w:vAlign w:val="center"/>
          </w:tcPr>
          <w:p>
            <w:pPr>
              <w:spacing w:before="0" w:beforeAutospacing="0" w:after="0" w:afterAutospacing="0"/>
              <w:ind w:left="0" w:right="0"/>
              <w:jc w:val="left"/>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投标价：</w:t>
            </w:r>
          </w:p>
        </w:tc>
      </w:tr>
      <w:tr>
        <w:trPr>
          <w:trHeight w:val="3487" w:hRule="atLeast"/>
        </w:trPr>
        <w:tc>
          <w:tcPr>
            <w:tcW w:w="717" w:type="dxa"/>
            <w:vAlign w:val="center"/>
          </w:tcPr>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说</w:t>
            </w:r>
          </w:p>
          <w:p>
            <w:pPr>
              <w:spacing w:before="0" w:beforeAutospacing="0" w:after="0" w:afterAutospacing="0"/>
              <w:ind w:left="0" w:right="0"/>
              <w:jc w:val="center"/>
              <w:rPr>
                <w:rFonts w:hint="default" w:ascii="宋体" w:hAnsi="宋体" w:cs="Calibri"/>
                <w:color w:val="auto"/>
                <w:kern w:val="2"/>
                <w:sz w:val="21"/>
                <w:szCs w:val="21"/>
                <w:highlight w:val="none"/>
              </w:rPr>
            </w:pPr>
          </w:p>
          <w:p>
            <w:pPr>
              <w:spacing w:before="0" w:beforeAutospacing="0" w:after="0" w:afterAutospacing="0"/>
              <w:ind w:left="0" w:right="0"/>
              <w:jc w:val="center"/>
              <w:rPr>
                <w:rFonts w:hint="default" w:ascii="宋体" w:hAnsi="宋体" w:cs="Calibri"/>
                <w:color w:val="auto"/>
                <w:kern w:val="2"/>
                <w:sz w:val="21"/>
                <w:szCs w:val="21"/>
                <w:highlight w:val="none"/>
              </w:rPr>
            </w:pPr>
          </w:p>
          <w:p>
            <w:pPr>
              <w:spacing w:before="0" w:beforeAutospacing="0" w:after="0" w:afterAutospacing="0"/>
              <w:ind w:left="0" w:right="0"/>
              <w:jc w:val="center"/>
              <w:rPr>
                <w:rFonts w:hint="default" w:ascii="宋体" w:hAnsi="宋体" w:cs="Calibri"/>
                <w:color w:val="auto"/>
                <w:kern w:val="2"/>
                <w:sz w:val="21"/>
                <w:szCs w:val="21"/>
                <w:highlight w:val="none"/>
              </w:rPr>
            </w:pPr>
          </w:p>
          <w:p>
            <w:pPr>
              <w:spacing w:before="0" w:beforeAutospacing="0" w:after="0" w:afterAutospacing="0"/>
              <w:ind w:left="0" w:right="0"/>
              <w:jc w:val="center"/>
              <w:rPr>
                <w:rFonts w:hint="default" w:ascii="宋体" w:hAnsi="宋体" w:cs="Calibri"/>
                <w:color w:val="auto"/>
                <w:kern w:val="2"/>
                <w:sz w:val="21"/>
                <w:szCs w:val="21"/>
                <w:highlight w:val="none"/>
              </w:rPr>
            </w:pPr>
          </w:p>
          <w:p>
            <w:pPr>
              <w:spacing w:before="0" w:beforeAutospacing="0" w:after="0" w:afterAutospacing="0"/>
              <w:ind w:left="0" w:right="0"/>
              <w:jc w:val="center"/>
              <w:rPr>
                <w:rFonts w:hint="default" w:ascii="宋体" w:hAnsi="宋体" w:cs="Calibri"/>
                <w:color w:val="auto"/>
                <w:kern w:val="2"/>
                <w:sz w:val="21"/>
                <w:szCs w:val="21"/>
                <w:highlight w:val="none"/>
              </w:rPr>
            </w:pPr>
          </w:p>
          <w:p>
            <w:pPr>
              <w:spacing w:before="0" w:beforeAutospacing="0" w:after="0" w:afterAutospacing="0"/>
              <w:ind w:left="0" w:right="0"/>
              <w:jc w:val="center"/>
              <w:rPr>
                <w:rFonts w:hint="default" w:ascii="宋体" w:hAnsi="宋体" w:cs="Calibri"/>
                <w:color w:val="auto"/>
                <w:kern w:val="2"/>
                <w:sz w:val="21"/>
                <w:szCs w:val="21"/>
                <w:highlight w:val="none"/>
              </w:rPr>
            </w:pPr>
            <w:r>
              <w:rPr>
                <w:rFonts w:hint="eastAsia" w:ascii="宋体" w:hAnsi="宋体" w:cs="Calibri"/>
                <w:color w:val="auto"/>
                <w:kern w:val="2"/>
                <w:sz w:val="21"/>
                <w:szCs w:val="21"/>
                <w:highlight w:val="none"/>
              </w:rPr>
              <w:t>明</w:t>
            </w:r>
          </w:p>
        </w:tc>
        <w:tc>
          <w:tcPr>
            <w:tcW w:w="8922" w:type="dxa"/>
            <w:gridSpan w:val="5"/>
            <w:vAlign w:val="center"/>
          </w:tcPr>
          <w:p>
            <w:pPr>
              <w:widowControl/>
              <w:spacing w:before="0" w:beforeAutospacing="0" w:after="0" w:afterAutospacing="0"/>
              <w:ind w:left="0" w:right="0"/>
              <w:jc w:val="center"/>
              <w:rPr>
                <w:rFonts w:hint="default" w:ascii="宋体" w:hAnsi="宋体" w:cs="Calibri"/>
                <w:color w:val="auto"/>
                <w:kern w:val="2"/>
                <w:sz w:val="21"/>
                <w:szCs w:val="21"/>
                <w:highlight w:val="none"/>
              </w:rPr>
            </w:pPr>
          </w:p>
          <w:p>
            <w:pPr>
              <w:spacing w:before="0" w:beforeAutospacing="0" w:after="0" w:afterAutospacing="0"/>
              <w:ind w:left="0" w:right="0"/>
              <w:jc w:val="center"/>
              <w:rPr>
                <w:rFonts w:hint="default" w:ascii="宋体" w:hAnsi="宋体" w:cs="Calibri"/>
                <w:color w:val="auto"/>
                <w:kern w:val="2"/>
                <w:sz w:val="21"/>
                <w:szCs w:val="21"/>
                <w:highlight w:val="none"/>
              </w:rPr>
            </w:pPr>
          </w:p>
        </w:tc>
      </w:tr>
    </w:tbl>
    <w:p>
      <w:pPr>
        <w:jc w:val="center"/>
        <w:rPr>
          <w:rFonts w:ascii="隶书" w:hAnsi="宋体" w:eastAsia="隶书"/>
          <w:color w:val="auto"/>
          <w:sz w:val="24"/>
          <w:highlight w:val="none"/>
        </w:rPr>
      </w:pPr>
    </w:p>
    <w:p>
      <w:pPr>
        <w:ind w:left="630" w:hanging="630"/>
        <w:rPr>
          <w:rFonts w:hint="eastAsia" w:ascii="宋体" w:hAnsi="宋体"/>
          <w:color w:val="auto"/>
          <w:szCs w:val="21"/>
          <w:highlight w:val="none"/>
          <w:lang w:eastAsia="zh-CN"/>
        </w:rPr>
      </w:pPr>
      <w:r>
        <w:rPr>
          <w:rFonts w:hint="eastAsia" w:ascii="宋体" w:hAnsi="宋体"/>
          <w:color w:val="auto"/>
          <w:szCs w:val="21"/>
          <w:highlight w:val="none"/>
        </w:rPr>
        <w:t>注：1.投标人可按工程进度估算并填写本表</w:t>
      </w:r>
      <w:r>
        <w:rPr>
          <w:rFonts w:hint="eastAsia" w:ascii="宋体" w:hAnsi="宋体"/>
          <w:color w:val="auto"/>
          <w:szCs w:val="21"/>
          <w:highlight w:val="none"/>
          <w:lang w:eastAsia="zh-CN"/>
        </w:rPr>
        <w:t>。</w:t>
      </w:r>
    </w:p>
    <w:p>
      <w:pPr>
        <w:ind w:left="630" w:hanging="630"/>
        <w:rPr>
          <w:color w:val="auto"/>
          <w:highlight w:val="none"/>
        </w:rPr>
      </w:pPr>
      <w:r>
        <w:rPr>
          <w:rFonts w:hint="eastAsia" w:ascii="宋体" w:hAnsi="宋体"/>
          <w:color w:val="auto"/>
          <w:szCs w:val="21"/>
          <w:highlight w:val="none"/>
        </w:rPr>
        <w:t xml:space="preserve">    2.用款额按所报单价和总额价估算，不包括价格调整和暂列金额、暂估价，但应考虑开工预付款的扣回、质量保证金的扣留以及签发付款证书后到实际支付的时间间隔。</w:t>
      </w:r>
    </w:p>
    <w:sectPr>
      <w:footnotePr>
        <w:numFmt w:val="decimalEnclosedCircleChinese"/>
        <w:numRestart w:val="eachPage"/>
      </w:footnotePr>
      <w:pgSz w:w="11907" w:h="16840"/>
      <w:pgMar w:top="1440" w:right="1361" w:bottom="1440" w:left="1361" w:header="72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smartSimSun">
    <w:altName w:val="Segoe Print"/>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rStyle w:val="13"/>
      </w:rPr>
    </w:pPr>
  </w:p>
  <w:p>
    <w:pPr>
      <w:pStyle w:val="8"/>
      <w:ind w:right="360"/>
      <w:jc w:val="both"/>
    </w:pPr>
    <w:r>
      <w:rPr>
        <w:rFonts w:hint="eastAsia"/>
      </w:rPr>
      <w:t xml:space="preserve">                                                       </w:t>
    </w:r>
  </w:p>
  <w:p>
    <w:pPr>
      <w:pStyle w:val="8"/>
      <w:jc w:val="cente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rStyle w:val="13"/>
      </w:rPr>
    </w:pPr>
    <w:r>
      <w:rPr>
        <w:rFonts w:ascii="Times New Roman" w:hAnsi="Times New Roman" w:eastAsia="宋体" w:cs="Times New Roman"/>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p>
    <w:pPr>
      <w:pStyle w:val="8"/>
      <w:ind w:right="360"/>
      <w:jc w:val="both"/>
    </w:pPr>
    <w:r>
      <w:rPr>
        <w:rFonts w:hint="eastAsia"/>
      </w:rPr>
      <w:t xml:space="preserve">                                                       </w:t>
    </w:r>
  </w:p>
  <w:p>
    <w:pPr>
      <w:pStyle w:val="8"/>
      <w:jc w:val="center"/>
    </w:pPr>
    <w:r>
      <w:rPr>
        <w:rFonts w:hint="eastAsia"/>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1"/>
      </w:pPr>
      <w:r>
        <w:rPr>
          <w:rStyle w:val="15"/>
        </w:rPr>
        <w:footnoteRef/>
      </w:r>
      <w:r>
        <w:rPr>
          <w:rFonts w:hint="eastAsia" w:ascii="宋体" w:hAnsi="宋体"/>
          <w:sz w:val="15"/>
          <w:szCs w:val="15"/>
        </w:rPr>
        <w:t xml:space="preserve"> 指主要材料，一般应为70％-75%，最低不少于60％。</w:t>
      </w:r>
    </w:p>
  </w:footnote>
  <w:footnote w:id="1">
    <w:p>
      <w:pPr>
        <w:pStyle w:val="11"/>
      </w:pPr>
      <w:r>
        <w:rPr>
          <w:rStyle w:val="15"/>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黑体" w:hAnsi="华文中宋" w:eastAsia="黑体"/>
        <w:sz w:val="18"/>
        <w:szCs w:val="18"/>
        <w:u w:val="single"/>
      </w:rPr>
    </w:pPr>
    <w:r>
      <w:rPr>
        <w:rFonts w:hint="eastAsia"/>
        <w:u w:val="single"/>
        <w:lang w:eastAsia="zh-CN"/>
      </w:rPr>
      <w:t>韩庄西桥（位村东桥）危桥改造项目</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招标文件 </w:t>
    </w:r>
  </w:p>
  <w:p>
    <w:pPr>
      <w:pStyle w:val="9"/>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0843935">
    <w:nsid w:val="5AA63C9F"/>
    <w:multiLevelType w:val="singleLevel"/>
    <w:tmpl w:val="5AA63C9F"/>
    <w:lvl w:ilvl="0" w:tentative="1">
      <w:start w:val="4"/>
      <w:numFmt w:val="decimal"/>
      <w:suff w:val="nothing"/>
      <w:lvlText w:val="（%1）"/>
      <w:lvlJc w:val="left"/>
    </w:lvl>
  </w:abstractNum>
  <w:abstractNum w:abstractNumId="1520911529">
    <w:nsid w:val="5AA744A9"/>
    <w:multiLevelType w:val="singleLevel"/>
    <w:tmpl w:val="5AA744A9"/>
    <w:lvl w:ilvl="0" w:tentative="1">
      <w:start w:val="1"/>
      <w:numFmt w:val="decimal"/>
      <w:suff w:val="space"/>
      <w:lvlText w:val="%1."/>
      <w:lvlJc w:val="left"/>
    </w:lvl>
  </w:abstractNum>
  <w:abstractNum w:abstractNumId="1520847147">
    <w:nsid w:val="5AA6492B"/>
    <w:multiLevelType w:val="singleLevel"/>
    <w:tmpl w:val="5AA6492B"/>
    <w:lvl w:ilvl="0" w:tentative="1">
      <w:start w:val="1"/>
      <w:numFmt w:val="decimal"/>
      <w:suff w:val="nothing"/>
      <w:lvlText w:val="（%1）"/>
      <w:lvlJc w:val="left"/>
    </w:lvl>
  </w:abstractNum>
  <w:abstractNum w:abstractNumId="1520846373">
    <w:nsid w:val="5AA64625"/>
    <w:multiLevelType w:val="singleLevel"/>
    <w:tmpl w:val="5AA64625"/>
    <w:lvl w:ilvl="0" w:tentative="1">
      <w:start w:val="1"/>
      <w:numFmt w:val="decimal"/>
      <w:suff w:val="nothing"/>
      <w:lvlText w:val="（%1）"/>
      <w:lvlJc w:val="left"/>
    </w:lvl>
  </w:abstractNum>
  <w:abstractNum w:abstractNumId="1522028628">
    <w:nsid w:val="5AB85054"/>
    <w:multiLevelType w:val="singleLevel"/>
    <w:tmpl w:val="5AB85054"/>
    <w:lvl w:ilvl="0" w:tentative="1">
      <w:start w:val="2"/>
      <w:numFmt w:val="decimal"/>
      <w:suff w:val="nothing"/>
      <w:lvlText w:val="%1、"/>
      <w:lvlJc w:val="left"/>
    </w:lvl>
  </w:abstractNum>
  <w:abstractNum w:abstractNumId="1520927912">
    <w:nsid w:val="5AA784A8"/>
    <w:multiLevelType w:val="singleLevel"/>
    <w:tmpl w:val="5AA784A8"/>
    <w:lvl w:ilvl="0" w:tentative="1">
      <w:start w:val="5"/>
      <w:numFmt w:val="chineseCounting"/>
      <w:suff w:val="nothing"/>
      <w:lvlText w:val="（%1）"/>
      <w:lvlJc w:val="left"/>
    </w:lvl>
  </w:abstractNum>
  <w:abstractNum w:abstractNumId="1520927094">
    <w:nsid w:val="5AA78176"/>
    <w:multiLevelType w:val="singleLevel"/>
    <w:tmpl w:val="5AA78176"/>
    <w:lvl w:ilvl="0" w:tentative="1">
      <w:start w:val="1"/>
      <w:numFmt w:val="decimal"/>
      <w:suff w:val="nothing"/>
      <w:lvlText w:val="（%1）"/>
      <w:lvlJc w:val="left"/>
    </w:lvl>
  </w:abstractNum>
  <w:abstractNum w:abstractNumId="1520911720">
    <w:nsid w:val="5AA74568"/>
    <w:multiLevelType w:val="singleLevel"/>
    <w:tmpl w:val="5AA74568"/>
    <w:lvl w:ilvl="0" w:tentative="1">
      <w:start w:val="3"/>
      <w:numFmt w:val="decimal"/>
      <w:suff w:val="space"/>
      <w:lvlText w:val="%1."/>
      <w:lvlJc w:val="left"/>
    </w:lvl>
  </w:abstractNum>
  <w:abstractNum w:abstractNumId="1520591118">
    <w:nsid w:val="5AA2610E"/>
    <w:multiLevelType w:val="singleLevel"/>
    <w:tmpl w:val="5AA2610E"/>
    <w:lvl w:ilvl="0" w:tentative="1">
      <w:start w:val="4"/>
      <w:numFmt w:val="decimal"/>
      <w:suff w:val="nothing"/>
      <w:lvlText w:val="（%1）"/>
      <w:lvlJc w:val="left"/>
    </w:lvl>
  </w:abstractNum>
  <w:abstractNum w:abstractNumId="1520843541">
    <w:nsid w:val="5AA63B15"/>
    <w:multiLevelType w:val="singleLevel"/>
    <w:tmpl w:val="5AA63B15"/>
    <w:lvl w:ilvl="0" w:tentative="1">
      <w:start w:val="2"/>
      <w:numFmt w:val="decimal"/>
      <w:suff w:val="space"/>
      <w:lvlText w:val="(%1)"/>
      <w:lvlJc w:val="left"/>
    </w:lvl>
  </w:abstractNum>
  <w:abstractNum w:abstractNumId="1520649926">
    <w:nsid w:val="5AA346C6"/>
    <w:multiLevelType w:val="singleLevel"/>
    <w:tmpl w:val="5AA346C6"/>
    <w:lvl w:ilvl="0" w:tentative="1">
      <w:start w:val="1"/>
      <w:numFmt w:val="decimal"/>
      <w:suff w:val="nothing"/>
      <w:lvlText w:val="（%1）"/>
      <w:lvlJc w:val="left"/>
    </w:lvl>
  </w:abstractNum>
  <w:abstractNum w:abstractNumId="2809806539">
    <w:nsid w:val="A77A3ECB"/>
    <w:multiLevelType w:val="singleLevel"/>
    <w:tmpl w:val="A77A3ECB"/>
    <w:lvl w:ilvl="0" w:tentative="1">
      <w:start w:val="2"/>
      <w:numFmt w:val="decimal"/>
      <w:suff w:val="nothing"/>
      <w:lvlText w:val="%1、"/>
      <w:lvlJc w:val="left"/>
    </w:lvl>
  </w:abstractNum>
  <w:abstractNum w:abstractNumId="3799170715">
    <w:nsid w:val="E272BE9B"/>
    <w:multiLevelType w:val="singleLevel"/>
    <w:tmpl w:val="E272BE9B"/>
    <w:lvl w:ilvl="0" w:tentative="1">
      <w:start w:val="1"/>
      <w:numFmt w:val="decimal"/>
      <w:suff w:val="nothing"/>
      <w:lvlText w:val="（%1）"/>
      <w:lvlJc w:val="left"/>
    </w:lvl>
  </w:abstractNum>
  <w:abstractNum w:abstractNumId="50">
    <w:nsid w:val="00000032"/>
    <w:multiLevelType w:val="multilevel"/>
    <w:tmpl w:val="00000032"/>
    <w:lvl w:ilvl="0" w:tentative="1">
      <w:start w:val="2"/>
      <w:numFmt w:val="decimal"/>
      <w:lvlText w:val="6.%1"/>
      <w:lvlJc w:val="left"/>
    </w:lvl>
    <w:lvl w:ilvl="1" w:tentative="1">
      <w:start w:val="1"/>
      <w:numFmt w:val="decimal"/>
      <w:lvlText w:val="6.3.%2"/>
      <w:lvlJc w:val="left"/>
    </w:lvl>
    <w:lvl w:ilvl="2" w:tentative="1">
      <w:start w:val="1"/>
      <w:numFmt w:val="bullet"/>
      <w:lvlText w:val=""/>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109">
    <w:nsid w:val="0000006D"/>
    <w:multiLevelType w:val="multilevel"/>
    <w:tmpl w:val="0000006D"/>
    <w:lvl w:ilvl="0" w:tentative="1">
      <w:start w:val="1"/>
      <w:numFmt w:val="decimal"/>
      <w:lvlText w:val="%1"/>
      <w:lvlJc w:val="left"/>
    </w:lvl>
    <w:lvl w:ilvl="1" w:tentative="1">
      <w:start w:val="2"/>
      <w:numFmt w:val="decimal"/>
      <w:lvlText w:val="1.1.6.%2"/>
      <w:lvlJc w:val="left"/>
    </w:lvl>
    <w:lvl w:ilvl="2" w:tentative="1">
      <w:start w:val="1"/>
      <w:numFmt w:val="bullet"/>
      <w:lvlText w:val=""/>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141">
    <w:nsid w:val="0000008D"/>
    <w:multiLevelType w:val="multilevel"/>
    <w:tmpl w:val="0000008D"/>
    <w:lvl w:ilvl="0" w:tentative="1">
      <w:start w:val="1"/>
      <w:numFmt w:val="decimal"/>
      <w:lvlText w:val="17.4.%1"/>
      <w:lvlJc w:val="left"/>
    </w:lvl>
    <w:lvl w:ilvl="1" w:tentative="1">
      <w:start w:val="1"/>
      <w:numFmt w:val="bullet"/>
      <w:lvlText w:val=""/>
      <w:lvlJc w:val="left"/>
    </w:lvl>
    <w:lvl w:ilvl="2" w:tentative="1">
      <w:start w:val="1"/>
      <w:numFmt w:val="bullet"/>
      <w:lvlText w:val=""/>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1500885223">
    <w:nsid w:val="5975B0E7"/>
    <w:multiLevelType w:val="singleLevel"/>
    <w:tmpl w:val="5975B0E7"/>
    <w:lvl w:ilvl="0" w:tentative="1">
      <w:start w:val="3"/>
      <w:numFmt w:val="chineseCounting"/>
      <w:suff w:val="space"/>
      <w:lvlText w:val="第%1章"/>
      <w:lvlJc w:val="left"/>
    </w:lvl>
  </w:abstractNum>
  <w:num w:numId="1">
    <w:abstractNumId w:val="1520591118"/>
  </w:num>
  <w:num w:numId="2">
    <w:abstractNumId w:val="2809806539"/>
  </w:num>
  <w:num w:numId="3">
    <w:abstractNumId w:val="1520649926"/>
  </w:num>
  <w:num w:numId="4">
    <w:abstractNumId w:val="50"/>
  </w:num>
  <w:num w:numId="5">
    <w:abstractNumId w:val="3799170715"/>
  </w:num>
  <w:num w:numId="6">
    <w:abstractNumId w:val="1500885223"/>
  </w:num>
  <w:num w:numId="7">
    <w:abstractNumId w:val="1520843541"/>
  </w:num>
  <w:num w:numId="8">
    <w:abstractNumId w:val="1520843935"/>
  </w:num>
  <w:num w:numId="9">
    <w:abstractNumId w:val="1520846373"/>
  </w:num>
  <w:num w:numId="10">
    <w:abstractNumId w:val="109"/>
  </w:num>
  <w:num w:numId="11">
    <w:abstractNumId w:val="1520847147"/>
  </w:num>
  <w:num w:numId="12">
    <w:abstractNumId w:val="141"/>
  </w:num>
  <w:num w:numId="13">
    <w:abstractNumId w:val="1520911529"/>
  </w:num>
  <w:num w:numId="14">
    <w:abstractNumId w:val="1520911720"/>
  </w:num>
  <w:num w:numId="15">
    <w:abstractNumId w:val="1522028628"/>
  </w:num>
  <w:num w:numId="16">
    <w:abstractNumId w:val="1520927094"/>
  </w:num>
  <w:num w:numId="17">
    <w:abstractNumId w:val="15209279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4"/>
    <w:semiHidden/>
    <w:unhideWhenUsed/>
    <w:qFormat/>
    <w:uiPriority w:val="0"/>
    <w:pPr>
      <w:keepNext/>
      <w:keepLines/>
      <w:widowControl/>
      <w:spacing w:before="260" w:beforeAutospacing="0" w:after="260" w:afterAutospacing="0" w:line="415" w:lineRule="auto"/>
      <w:ind w:left="0" w:right="0"/>
      <w:jc w:val="left"/>
      <w:outlineLvl w:val="1"/>
    </w:pPr>
    <w:rPr>
      <w:rFonts w:ascii="Arial" w:hAnsi="Arial" w:eastAsia="黑体" w:cs="Times New Roman"/>
      <w:b/>
      <w:kern w:val="0"/>
      <w:sz w:val="32"/>
      <w:szCs w:val="32"/>
      <w:lang w:val="en-US" w:eastAsia="zh-CN"/>
    </w:rPr>
  </w:style>
  <w:style w:type="paragraph" w:styleId="6">
    <w:name w:val="heading 4"/>
    <w:basedOn w:val="1"/>
    <w:next w:val="1"/>
    <w:unhideWhenUsed/>
    <w:qFormat/>
    <w:uiPriority w:val="0"/>
    <w:pPr>
      <w:keepNext/>
      <w:keepLines/>
      <w:spacing w:before="280" w:after="290" w:line="376" w:lineRule="auto"/>
      <w:outlineLvl w:val="3"/>
    </w:pPr>
    <w:rPr>
      <w:rFonts w:ascii="Arial" w:hAnsi="Arial" w:eastAsia="黑体"/>
      <w:b/>
      <w:bCs/>
      <w:kern w:val="2"/>
      <w:sz w:val="28"/>
      <w:szCs w:val="28"/>
      <w:lang w:val="en-US" w:eastAsia="zh-CN" w:bidi="ar-SA"/>
    </w:rPr>
  </w:style>
  <w:style w:type="character" w:default="1" w:styleId="12">
    <w:name w:val="Default Paragraph Font"/>
    <w:semiHidden/>
    <w:qFormat/>
    <w:uiPriority w:val="0"/>
  </w:style>
  <w:style w:type="paragraph" w:styleId="2">
    <w:name w:val="Body Text First Indent"/>
    <w:basedOn w:val="3"/>
    <w:link w:val="23"/>
    <w:qFormat/>
    <w:uiPriority w:val="0"/>
    <w:pPr>
      <w:ind w:firstLine="420" w:firstLineChars="100"/>
    </w:pPr>
  </w:style>
  <w:style w:type="paragraph" w:styleId="3">
    <w:name w:val="Body Text"/>
    <w:basedOn w:val="1"/>
    <w:link w:val="22"/>
    <w:qFormat/>
    <w:uiPriority w:val="0"/>
    <w:pPr>
      <w:spacing w:after="120"/>
    </w:pPr>
  </w:style>
  <w:style w:type="paragraph" w:styleId="7">
    <w:name w:val="Plain Text"/>
    <w:basedOn w:val="1"/>
    <w:qFormat/>
    <w:uiPriority w:val="0"/>
    <w:rPr>
      <w:rFonts w:ascii="宋体" w:hAnsi="Courier New"/>
      <w:color w:val="00000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szCs w:val="20"/>
    </w:rPr>
  </w:style>
  <w:style w:type="paragraph" w:styleId="11">
    <w:name w:val="footnote text"/>
    <w:basedOn w:val="1"/>
    <w:qFormat/>
    <w:uiPriority w:val="0"/>
    <w:pPr>
      <w:snapToGrid w:val="0"/>
      <w:jc w:val="left"/>
    </w:pPr>
    <w:rPr>
      <w:sz w:val="18"/>
      <w:szCs w:val="18"/>
    </w:rPr>
  </w:style>
  <w:style w:type="character" w:styleId="13">
    <w:name w:val="page number"/>
    <w:basedOn w:val="12"/>
    <w:qFormat/>
    <w:uiPriority w:val="0"/>
    <w:rPr/>
  </w:style>
  <w:style w:type="character" w:styleId="14">
    <w:name w:val="Hyperlink"/>
    <w:basedOn w:val="12"/>
    <w:qFormat/>
    <w:uiPriority w:val="0"/>
    <w:rPr>
      <w:color w:val="0000FF"/>
      <w:u w:val="single"/>
    </w:rPr>
  </w:style>
  <w:style w:type="character" w:styleId="15">
    <w:name w:val="footnote reference"/>
    <w:qFormat/>
    <w:uiPriority w:val="0"/>
    <w:rPr>
      <w:vertAlign w:val="superscript"/>
    </w:rPr>
  </w:style>
  <w:style w:type="character" w:customStyle="1" w:styleId="16">
    <w:name w:val="font01"/>
    <w:basedOn w:val="12"/>
    <w:qFormat/>
    <w:uiPriority w:val="0"/>
    <w:rPr>
      <w:rFonts w:ascii="smartSimSun" w:hAnsi="smartSimSun" w:eastAsia="smartSimSun" w:cs="smartSimSun"/>
      <w:color w:val="000000"/>
      <w:sz w:val="18"/>
      <w:szCs w:val="18"/>
      <w:u w:val="none"/>
    </w:rPr>
  </w:style>
  <w:style w:type="character" w:customStyle="1" w:styleId="17">
    <w:name w:val="font21"/>
    <w:basedOn w:val="12"/>
    <w:qFormat/>
    <w:uiPriority w:val="0"/>
    <w:rPr>
      <w:rFonts w:hint="eastAsia" w:ascii="宋体" w:hAnsi="宋体" w:eastAsia="宋体" w:cs="宋体"/>
      <w:color w:val="000000"/>
      <w:sz w:val="18"/>
      <w:szCs w:val="18"/>
      <w:u w:val="none"/>
    </w:rPr>
  </w:style>
  <w:style w:type="character" w:customStyle="1" w:styleId="18">
    <w:name w:val="font91"/>
    <w:basedOn w:val="12"/>
    <w:qFormat/>
    <w:uiPriority w:val="0"/>
    <w:rPr>
      <w:rFonts w:hint="eastAsia" w:ascii="宋体" w:hAnsi="宋体" w:eastAsia="宋体" w:cs="宋体"/>
      <w:b/>
      <w:color w:val="000000"/>
      <w:sz w:val="36"/>
      <w:szCs w:val="36"/>
      <w:u w:val="none"/>
    </w:rPr>
  </w:style>
  <w:style w:type="character" w:customStyle="1" w:styleId="19">
    <w:name w:val="font31"/>
    <w:basedOn w:val="12"/>
    <w:qFormat/>
    <w:uiPriority w:val="0"/>
    <w:rPr>
      <w:rFonts w:hint="eastAsia" w:ascii="宋体" w:hAnsi="宋体" w:eastAsia="宋体" w:cs="宋体"/>
      <w:color w:val="000000"/>
      <w:sz w:val="16"/>
      <w:szCs w:val="16"/>
      <w:u w:val="none"/>
    </w:rPr>
  </w:style>
  <w:style w:type="character" w:customStyle="1" w:styleId="20">
    <w:name w:val="font41"/>
    <w:basedOn w:val="12"/>
    <w:qFormat/>
    <w:uiPriority w:val="0"/>
    <w:rPr>
      <w:rFonts w:hint="eastAsia" w:ascii="宋体" w:hAnsi="宋体" w:eastAsia="宋体" w:cs="宋体"/>
      <w:b/>
      <w:color w:val="000000"/>
      <w:sz w:val="24"/>
      <w:szCs w:val="24"/>
      <w:u w:val="none"/>
    </w:rPr>
  </w:style>
  <w:style w:type="character" w:customStyle="1" w:styleId="21">
    <w:name w:val="font51"/>
    <w:basedOn w:val="12"/>
    <w:qFormat/>
    <w:uiPriority w:val="0"/>
    <w:rPr>
      <w:rFonts w:hint="eastAsia" w:ascii="宋体" w:hAnsi="宋体" w:eastAsia="宋体" w:cs="宋体"/>
      <w:b/>
      <w:color w:val="000000"/>
      <w:sz w:val="16"/>
      <w:szCs w:val="16"/>
      <w:u w:val="none"/>
    </w:rPr>
  </w:style>
  <w:style w:type="character" w:customStyle="1" w:styleId="22">
    <w:name w:val="正文文本 Char Char"/>
    <w:basedOn w:val="12"/>
    <w:link w:val="3"/>
    <w:uiPriority w:val="0"/>
    <w:rPr/>
  </w:style>
  <w:style w:type="character" w:customStyle="1" w:styleId="23">
    <w:name w:val="正文首行缩进 Char Char"/>
    <w:basedOn w:val="22"/>
    <w:link w:val="2"/>
    <w:uiPriority w:val="0"/>
    <w:rPr/>
  </w:style>
  <w:style w:type="character" w:customStyle="1" w:styleId="24">
    <w:name w:val="标题 2 Char Char"/>
    <w:basedOn w:val="12"/>
    <w:link w:val="5"/>
    <w:uiPriority w:val="0"/>
    <w:rPr>
      <w:rFonts w:hint="default" w:ascii="Arial" w:hAnsi="Arial" w:eastAsia="黑体" w:cs="Arial"/>
      <w:b/>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1.png"/><Relationship Id="rId11" Type="http://schemas.openxmlformats.org/officeDocument/2006/relationships/oleObject" Target="embeddings/oleObject1.bin"/><Relationship Id="rId12" Type="http://schemas.openxmlformats.org/officeDocument/2006/relationships/image" Target="media/image2.wmf"/><Relationship Id="rId13" Type="http://schemas.openxmlformats.org/officeDocument/2006/relationships/customXml" Target="../customXml/item1.xml"/><Relationship Id="rId14"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2017-07-25T08:53:00Z</dcterms:created>
  <dc:creator>Administrator</dc:creator>
  <cp:lastModifiedBy>Administrator</cp:lastModifiedBy>
  <cp:lastPrinted>2018-12-14T03:52:39Z</cp:lastPrinted>
  <dcterms:modified xsi:type="dcterms:W3CDTF">2018-12-14T03:54:11Z</dcterms:modified>
  <dc:title>建安区建设工程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