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Arial"/>
          <w:b/>
          <w:bCs/>
          <w:kern w:val="0"/>
          <w:sz w:val="52"/>
          <w:szCs w:val="52"/>
        </w:rPr>
      </w:pPr>
    </w:p>
    <w:p>
      <w:pPr>
        <w:jc w:val="center"/>
        <w:rPr>
          <w:rFonts w:asciiTheme="minorEastAsia" w:hAnsiTheme="minorEastAsia" w:eastAsiaTheme="minorEastAsia" w:cstheme="minorEastAsia"/>
          <w:b/>
          <w:bCs/>
          <w:kern w:val="0"/>
          <w:sz w:val="56"/>
          <w:szCs w:val="56"/>
        </w:rPr>
      </w:pPr>
      <w:r>
        <w:rPr>
          <w:rFonts w:hint="eastAsia" w:asciiTheme="minorEastAsia" w:hAnsiTheme="minorEastAsia" w:eastAsiaTheme="minorEastAsia" w:cstheme="minorEastAsia"/>
          <w:b/>
          <w:bCs/>
          <w:kern w:val="0"/>
          <w:sz w:val="56"/>
          <w:szCs w:val="56"/>
        </w:rPr>
        <w:t>鄢陵县2018年农业水价综合改革</w:t>
      </w:r>
    </w:p>
    <w:p>
      <w:pPr>
        <w:jc w:val="center"/>
        <w:rPr>
          <w:rFonts w:ascii="宋体" w:hAnsi="宋体"/>
          <w:b/>
          <w:bCs/>
          <w:sz w:val="32"/>
        </w:rPr>
      </w:pPr>
    </w:p>
    <w:p>
      <w:pPr>
        <w:jc w:val="center"/>
        <w:rPr>
          <w:rFonts w:ascii="宋体" w:hAnsi="宋体"/>
          <w:b/>
          <w:sz w:val="28"/>
          <w:szCs w:val="28"/>
        </w:rPr>
      </w:pPr>
      <w:r>
        <w:rPr>
          <w:rFonts w:hint="eastAsia" w:ascii="宋体" w:hAnsi="宋体"/>
          <w:b/>
          <w:bCs/>
          <w:sz w:val="72"/>
          <w:szCs w:val="72"/>
        </w:rPr>
        <w:t>招标文件</w:t>
      </w:r>
    </w:p>
    <w:p>
      <w:pPr>
        <w:ind w:firstLine="2800" w:firstLineChars="1000"/>
        <w:rPr>
          <w:rFonts w:hint="eastAsia" w:ascii="宋体" w:hAnsi="宋体" w:eastAsia="宋体"/>
          <w:bCs/>
          <w:sz w:val="28"/>
          <w:szCs w:val="28"/>
          <w:lang w:val="en-US" w:eastAsia="zh-CN"/>
        </w:rPr>
      </w:pPr>
      <w:r>
        <w:rPr>
          <w:rFonts w:hint="eastAsia" w:ascii="宋体" w:hAnsi="宋体"/>
          <w:bCs/>
          <w:sz w:val="28"/>
          <w:szCs w:val="28"/>
        </w:rPr>
        <w:t>招标编号：XCGC-</w:t>
      </w:r>
      <w:r>
        <w:rPr>
          <w:rFonts w:hint="eastAsia" w:ascii="宋体" w:hAnsi="宋体"/>
          <w:bCs/>
          <w:sz w:val="28"/>
          <w:szCs w:val="28"/>
          <w:lang w:val="en-US" w:eastAsia="zh-CN"/>
        </w:rPr>
        <w:t>S2018042</w:t>
      </w:r>
    </w:p>
    <w:p>
      <w:pPr>
        <w:pStyle w:val="7"/>
        <w:ind w:firstLine="361"/>
      </w:pPr>
      <w:r>
        <w:rPr>
          <w:rFonts w:hint="eastAsia" w:ascii="黑体" w:hAnsi="宋体" w:eastAsia="黑体"/>
          <w:b/>
          <w:bCs/>
          <w:sz w:val="36"/>
          <w:szCs w:val="36"/>
        </w:rPr>
        <w:drawing>
          <wp:anchor distT="0" distB="0" distL="114300" distR="114300" simplePos="0" relativeHeight="251660288" behindDoc="1" locked="0" layoutInCell="1" allowOverlap="1">
            <wp:simplePos x="0" y="0"/>
            <wp:positionH relativeFrom="column">
              <wp:posOffset>2197735</wp:posOffset>
            </wp:positionH>
            <wp:positionV relativeFrom="paragraph">
              <wp:posOffset>215265</wp:posOffset>
            </wp:positionV>
            <wp:extent cx="1879600" cy="3289300"/>
            <wp:effectExtent l="0" t="0" r="6350" b="6350"/>
            <wp:wrapNone/>
            <wp:docPr id="2" name="图片 4" descr="公司标志-清晰版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公司标志-清晰版1"/>
                    <pic:cNvPicPr>
                      <a:picLocks noChangeAspect="1"/>
                    </pic:cNvPicPr>
                  </pic:nvPicPr>
                  <pic:blipFill>
                    <a:blip r:embed="rId8"/>
                    <a:stretch>
                      <a:fillRect/>
                    </a:stretch>
                  </pic:blipFill>
                  <pic:spPr>
                    <a:xfrm>
                      <a:off x="0" y="0"/>
                      <a:ext cx="1879600" cy="3289300"/>
                    </a:xfrm>
                    <a:prstGeom prst="rect">
                      <a:avLst/>
                    </a:prstGeom>
                    <a:noFill/>
                    <a:ln w="9525">
                      <a:noFill/>
                    </a:ln>
                  </pic:spPr>
                </pic:pic>
              </a:graphicData>
            </a:graphic>
          </wp:anchor>
        </w:drawing>
      </w:r>
    </w:p>
    <w:p>
      <w:pPr>
        <w:pStyle w:val="7"/>
        <w:ind w:firstLine="210"/>
        <w:rPr>
          <w:rFonts w:eastAsia="仿宋"/>
        </w:rPr>
      </w:pPr>
    </w:p>
    <w:p>
      <w:pPr>
        <w:tabs>
          <w:tab w:val="left" w:pos="2850"/>
        </w:tabs>
        <w:spacing w:line="580" w:lineRule="exact"/>
        <w:ind w:firstLine="1110" w:firstLineChars="395"/>
        <w:jc w:val="left"/>
        <w:rPr>
          <w:rFonts w:ascii="宋体" w:hAnsi="宋体"/>
          <w:b/>
          <w:bCs/>
          <w:sz w:val="28"/>
        </w:rPr>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pStyle w:val="7"/>
        <w:ind w:firstLine="210"/>
      </w:pPr>
    </w:p>
    <w:p>
      <w:pPr>
        <w:tabs>
          <w:tab w:val="left" w:pos="2850"/>
        </w:tabs>
        <w:spacing w:line="580" w:lineRule="exact"/>
        <w:ind w:firstLine="1110" w:firstLineChars="395"/>
        <w:jc w:val="left"/>
        <w:rPr>
          <w:rFonts w:ascii="宋体" w:hAnsi="宋体"/>
          <w:b/>
          <w:bCs/>
          <w:sz w:val="28"/>
        </w:rPr>
      </w:pPr>
    </w:p>
    <w:p>
      <w:pPr>
        <w:pStyle w:val="2"/>
        <w:ind w:firstLine="562"/>
        <w:rPr>
          <w:rFonts w:ascii="宋体" w:hAnsi="宋体"/>
          <w:b/>
          <w:bCs/>
          <w:sz w:val="28"/>
        </w:rPr>
      </w:pPr>
    </w:p>
    <w:p/>
    <w:p>
      <w:pPr>
        <w:tabs>
          <w:tab w:val="left" w:pos="2850"/>
        </w:tabs>
        <w:spacing w:line="580" w:lineRule="exact"/>
        <w:ind w:firstLine="1110" w:firstLineChars="395"/>
        <w:jc w:val="left"/>
        <w:rPr>
          <w:rFonts w:ascii="宋体" w:hAnsi="宋体"/>
          <w:b/>
          <w:bCs/>
          <w:sz w:val="28"/>
        </w:rPr>
      </w:pPr>
    </w:p>
    <w:p>
      <w:pPr>
        <w:spacing w:line="580" w:lineRule="exact"/>
        <w:ind w:firstLine="1285" w:firstLineChars="400"/>
        <w:rPr>
          <w:rFonts w:ascii="宋体" w:hAnsi="宋体"/>
          <w:b/>
          <w:bCs/>
          <w:sz w:val="32"/>
          <w:szCs w:val="32"/>
        </w:rPr>
      </w:pPr>
      <w:r>
        <w:rPr>
          <w:rFonts w:hint="eastAsia" w:ascii="宋体" w:hAnsi="宋体"/>
          <w:b/>
          <w:bCs/>
          <w:sz w:val="32"/>
          <w:szCs w:val="32"/>
        </w:rPr>
        <w:t>招 标 人：鄢陵县农田水利工程建设管理局</w:t>
      </w:r>
    </w:p>
    <w:p>
      <w:pPr>
        <w:spacing w:line="580" w:lineRule="exact"/>
        <w:ind w:firstLine="1285" w:firstLineChars="400"/>
      </w:pPr>
      <w:r>
        <w:rPr>
          <w:rFonts w:hint="eastAsia" w:ascii="宋体" w:hAnsi="宋体"/>
          <w:b/>
          <w:bCs/>
          <w:sz w:val="32"/>
          <w:szCs w:val="32"/>
        </w:rPr>
        <w:t>代理机构：中建山河建设工程管理有限责任公司</w:t>
      </w:r>
    </w:p>
    <w:p>
      <w:pPr>
        <w:spacing w:line="580" w:lineRule="exact"/>
        <w:jc w:val="center"/>
        <w:rPr>
          <w:rFonts w:ascii="宋体" w:hAnsi="宋体"/>
          <w:b/>
          <w:bCs/>
          <w:sz w:val="32"/>
          <w:szCs w:val="32"/>
        </w:rPr>
      </w:pPr>
    </w:p>
    <w:p>
      <w:pPr>
        <w:spacing w:line="580" w:lineRule="exact"/>
        <w:jc w:val="center"/>
        <w:rPr>
          <w:b/>
          <w:spacing w:val="36"/>
          <w:sz w:val="32"/>
          <w:szCs w:val="32"/>
        </w:rPr>
      </w:pPr>
      <w:r>
        <w:rPr>
          <w:rFonts w:hint="eastAsia" w:ascii="宋体" w:hAnsi="宋体"/>
          <w:b/>
          <w:bCs/>
          <w:sz w:val="32"/>
          <w:szCs w:val="32"/>
        </w:rPr>
        <w:t>2018年12月</w:t>
      </w:r>
    </w:p>
    <w:p>
      <w:pPr>
        <w:spacing w:line="312" w:lineRule="auto"/>
        <w:jc w:val="center"/>
        <w:rPr>
          <w:rFonts w:ascii="宋体" w:hAnsi="宋体" w:cs="宋体"/>
          <w:b/>
          <w:sz w:val="30"/>
          <w:szCs w:val="30"/>
        </w:rPr>
      </w:pPr>
    </w:p>
    <w:p>
      <w:pPr>
        <w:spacing w:line="312" w:lineRule="auto"/>
        <w:jc w:val="center"/>
        <w:rPr>
          <w:rFonts w:ascii="宋体" w:hAnsi="宋体" w:cs="宋体"/>
          <w:b/>
          <w:sz w:val="30"/>
          <w:szCs w:val="30"/>
        </w:rPr>
        <w:sectPr>
          <w:headerReference r:id="rId3" w:type="default"/>
          <w:footerReference r:id="rId4" w:type="default"/>
          <w:footerReference r:id="rId5" w:type="even"/>
          <w:pgSz w:w="11906" w:h="16838"/>
          <w:pgMar w:top="1247" w:right="1191" w:bottom="1247" w:left="1191" w:header="851" w:footer="992" w:gutter="0"/>
          <w:pgNumType w:start="1"/>
          <w:cols w:space="720" w:num="1"/>
          <w:titlePg/>
          <w:docGrid w:type="lines" w:linePitch="312" w:charSpace="0"/>
        </w:sectPr>
      </w:pPr>
    </w:p>
    <w:p>
      <w:pPr>
        <w:jc w:val="center"/>
        <w:rPr>
          <w:rFonts w:ascii="黑体" w:hAnsi="宋体" w:eastAsia="黑体"/>
          <w:b/>
          <w:sz w:val="44"/>
        </w:rPr>
      </w:pPr>
    </w:p>
    <w:p>
      <w:pPr>
        <w:jc w:val="center"/>
        <w:rPr>
          <w:rFonts w:ascii="黑体" w:hAnsi="宋体" w:eastAsia="黑体"/>
          <w:b/>
          <w:sz w:val="44"/>
        </w:rPr>
      </w:pPr>
      <w:r>
        <w:rPr>
          <w:rFonts w:hint="eastAsia" w:ascii="黑体" w:hAnsi="宋体" w:eastAsia="黑体"/>
          <w:b/>
          <w:sz w:val="44"/>
        </w:rPr>
        <w:t>目  录</w:t>
      </w:r>
    </w:p>
    <w:p>
      <w:pPr>
        <w:jc w:val="center"/>
        <w:rPr>
          <w:rFonts w:ascii="宋体" w:hAnsi="宋体"/>
          <w:b/>
          <w:sz w:val="32"/>
        </w:rPr>
      </w:pPr>
    </w:p>
    <w:p>
      <w:pPr>
        <w:tabs>
          <w:tab w:val="left" w:leader="hyphen" w:pos="7919"/>
        </w:tabs>
        <w:snapToGrid w:val="0"/>
        <w:spacing w:line="480" w:lineRule="auto"/>
        <w:ind w:firstLine="551" w:firstLineChars="196"/>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第二章  投标人须知</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570"/>
        <w:rPr>
          <w:rFonts w:ascii="黑体" w:hAnsi="宋体" w:eastAsia="黑体"/>
          <w:b/>
          <w:sz w:val="32"/>
        </w:rPr>
      </w:pPr>
      <w:r>
        <w:rPr>
          <w:rFonts w:hint="eastAsia" w:ascii="黑体" w:hAnsi="宋体" w:eastAsia="黑体"/>
          <w:b/>
          <w:sz w:val="28"/>
        </w:rPr>
        <w:t>第四章  合同条款</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第六章  图纸</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r>
        <w:rPr>
          <w:rFonts w:hint="eastAsia" w:ascii="黑体" w:hAnsi="宋体" w:eastAsia="黑体"/>
          <w:b/>
          <w:sz w:val="28"/>
        </w:rPr>
        <w:tab/>
      </w:r>
    </w:p>
    <w:p>
      <w:pPr>
        <w:tabs>
          <w:tab w:val="left" w:leader="hyphen" w:pos="7919"/>
        </w:tabs>
        <w:snapToGrid w:val="0"/>
        <w:spacing w:line="480" w:lineRule="auto"/>
        <w:ind w:firstLine="562"/>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r>
        <w:rPr>
          <w:rFonts w:ascii="黑体" w:hAnsi="宋体" w:eastAsia="黑体"/>
          <w:b/>
          <w:sz w:val="28"/>
        </w:rPr>
        <w:tab/>
      </w:r>
    </w:p>
    <w:p>
      <w:pPr>
        <w:spacing w:line="312" w:lineRule="auto"/>
      </w:pPr>
    </w:p>
    <w:p>
      <w:pPr>
        <w:widowControl/>
        <w:jc w:val="left"/>
      </w:pPr>
      <w:r>
        <w:br w:type="page"/>
      </w:r>
    </w:p>
    <w:p>
      <w:pPr>
        <w:pStyle w:val="15"/>
        <w:widowControl/>
        <w:numPr>
          <w:ilvl w:val="0"/>
          <w:numId w:val="1"/>
        </w:numPr>
        <w:shd w:val="clear" w:color="060000" w:fill="FFFFFF"/>
        <w:spacing w:before="0" w:beforeAutospacing="0" w:after="0" w:afterAutospacing="0" w:line="288" w:lineRule="auto"/>
        <w:jc w:val="center"/>
        <w:rPr>
          <w:rFonts w:ascii="宋体" w:hAnsi="宋体" w:cs="宋体"/>
          <w:b/>
          <w:sz w:val="36"/>
          <w:szCs w:val="36"/>
        </w:rPr>
      </w:pPr>
      <w:bookmarkStart w:id="0" w:name="_Toc13242"/>
      <w:bookmarkStart w:id="1" w:name="_Toc405406287"/>
      <w:r>
        <w:rPr>
          <w:rFonts w:hint="eastAsia" w:ascii="宋体" w:hAnsi="宋体" w:cs="宋体"/>
          <w:b/>
          <w:sz w:val="36"/>
          <w:szCs w:val="36"/>
        </w:rPr>
        <w:t>招 标 公 告</w:t>
      </w:r>
      <w:bookmarkEnd w:id="0"/>
      <w:bookmarkEnd w:id="1"/>
    </w:p>
    <w:p>
      <w:pPr>
        <w:spacing w:line="500" w:lineRule="exact"/>
        <w:ind w:firstLine="320" w:firstLineChars="100"/>
        <w:jc w:val="center"/>
        <w:rPr>
          <w:rFonts w:ascii="宋体" w:hAnsi="宋体"/>
          <w:sz w:val="32"/>
          <w:szCs w:val="32"/>
        </w:rPr>
      </w:pPr>
      <w:r>
        <w:rPr>
          <w:rFonts w:hint="eastAsia" w:ascii="宋体" w:hAnsi="宋体"/>
          <w:sz w:val="32"/>
          <w:szCs w:val="32"/>
        </w:rPr>
        <w:t>XCGC-S2018</w:t>
      </w:r>
      <w:r>
        <w:rPr>
          <w:rFonts w:hint="eastAsia" w:ascii="宋体" w:hAnsi="宋体"/>
          <w:sz w:val="32"/>
          <w:szCs w:val="32"/>
          <w:lang w:val="en-US" w:eastAsia="zh-CN"/>
        </w:rPr>
        <w:t>042</w:t>
      </w:r>
      <w:r>
        <w:rPr>
          <w:rFonts w:hint="eastAsia" w:ascii="宋体" w:hAnsi="宋体"/>
          <w:sz w:val="32"/>
          <w:szCs w:val="32"/>
        </w:rPr>
        <w:t>鄢陵县农田水利工程建设管理局“鄢陵县2018年农业水价综合改革”招标公告</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1.招标条件</w:t>
      </w:r>
    </w:p>
    <w:p>
      <w:pPr>
        <w:spacing w:line="360" w:lineRule="auto"/>
        <w:ind w:firstLine="480" w:firstLineChars="200"/>
        <w:rPr>
          <w:rFonts w:asciiTheme="minorEastAsia" w:hAnsiTheme="minorEastAsia" w:eastAsiaTheme="minorEastAsia"/>
          <w:sz w:val="24"/>
          <w:highlight w:val="yellow"/>
        </w:rPr>
      </w:pPr>
      <w:r>
        <w:rPr>
          <w:rFonts w:hint="eastAsia" w:asciiTheme="minorEastAsia" w:hAnsiTheme="minorEastAsia" w:eastAsiaTheme="minorEastAsia"/>
          <w:sz w:val="24"/>
        </w:rPr>
        <w:t>鄢陵县2018年农业水价综合改革，已由许昌市水务局以许市水【2018】132号批准建设，招标人为鄢陵县农田水利工程建设管理局，建设资金来源为财政资金，出资比例100%。招标代理机构为中建山河建设工程管理有限责任公司。项目已具备招标条件，现对该项目进行公开招标。</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2.项目概况与招标范围</w:t>
      </w:r>
    </w:p>
    <w:p>
      <w:pPr>
        <w:spacing w:line="360" w:lineRule="auto"/>
        <w:ind w:firstLine="720" w:firstLineChars="300"/>
        <w:rPr>
          <w:rFonts w:hint="eastAsia" w:asciiTheme="minorEastAsia" w:hAnsiTheme="minorEastAsia" w:eastAsiaTheme="minorEastAsia"/>
          <w:sz w:val="24"/>
          <w:highlight w:val="yellow"/>
          <w:lang w:val="en-US" w:eastAsia="zh-CN"/>
        </w:rPr>
      </w:pPr>
      <w:r>
        <w:rPr>
          <w:rFonts w:hint="eastAsia" w:asciiTheme="minorEastAsia" w:hAnsiTheme="minorEastAsia" w:eastAsiaTheme="minorEastAsia"/>
          <w:sz w:val="24"/>
        </w:rPr>
        <w:t>2.1项目编号：XCGC-S2018</w:t>
      </w:r>
      <w:r>
        <w:rPr>
          <w:rFonts w:hint="eastAsia" w:asciiTheme="minorEastAsia" w:hAnsiTheme="minorEastAsia" w:eastAsiaTheme="minorEastAsia"/>
          <w:sz w:val="24"/>
          <w:lang w:val="en-US" w:eastAsia="zh-CN"/>
        </w:rPr>
        <w:t>042</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2.2项目概况：主要包括计量设施建设、农业水价改革相关支出四项内容（数据中心建立、宣传培训、“三证一书”印制、现场调查）等。</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2.3招标范围：招标文件、工程量清单、设计变更（如有）及答疑纪要（如有）范围内的所有工程内容。</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2.4标段划分：本项目共划分为一个标段。</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2.5施工工期: 60日历天。</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2.6质量要求：合格。</w:t>
      </w:r>
    </w:p>
    <w:p>
      <w:pPr>
        <w:spacing w:line="360" w:lineRule="auto"/>
        <w:ind w:firstLine="720" w:firstLineChars="300"/>
        <w:jc w:val="left"/>
        <w:outlineLvl w:val="0"/>
        <w:rPr>
          <w:rFonts w:asciiTheme="minorEastAsia" w:hAnsiTheme="minorEastAsia" w:eastAsiaTheme="minorEastAsia"/>
          <w:b/>
          <w:bCs/>
          <w:sz w:val="24"/>
        </w:rPr>
      </w:pPr>
      <w:r>
        <w:rPr>
          <w:rFonts w:hint="eastAsia" w:asciiTheme="minorEastAsia" w:hAnsiTheme="minorEastAsia" w:eastAsiaTheme="minorEastAsia"/>
          <w:sz w:val="24"/>
        </w:rPr>
        <w:t>2.7招标控制价：1215859.00元。</w:t>
      </w:r>
    </w:p>
    <w:p>
      <w:pPr>
        <w:numPr>
          <w:ilvl w:val="0"/>
          <w:numId w:val="2"/>
        </w:numPr>
        <w:spacing w:line="360" w:lineRule="auto"/>
        <w:jc w:val="left"/>
        <w:outlineLvl w:val="0"/>
        <w:rPr>
          <w:rFonts w:asciiTheme="minorEastAsia" w:hAnsiTheme="minorEastAsia" w:eastAsiaTheme="minorEastAsia"/>
          <w:b/>
          <w:bCs/>
          <w:sz w:val="24"/>
        </w:rPr>
      </w:pPr>
      <w:r>
        <w:rPr>
          <w:rFonts w:hint="eastAsia" w:asciiTheme="minorEastAsia" w:hAnsiTheme="minorEastAsia" w:eastAsiaTheme="minorEastAsia"/>
          <w:b/>
          <w:bCs/>
          <w:sz w:val="24"/>
        </w:rPr>
        <w:t>投标人资格要求</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3.1符合《中华人民共和国政府采购法》第二十二条之规定；</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3.2 投标人须同时具备有效的水利行业（灌溉排涝）专业乙级及以上资质和测绘行政主管部门颁发的测绘乙级及以上资质；</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3.3 拟派项目负责人须具有水利专业中级及以上技术职称；</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3.4 投标人须具有2015年1月1日以来类似业绩；</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3.5未被列入“信用中国”网站（www.creditchina.gov.cn)失信被执行人名单的投标人、“国家企业信用公示系统”网站（www.gsxt.gov.cn）严重违法失信企业名单（黑名单）的投标人、“全国法院失信被执行人"名单信息的投标人（http://shixin.court.gov.cn/）（招标人、代理机构或评标专家委员会于评标现场查询）；信用信息查询记录和证据留存具体方式：经评标委员会确认的查询结果网页截图作为查询记录和证据，与其他文件一并保存。</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3.6投标企业需在全国水利建设市场监管服务平台信息公开（以网上公示为准），拟派项目经理、委托代理人均在全国水利建设市场监管服务平台信用信息公开</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且报名后企业被委托人（网上报名联系人）不得更换，企业所有拟派人员必须为本单位在职人员且在全国水利建设市场监管服务平台进行信用信息公示，开标时被委托人到场参加开标会议；</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3.7资格审查：本次招标实行资格后审。</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4.投标报名时间及方式</w:t>
      </w:r>
    </w:p>
    <w:p>
      <w:pPr>
        <w:spacing w:line="360" w:lineRule="auto"/>
        <w:ind w:firstLine="470" w:firstLineChars="196"/>
        <w:rPr>
          <w:rFonts w:asciiTheme="minorEastAsia" w:hAnsiTheme="minorEastAsia" w:eastAsiaTheme="minorEastAsia"/>
          <w:b/>
          <w:bCs/>
          <w:sz w:val="24"/>
        </w:rPr>
      </w:pPr>
      <w:r>
        <w:rPr>
          <w:rFonts w:hint="eastAsia" w:asciiTheme="minorEastAsia" w:hAnsiTheme="minorEastAsia" w:eastAsiaTheme="minorEastAsia"/>
          <w:sz w:val="24"/>
        </w:rPr>
        <w:t>4.1投标人持CA数字认证证书，登录【全国公共资源交易平台（河南省·许昌市）】“系统用户注册”入口</w:t>
      </w:r>
      <w:r>
        <w:rPr>
          <w:rFonts w:hint="default" w:ascii="Times New Roman" w:hAnsi="Times New Roman" w:cs="Times New Roman" w:eastAsiaTheme="minorEastAsia"/>
          <w:sz w:val="24"/>
        </w:rPr>
        <w:t>（http://221.14.6.70:8088/ggzy/eps/public/RegistAllJcxx.html）</w:t>
      </w:r>
      <w:r>
        <w:rPr>
          <w:rFonts w:hint="eastAsia" w:asciiTheme="minorEastAsia" w:hAnsiTheme="minorEastAsia" w:eastAsiaTheme="minorEastAsia"/>
          <w:sz w:val="24"/>
        </w:rPr>
        <w:t>进行免费注册登记（详见“常见问题解答-诚信库网上注册相关资料下载”）；</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4.2在投标截止时间前登录【全国公共资源交易平台（河南省·许昌市）】“投标人/供应商登录”入口（http://221.14.6.70:8088/ggzy/）自行下载招标文件（详见“常见问题解答-交易系统操作手册”）。</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5.招标文件和施工图纸的获取</w:t>
      </w:r>
    </w:p>
    <w:p>
      <w:pPr>
        <w:widowControl/>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5.1</w:t>
      </w:r>
      <w:r>
        <w:rPr>
          <w:rFonts w:hint="eastAsia" w:asciiTheme="minorEastAsia" w:hAnsiTheme="minorEastAsia" w:eastAsiaTheme="minorEastAsia"/>
          <w:color w:val="000000"/>
          <w:sz w:val="24"/>
        </w:rPr>
        <w:t>招标文件和工程量清单的获取：投标人于投标文件递交截止时间前均可登录【全国公共资源交易平台(河南省</w:t>
      </w:r>
      <w:r>
        <w:rPr>
          <w:rFonts w:hint="eastAsia" w:ascii="MS Mincho" w:hAnsi="MS Mincho" w:eastAsia="MS Mincho" w:cs="MS Mincho"/>
          <w:color w:val="000000"/>
          <w:sz w:val="24"/>
        </w:rPr>
        <w:t>▪</w:t>
      </w:r>
      <w:r>
        <w:rPr>
          <w:rFonts w:hint="eastAsia" w:cs="仿宋" w:asciiTheme="minorEastAsia" w:hAnsiTheme="minorEastAsia" w:eastAsiaTheme="minorEastAsia"/>
          <w:color w:val="000000"/>
          <w:sz w:val="24"/>
        </w:rPr>
        <w:t>许昌市</w:t>
      </w:r>
      <w:r>
        <w:rPr>
          <w:rFonts w:hint="eastAsia" w:asciiTheme="minorEastAsia" w:hAnsiTheme="minorEastAsia" w:eastAsiaTheme="minorEastAsia"/>
          <w:color w:val="000000"/>
          <w:sz w:val="24"/>
        </w:rPr>
        <w:t>)】（http://</w:t>
      </w:r>
      <w:r>
        <w:rPr>
          <w:rFonts w:hint="eastAsia" w:asciiTheme="minorEastAsia" w:hAnsiTheme="minorEastAsia" w:eastAsiaTheme="minorEastAsia"/>
          <w:color w:val="000000"/>
          <w:sz w:val="24"/>
          <w:lang w:val="en-US" w:eastAsia="zh-CN"/>
        </w:rPr>
        <w:t>www.xcggzy.gov.cn</w:t>
      </w:r>
      <w:r>
        <w:rPr>
          <w:rFonts w:hint="eastAsia" w:asciiTheme="minorEastAsia" w:hAnsiTheme="minorEastAsia" w:eastAsiaTheme="minorEastAsia"/>
          <w:color w:val="000000"/>
          <w:sz w:val="24"/>
        </w:rPr>
        <w:t>/），通过“投标人/供应商登录” 入口自行下载。</w:t>
      </w:r>
    </w:p>
    <w:p>
      <w:pPr>
        <w:widowControl/>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5.2施工图纸下载：按照招标文件中第二章投标人须知前附表第2.1项所给的网址自行下载。</w:t>
      </w:r>
    </w:p>
    <w:p>
      <w:pPr>
        <w:widowControl/>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5.3招标文件每套售价1000元，于递交投标文件时缴纳给招标代理机构，售后不退。</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6.投标文件的递交</w:t>
      </w:r>
    </w:p>
    <w:p>
      <w:pPr>
        <w:spacing w:line="360" w:lineRule="auto"/>
        <w:ind w:firstLine="470" w:firstLineChars="196"/>
        <w:rPr>
          <w:rFonts w:asciiTheme="minorEastAsia" w:hAnsiTheme="minorEastAsia" w:eastAsiaTheme="minorEastAsia"/>
          <w:b/>
          <w:bCs/>
          <w:sz w:val="24"/>
        </w:rPr>
      </w:pPr>
      <w:r>
        <w:rPr>
          <w:rFonts w:hint="eastAsia" w:asciiTheme="minorEastAsia" w:hAnsiTheme="minorEastAsia" w:eastAsiaTheme="minorEastAsia"/>
          <w:sz w:val="24"/>
        </w:rPr>
        <w:t>6.1投标文件递交的截止时间及开标时间：2019年1月7日9时30分。</w:t>
      </w:r>
    </w:p>
    <w:p>
      <w:pPr>
        <w:spacing w:line="360" w:lineRule="auto"/>
        <w:ind w:firstLine="420"/>
        <w:outlineLvl w:val="0"/>
        <w:rPr>
          <w:rFonts w:asciiTheme="minorEastAsia" w:hAnsiTheme="minorEastAsia" w:eastAsiaTheme="minorEastAsia"/>
          <w:sz w:val="24"/>
          <w:highlight w:val="yellow"/>
        </w:rPr>
      </w:pPr>
      <w:r>
        <w:rPr>
          <w:rFonts w:hint="eastAsia" w:asciiTheme="minorEastAsia" w:hAnsiTheme="minorEastAsia" w:eastAsiaTheme="minorEastAsia"/>
          <w:sz w:val="24"/>
        </w:rPr>
        <w:t>6.2投标文件递交地点：许昌市公共资源交易中心（许昌市龙兴路竹林路交汇处公共资源大厦三楼）开标二室。</w:t>
      </w:r>
    </w:p>
    <w:p>
      <w:pPr>
        <w:spacing w:line="360" w:lineRule="auto"/>
        <w:ind w:firstLine="420"/>
        <w:outlineLvl w:val="0"/>
        <w:rPr>
          <w:rFonts w:asciiTheme="minorEastAsia" w:hAnsiTheme="minorEastAsia" w:eastAsiaTheme="minorEastAsia"/>
          <w:sz w:val="24"/>
        </w:rPr>
      </w:pPr>
      <w:r>
        <w:rPr>
          <w:rFonts w:hint="eastAsia" w:asciiTheme="minorEastAsia" w:hAnsiTheme="minorEastAsia" w:eastAsiaTheme="minorEastAsia"/>
          <w:sz w:val="24"/>
        </w:rPr>
        <w:t>6.3逾期送达的或者未送达指定地点的投标文件，招标人不予受理。</w:t>
      </w:r>
    </w:p>
    <w:p>
      <w:pPr>
        <w:spacing w:line="360" w:lineRule="auto"/>
        <w:ind w:firstLine="420"/>
        <w:outlineLvl w:val="0"/>
        <w:rPr>
          <w:rFonts w:asciiTheme="minorEastAsia" w:hAnsiTheme="minorEastAsia" w:eastAsiaTheme="minorEastAsia"/>
          <w:sz w:val="24"/>
        </w:rPr>
      </w:pPr>
      <w:r>
        <w:rPr>
          <w:rFonts w:hint="eastAsia" w:asciiTheme="minorEastAsia" w:hAnsiTheme="minorEastAsia" w:eastAsiaTheme="minorEastAsia"/>
          <w:sz w:val="24"/>
        </w:rPr>
        <w:t>6.4未通过【全国公共资源交易平台(河南省</w:t>
      </w:r>
      <w:r>
        <w:rPr>
          <w:rFonts w:hint="eastAsia" w:ascii="MS Mincho" w:hAnsi="MS Mincho" w:eastAsia="MS Mincho" w:cs="MS Mincho"/>
          <w:sz w:val="24"/>
        </w:rPr>
        <w:t>▪</w:t>
      </w:r>
      <w:r>
        <w:rPr>
          <w:rFonts w:hint="eastAsia" w:cs="仿宋" w:asciiTheme="minorEastAsia" w:hAnsiTheme="minorEastAsia" w:eastAsiaTheme="minorEastAsia"/>
          <w:sz w:val="24"/>
        </w:rPr>
        <w:t>许昌市</w:t>
      </w:r>
      <w:r>
        <w:rPr>
          <w:rFonts w:hint="eastAsia" w:asciiTheme="minorEastAsia" w:hAnsiTheme="minorEastAsia" w:eastAsiaTheme="minorEastAsia"/>
          <w:sz w:val="24"/>
        </w:rPr>
        <w:t>)】下载招标文件的投标人，其投标文件将拒收。</w:t>
      </w:r>
    </w:p>
    <w:p>
      <w:pPr>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7.发布公告的媒介</w:t>
      </w:r>
    </w:p>
    <w:p>
      <w:pPr>
        <w:spacing w:line="360" w:lineRule="auto"/>
        <w:ind w:firstLine="360" w:firstLineChars="150"/>
        <w:rPr>
          <w:rFonts w:asciiTheme="minorEastAsia" w:hAnsiTheme="minorEastAsia" w:eastAsiaTheme="minorEastAsia"/>
          <w:sz w:val="24"/>
        </w:rPr>
      </w:pPr>
      <w:r>
        <w:rPr>
          <w:rFonts w:hint="eastAsia" w:cs="宋体" w:asciiTheme="minorEastAsia" w:hAnsiTheme="minorEastAsia" w:eastAsiaTheme="minorEastAsia"/>
          <w:sz w:val="24"/>
        </w:rPr>
        <w:t>本公告同时在《河南省电子招标投标公共服务平台》、《【全国公共资源交易平台（河南省·许昌市）】》和《河南省水利网》上发布。</w:t>
      </w:r>
    </w:p>
    <w:p>
      <w:pPr>
        <w:tabs>
          <w:tab w:val="left" w:pos="7095"/>
        </w:tabs>
        <w:spacing w:line="360" w:lineRule="auto"/>
        <w:rPr>
          <w:rFonts w:asciiTheme="minorEastAsia" w:hAnsiTheme="minorEastAsia" w:eastAsiaTheme="minorEastAsia"/>
          <w:b/>
          <w:bCs/>
          <w:sz w:val="24"/>
        </w:rPr>
      </w:pPr>
      <w:r>
        <w:rPr>
          <w:rFonts w:hint="eastAsia" w:asciiTheme="minorEastAsia" w:hAnsiTheme="minorEastAsia" w:eastAsiaTheme="minorEastAsia"/>
          <w:b/>
          <w:bCs/>
          <w:sz w:val="24"/>
        </w:rPr>
        <w:t>8.联系方式</w:t>
      </w:r>
    </w:p>
    <w:p>
      <w:pPr>
        <w:tabs>
          <w:tab w:val="left" w:pos="4140"/>
        </w:tabs>
        <w:spacing w:line="360" w:lineRule="auto"/>
        <w:ind w:left="21" w:leftChars="10" w:right="-357" w:rightChars="-170" w:firstLine="480" w:firstLineChars="200"/>
        <w:rPr>
          <w:rFonts w:asciiTheme="minorEastAsia" w:hAnsiTheme="minorEastAsia" w:eastAsiaTheme="minorEastAsia"/>
          <w:sz w:val="24"/>
        </w:rPr>
      </w:pPr>
      <w:r>
        <w:rPr>
          <w:rFonts w:hint="eastAsia" w:asciiTheme="minorEastAsia" w:hAnsiTheme="minorEastAsia" w:eastAsiaTheme="minorEastAsia"/>
          <w:sz w:val="24"/>
        </w:rPr>
        <w:t>招标人：鄢陵县农田水利工程建设管理局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地  址：鄢陵县站前街195号</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联系人：薛先生</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  话：15837426796</w:t>
      </w:r>
    </w:p>
    <w:p>
      <w:pPr>
        <w:autoSpaceDE w:val="0"/>
        <w:autoSpaceDN w:val="0"/>
        <w:adjustRightInd w:val="0"/>
        <w:spacing w:line="360" w:lineRule="auto"/>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 xml:space="preserve">    代理机构：中建山河建设工程管理有限责任公司</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地 址：郑州市金水区经三路与农业路交叉口财富广场</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联系人：</w:t>
      </w:r>
      <w:r>
        <w:rPr>
          <w:rFonts w:hint="eastAsia" w:asciiTheme="minorEastAsia" w:hAnsiTheme="minorEastAsia" w:eastAsiaTheme="minorEastAsia"/>
          <w:sz w:val="24"/>
        </w:rPr>
        <w:t>郑</w:t>
      </w:r>
      <w:r>
        <w:rPr>
          <w:rFonts w:hint="eastAsia" w:asciiTheme="minorEastAsia" w:hAnsiTheme="minorEastAsia" w:eastAsiaTheme="minorEastAsia"/>
          <w:sz w:val="24"/>
          <w:lang w:val="zh-CN"/>
        </w:rPr>
        <w:t>先生</w:t>
      </w:r>
    </w:p>
    <w:p>
      <w:pPr>
        <w:spacing w:line="360" w:lineRule="auto"/>
        <w:ind w:firstLine="480" w:firstLineChars="200"/>
        <w:rPr>
          <w:rFonts w:asciiTheme="minorEastAsia" w:hAnsiTheme="minorEastAsia" w:eastAsiaTheme="minorEastAsia"/>
          <w:sz w:val="24"/>
          <w:lang w:val="zh-CN"/>
        </w:rPr>
      </w:pPr>
      <w:r>
        <w:rPr>
          <w:rFonts w:hint="eastAsia" w:asciiTheme="minorEastAsia" w:hAnsiTheme="minorEastAsia" w:eastAsiaTheme="minorEastAsia"/>
          <w:sz w:val="24"/>
          <w:lang w:val="zh-CN"/>
        </w:rPr>
        <w:t>联系电话：13569917698</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lang w:val="zh-CN"/>
        </w:rPr>
        <w:t>水行政监督部门：</w:t>
      </w:r>
      <w:r>
        <w:rPr>
          <w:rFonts w:hint="eastAsia" w:asciiTheme="minorEastAsia" w:hAnsiTheme="minorEastAsia" w:eastAsiaTheme="minorEastAsia"/>
          <w:sz w:val="24"/>
        </w:rPr>
        <w:t>鄢陵县水务局</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电话：0374-2708199</w:t>
      </w:r>
    </w:p>
    <w:p>
      <w:pPr>
        <w:pStyle w:val="7"/>
        <w:spacing w:line="360" w:lineRule="auto"/>
        <w:ind w:firstLine="4800" w:firstLineChars="2000"/>
        <w:rPr>
          <w:rFonts w:cs="宋体" w:asciiTheme="minorEastAsia" w:hAnsiTheme="minorEastAsia" w:eastAsiaTheme="minorEastAsia"/>
          <w:kern w:val="0"/>
          <w:sz w:val="24"/>
        </w:rPr>
      </w:pPr>
    </w:p>
    <w:p>
      <w:pPr>
        <w:pStyle w:val="7"/>
        <w:spacing w:line="360" w:lineRule="auto"/>
        <w:ind w:firstLine="4800" w:firstLineChars="2000"/>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鄢陵县农田水利工程建设管理局</w:t>
      </w:r>
    </w:p>
    <w:p>
      <w:pPr>
        <w:pStyle w:val="7"/>
        <w:spacing w:line="360" w:lineRule="auto"/>
        <w:ind w:firstLine="4320" w:firstLineChars="1800"/>
        <w:rPr>
          <w:rFonts w:cs="宋体" w:asciiTheme="minorEastAsia" w:hAnsiTheme="minorEastAsia" w:eastAsiaTheme="minorEastAsia"/>
          <w:b/>
          <w:bCs/>
          <w:sz w:val="36"/>
          <w:szCs w:val="36"/>
        </w:rPr>
      </w:pPr>
      <w:r>
        <w:rPr>
          <w:rFonts w:hint="eastAsia" w:cs="宋体" w:asciiTheme="minorEastAsia" w:hAnsiTheme="minorEastAsia" w:eastAsiaTheme="minorEastAsia"/>
          <w:kern w:val="0"/>
          <w:sz w:val="24"/>
        </w:rPr>
        <w:t xml:space="preserve">           2018年 12月14 日</w:t>
      </w:r>
      <w:bookmarkStart w:id="2" w:name="_Toc17593"/>
      <w:bookmarkStart w:id="3" w:name="_Toc18374"/>
      <w:bookmarkStart w:id="4" w:name="_Toc19466"/>
      <w:bookmarkStart w:id="5" w:name="_Toc15029"/>
    </w:p>
    <w:p>
      <w:pPr>
        <w:pStyle w:val="15"/>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p>
    <w:p>
      <w:pPr>
        <w:widowControl/>
        <w:jc w:val="left"/>
        <w:rPr>
          <w:rFonts w:ascii="宋体" w:hAnsi="宋体" w:cs="宋体"/>
          <w:b/>
          <w:bCs/>
          <w:kern w:val="0"/>
          <w:sz w:val="36"/>
          <w:szCs w:val="36"/>
        </w:rPr>
      </w:pPr>
      <w:r>
        <w:rPr>
          <w:rFonts w:ascii="宋体" w:hAnsi="宋体" w:cs="宋体"/>
          <w:b/>
          <w:bCs/>
          <w:sz w:val="36"/>
          <w:szCs w:val="36"/>
        </w:rPr>
        <w:br w:type="page"/>
      </w:r>
    </w:p>
    <w:p>
      <w:pPr>
        <w:pStyle w:val="15"/>
        <w:widowControl/>
        <w:shd w:val="clear" w:color="060000" w:fill="FFFFFF"/>
        <w:spacing w:before="0" w:beforeAutospacing="0" w:after="0" w:afterAutospacing="0" w:line="288" w:lineRule="auto"/>
        <w:ind w:firstLine="3614" w:firstLineChars="1000"/>
        <w:jc w:val="both"/>
        <w:rPr>
          <w:rFonts w:ascii="宋体" w:hAnsi="宋体" w:cs="宋体"/>
          <w:b/>
          <w:bCs/>
          <w:sz w:val="36"/>
          <w:szCs w:val="36"/>
        </w:rPr>
      </w:pPr>
      <w:r>
        <w:rPr>
          <w:rFonts w:hint="eastAsia" w:ascii="宋体" w:hAnsi="宋体" w:cs="宋体"/>
          <w:b/>
          <w:bCs/>
          <w:sz w:val="36"/>
          <w:szCs w:val="36"/>
        </w:rPr>
        <w:t>第二章 投标人须知</w:t>
      </w:r>
      <w:bookmarkEnd w:id="2"/>
      <w:bookmarkEnd w:id="3"/>
      <w:bookmarkEnd w:id="4"/>
      <w:bookmarkEnd w:id="5"/>
      <w:bookmarkStart w:id="6" w:name="_Toc1802"/>
    </w:p>
    <w:p>
      <w:pPr>
        <w:pStyle w:val="15"/>
        <w:widowControl/>
        <w:shd w:val="clear" w:color="060000" w:fill="FFFFFF"/>
        <w:spacing w:before="0" w:beforeAutospacing="0" w:after="0" w:afterAutospacing="0" w:line="288" w:lineRule="auto"/>
        <w:rPr>
          <w:rFonts w:ascii="宋体" w:hAnsi="宋体" w:cs="宋体"/>
          <w:b/>
          <w:sz w:val="28"/>
          <w:szCs w:val="21"/>
        </w:rPr>
      </w:pPr>
      <w:bookmarkStart w:id="7" w:name="_Toc21334"/>
      <w:r>
        <w:rPr>
          <w:rFonts w:hint="eastAsia" w:ascii="宋体" w:hAnsi="宋体" w:cs="宋体"/>
          <w:b/>
          <w:sz w:val="28"/>
          <w:szCs w:val="21"/>
        </w:rPr>
        <w:t>投标人须知前附表</w:t>
      </w:r>
      <w:bookmarkEnd w:id="6"/>
      <w:bookmarkEnd w:id="7"/>
    </w:p>
    <w:tbl>
      <w:tblPr>
        <w:tblStyle w:val="21"/>
        <w:tblW w:w="100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19"/>
        <w:gridCol w:w="40"/>
        <w:gridCol w:w="2240"/>
        <w:gridCol w:w="9"/>
        <w:gridCol w:w="154"/>
        <w:gridCol w:w="6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条款号</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条  款  名  称</w:t>
            </w:r>
          </w:p>
        </w:tc>
        <w:tc>
          <w:tcPr>
            <w:tcW w:w="6695"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49" w:type="dxa"/>
            <w:gridSpan w:val="2"/>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招标人</w:t>
            </w:r>
          </w:p>
        </w:tc>
        <w:tc>
          <w:tcPr>
            <w:tcW w:w="6695" w:type="dxa"/>
            <w:gridSpan w:val="2"/>
            <w:vAlign w:val="center"/>
          </w:tcPr>
          <w:p>
            <w:pPr>
              <w:pStyle w:val="15"/>
              <w:widowControl/>
              <w:shd w:val="clear" w:color="060000" w:fill="FFFFFF"/>
              <w:spacing w:before="0" w:beforeAutospacing="0" w:after="0" w:afterAutospacing="0" w:line="288" w:lineRule="auto"/>
              <w:rPr>
                <w:rFonts w:cs="宋体" w:asciiTheme="minorEastAsia" w:hAnsiTheme="minorEastAsia" w:eastAsiaTheme="minorEastAsia"/>
                <w:szCs w:val="24"/>
              </w:rPr>
            </w:pPr>
            <w:r>
              <w:rPr>
                <w:rFonts w:hint="eastAsia" w:cs="宋体" w:asciiTheme="minorEastAsia" w:hAnsiTheme="minorEastAsia" w:eastAsiaTheme="minorEastAsia"/>
                <w:szCs w:val="24"/>
              </w:rPr>
              <w:t>招标人：鄢陵县农田水利工程建设管理局</w:t>
            </w:r>
          </w:p>
          <w:p>
            <w:pPr>
              <w:pStyle w:val="15"/>
              <w:widowControl/>
              <w:shd w:val="clear" w:color="060000" w:fill="FFFFFF"/>
              <w:spacing w:before="0" w:beforeAutospacing="0" w:after="0" w:afterAutospacing="0" w:line="288" w:lineRule="auto"/>
              <w:rPr>
                <w:rFonts w:cs="宋体" w:asciiTheme="minorEastAsia" w:hAnsiTheme="minorEastAsia" w:eastAsiaTheme="minorEastAsia"/>
                <w:szCs w:val="24"/>
              </w:rPr>
            </w:pPr>
            <w:r>
              <w:rPr>
                <w:rFonts w:hint="eastAsia" w:cs="宋体" w:asciiTheme="minorEastAsia" w:hAnsiTheme="minorEastAsia" w:eastAsiaTheme="minorEastAsia"/>
                <w:szCs w:val="24"/>
              </w:rPr>
              <w:t>地  址：鄢陵县站前街195号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49" w:type="dxa"/>
            <w:gridSpan w:val="2"/>
            <w:vAlign w:val="center"/>
          </w:tcPr>
          <w:p>
            <w:pPr>
              <w:spacing w:line="288"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lang w:val="zh-CN"/>
              </w:rPr>
              <w:t>代理机构</w:t>
            </w:r>
          </w:p>
        </w:tc>
        <w:tc>
          <w:tcPr>
            <w:tcW w:w="6695" w:type="dxa"/>
            <w:gridSpan w:val="2"/>
            <w:vAlign w:val="center"/>
          </w:tcPr>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代代理机构：中建山河建设工程管理有限责任公司</w:t>
            </w:r>
          </w:p>
          <w:p>
            <w:pPr>
              <w:autoSpaceDE w:val="0"/>
              <w:autoSpaceDN w:val="0"/>
              <w:adjustRightInd w:val="0"/>
              <w:rPr>
                <w:rFonts w:cs="宋体" w:asciiTheme="minorEastAsia" w:hAnsiTheme="minorEastAsia" w:eastAsiaTheme="minorEastAsia"/>
                <w:kern w:val="0"/>
                <w:sz w:val="24"/>
                <w:lang w:val="zh-CN"/>
              </w:rPr>
            </w:pPr>
            <w:r>
              <w:rPr>
                <w:rFonts w:hint="eastAsia" w:cs="宋体" w:asciiTheme="minorEastAsia" w:hAnsiTheme="minorEastAsia" w:eastAsiaTheme="minorEastAsia"/>
                <w:kern w:val="0"/>
                <w:sz w:val="24"/>
                <w:lang w:val="zh-CN"/>
              </w:rPr>
              <w:t>地 址：郑州市金水区经三路与农业路交叉口财富广场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1.1.3</w:t>
            </w:r>
          </w:p>
        </w:tc>
        <w:tc>
          <w:tcPr>
            <w:tcW w:w="2249" w:type="dxa"/>
            <w:gridSpan w:val="2"/>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c>
        <w:tc>
          <w:tcPr>
            <w:tcW w:w="6695"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鄢陵县2018年农业水价综合改革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1.1.4</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建设地点</w:t>
            </w:r>
          </w:p>
        </w:tc>
        <w:tc>
          <w:tcPr>
            <w:tcW w:w="6695" w:type="dxa"/>
            <w:gridSpan w:val="2"/>
            <w:vAlign w:val="center"/>
          </w:tcPr>
          <w:p>
            <w:pPr>
              <w:autoSpaceDE w:val="0"/>
              <w:autoSpaceDN w:val="0"/>
              <w:adjustRightInd w:val="0"/>
              <w:spacing w:line="312"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位于鄢陵县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资金来源及比例</w:t>
            </w:r>
          </w:p>
        </w:tc>
        <w:tc>
          <w:tcPr>
            <w:tcW w:w="6695" w:type="dxa"/>
            <w:gridSpan w:val="2"/>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资金落实情况</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已经落实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1.2.3</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标段划分</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共分为一个标段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招标范围</w:t>
            </w:r>
          </w:p>
        </w:tc>
        <w:tc>
          <w:tcPr>
            <w:tcW w:w="6695" w:type="dxa"/>
            <w:gridSpan w:val="2"/>
            <w:vAlign w:val="center"/>
          </w:tcPr>
          <w:p>
            <w:pPr>
              <w:rPr>
                <w:rFonts w:cs="宋体" w:asciiTheme="minorEastAsia" w:hAnsiTheme="minorEastAsia" w:eastAsiaTheme="minorEastAsia"/>
                <w:kern w:val="0"/>
                <w:sz w:val="24"/>
              </w:rPr>
            </w:pPr>
            <w:r>
              <w:rPr>
                <w:rFonts w:hint="eastAsia" w:asciiTheme="minorEastAsia" w:hAnsiTheme="minorEastAsia" w:eastAsiaTheme="minorEastAsia"/>
                <w:sz w:val="24"/>
              </w:rPr>
              <w:t>本工程施工招标文件、工程量清单、设计变更（如有）及答疑纪要（如有）范围内的所有工程内容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1.3.2</w:t>
            </w:r>
          </w:p>
        </w:tc>
        <w:tc>
          <w:tcPr>
            <w:tcW w:w="2249" w:type="dxa"/>
            <w:gridSpan w:val="2"/>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计划工期</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60日历天/标段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1.3.3</w:t>
            </w:r>
          </w:p>
        </w:tc>
        <w:tc>
          <w:tcPr>
            <w:tcW w:w="2249" w:type="dxa"/>
            <w:gridSpan w:val="2"/>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质量要求</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6"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1.4.1</w:t>
            </w:r>
          </w:p>
        </w:tc>
        <w:tc>
          <w:tcPr>
            <w:tcW w:w="2249" w:type="dxa"/>
            <w:gridSpan w:val="2"/>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投标人资质条件和能力</w:t>
            </w:r>
          </w:p>
        </w:tc>
        <w:tc>
          <w:tcPr>
            <w:tcW w:w="6695" w:type="dxa"/>
            <w:gridSpan w:val="2"/>
            <w:vAlign w:val="center"/>
          </w:tcPr>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1、符合《中华人民共和国政府采购法》第二十二条之规定；</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2、投标人须同时具备有效的水利行业（灌溉排涝）专业乙级及以上资质和测绘行政主管部门颁发的测绘乙级及以上资质；</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3、拟派项目负责人须具有水利专业中级及以上技术职称；</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4、投标人须具有2015年1月1日以来类似业绩；</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5</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未被列入“信用中国”网站（www.creditchina.gov.cn)失信被执行人名单的投标人、“国家企业信用公示系统”网站（www.gsxt.gov.cn）严重违法失信企业名单（黑名单）的投标人、“全国法院失信被执行人"名单信息的投标人（http://shixin.court.gov.cn/）（招标人、代理机构或评标专家委员会于评标现场查询）；信用信息查询记录和证据留存具体方式：经评标委员会确认</w:t>
            </w:r>
            <w:bookmarkStart w:id="479" w:name="_GoBack"/>
            <w:bookmarkEnd w:id="479"/>
            <w:r>
              <w:rPr>
                <w:rFonts w:hint="eastAsia" w:asciiTheme="minorEastAsia" w:hAnsiTheme="minorEastAsia" w:eastAsiaTheme="minorEastAsia"/>
                <w:sz w:val="24"/>
              </w:rPr>
              <w:t>的查询结果网页截图作为查询记录和证据，与其他文件一并保存。</w:t>
            </w:r>
          </w:p>
          <w:p>
            <w:pPr>
              <w:spacing w:line="360" w:lineRule="auto"/>
              <w:ind w:left="210" w:leftChars="100" w:firstLine="480" w:firstLineChars="200"/>
              <w:rPr>
                <w:rFonts w:hint="eastAsia" w:asciiTheme="minorEastAsia" w:hAnsiTheme="minorEastAsia" w:eastAsiaTheme="minorEastAsia"/>
                <w:sz w:val="24"/>
              </w:rPr>
            </w:pPr>
            <w:r>
              <w:rPr>
                <w:rFonts w:hint="eastAsia" w:asciiTheme="minorEastAsia" w:hAnsiTheme="minorEastAsia" w:eastAsiaTheme="minorEastAsia"/>
                <w:sz w:val="24"/>
              </w:rPr>
              <w:t>6</w:t>
            </w:r>
            <w:r>
              <w:rPr>
                <w:rFonts w:hint="eastAsia" w:asciiTheme="minorEastAsia" w:hAnsiTheme="minorEastAsia" w:eastAsiaTheme="minorEastAsia"/>
                <w:sz w:val="24"/>
                <w:lang w:eastAsia="zh-CN"/>
              </w:rPr>
              <w:t>、</w:t>
            </w:r>
            <w:r>
              <w:rPr>
                <w:rFonts w:hint="eastAsia" w:asciiTheme="minorEastAsia" w:hAnsiTheme="minorEastAsia" w:eastAsiaTheme="minorEastAsia"/>
                <w:sz w:val="24"/>
              </w:rPr>
              <w:t>投标企业需在全国水利建设市场监管服务平台信息公开（以网上公示为准），拟派项目经理、委托代理人均在全国水利建设市场监管服务平台信用信息公开，且报名后企业被委托人（网上报名联系人）不得更换，企业所有拟派人员必须为本单位在职人员且在全国水利建设市场监管服务平台进行信用信息公示，开标时被委托人到场参加开标会议；</w:t>
            </w:r>
          </w:p>
          <w:p>
            <w:pPr>
              <w:spacing w:line="360" w:lineRule="auto"/>
              <w:ind w:left="210" w:leftChars="100" w:firstLine="480" w:firstLineChars="200"/>
              <w:rPr>
                <w:rFonts w:asciiTheme="minorEastAsia" w:hAnsiTheme="minorEastAsia" w:eastAsiaTheme="minorEastAsia"/>
                <w:sz w:val="24"/>
              </w:rPr>
            </w:pPr>
            <w:r>
              <w:rPr>
                <w:rFonts w:hint="eastAsia" w:asciiTheme="minorEastAsia" w:hAnsiTheme="minorEastAsia" w:eastAsiaTheme="minorEastAsia"/>
                <w:sz w:val="24"/>
              </w:rPr>
              <w:t>7、资格审查：本次招标实行资格后审。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1.4.2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是否接受联合体投标</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1.9.1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踏勘现场</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不组织，投标人可自行踏勘现场。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投标预备会</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1.10.2</w:t>
            </w:r>
          </w:p>
        </w:tc>
        <w:tc>
          <w:tcPr>
            <w:tcW w:w="2249" w:type="dxa"/>
            <w:gridSpan w:val="2"/>
            <w:vAlign w:val="center"/>
          </w:tcPr>
          <w:p>
            <w:pPr>
              <w:autoSpaceDE w:val="0"/>
              <w:autoSpaceDN w:val="0"/>
              <w:adjustRightInd w:val="0"/>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投标人提出问题的截止时间</w:t>
            </w:r>
          </w:p>
        </w:tc>
        <w:tc>
          <w:tcPr>
            <w:tcW w:w="6695"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递交投标文件截止之日10日前通过公共资源交易系统电子平台发出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1.10.3</w:t>
            </w:r>
          </w:p>
        </w:tc>
        <w:tc>
          <w:tcPr>
            <w:tcW w:w="2249" w:type="dxa"/>
            <w:gridSpan w:val="2"/>
            <w:vAlign w:val="center"/>
          </w:tcPr>
          <w:p>
            <w:pPr>
              <w:jc w:val="center"/>
              <w:rPr>
                <w:rFonts w:asciiTheme="minorEastAsia" w:hAnsiTheme="minorEastAsia" w:eastAsiaTheme="minorEastAsia"/>
                <w:sz w:val="24"/>
              </w:rPr>
            </w:pPr>
            <w:r>
              <w:rPr>
                <w:rFonts w:hint="eastAsia" w:cs="宋体" w:asciiTheme="minorEastAsia" w:hAnsiTheme="minorEastAsia" w:eastAsiaTheme="minorEastAsia"/>
                <w:sz w:val="24"/>
              </w:rPr>
              <w:t>招标人澄清的时间</w:t>
            </w:r>
          </w:p>
        </w:tc>
        <w:tc>
          <w:tcPr>
            <w:tcW w:w="6695" w:type="dxa"/>
            <w:gridSpan w:val="2"/>
            <w:vAlign w:val="center"/>
          </w:tcPr>
          <w:p>
            <w:pPr>
              <w:rPr>
                <w:rFonts w:cs="仿宋_GB2312" w:asciiTheme="minorEastAsia" w:hAnsiTheme="minorEastAsia" w:eastAsiaTheme="minorEastAsia"/>
                <w:sz w:val="24"/>
              </w:rPr>
            </w:pPr>
            <w:r>
              <w:rPr>
                <w:rFonts w:hint="eastAsia" w:cs="宋体" w:asciiTheme="minorEastAsia" w:hAnsiTheme="minorEastAsia" w:eastAsiaTheme="minorEastAsia"/>
                <w:sz w:val="24"/>
              </w:rPr>
              <w:t>递交投标文件截止之日15日前通过公共资源交易系统电子平台发出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分  包</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1.12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偏  离</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构成招标文件的其他材料</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2.1.1</w:t>
            </w:r>
          </w:p>
        </w:tc>
        <w:tc>
          <w:tcPr>
            <w:tcW w:w="2249" w:type="dxa"/>
            <w:gridSpan w:val="2"/>
            <w:vAlign w:val="center"/>
          </w:tcPr>
          <w:p>
            <w:pPr>
              <w:spacing w:line="312" w:lineRule="auto"/>
              <w:jc w:val="center"/>
              <w:rPr>
                <w:rFonts w:cs="黑体" w:asciiTheme="minorEastAsia" w:hAnsiTheme="minorEastAsia" w:eastAsiaTheme="minorEastAsia"/>
                <w:sz w:val="24"/>
              </w:rPr>
            </w:pPr>
            <w:r>
              <w:rPr>
                <w:rFonts w:hint="eastAsia" w:cs="宋体" w:asciiTheme="minorEastAsia" w:hAnsiTheme="minorEastAsia" w:eastAsiaTheme="minorEastAsia"/>
                <w:kern w:val="0"/>
                <w:sz w:val="24"/>
              </w:rPr>
              <w:t>招标文件的下载</w:t>
            </w:r>
          </w:p>
        </w:tc>
        <w:tc>
          <w:tcPr>
            <w:tcW w:w="6695" w:type="dxa"/>
            <w:gridSpan w:val="2"/>
          </w:tcPr>
          <w:p>
            <w:pPr>
              <w:autoSpaceDE w:val="0"/>
              <w:autoSpaceDN w:val="0"/>
              <w:adjustRightInd w:val="0"/>
              <w:spacing w:line="276" w:lineRule="auto"/>
              <w:rPr>
                <w:rFonts w:cs="黑体" w:asciiTheme="minorEastAsia" w:hAnsiTheme="minorEastAsia" w:eastAsiaTheme="minorEastAsia"/>
                <w:sz w:val="24"/>
              </w:rPr>
            </w:pPr>
            <w:r>
              <w:rPr>
                <w:rFonts w:hint="eastAsia" w:cs="仿宋_GB2312" w:asciiTheme="minorEastAsia" w:hAnsiTheme="minorEastAsia" w:eastAsiaTheme="minorEastAsia"/>
                <w:sz w:val="24"/>
              </w:rPr>
              <w:t>招标文件的获取：投标人于投标文件递交截止时间前均可登录【全国公共资源交易平台(河南省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仿宋_GB2312" w:asciiTheme="minorEastAsia" w:hAnsiTheme="minorEastAsia" w:eastAsiaTheme="minorEastAsia"/>
                <w:sz w:val="24"/>
              </w:rPr>
              <w:t>)】（</w:t>
            </w:r>
            <w:r>
              <w:fldChar w:fldCharType="begin"/>
            </w:r>
            <w:r>
              <w:instrText xml:space="preserve"> HYPERLINK "http://www.xczbtb.com/" </w:instrText>
            </w:r>
            <w:r>
              <w:fldChar w:fldCharType="separate"/>
            </w:r>
            <w:r>
              <w:rPr>
                <w:rFonts w:hint="eastAsia" w:cs="仿宋_GB2312" w:asciiTheme="minorEastAsia" w:hAnsiTheme="minorEastAsia" w:eastAsiaTheme="minorEastAsia"/>
                <w:sz w:val="24"/>
              </w:rPr>
              <w:t>http://www.</w:t>
            </w:r>
            <w:r>
              <w:rPr>
                <w:rFonts w:hint="eastAsia" w:cs="仿宋_GB2312" w:asciiTheme="minorEastAsia" w:hAnsiTheme="minorEastAsia" w:eastAsiaTheme="minorEastAsia"/>
                <w:sz w:val="24"/>
                <w:lang w:val="en-US" w:eastAsia="zh-CN"/>
              </w:rPr>
              <w:t>xcggzy</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lang w:val="en-US" w:eastAsia="zh-CN"/>
              </w:rPr>
              <w:t>gov.</w:t>
            </w:r>
            <w:r>
              <w:rPr>
                <w:rFonts w:hint="eastAsia" w:cs="仿宋_GB2312" w:asciiTheme="minorEastAsia" w:hAnsiTheme="minorEastAsia" w:eastAsiaTheme="minorEastAsia"/>
                <w:sz w:val="24"/>
              </w:rPr>
              <w:t>c</w:t>
            </w:r>
            <w:r>
              <w:rPr>
                <w:rFonts w:hint="eastAsia" w:cs="仿宋_GB2312" w:asciiTheme="minorEastAsia" w:hAnsiTheme="minorEastAsia" w:eastAsiaTheme="minorEastAsia"/>
                <w:sz w:val="24"/>
                <w:lang w:val="en-US" w:eastAsia="zh-CN"/>
              </w:rPr>
              <w:t>n</w:t>
            </w:r>
            <w:r>
              <w:rPr>
                <w:rFonts w:hint="eastAsia" w:cs="仿宋_GB2312" w:asciiTheme="minorEastAsia" w:hAnsiTheme="minorEastAsia" w:eastAsiaTheme="minorEastAsia"/>
                <w:sz w:val="24"/>
              </w:rPr>
              <w:t>/</w:t>
            </w:r>
            <w:r>
              <w:rPr>
                <w:rFonts w:hint="eastAsia" w:cs="仿宋_GB2312" w:asciiTheme="minorEastAsia" w:hAnsiTheme="minorEastAsia" w:eastAsiaTheme="minorEastAsia"/>
                <w:sz w:val="24"/>
              </w:rPr>
              <w:fldChar w:fldCharType="end"/>
            </w:r>
            <w:r>
              <w:rPr>
                <w:rFonts w:hint="eastAsia" w:cs="仿宋_GB2312" w:asciiTheme="minorEastAsia" w:hAnsiTheme="minorEastAsia" w:eastAsiaTheme="minorEastAsia"/>
                <w:sz w:val="24"/>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2.2.1</w:t>
            </w:r>
          </w:p>
        </w:tc>
        <w:tc>
          <w:tcPr>
            <w:tcW w:w="2249" w:type="dxa"/>
            <w:gridSpan w:val="2"/>
            <w:vAlign w:val="center"/>
          </w:tcPr>
          <w:p>
            <w:pPr>
              <w:jc w:val="center"/>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投标人要求澄清招标文件的截止时间</w:t>
            </w:r>
          </w:p>
        </w:tc>
        <w:tc>
          <w:tcPr>
            <w:tcW w:w="6695" w:type="dxa"/>
            <w:gridSpan w:val="2"/>
            <w:vAlign w:val="center"/>
          </w:tcPr>
          <w:p>
            <w:pPr>
              <w:rPr>
                <w:rFonts w:cs="宋体" w:asciiTheme="minorEastAsia" w:hAnsiTheme="minorEastAsia" w:eastAsiaTheme="minorEastAsia"/>
                <w:kern w:val="0"/>
                <w:sz w:val="24"/>
              </w:rPr>
            </w:pPr>
            <w:r>
              <w:rPr>
                <w:rFonts w:hint="eastAsia" w:cs="宋体" w:asciiTheme="minorEastAsia" w:hAnsiTheme="minorEastAsia" w:eastAsiaTheme="minorEastAsia"/>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2.2.2</w:t>
            </w:r>
          </w:p>
        </w:tc>
        <w:tc>
          <w:tcPr>
            <w:tcW w:w="2249"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投标截止时间</w:t>
            </w:r>
          </w:p>
        </w:tc>
        <w:tc>
          <w:tcPr>
            <w:tcW w:w="6695" w:type="dxa"/>
            <w:gridSpan w:val="2"/>
            <w:vAlign w:val="center"/>
          </w:tcPr>
          <w:p>
            <w:pPr>
              <w:spacing w:line="312" w:lineRule="auto"/>
              <w:rPr>
                <w:rFonts w:cs="宋体" w:asciiTheme="minorEastAsia" w:hAnsiTheme="minorEastAsia" w:eastAsiaTheme="minorEastAsia"/>
                <w:sz w:val="24"/>
              </w:rPr>
            </w:pPr>
            <w:r>
              <w:rPr>
                <w:rFonts w:hint="eastAsia" w:asciiTheme="minorEastAsia" w:hAnsiTheme="minorEastAsia" w:eastAsiaTheme="minorEastAsia"/>
                <w:sz w:val="24"/>
              </w:rPr>
              <w:t>2019年1月7日09时30分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2.2.3</w:t>
            </w:r>
          </w:p>
        </w:tc>
        <w:tc>
          <w:tcPr>
            <w:tcW w:w="2249" w:type="dxa"/>
            <w:gridSpan w:val="2"/>
            <w:vAlign w:val="center"/>
          </w:tcPr>
          <w:p>
            <w:pPr>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投标人确认收到招标文件澄清的时间</w:t>
            </w:r>
          </w:p>
        </w:tc>
        <w:tc>
          <w:tcPr>
            <w:tcW w:w="6695"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2.3.2</w:t>
            </w:r>
          </w:p>
        </w:tc>
        <w:tc>
          <w:tcPr>
            <w:tcW w:w="2249"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投标人确认收到招标文件修改的时间</w:t>
            </w:r>
          </w:p>
        </w:tc>
        <w:tc>
          <w:tcPr>
            <w:tcW w:w="6695"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3.1.1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构成投标文件的其他材料</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投标人的书面澄清、说明和补正、修改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3.3.1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投标有效期</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仿宋_GB2312" w:asciiTheme="minorEastAsia" w:hAnsiTheme="minorEastAsia" w:eastAsiaTheme="minorEastAsia"/>
                <w:sz w:val="24"/>
              </w:rPr>
              <w:t>60日历天（从投标截止之日算起）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asciiTheme="minorEastAsia" w:hAnsiTheme="minorEastAsia" w:eastAsiaTheme="minorEastAsia"/>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p>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3.4.1</w:t>
            </w:r>
          </w:p>
        </w:tc>
        <w:tc>
          <w:tcPr>
            <w:tcW w:w="2249" w:type="dxa"/>
            <w:gridSpan w:val="2"/>
            <w:vAlign w:val="center"/>
          </w:tcPr>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仿宋_GB2312" w:asciiTheme="minorEastAsia" w:hAnsiTheme="minorEastAsia" w:eastAsiaTheme="minorEastAsia"/>
                <w:sz w:val="24"/>
              </w:rPr>
            </w:pPr>
          </w:p>
          <w:p>
            <w:pPr>
              <w:autoSpaceDE w:val="0"/>
              <w:autoSpaceDN w:val="0"/>
              <w:adjustRightInd w:val="0"/>
              <w:spacing w:line="420" w:lineRule="exact"/>
              <w:jc w:val="center"/>
              <w:rPr>
                <w:rFonts w:cs="黑体" w:asciiTheme="minorEastAsia" w:hAnsiTheme="minorEastAsia" w:eastAsiaTheme="minorEastAsia"/>
                <w:sz w:val="24"/>
              </w:rPr>
            </w:pPr>
            <w:r>
              <w:rPr>
                <w:rFonts w:hint="eastAsia" w:cs="仿宋_GB2312" w:asciiTheme="minorEastAsia" w:hAnsiTheme="minorEastAsia" w:eastAsiaTheme="minorEastAsia"/>
                <w:sz w:val="24"/>
              </w:rPr>
              <w:t>投标保证金须知</w:t>
            </w:r>
          </w:p>
        </w:tc>
        <w:tc>
          <w:tcPr>
            <w:tcW w:w="6695" w:type="dxa"/>
            <w:gridSpan w:val="2"/>
            <w:vAlign w:val="center"/>
          </w:tcPr>
          <w:p>
            <w:pPr>
              <w:autoSpaceDE w:val="0"/>
              <w:autoSpaceDN w:val="0"/>
              <w:adjustRightInd w:val="0"/>
              <w:spacing w:line="276"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1、因投标人的原因无法及时退还投标（竞买）保证金、滞留三年以上的，投标（竞买）保证金上缴财政。</w:t>
            </w:r>
          </w:p>
          <w:p>
            <w:pPr>
              <w:autoSpaceDE w:val="0"/>
              <w:autoSpaceDN w:val="0"/>
              <w:adjustRightInd w:val="0"/>
              <w:spacing w:line="276"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2、自文件发布之日起，投标人需进行基本户备案（建设工程项目），已备案的基本户开户银行、账户发生变化的，须重新办理备案手续。备案后方可提交投标（竞买）保证金。</w:t>
            </w:r>
          </w:p>
          <w:p>
            <w:pPr>
              <w:autoSpaceDE w:val="0"/>
              <w:autoSpaceDN w:val="0"/>
              <w:adjustRightInd w:val="0"/>
              <w:spacing w:line="276"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3、基本户备案流程： </w:t>
            </w:r>
          </w:p>
          <w:p>
            <w:pPr>
              <w:autoSpaceDE w:val="0"/>
              <w:autoSpaceDN w:val="0"/>
              <w:adjustRightInd w:val="0"/>
              <w:spacing w:line="276"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spacing w:line="400" w:lineRule="exact"/>
              <w:jc w:val="left"/>
              <w:rPr>
                <w:rFonts w:asciiTheme="minorEastAsia" w:hAnsiTheme="minorEastAsia" w:eastAsiaTheme="minorEastAsia"/>
                <w:sz w:val="24"/>
              </w:rPr>
            </w:pPr>
            <w:r>
              <w:rPr>
                <w:rFonts w:hint="eastAsia" w:cs="仿宋_GB2312" w:asciiTheme="minorEastAsia" w:hAnsiTheme="minorEastAsia" w:eastAsiaTheme="minorEastAsia"/>
                <w:sz w:val="24"/>
              </w:rPr>
              <w:t>4、特殊情况处理  投标人投标过程中因账户开户银行、银行账号发生变化，不能按照来款途径原路返还投标保证金的，投标人须提供原账户开户银行相关证明及新开账户开户许可证，到中心一楼交易见证部办理退款手续（0374-2968027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3.4.2</w:t>
            </w:r>
          </w:p>
        </w:tc>
        <w:tc>
          <w:tcPr>
            <w:tcW w:w="2249" w:type="dxa"/>
            <w:gridSpan w:val="2"/>
            <w:vAlign w:val="center"/>
          </w:tcPr>
          <w:p>
            <w:pPr>
              <w:autoSpaceDE w:val="0"/>
              <w:autoSpaceDN w:val="0"/>
              <w:adjustRightInd w:val="0"/>
              <w:spacing w:line="420" w:lineRule="exact"/>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rPr>
              <w:t>投标保证金</w:t>
            </w:r>
          </w:p>
        </w:tc>
        <w:tc>
          <w:tcPr>
            <w:tcW w:w="6695"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投标保证金递交截止时间：（同投标截止时间）。</w:t>
            </w:r>
          </w:p>
          <w:p>
            <w:pPr>
              <w:autoSpaceDE w:val="0"/>
              <w:autoSpaceDN w:val="0"/>
              <w:adjustRightInd w:val="0"/>
              <w:spacing w:line="360" w:lineRule="auto"/>
              <w:jc w:val="left"/>
              <w:rPr>
                <w:rFonts w:cs="宋体" w:asciiTheme="minorEastAsia" w:hAnsiTheme="minorEastAsia" w:eastAsiaTheme="minorEastAsia"/>
                <w:b/>
                <w:bCs/>
                <w:sz w:val="24"/>
              </w:rPr>
            </w:pPr>
            <w:r>
              <w:rPr>
                <w:rFonts w:hint="eastAsia" w:cs="宋体" w:asciiTheme="minorEastAsia" w:hAnsiTheme="minorEastAsia" w:eastAsiaTheme="minorEastAsia"/>
                <w:b/>
                <w:bCs/>
                <w:sz w:val="24"/>
              </w:rPr>
              <w:t>金额：￥24000.00元（</w:t>
            </w:r>
            <w:r>
              <w:rPr>
                <w:rFonts w:hint="eastAsia" w:cs="宋体" w:asciiTheme="minorEastAsia" w:hAnsiTheme="minorEastAsia" w:eastAsiaTheme="minorEastAsia"/>
                <w:b/>
                <w:sz w:val="24"/>
              </w:rPr>
              <w:t>大写：贰万肆仟元整</w:t>
            </w:r>
            <w:r>
              <w:rPr>
                <w:rFonts w:hint="eastAsia" w:cs="宋体" w:asciiTheme="minorEastAsia" w:hAnsiTheme="minorEastAsia" w:eastAsiaTheme="minorEastAsia"/>
                <w:b/>
                <w:bCs/>
                <w:sz w:val="24"/>
              </w:rPr>
              <w:t>）</w:t>
            </w:r>
          </w:p>
          <w:p>
            <w:pPr>
              <w:numPr>
                <w:ilvl w:val="0"/>
                <w:numId w:val="3"/>
              </w:num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2、投标保证金缴纳方式：</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lang w:val="zh-CN"/>
              </w:rPr>
              <w:t>2.</w:t>
            </w:r>
            <w:r>
              <w:rPr>
                <w:rFonts w:hint="eastAsia" w:cs="宋体" w:asciiTheme="minorEastAsia" w:hAnsiTheme="minorEastAsia" w:eastAsiaTheme="minorEastAsia"/>
                <w:sz w:val="24"/>
              </w:rPr>
              <w:t>1</w:t>
            </w:r>
            <w:r>
              <w:rPr>
                <w:rFonts w:hint="eastAsia" w:cs="宋体" w:asciiTheme="minorEastAsia" w:hAnsiTheme="minorEastAsia" w:eastAsiaTheme="minorEastAsia"/>
                <w:sz w:val="24"/>
                <w:lang w:val="zh-CN"/>
              </w:rPr>
              <w:t>投标人网上报名后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登录</w:t>
            </w:r>
            <w:r>
              <w:fldChar w:fldCharType="begin"/>
            </w:r>
            <w:r>
              <w:instrText xml:space="preserve"> HYPERLINK "http://221.14.6.70:8088/ggzy" </w:instrText>
            </w:r>
            <w:r>
              <w:fldChar w:fldCharType="separate"/>
            </w:r>
            <w:r>
              <w:rPr>
                <w:rFonts w:hint="eastAsia" w:cs="宋体" w:asciiTheme="minorEastAsia" w:hAnsiTheme="minorEastAsia" w:eastAsiaTheme="minorEastAsia"/>
                <w:sz w:val="24"/>
              </w:rPr>
              <w:t>http://221.14.6.70:8088/ggzy</w:t>
            </w:r>
            <w:r>
              <w:rPr>
                <w:rFonts w:hint="eastAsia" w:cs="宋体" w:asciiTheme="minorEastAsia" w:hAnsiTheme="minorEastAsia" w:eastAsiaTheme="minorEastAsia"/>
                <w:sz w:val="24"/>
              </w:rPr>
              <w:fldChar w:fldCharType="end"/>
            </w:r>
            <w:r>
              <w:rPr>
                <w:rFonts w:hint="eastAsia" w:cs="宋体" w:asciiTheme="minorEastAsia" w:hAnsiTheme="minorEastAsia" w:eastAsiaTheme="minorEastAsia"/>
                <w:sz w:val="24"/>
                <w:lang w:val="zh-CN"/>
              </w:rPr>
              <w:t>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费用缴纳说明</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保证金缴纳说明单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获取缴费说明单</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根据每个标段的缴纳说明单在缴纳截止时间前缴纳</w:t>
            </w:r>
            <w:r>
              <w:rPr>
                <w:rFonts w:hint="eastAsia" w:cs="宋体" w:asciiTheme="minorEastAsia" w:hAnsiTheme="minorEastAsia" w:eastAsiaTheme="minorEastAsia"/>
                <w:sz w:val="24"/>
              </w:rPr>
              <w:t>；</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2.2</w:t>
            </w:r>
            <w:r>
              <w:rPr>
                <w:rFonts w:hint="eastAsia" w:cs="宋体" w:asciiTheme="minorEastAsia" w:hAnsiTheme="minorEastAsia" w:eastAsiaTheme="minorEastAsia"/>
                <w:sz w:val="24"/>
                <w:lang w:val="zh-CN"/>
              </w:rPr>
              <w:t>成功缴纳后重新登录前述系统</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依次点击</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会员向导</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参与投标</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保证金绑定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绑定</w:t>
            </w:r>
            <w:r>
              <w:rPr>
                <w:rFonts w:hint="eastAsia" w:cs="宋体" w:asciiTheme="minorEastAsia" w:hAnsiTheme="minorEastAsia" w:eastAsiaTheme="minorEastAsia"/>
                <w:sz w:val="24"/>
              </w:rPr>
              <w:t>”</w:t>
            </w:r>
            <w:r>
              <w:rPr>
                <w:rFonts w:hint="eastAsia" w:cs="宋体" w:asciiTheme="minorEastAsia" w:hAnsiTheme="minorEastAsia" w:eastAsiaTheme="minorEastAsia"/>
                <w:sz w:val="24"/>
                <w:lang w:val="zh-CN"/>
              </w:rPr>
              <w:t>进行投标保证金绑定。</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2.3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2.4每个投标人每个项目每个标段只有唯一缴纳账号，</w:t>
            </w:r>
            <w:r>
              <w:rPr>
                <w:rFonts w:hint="eastAsia" w:cs="宋体" w:asciiTheme="minorEastAsia" w:hAnsiTheme="minorEastAsia" w:eastAsiaTheme="minorEastAsia"/>
                <w:sz w:val="24"/>
              </w:rPr>
              <w:t>切勿重复缴纳或错误缴纳。</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3、未按上述规定操作引起的无效投标，由投标人自行负责。</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4、汇款凭证无须备注项目编号和项目名称。</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5、出现以下情形造成的投标保证金无效，由投标人自行负责。</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(1)投标保证金未从投标人的基本账户转出；</w:t>
            </w:r>
          </w:p>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(2)投标保证金未按照招标文件划分的标段依次转账。</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6、《保证金缴纳绑定操作指南》获取方法：</w:t>
            </w:r>
          </w:p>
          <w:p>
            <w:pPr>
              <w:autoSpaceDE w:val="0"/>
              <w:autoSpaceDN w:val="0"/>
              <w:adjustRightInd w:val="0"/>
              <w:spacing w:line="276" w:lineRule="auto"/>
              <w:rPr>
                <w:rFonts w:cs="宋体" w:asciiTheme="minorEastAsia" w:hAnsiTheme="minorEastAsia" w:eastAsiaTheme="minorEastAsia"/>
                <w:sz w:val="24"/>
                <w:lang w:val="zh-CN"/>
              </w:rPr>
            </w:pPr>
            <w:r>
              <w:rPr>
                <w:rFonts w:hint="eastAsia" w:cs="宋体" w:asciiTheme="minorEastAsia" w:hAnsiTheme="minorEastAsia" w:eastAsiaTheme="minorEastAsia"/>
                <w:sz w:val="24"/>
                <w:lang w:val="zh-CN"/>
              </w:rPr>
              <w:t>登录许昌公共资源交易系统-组件下载-《保证金缴纳绑定操作指南》。</w:t>
            </w:r>
          </w:p>
          <w:p>
            <w:pPr>
              <w:autoSpaceDE w:val="0"/>
              <w:autoSpaceDN w:val="0"/>
              <w:adjustRightInd w:val="0"/>
              <w:spacing w:line="400" w:lineRule="exact"/>
              <w:jc w:val="left"/>
              <w:rPr>
                <w:rFonts w:asciiTheme="minorEastAsia" w:hAnsiTheme="minorEastAsia" w:eastAsiaTheme="minorEastAsia"/>
                <w:sz w:val="24"/>
              </w:rPr>
            </w:pPr>
            <w:r>
              <w:rPr>
                <w:rFonts w:hint="eastAsia" w:cs="宋体" w:asciiTheme="minorEastAsia" w:hAnsiTheme="minorEastAsia" w:eastAsiaTheme="minorEastAsia"/>
                <w:sz w:val="24"/>
              </w:rPr>
              <w:t>7、</w:t>
            </w:r>
            <w:r>
              <w:rPr>
                <w:rFonts w:hint="eastAsia" w:cs="宋体" w:asciiTheme="minorEastAsia" w:hAnsiTheme="minorEastAsia" w:eastAsiaTheme="minorEastAsia"/>
                <w:sz w:val="24"/>
                <w:lang w:val="zh-CN"/>
              </w:rPr>
              <w:t>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近年财务状况的年份要求</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2015年、2016年、2017年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3.5.3</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近年完成的类似项目的年份要求</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3.5.4</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近年荣誉的年份要求</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2015年1月1日至今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3.5.5</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近年发生的诉讼及仲裁情况的年份要求</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3.6</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是否允许递交备选投标方案</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autoSpaceDE w:val="0"/>
              <w:autoSpaceDN w:val="0"/>
              <w:adjustRightInd w:val="0"/>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3.7.3</w:t>
            </w:r>
          </w:p>
        </w:tc>
        <w:tc>
          <w:tcPr>
            <w:tcW w:w="2249" w:type="dxa"/>
            <w:gridSpan w:val="2"/>
            <w:vAlign w:val="center"/>
          </w:tcPr>
          <w:p>
            <w:pPr>
              <w:autoSpaceDE w:val="0"/>
              <w:autoSpaceDN w:val="0"/>
              <w:adjustRightInd w:val="0"/>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签字和（或）盖章要求</w:t>
            </w:r>
          </w:p>
        </w:tc>
        <w:tc>
          <w:tcPr>
            <w:tcW w:w="6695" w:type="dxa"/>
            <w:gridSpan w:val="2"/>
            <w:vAlign w:val="center"/>
          </w:tcPr>
          <w:p>
            <w:pPr>
              <w:autoSpaceDE w:val="0"/>
              <w:autoSpaceDN w:val="0"/>
              <w:adjustRightInd w:val="0"/>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投标文件正本按招标文件要求签字盖章（无需逐页签字盖章），副本应与正本保持一致（可为正本的复印件）。正本与副本不一致的，以正本为准。投标文件正本应加盖骑缝章。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3.7.4</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投标文件份数</w:t>
            </w:r>
          </w:p>
        </w:tc>
        <w:tc>
          <w:tcPr>
            <w:tcW w:w="6695" w:type="dxa"/>
            <w:gridSpan w:val="2"/>
            <w:vAlign w:val="center"/>
          </w:tcPr>
          <w:p>
            <w:pPr>
              <w:autoSpaceDE w:val="0"/>
              <w:autoSpaceDN w:val="0"/>
              <w:adjustRightInd w:val="0"/>
              <w:spacing w:line="276" w:lineRule="auto"/>
              <w:rPr>
                <w:rFonts w:cs="宋体" w:asciiTheme="minorEastAsia" w:hAnsiTheme="minorEastAsia" w:eastAsiaTheme="minorEastAsia"/>
                <w:sz w:val="24"/>
              </w:rPr>
            </w:pPr>
            <w:r>
              <w:rPr>
                <w:rFonts w:hint="eastAsia" w:cs="宋体" w:asciiTheme="minorEastAsia" w:hAnsiTheme="minorEastAsia" w:eastAsiaTheme="minorEastAsia"/>
                <w:sz w:val="24"/>
              </w:rPr>
              <w:t>正本一份，副本四份；</w:t>
            </w:r>
          </w:p>
          <w:p>
            <w:pPr>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 w:val="24"/>
              </w:rPr>
              <w:t>在提交投标文件时，应同时提交与投标文件一致的电子版文件（投标报价内容另附excel版），单独密封。当电子文件与纸质文件不一致的，以纸质文件为准。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3.7.5</w:t>
            </w:r>
          </w:p>
        </w:tc>
        <w:tc>
          <w:tcPr>
            <w:tcW w:w="2249" w:type="dxa"/>
            <w:gridSpan w:val="2"/>
            <w:vAlign w:val="center"/>
          </w:tcPr>
          <w:p>
            <w:pPr>
              <w:autoSpaceDE w:val="0"/>
              <w:autoSpaceDN w:val="0"/>
              <w:adjustRightInd w:val="0"/>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kern w:val="0"/>
                <w:sz w:val="24"/>
              </w:rPr>
              <w:t>装订要求</w:t>
            </w:r>
          </w:p>
          <w:p>
            <w:pPr>
              <w:spacing w:line="312" w:lineRule="auto"/>
              <w:jc w:val="center"/>
              <w:rPr>
                <w:rFonts w:cs="宋体" w:asciiTheme="minorEastAsia" w:hAnsiTheme="minorEastAsia" w:eastAsiaTheme="minorEastAsia"/>
                <w:kern w:val="0"/>
                <w:sz w:val="24"/>
              </w:rPr>
            </w:pPr>
          </w:p>
        </w:tc>
        <w:tc>
          <w:tcPr>
            <w:tcW w:w="6695" w:type="dxa"/>
            <w:gridSpan w:val="2"/>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按照投标人须知第3.1项规定的投标文件组成内容，投标文件应按以下要求装订：</w:t>
            </w:r>
          </w:p>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1、共一册标书，采用胶装方式装订，装订应牢固、不易拆散和换页，不得采用活页装订。</w:t>
            </w:r>
          </w:p>
          <w:p>
            <w:pPr>
              <w:spacing w:line="312" w:lineRule="auto"/>
              <w:jc w:val="left"/>
              <w:rPr>
                <w:rFonts w:asciiTheme="minorEastAsia" w:hAnsiTheme="minorEastAsia" w:eastAsiaTheme="minorEastAsia"/>
                <w:sz w:val="24"/>
              </w:rPr>
            </w:pPr>
            <w:r>
              <w:rPr>
                <w:rFonts w:hint="eastAsia" w:cs="宋体" w:asciiTheme="minorEastAsia" w:hAnsiTheme="minorEastAsia" w:eastAsiaTheme="minorEastAsia"/>
                <w:kern w:val="0"/>
                <w:sz w:val="24"/>
              </w:rPr>
              <w:t>2、投标文件须印刷书脊，并在书脊上注明正副本字样、项目名称和投标人名称。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4.1.1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封套上写明</w:t>
            </w:r>
          </w:p>
        </w:tc>
        <w:tc>
          <w:tcPr>
            <w:tcW w:w="6695" w:type="dxa"/>
            <w:gridSpan w:val="2"/>
            <w:vAlign w:val="center"/>
          </w:tcPr>
          <w:p>
            <w:pPr>
              <w:rPr>
                <w:rFonts w:asciiTheme="minorEastAsia" w:hAnsiTheme="minorEastAsia" w:eastAsiaTheme="minorEastAsia"/>
                <w:sz w:val="24"/>
                <w:lang w:val="zh-CN"/>
              </w:rPr>
            </w:pPr>
            <w:r>
              <w:rPr>
                <w:rFonts w:hint="eastAsia" w:asciiTheme="minorEastAsia" w:hAnsiTheme="minorEastAsia" w:eastAsiaTheme="minorEastAsia"/>
                <w:sz w:val="24"/>
                <w:lang w:val="zh-CN"/>
              </w:rPr>
              <w:t>招标人地址：</w:t>
            </w:r>
          </w:p>
          <w:p>
            <w:pPr>
              <w:rPr>
                <w:rFonts w:asciiTheme="minorEastAsia" w:hAnsiTheme="minorEastAsia" w:eastAsiaTheme="minorEastAsia"/>
                <w:sz w:val="24"/>
                <w:lang w:val="zh-CN"/>
              </w:rPr>
            </w:pPr>
            <w:r>
              <w:rPr>
                <w:rFonts w:hint="eastAsia" w:asciiTheme="minorEastAsia" w:hAnsiTheme="minorEastAsia" w:eastAsiaTheme="minorEastAsia"/>
                <w:sz w:val="24"/>
                <w:lang w:val="zh-CN"/>
              </w:rPr>
              <w:t>招标人名称：</w:t>
            </w:r>
          </w:p>
          <w:p>
            <w:pPr>
              <w:rPr>
                <w:rFonts w:asciiTheme="minorEastAsia" w:hAnsiTheme="minorEastAsia" w:eastAsiaTheme="minorEastAsia"/>
                <w:sz w:val="24"/>
                <w:lang w:val="zh-CN"/>
              </w:rPr>
            </w:pPr>
            <w:r>
              <w:rPr>
                <w:rFonts w:hint="eastAsia" w:asciiTheme="minorEastAsia" w:hAnsiTheme="minorEastAsia" w:eastAsiaTheme="minorEastAsia"/>
                <w:sz w:val="24"/>
                <w:lang w:val="zh-CN"/>
              </w:rPr>
              <w:t>项目名称：</w:t>
            </w:r>
          </w:p>
          <w:p>
            <w:pPr>
              <w:rPr>
                <w:rFonts w:asciiTheme="minorEastAsia" w:hAnsiTheme="minorEastAsia" w:eastAsiaTheme="minorEastAsia"/>
                <w:sz w:val="24"/>
                <w:lang w:val="zh-CN"/>
              </w:rPr>
            </w:pPr>
            <w:r>
              <w:rPr>
                <w:rFonts w:hint="eastAsia" w:asciiTheme="minorEastAsia" w:hAnsiTheme="minorEastAsia" w:eastAsiaTheme="minorEastAsia"/>
                <w:sz w:val="24"/>
                <w:lang w:val="zh-CN"/>
              </w:rPr>
              <w:t>投标人名称：           （盖章）</w:t>
            </w:r>
          </w:p>
          <w:p>
            <w:pPr>
              <w:rPr>
                <w:rFonts w:cs="宋体" w:asciiTheme="minorEastAsia" w:hAnsiTheme="minorEastAsia" w:eastAsiaTheme="minorEastAsia"/>
                <w:kern w:val="0"/>
                <w:sz w:val="24"/>
              </w:rPr>
            </w:pPr>
            <w:r>
              <w:rPr>
                <w:rFonts w:hint="eastAsia" w:asciiTheme="minorEastAsia" w:hAnsiTheme="minorEastAsia" w:eastAsiaTheme="minorEastAsia"/>
                <w:sz w:val="24"/>
                <w:lang w:val="zh-CN"/>
              </w:rPr>
              <w:t>投标文件在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递交投标文件地点</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许昌市公共资源交易中心开标室(许昌市龙兴路与竹林路交汇处公共资源大厦三楼）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4.2.3</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是否退还投标文件</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开标时间和地点</w:t>
            </w:r>
          </w:p>
        </w:tc>
        <w:tc>
          <w:tcPr>
            <w:tcW w:w="6695" w:type="dxa"/>
            <w:gridSpan w:val="2"/>
            <w:vAlign w:val="center"/>
          </w:tcPr>
          <w:p>
            <w:pPr>
              <w:autoSpaceDE w:val="0"/>
              <w:autoSpaceDN w:val="0"/>
              <w:adjustRightInd w:val="0"/>
              <w:spacing w:line="360" w:lineRule="auto"/>
              <w:jc w:val="left"/>
              <w:rPr>
                <w:rFonts w:cs="宋体" w:asciiTheme="minorEastAsia" w:hAnsiTheme="minorEastAsia" w:eastAsiaTheme="minorEastAsia"/>
                <w:sz w:val="24"/>
              </w:rPr>
            </w:pPr>
            <w:r>
              <w:rPr>
                <w:rFonts w:hint="eastAsia" w:cs="宋体" w:asciiTheme="minorEastAsia" w:hAnsiTheme="minorEastAsia" w:eastAsiaTheme="minorEastAsia"/>
                <w:sz w:val="24"/>
              </w:rPr>
              <w:t>开标时间：同投标截止时间</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开标地点：许昌市公共资源交易中心开标二室(许昌市龙兴路与竹林路交汇处公共资源大厦三楼）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5.2</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开标程序</w:t>
            </w:r>
          </w:p>
        </w:tc>
        <w:tc>
          <w:tcPr>
            <w:tcW w:w="6695" w:type="dxa"/>
            <w:gridSpan w:val="2"/>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密封情况检查：由投标人代表对密封情况进行检查</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开标顺序：按照递交投标文件时间的逆顺序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6.1</w:t>
            </w:r>
          </w:p>
        </w:tc>
        <w:tc>
          <w:tcPr>
            <w:tcW w:w="224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评标委员会的组建</w:t>
            </w:r>
          </w:p>
        </w:tc>
        <w:tc>
          <w:tcPr>
            <w:tcW w:w="6695" w:type="dxa"/>
            <w:gridSpan w:val="2"/>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评标委员会构成：5人。从河南省综合评标专家库中随机抽取相关经济、技术4人和招标人代表1名。</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评标专家库成员确定方式：保证金名单解密后进行评标专家抽取，在评标专家抽取时设置回避事项。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7.1</w:t>
            </w:r>
          </w:p>
        </w:tc>
        <w:tc>
          <w:tcPr>
            <w:tcW w:w="2249" w:type="dxa"/>
            <w:gridSpan w:val="2"/>
            <w:vAlign w:val="center"/>
          </w:tcPr>
          <w:p>
            <w:pPr>
              <w:spacing w:line="312" w:lineRule="auto"/>
              <w:jc w:val="center"/>
              <w:rPr>
                <w:rFonts w:cs="宋体" w:asciiTheme="minorEastAsia" w:hAnsiTheme="minorEastAsia" w:eastAsiaTheme="minorEastAsia"/>
                <w:sz w:val="24"/>
              </w:rPr>
            </w:pPr>
            <w:r>
              <w:rPr>
                <w:rFonts w:hint="eastAsia" w:cs="宋体" w:asciiTheme="minorEastAsia" w:hAnsiTheme="minorEastAsia" w:eastAsiaTheme="minorEastAsia"/>
                <w:sz w:val="24"/>
              </w:rPr>
              <w:t>是否授权评标委员会确定中标人</w:t>
            </w:r>
          </w:p>
        </w:tc>
        <w:tc>
          <w:tcPr>
            <w:tcW w:w="6695" w:type="dxa"/>
            <w:gridSpan w:val="2"/>
            <w:vAlign w:val="center"/>
          </w:tcPr>
          <w:p>
            <w:pPr>
              <w:spacing w:line="312" w:lineRule="auto"/>
              <w:rPr>
                <w:rFonts w:cs="宋体" w:asciiTheme="minorEastAsia" w:hAnsiTheme="minorEastAsia" w:eastAsiaTheme="minorEastAsia"/>
                <w:sz w:val="24"/>
              </w:rPr>
            </w:pPr>
            <w:r>
              <w:rPr>
                <w:rFonts w:hint="eastAsia" w:cs="宋体" w:asciiTheme="minorEastAsia" w:hAnsiTheme="minorEastAsia" w:eastAsiaTheme="minorEastAsia"/>
                <w:sz w:val="24"/>
              </w:rPr>
              <w:t>否，推荐的中标候选人数：1-3人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adjustRightInd w:val="0"/>
              <w:spacing w:line="312"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7.3.1</w:t>
            </w:r>
          </w:p>
        </w:tc>
        <w:tc>
          <w:tcPr>
            <w:tcW w:w="2249" w:type="dxa"/>
            <w:gridSpan w:val="2"/>
            <w:vAlign w:val="center"/>
          </w:tcPr>
          <w:p>
            <w:pPr>
              <w:adjustRightInd w:val="0"/>
              <w:spacing w:line="312" w:lineRule="auto"/>
              <w:jc w:val="center"/>
              <w:textAlignment w:val="baseline"/>
              <w:rPr>
                <w:rFonts w:cs="宋体" w:asciiTheme="minorEastAsia" w:hAnsiTheme="minorEastAsia" w:eastAsiaTheme="minorEastAsia"/>
                <w:sz w:val="24"/>
              </w:rPr>
            </w:pPr>
            <w:r>
              <w:rPr>
                <w:rFonts w:hint="eastAsia" w:cs="宋体" w:asciiTheme="minorEastAsia" w:hAnsiTheme="minorEastAsia" w:eastAsiaTheme="minorEastAsia"/>
                <w:sz w:val="24"/>
              </w:rPr>
              <w:t>履约保证金</w:t>
            </w:r>
          </w:p>
        </w:tc>
        <w:tc>
          <w:tcPr>
            <w:tcW w:w="6695" w:type="dxa"/>
            <w:gridSpan w:val="2"/>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履约保证金递交方式:由中标人基本帐户转账到招标人指定账户；</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履约保证金递交时间:中标公示期满后，与招标人签订合同前(招标人应当向中标人发出中标通知书并与其在三十日内签订合同)；</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履约保证金的金额:不得超过中标合同金额的5％（百元取整）；</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注意事项:</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 xml:space="preserve">   履约保证金在当事人双方合同履行期满后，且经相关部门验收合格符合质量标准，将在5个工作日内予以无息全额退还 ；投标人逾期未来退还履约保证金的，招标人将不支付资金占用费。</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有下列情形之一的履约保证金不予退还 :</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A、在合同履行过程中，发现中标人与其它投标人串通投标的或者以他人名义投标的；</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B、在合同履行过程中，发现中标人有弄虚作假行为，情节严重由相关部门调查处理的；</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C、中标人向他人转让中标项目或将中标项目肢解后分别向他人转让；</w:t>
            </w:r>
          </w:p>
          <w:p>
            <w:pPr>
              <w:spacing w:line="312" w:lineRule="auto"/>
              <w:rPr>
                <w:rFonts w:cs="宋体" w:asciiTheme="minorEastAsia" w:hAnsiTheme="minorEastAsia" w:eastAsiaTheme="minorEastAsia"/>
                <w:sz w:val="24"/>
              </w:rPr>
            </w:pPr>
            <w:r>
              <w:rPr>
                <w:rFonts w:hint="eastAsia" w:asciiTheme="minorEastAsia" w:hAnsiTheme="minorEastAsia" w:eastAsiaTheme="minorEastAsia"/>
                <w:sz w:val="24"/>
              </w:rPr>
              <w:t>D、法律法规、规章规定的其它不与退还的情形。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w:t>
            </w:r>
          </w:p>
        </w:tc>
        <w:tc>
          <w:tcPr>
            <w:tcW w:w="2280"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类似项目</w:t>
            </w:r>
          </w:p>
        </w:tc>
        <w:tc>
          <w:tcPr>
            <w:tcW w:w="6704" w:type="dxa"/>
            <w:gridSpan w:val="3"/>
            <w:vAlign w:val="center"/>
          </w:tcPr>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类似项目：</w:t>
            </w:r>
          </w:p>
          <w:p>
            <w:pPr>
              <w:spacing w:line="400" w:lineRule="exact"/>
              <w:rPr>
                <w:rFonts w:asciiTheme="minorEastAsia" w:hAnsiTheme="minorEastAsia" w:eastAsiaTheme="minorEastAsia"/>
                <w:sz w:val="24"/>
              </w:rPr>
            </w:pPr>
            <w:r>
              <w:rPr>
                <w:rFonts w:hint="eastAsia" w:asciiTheme="minorEastAsia" w:hAnsiTheme="minorEastAsia" w:eastAsiaTheme="minorEastAsia"/>
                <w:sz w:val="24"/>
              </w:rPr>
              <w:t>指2015年1月1日以来承建过的农田水利设计类业绩。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69" w:type="dxa"/>
            <w:gridSpan w:val="2"/>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w:t>
            </w:r>
          </w:p>
        </w:tc>
        <w:tc>
          <w:tcPr>
            <w:tcW w:w="8984" w:type="dxa"/>
            <w:gridSpan w:val="5"/>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10.2.1</w:t>
            </w:r>
          </w:p>
        </w:tc>
        <w:tc>
          <w:tcPr>
            <w:tcW w:w="2403" w:type="dxa"/>
            <w:gridSpan w:val="3"/>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招标控制价</w:t>
            </w:r>
          </w:p>
          <w:p>
            <w:pPr>
              <w:spacing w:line="312" w:lineRule="auto"/>
              <w:rPr>
                <w:rFonts w:cs="宋体" w:asciiTheme="minorEastAsia" w:hAnsiTheme="minorEastAsia" w:eastAsiaTheme="minorEastAsia"/>
                <w:kern w:val="0"/>
                <w:sz w:val="24"/>
              </w:rPr>
            </w:pPr>
          </w:p>
        </w:tc>
        <w:tc>
          <w:tcPr>
            <w:tcW w:w="6541" w:type="dxa"/>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本工程设招标控制价：</w:t>
            </w:r>
          </w:p>
          <w:p>
            <w:pPr>
              <w:spacing w:line="360" w:lineRule="auto"/>
              <w:jc w:val="left"/>
              <w:outlineLvl w:val="0"/>
              <w:rPr>
                <w:rFonts w:cs="宋体" w:asciiTheme="minorEastAsia" w:hAnsiTheme="minorEastAsia" w:eastAsiaTheme="minorEastAsia"/>
                <w:b/>
                <w:bCs/>
                <w:kern w:val="0"/>
                <w:sz w:val="24"/>
              </w:rPr>
            </w:pPr>
            <w:r>
              <w:rPr>
                <w:rFonts w:hint="eastAsia" w:cs="宋体" w:asciiTheme="minorEastAsia" w:hAnsiTheme="minorEastAsia" w:eastAsiaTheme="minorEastAsia"/>
                <w:b/>
                <w:bCs/>
                <w:kern w:val="0"/>
                <w:sz w:val="24"/>
              </w:rPr>
              <w:t>大写：壹佰贰拾壹万伍仟捌佰伍拾玖元整</w:t>
            </w:r>
          </w:p>
          <w:p>
            <w:pPr>
              <w:spacing w:line="360" w:lineRule="auto"/>
              <w:jc w:val="left"/>
              <w:outlineLvl w:val="0"/>
              <w:rPr>
                <w:rFonts w:asciiTheme="minorEastAsia" w:hAnsiTheme="minorEastAsia" w:eastAsiaTheme="minorEastAsia"/>
                <w:sz w:val="24"/>
              </w:rPr>
            </w:pPr>
            <w:r>
              <w:rPr>
                <w:rFonts w:hint="eastAsia" w:cs="宋体" w:asciiTheme="minorEastAsia" w:hAnsiTheme="minorEastAsia" w:eastAsiaTheme="minorEastAsia"/>
                <w:b/>
                <w:bCs/>
                <w:kern w:val="0"/>
                <w:sz w:val="24"/>
              </w:rPr>
              <w:t>小写：</w:t>
            </w:r>
            <w:r>
              <w:rPr>
                <w:rFonts w:hint="eastAsia" w:cs="仿宋_GB2312" w:asciiTheme="minorEastAsia" w:hAnsiTheme="minorEastAsia" w:eastAsiaTheme="minorEastAsia"/>
                <w:b/>
                <w:bCs/>
                <w:sz w:val="24"/>
              </w:rPr>
              <w:t>￥1215859.00元</w:t>
            </w:r>
            <w:r>
              <w:rPr>
                <w:rFonts w:hint="eastAsia" w:asciiTheme="minorEastAsia" w:hAnsiTheme="minorEastAsia" w:eastAsiaTheme="minorEastAsia"/>
                <w:b/>
                <w:bCs/>
                <w:sz w:val="24"/>
              </w:rPr>
              <w:t>；</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凡投标人的投标报价高于“招标控制价”（不含等于“招标控制价”）的，该投标人的投标文件应作废标处理。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10.3投标人代表出席开标会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ind w:firstLine="482" w:firstLineChars="200"/>
              <w:rPr>
                <w:rFonts w:cs="宋体" w:asciiTheme="minorEastAsia" w:hAnsiTheme="minorEastAsia" w:eastAsiaTheme="minorEastAsia"/>
                <w:kern w:val="0"/>
                <w:sz w:val="24"/>
              </w:rPr>
            </w:pPr>
            <w:r>
              <w:rPr>
                <w:rFonts w:hint="eastAsia" w:cs="宋体" w:asciiTheme="minorEastAsia" w:hAnsiTheme="minorEastAsia" w:eastAsiaTheme="minorEastAsia"/>
                <w:b/>
                <w:bCs/>
                <w:kern w:val="0"/>
                <w:sz w:val="24"/>
              </w:rPr>
              <w:t>开标时各投标人的法定代表人应持身份证原件或法定代表人委托代理人应持有效委托书、被委托人身份证原件参加开标会议，缺席或逾期不到者视为自动放弃。各投标单位参加会议人数不得多于三人。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10.4中标公示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1、在中标通知书发出前，招标人将中标候选人的情况在《全国公共资源交易平台(河南省</w:t>
            </w:r>
            <w:r>
              <w:rPr>
                <w:rFonts w:hint="eastAsia" w:ascii="MS Mincho" w:hAnsi="MS Mincho" w:eastAsia="MS Mincho" w:cs="MS Mincho"/>
                <w:sz w:val="24"/>
              </w:rPr>
              <w:t>▪</w:t>
            </w:r>
            <w:r>
              <w:rPr>
                <w:rFonts w:hint="eastAsia" w:ascii="宋体" w:hAnsi="宋体" w:cs="宋体"/>
                <w:sz w:val="24"/>
              </w:rPr>
              <w:t>许昌市</w:t>
            </w:r>
            <w:r>
              <w:rPr>
                <w:rFonts w:hint="eastAsia" w:cs="宋体" w:asciiTheme="minorEastAsia" w:hAnsiTheme="minorEastAsia" w:eastAsiaTheme="minorEastAsia"/>
                <w:sz w:val="24"/>
              </w:rPr>
              <w:t>)》、《河南省电子招标投标公共服务平台》予以公示，公示期不少于3日。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10.5知识产权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各个组成部分的文件，未经招标人书面同意，投标人不得擅自复印和用于非本招标项目所需的其他目的。招标人全部或者部分使用未中标人投标文件中的技术成果或技术方案时，需征得其书面同意，并不得擅自复印或提供给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10.6重新招标的其他情形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10.7同义词语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招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10.8监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本项目的招标投标活动及其相关当事人应当接受有管辖权的水利建设工程招标投标行政监督部门依法实施的监督。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10.9解释权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50" w:type="dxa"/>
            <w:vAlign w:val="center"/>
          </w:tcPr>
          <w:p>
            <w:pPr>
              <w:spacing w:line="312" w:lineRule="auto"/>
              <w:rPr>
                <w:rFonts w:cs="宋体" w:asciiTheme="minorEastAsia" w:hAnsiTheme="minorEastAsia" w:eastAsiaTheme="minorEastAsia"/>
                <w:kern w:val="0"/>
                <w:sz w:val="24"/>
              </w:rPr>
            </w:pPr>
          </w:p>
        </w:tc>
        <w:tc>
          <w:tcPr>
            <w:tcW w:w="9003" w:type="dxa"/>
            <w:gridSpan w:val="6"/>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 xml:space="preserve">10.10投标文件的拒收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312" w:lineRule="auto"/>
              <w:rPr>
                <w:rFonts w:cs="宋体" w:asciiTheme="minorEastAsia" w:hAnsiTheme="minorEastAsia" w:eastAsiaTheme="minorEastAsia"/>
                <w:kern w:val="0"/>
                <w:sz w:val="24"/>
              </w:rPr>
            </w:pPr>
          </w:p>
        </w:tc>
        <w:tc>
          <w:tcPr>
            <w:tcW w:w="8944" w:type="dxa"/>
            <w:gridSpan w:val="4"/>
            <w:vAlign w:val="center"/>
          </w:tcPr>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1、投标文件逾期送达或未送达指定地点的；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2、未按招标文件要求密封和标识的；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3、</w:t>
            </w:r>
            <w:r>
              <w:rPr>
                <w:rFonts w:hint="eastAsia" w:cs="仿宋_GB2312" w:asciiTheme="minorEastAsia" w:hAnsiTheme="minorEastAsia" w:eastAsiaTheme="minorEastAsia"/>
                <w:sz w:val="24"/>
              </w:rPr>
              <w:t>未按招标文件要求缴纳投标保证金的；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4、开标时授权委托人（须持有效的授权委托书）未携带本人身份证到开标现场并签到的；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5、未按规定支付招标文件费用的；</w:t>
            </w:r>
          </w:p>
          <w:p>
            <w:pPr>
              <w:spacing w:line="312"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6、</w:t>
            </w:r>
            <w:r>
              <w:rPr>
                <w:rFonts w:hint="eastAsia" w:cs="宋体" w:asciiTheme="minorEastAsia" w:hAnsiTheme="minorEastAsia" w:eastAsiaTheme="minorEastAsia"/>
                <w:kern w:val="0"/>
                <w:sz w:val="24"/>
                <w:shd w:val="clear" w:color="auto" w:fill="FFFFFF"/>
              </w:rPr>
              <w:t>未通过《全国公共资源交易平台（河南省•许昌市）》下载招标文件的。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10.11投标人向评标委员会提交的所有证书及相关材料提交方式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4"/>
            <w:vAlign w:val="center"/>
          </w:tcPr>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具体要求及格式详见本章附表一：提交证件及业绩格式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10.12招标文件费用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4"/>
            <w:vAlign w:val="center"/>
          </w:tcPr>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招标文件及有关资料费：1000元，售后不退。</w:t>
            </w:r>
          </w:p>
          <w:p>
            <w:pPr>
              <w:spacing w:line="288" w:lineRule="auto"/>
              <w:rPr>
                <w:rFonts w:cs="宋体" w:asciiTheme="minorEastAsia" w:hAnsiTheme="minorEastAsia" w:eastAsiaTheme="minorEastAsia"/>
                <w:kern w:val="0"/>
                <w:sz w:val="24"/>
              </w:rPr>
            </w:pPr>
            <w:r>
              <w:rPr>
                <w:rFonts w:hint="eastAsia" w:cs="宋体" w:asciiTheme="minorEastAsia" w:hAnsiTheme="minorEastAsia" w:eastAsiaTheme="minorEastAsia"/>
                <w:sz w:val="24"/>
              </w:rPr>
              <w:t>投标人在递交纸质投标文件时向代理公司缴纳招标文件费用。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0053" w:type="dxa"/>
            <w:gridSpan w:val="7"/>
            <w:vAlign w:val="center"/>
          </w:tcPr>
          <w:p>
            <w:pPr>
              <w:spacing w:line="288" w:lineRule="auto"/>
              <w:rPr>
                <w:rFonts w:cs="宋体" w:asciiTheme="minorEastAsia" w:hAnsiTheme="minorEastAsia" w:eastAsiaTheme="minorEastAsia"/>
                <w:sz w:val="24"/>
              </w:rPr>
            </w:pPr>
            <w:r>
              <w:rPr>
                <w:rFonts w:hint="eastAsia" w:cs="宋体" w:asciiTheme="minorEastAsia" w:hAnsiTheme="minorEastAsia" w:eastAsiaTheme="minorEastAsia"/>
                <w:kern w:val="0"/>
                <w:sz w:val="24"/>
              </w:rPr>
              <w:t>10.13特别提示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jc w:val="center"/>
        </w:trPr>
        <w:tc>
          <w:tcPr>
            <w:tcW w:w="1109" w:type="dxa"/>
            <w:gridSpan w:val="3"/>
            <w:vAlign w:val="center"/>
          </w:tcPr>
          <w:p>
            <w:pPr>
              <w:spacing w:line="288" w:lineRule="auto"/>
              <w:rPr>
                <w:rFonts w:cs="宋体" w:asciiTheme="minorEastAsia" w:hAnsiTheme="minorEastAsia" w:eastAsiaTheme="minorEastAsia"/>
                <w:kern w:val="0"/>
                <w:sz w:val="24"/>
              </w:rPr>
            </w:pPr>
          </w:p>
        </w:tc>
        <w:tc>
          <w:tcPr>
            <w:tcW w:w="8944" w:type="dxa"/>
            <w:gridSpan w:val="4"/>
            <w:vAlign w:val="center"/>
          </w:tcPr>
          <w:p>
            <w:pPr>
              <w:autoSpaceDE w:val="0"/>
              <w:autoSpaceDN w:val="0"/>
              <w:adjustRightInd w:val="0"/>
              <w:snapToGrid w:val="0"/>
              <w:spacing w:line="276"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1、潜在投标人应仔细阅读招标文件、工程量清单，若发现工程量清单中项目特征描述错误等或工程量清单与图纸存在差异，请在规定时间内在许昌市公共资源交易系统平台上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adjustRightInd w:val="0"/>
              <w:snapToGrid w:val="0"/>
              <w:spacing w:line="276"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2、潜在投标人如对招标文件有异议，请在规定时间内在许昌市公共资源交易系统平台上提出，以其他方式递交的异议不予接受。</w:t>
            </w:r>
          </w:p>
          <w:p>
            <w:pPr>
              <w:autoSpaceDE w:val="0"/>
              <w:autoSpaceDN w:val="0"/>
              <w:adjustRightInd w:val="0"/>
              <w:snapToGrid w:val="0"/>
              <w:spacing w:line="276" w:lineRule="auto"/>
              <w:jc w:val="left"/>
              <w:outlineLvl w:val="0"/>
              <w:rPr>
                <w:rFonts w:asciiTheme="minorEastAsia" w:hAnsiTheme="minorEastAsia" w:eastAsiaTheme="minorEastAsia"/>
                <w:sz w:val="24"/>
              </w:rPr>
            </w:pPr>
            <w:r>
              <w:rPr>
                <w:rFonts w:hint="eastAsia" w:asciiTheme="minorEastAsia" w:hAnsiTheme="minorEastAsia" w:eastAsiaTheme="minorEastAsia"/>
                <w:sz w:val="24"/>
              </w:rPr>
              <w:t>3、投标人在投标截止时间前应随时关注许昌市公共资源交易系统电子平台发出的有关本工程的答疑、修改等相关内容。</w:t>
            </w:r>
          </w:p>
        </w:tc>
      </w:tr>
    </w:tbl>
    <w:p>
      <w:pPr>
        <w:autoSpaceDE w:val="0"/>
        <w:autoSpaceDN w:val="0"/>
        <w:adjustRightInd w:val="0"/>
        <w:snapToGrid w:val="0"/>
        <w:spacing w:line="360" w:lineRule="auto"/>
        <w:jc w:val="left"/>
        <w:rPr>
          <w:rFonts w:ascii="宋体" w:hAnsi="宋体" w:cs="宋体"/>
          <w:b/>
          <w:bCs/>
          <w:sz w:val="24"/>
        </w:rPr>
      </w:pPr>
      <w:bookmarkStart w:id="8" w:name="_Toc215282127"/>
      <w:bookmarkStart w:id="9" w:name="_Toc215282133"/>
      <w:r>
        <w:rPr>
          <w:rFonts w:hint="eastAsia" w:ascii="宋体" w:hAnsi="宋体"/>
          <w:b/>
          <w:bCs/>
          <w:sz w:val="22"/>
          <w:szCs w:val="28"/>
        </w:rPr>
        <w:br w:type="page"/>
      </w:r>
      <w:bookmarkStart w:id="10" w:name="_Toc1059"/>
      <w:r>
        <w:rPr>
          <w:rFonts w:hint="eastAsia" w:ascii="宋体" w:hAnsi="宋体" w:cs="宋体"/>
          <w:b/>
          <w:bCs/>
          <w:sz w:val="24"/>
        </w:rPr>
        <w:t>1. 总则</w:t>
      </w:r>
      <w:bookmarkEnd w:id="8"/>
      <w:bookmarkEnd w:id="10"/>
    </w:p>
    <w:p>
      <w:pPr>
        <w:autoSpaceDE w:val="0"/>
        <w:autoSpaceDN w:val="0"/>
        <w:adjustRightInd w:val="0"/>
        <w:snapToGrid w:val="0"/>
        <w:spacing w:line="360" w:lineRule="auto"/>
        <w:jc w:val="left"/>
        <w:rPr>
          <w:rFonts w:ascii="宋体" w:hAnsi="宋体" w:cs="宋体"/>
          <w:b/>
          <w:bCs/>
          <w:sz w:val="24"/>
        </w:rPr>
      </w:pPr>
      <w:bookmarkStart w:id="11" w:name="_Toc179632547"/>
      <w:bookmarkStart w:id="12" w:name="_Toc152045530"/>
      <w:bookmarkStart w:id="13" w:name="_Toc152042306"/>
      <w:bookmarkStart w:id="14" w:name="_Toc144974498"/>
      <w:r>
        <w:rPr>
          <w:rFonts w:hint="eastAsia" w:ascii="宋体" w:hAnsi="宋体" w:cs="宋体"/>
          <w:b/>
          <w:bCs/>
          <w:sz w:val="24"/>
        </w:rPr>
        <w:t>1.1 项目概况</w:t>
      </w:r>
      <w:bookmarkEnd w:id="11"/>
      <w:bookmarkEnd w:id="12"/>
      <w:bookmarkEnd w:id="13"/>
      <w:bookmarkEnd w:id="14"/>
      <w:r>
        <w:rPr>
          <w:rFonts w:hint="eastAsia" w:ascii="宋体" w:hAnsi="宋体" w:cs="宋体"/>
          <w:b/>
          <w:bCs/>
          <w:sz w:val="24"/>
        </w:rPr>
        <w:tab/>
      </w:r>
    </w:p>
    <w:p>
      <w:pPr>
        <w:pStyle w:val="22"/>
        <w:adjustRightInd w:val="0"/>
        <w:snapToGrid w:val="0"/>
        <w:spacing w:line="360" w:lineRule="auto"/>
        <w:ind w:firstLine="360" w:firstLineChars="150"/>
        <w:rPr>
          <w:rFonts w:ascii="宋体" w:hAnsi="宋体" w:cs="宋体"/>
          <w:sz w:val="24"/>
          <w:szCs w:val="24"/>
        </w:rPr>
      </w:pPr>
      <w:r>
        <w:rPr>
          <w:rFonts w:hint="eastAsia" w:ascii="宋体" w:hAnsi="宋体" w:cs="宋体"/>
          <w:sz w:val="24"/>
          <w:szCs w:val="24"/>
        </w:rPr>
        <w:t xml:space="preserve"> 1.1.1根据《中华人民共和国招标投标法》等有关法律、法规和规章的规定，本招标项目已具备招标条件，现对本工程进行公开招标。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1.1.2 本招标项目招标人：见投标人须知前附表。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1.1.4 本招标项目地点：见投标人须知前附表。</w:t>
      </w:r>
    </w:p>
    <w:p>
      <w:pPr>
        <w:autoSpaceDE w:val="0"/>
        <w:autoSpaceDN w:val="0"/>
        <w:adjustRightInd w:val="0"/>
        <w:snapToGrid w:val="0"/>
        <w:spacing w:line="360" w:lineRule="auto"/>
        <w:jc w:val="left"/>
        <w:rPr>
          <w:rFonts w:ascii="宋体" w:hAnsi="宋体" w:cs="宋体"/>
          <w:b/>
          <w:bCs/>
          <w:sz w:val="24"/>
        </w:rPr>
      </w:pPr>
      <w:bookmarkStart w:id="15" w:name="_Toc152045531"/>
      <w:bookmarkStart w:id="16" w:name="_Toc152042307"/>
      <w:bookmarkStart w:id="17" w:name="_Toc179632548"/>
      <w:bookmarkStart w:id="18" w:name="_Toc144974499"/>
      <w:r>
        <w:rPr>
          <w:rFonts w:hint="eastAsia" w:ascii="宋体" w:hAnsi="宋体" w:cs="宋体"/>
          <w:b/>
          <w:bCs/>
          <w:sz w:val="24"/>
        </w:rPr>
        <w:t>1.2 资金来源和落实情况</w:t>
      </w:r>
      <w:bookmarkEnd w:id="15"/>
      <w:bookmarkEnd w:id="16"/>
      <w:bookmarkEnd w:id="17"/>
      <w:bookmarkEnd w:id="18"/>
    </w:p>
    <w:p>
      <w:pPr>
        <w:adjustRightInd w:val="0"/>
        <w:snapToGrid w:val="0"/>
        <w:spacing w:line="360" w:lineRule="auto"/>
        <w:ind w:firstLine="480" w:firstLineChars="200"/>
        <w:rPr>
          <w:rFonts w:ascii="宋体" w:hAnsi="宋体" w:cs="宋体"/>
          <w:sz w:val="24"/>
        </w:rPr>
      </w:pPr>
      <w:r>
        <w:rPr>
          <w:rFonts w:hint="eastAsia" w:ascii="宋体" w:hAnsi="宋体" w:cs="宋体"/>
          <w:sz w:val="24"/>
        </w:rPr>
        <w:t>1.2.1 本招标项目的资金来源及出资比例：见投标人须知前附表。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1.2.2本招标项目的资金落实情况：见投标人须知前附表。</w:t>
      </w:r>
    </w:p>
    <w:p>
      <w:pPr>
        <w:autoSpaceDE w:val="0"/>
        <w:autoSpaceDN w:val="0"/>
        <w:adjustRightInd w:val="0"/>
        <w:snapToGrid w:val="0"/>
        <w:spacing w:line="360" w:lineRule="auto"/>
        <w:jc w:val="left"/>
        <w:rPr>
          <w:rFonts w:ascii="宋体" w:hAnsi="宋体" w:cs="宋体"/>
          <w:b/>
          <w:bCs/>
          <w:sz w:val="24"/>
        </w:rPr>
      </w:pPr>
      <w:bookmarkStart w:id="19" w:name="_Toc179632549"/>
      <w:bookmarkStart w:id="20" w:name="_Toc152045532"/>
      <w:bookmarkStart w:id="21" w:name="_Toc152042308"/>
      <w:bookmarkStart w:id="22" w:name="_Toc144974500"/>
      <w:r>
        <w:rPr>
          <w:rFonts w:hint="eastAsia" w:ascii="宋体" w:hAnsi="宋体" w:cs="宋体"/>
          <w:b/>
          <w:bCs/>
          <w:sz w:val="24"/>
        </w:rPr>
        <w:t>1.3 标段划分、招标范围、工期、质量要求及安全</w:t>
      </w:r>
      <w:bookmarkEnd w:id="19"/>
      <w:bookmarkEnd w:id="20"/>
      <w:bookmarkEnd w:id="21"/>
      <w:bookmarkEnd w:id="22"/>
      <w:r>
        <w:rPr>
          <w:rFonts w:hint="eastAsia" w:ascii="宋体" w:hAnsi="宋体" w:cs="宋体"/>
          <w:b/>
          <w:bCs/>
          <w:sz w:val="24"/>
        </w:rPr>
        <w:t>目标</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1.3.1 标段划分：见投标人须知前附表。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1.3.2本招标项目的招标范围：见投标人须知前附表。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1.3.3 本招标项目的计划工期要求：见投标人须知前附表。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1.3.4 本招标项目的质量要求：见投标人须知前附表。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1.3.5 本招标项目的安全目标：见投标人须知前附表。</w:t>
      </w:r>
    </w:p>
    <w:p>
      <w:pPr>
        <w:autoSpaceDE w:val="0"/>
        <w:autoSpaceDN w:val="0"/>
        <w:adjustRightInd w:val="0"/>
        <w:snapToGrid w:val="0"/>
        <w:spacing w:line="360" w:lineRule="auto"/>
        <w:jc w:val="left"/>
        <w:rPr>
          <w:rFonts w:ascii="宋体" w:hAnsi="宋体" w:cs="宋体"/>
          <w:b/>
          <w:bCs/>
          <w:sz w:val="24"/>
        </w:rPr>
      </w:pPr>
      <w:bookmarkStart w:id="23" w:name="_Toc144974501"/>
      <w:bookmarkStart w:id="24" w:name="_Toc179632550"/>
      <w:bookmarkStart w:id="25" w:name="_Toc152042309"/>
      <w:bookmarkStart w:id="26" w:name="_Toc152045533"/>
      <w:r>
        <w:rPr>
          <w:rFonts w:hint="eastAsia" w:ascii="宋体" w:hAnsi="宋体" w:cs="宋体"/>
          <w:b/>
          <w:bCs/>
          <w:sz w:val="24"/>
        </w:rPr>
        <w:t>1.4 投标人及技术负责人资格要求</w:t>
      </w:r>
      <w:bookmarkEnd w:id="23"/>
      <w:bookmarkEnd w:id="24"/>
      <w:bookmarkEnd w:id="25"/>
      <w:bookmarkEnd w:id="26"/>
    </w:p>
    <w:p>
      <w:pPr>
        <w:adjustRightInd w:val="0"/>
        <w:snapToGrid w:val="0"/>
        <w:spacing w:line="360" w:lineRule="auto"/>
        <w:ind w:firstLine="480" w:firstLineChars="200"/>
        <w:rPr>
          <w:rFonts w:ascii="宋体" w:hAnsi="宋体" w:cs="宋体"/>
          <w:sz w:val="24"/>
        </w:rPr>
      </w:pPr>
      <w:r>
        <w:rPr>
          <w:rFonts w:hint="eastAsia" w:ascii="宋体" w:hAnsi="宋体" w:cs="宋体"/>
          <w:sz w:val="24"/>
        </w:rPr>
        <w:t>1.4.1投标人、技术负责人资格要求：见投标人须知前附表。</w:t>
      </w:r>
      <w:bookmarkStart w:id="27" w:name="_Toc152045534"/>
      <w:bookmarkStart w:id="28" w:name="_Toc152042310"/>
      <w:bookmarkStart w:id="29" w:name="_Toc144974502"/>
      <w:bookmarkStart w:id="30" w:name="_Toc270513360"/>
    </w:p>
    <w:p>
      <w:pPr>
        <w:adjustRightInd w:val="0"/>
        <w:snapToGrid w:val="0"/>
        <w:spacing w:line="360" w:lineRule="auto"/>
        <w:ind w:firstLine="480" w:firstLineChars="200"/>
        <w:rPr>
          <w:rFonts w:ascii="宋体" w:hAnsi="宋体" w:cs="宋体"/>
          <w:sz w:val="24"/>
        </w:rPr>
      </w:pPr>
      <w:r>
        <w:rPr>
          <w:rFonts w:hint="eastAsia" w:ascii="宋体" w:hAnsi="宋体" w:cs="宋体"/>
          <w:sz w:val="24"/>
        </w:rPr>
        <w:t>1.4.2 投标人资格要求</w:t>
      </w:r>
      <w:bookmarkEnd w:id="27"/>
      <w:bookmarkEnd w:id="28"/>
      <w:bookmarkEnd w:id="29"/>
      <w:r>
        <w:rPr>
          <w:rFonts w:hint="eastAsia" w:ascii="宋体" w:hAnsi="宋体" w:cs="宋体"/>
          <w:sz w:val="24"/>
        </w:rPr>
        <w:t>（详见投标人须知前附表）</w:t>
      </w:r>
      <w:bookmarkEnd w:id="30"/>
    </w:p>
    <w:p>
      <w:pPr>
        <w:adjustRightInd w:val="0"/>
        <w:snapToGrid w:val="0"/>
        <w:spacing w:line="360" w:lineRule="auto"/>
        <w:ind w:firstLine="480" w:firstLineChars="200"/>
        <w:rPr>
          <w:rFonts w:ascii="宋体" w:hAnsi="宋体" w:cs="宋体"/>
          <w:sz w:val="24"/>
        </w:rPr>
      </w:pPr>
      <w:r>
        <w:rPr>
          <w:rFonts w:hint="eastAsia" w:ascii="宋体" w:hAnsi="宋体" w:cs="宋体"/>
          <w:sz w:val="24"/>
        </w:rPr>
        <w:t>1.4.3投标人不得存在下列情形之一：</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（1）为招标人不具有独立法人资格的附属机构（单位）；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（2）为本标段前期准备提供设计或咨询服务的；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（3）为本标段的监理人；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（4）为本标段的代建人；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（5）为本标段提供招标代理服务的；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（6）与本标段的监理人或代建人或招标代理机构同为一个法定代表人的；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（7）与本标段的监理人或代建人或招标代理机构相互控股或参股的；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（8）与本标段的监理人或代建人或招标代理机构相互任职或工作的；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（9）被责令停业的；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 xml:space="preserve">（10）被暂停或取消投标资格的；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（11）财产被接管或冻结的。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1.5 费用承担</w:t>
      </w:r>
      <w:bookmarkEnd w:id="9"/>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投标人准备和参加投标活动发生的费用自理。</w:t>
      </w:r>
    </w:p>
    <w:p>
      <w:pPr>
        <w:autoSpaceDE w:val="0"/>
        <w:autoSpaceDN w:val="0"/>
        <w:adjustRightInd w:val="0"/>
        <w:snapToGrid w:val="0"/>
        <w:spacing w:line="360" w:lineRule="auto"/>
        <w:jc w:val="left"/>
        <w:rPr>
          <w:rFonts w:ascii="宋体" w:hAnsi="宋体" w:cs="宋体"/>
          <w:b/>
          <w:sz w:val="24"/>
        </w:rPr>
      </w:pPr>
      <w:bookmarkStart w:id="31" w:name="_Toc215282134"/>
      <w:r>
        <w:rPr>
          <w:rFonts w:hint="eastAsia" w:ascii="宋体" w:hAnsi="宋体" w:cs="宋体"/>
          <w:b/>
          <w:sz w:val="24"/>
        </w:rPr>
        <w:t>1.6 保密</w:t>
      </w:r>
      <w:bookmarkEnd w:id="31"/>
    </w:p>
    <w:p>
      <w:pPr>
        <w:adjustRightInd w:val="0"/>
        <w:snapToGrid w:val="0"/>
        <w:spacing w:line="360" w:lineRule="auto"/>
        <w:ind w:firstLine="480" w:firstLineChars="200"/>
        <w:rPr>
          <w:rFonts w:ascii="宋体" w:hAnsi="宋体" w:cs="宋体"/>
          <w:sz w:val="24"/>
        </w:rPr>
      </w:pPr>
      <w:r>
        <w:rPr>
          <w:rFonts w:hint="eastAsia" w:ascii="宋体" w:hAnsi="宋体" w:cs="宋体"/>
          <w:sz w:val="24"/>
        </w:rPr>
        <w:t>参与招标投标活动的各方应对招标文件和投标文件中的商业和技术等秘密保密，违者应对由此造成的后果承担法律责任。</w:t>
      </w:r>
    </w:p>
    <w:p>
      <w:pPr>
        <w:autoSpaceDE w:val="0"/>
        <w:autoSpaceDN w:val="0"/>
        <w:adjustRightInd w:val="0"/>
        <w:snapToGrid w:val="0"/>
        <w:spacing w:line="360" w:lineRule="auto"/>
        <w:jc w:val="left"/>
        <w:rPr>
          <w:rFonts w:ascii="宋体" w:hAnsi="宋体" w:cs="宋体"/>
          <w:b/>
          <w:sz w:val="24"/>
        </w:rPr>
      </w:pPr>
      <w:bookmarkStart w:id="32" w:name="_Toc215282135"/>
      <w:r>
        <w:rPr>
          <w:rFonts w:hint="eastAsia" w:ascii="宋体" w:hAnsi="宋体" w:cs="宋体"/>
          <w:b/>
          <w:sz w:val="24"/>
        </w:rPr>
        <w:t>1.7 语言文字</w:t>
      </w:r>
      <w:bookmarkEnd w:id="32"/>
    </w:p>
    <w:p>
      <w:pPr>
        <w:adjustRightInd w:val="0"/>
        <w:snapToGrid w:val="0"/>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pPr>
        <w:autoSpaceDE w:val="0"/>
        <w:autoSpaceDN w:val="0"/>
        <w:adjustRightInd w:val="0"/>
        <w:snapToGrid w:val="0"/>
        <w:spacing w:line="360" w:lineRule="auto"/>
        <w:jc w:val="left"/>
        <w:rPr>
          <w:rFonts w:ascii="宋体" w:hAnsi="宋体" w:cs="宋体"/>
          <w:b/>
          <w:sz w:val="24"/>
        </w:rPr>
      </w:pPr>
      <w:bookmarkStart w:id="33" w:name="_Toc215282136"/>
      <w:r>
        <w:rPr>
          <w:rFonts w:hint="eastAsia" w:ascii="宋体" w:hAnsi="宋体" w:cs="宋体"/>
          <w:b/>
          <w:sz w:val="24"/>
        </w:rPr>
        <w:t>1.8 计量单位</w:t>
      </w:r>
      <w:bookmarkEnd w:id="33"/>
    </w:p>
    <w:p>
      <w:pPr>
        <w:adjustRightInd w:val="0"/>
        <w:snapToGrid w:val="0"/>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pPr>
        <w:autoSpaceDE w:val="0"/>
        <w:autoSpaceDN w:val="0"/>
        <w:adjustRightInd w:val="0"/>
        <w:snapToGrid w:val="0"/>
        <w:spacing w:line="360" w:lineRule="auto"/>
        <w:jc w:val="left"/>
        <w:rPr>
          <w:rFonts w:ascii="宋体" w:hAnsi="宋体" w:cs="宋体"/>
          <w:b/>
          <w:sz w:val="24"/>
        </w:rPr>
      </w:pPr>
      <w:bookmarkStart w:id="34" w:name="_Toc215282137"/>
      <w:r>
        <w:rPr>
          <w:rFonts w:hint="eastAsia" w:ascii="宋体" w:hAnsi="宋体" w:cs="宋体"/>
          <w:b/>
          <w:sz w:val="24"/>
        </w:rPr>
        <w:t>1.9 踏勘现场</w:t>
      </w:r>
      <w:bookmarkEnd w:id="34"/>
    </w:p>
    <w:p>
      <w:pPr>
        <w:adjustRightInd w:val="0"/>
        <w:snapToGrid w:val="0"/>
        <w:spacing w:line="360" w:lineRule="auto"/>
        <w:ind w:firstLine="480" w:firstLineChars="200"/>
        <w:rPr>
          <w:rFonts w:ascii="宋体" w:hAnsi="宋体" w:cs="宋体"/>
          <w:sz w:val="24"/>
        </w:rPr>
      </w:pPr>
      <w:r>
        <w:rPr>
          <w:rFonts w:hint="eastAsia" w:ascii="宋体" w:hAnsi="宋体" w:cs="宋体"/>
          <w:sz w:val="24"/>
        </w:rPr>
        <w:t>1.9.1招标人不组织踏勘现场，投标人可自行踏勘现场。</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1.9.2 投标人踏勘现场发生的费用自理。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1.9.3 除招标人的原因外，投标人自行负责在踏勘现场中所发生的人员伤亡和财产损失。</w:t>
      </w:r>
    </w:p>
    <w:p>
      <w:pPr>
        <w:autoSpaceDE w:val="0"/>
        <w:autoSpaceDN w:val="0"/>
        <w:adjustRightInd w:val="0"/>
        <w:snapToGrid w:val="0"/>
        <w:spacing w:line="360" w:lineRule="auto"/>
        <w:jc w:val="left"/>
        <w:rPr>
          <w:rFonts w:ascii="宋体" w:hAnsi="宋体" w:cs="宋体"/>
          <w:b/>
          <w:sz w:val="24"/>
        </w:rPr>
      </w:pPr>
      <w:bookmarkStart w:id="35" w:name="_Toc215282138"/>
      <w:r>
        <w:rPr>
          <w:rFonts w:hint="eastAsia" w:ascii="宋体" w:hAnsi="宋体" w:cs="宋体"/>
          <w:b/>
          <w:sz w:val="24"/>
        </w:rPr>
        <w:t>1.10 投标预备会</w:t>
      </w:r>
      <w:bookmarkEnd w:id="35"/>
      <w:r>
        <w:rPr>
          <w:rFonts w:hint="eastAsia" w:ascii="宋体" w:hAnsi="宋体" w:cs="宋体"/>
          <w:b/>
          <w:sz w:val="24"/>
        </w:rPr>
        <w:t>（无）</w:t>
      </w:r>
      <w:bookmarkStart w:id="36" w:name="_Toc215282139"/>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1.11 分包</w:t>
      </w:r>
      <w:bookmarkEnd w:id="36"/>
      <w:r>
        <w:rPr>
          <w:rFonts w:hint="eastAsia" w:ascii="宋体" w:hAnsi="宋体" w:cs="宋体"/>
          <w:b/>
          <w:sz w:val="24"/>
        </w:rPr>
        <w:t>（见投标人须知前附表）</w:t>
      </w:r>
      <w:bookmarkStart w:id="37" w:name="_Toc215282140"/>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1.12 偏离</w:t>
      </w:r>
      <w:bookmarkEnd w:id="37"/>
      <w:r>
        <w:rPr>
          <w:rFonts w:hint="eastAsia" w:ascii="宋体" w:hAnsi="宋体" w:cs="宋体"/>
          <w:b/>
          <w:sz w:val="24"/>
        </w:rPr>
        <w:t>（不允许）</w:t>
      </w:r>
      <w:bookmarkStart w:id="38" w:name="_Toc215282141"/>
    </w:p>
    <w:p>
      <w:pPr>
        <w:autoSpaceDE w:val="0"/>
        <w:autoSpaceDN w:val="0"/>
        <w:adjustRightInd w:val="0"/>
        <w:snapToGrid w:val="0"/>
        <w:spacing w:line="360" w:lineRule="auto"/>
        <w:jc w:val="left"/>
        <w:outlineLvl w:val="1"/>
        <w:rPr>
          <w:rFonts w:ascii="Arial" w:hAnsi="Arial" w:eastAsia="黑体"/>
          <w:b/>
          <w:bCs/>
          <w:kern w:val="0"/>
          <w:sz w:val="24"/>
        </w:rPr>
      </w:pPr>
      <w:bookmarkStart w:id="39" w:name="_Toc14209"/>
      <w:r>
        <w:rPr>
          <w:rFonts w:hint="eastAsia" w:ascii="Arial" w:hAnsi="Arial" w:eastAsia="黑体"/>
          <w:b/>
          <w:bCs/>
          <w:kern w:val="0"/>
          <w:sz w:val="24"/>
        </w:rPr>
        <w:t>2. 招标文件</w:t>
      </w:r>
      <w:bookmarkEnd w:id="38"/>
      <w:bookmarkEnd w:id="39"/>
    </w:p>
    <w:p>
      <w:pPr>
        <w:autoSpaceDE w:val="0"/>
        <w:autoSpaceDN w:val="0"/>
        <w:adjustRightInd w:val="0"/>
        <w:snapToGrid w:val="0"/>
        <w:spacing w:line="360" w:lineRule="auto"/>
        <w:jc w:val="left"/>
        <w:rPr>
          <w:rFonts w:ascii="宋体" w:hAnsi="宋体" w:cs="宋体"/>
          <w:b/>
          <w:sz w:val="24"/>
        </w:rPr>
      </w:pPr>
      <w:bookmarkStart w:id="40" w:name="_Toc215282142"/>
      <w:r>
        <w:rPr>
          <w:rFonts w:hint="eastAsia" w:ascii="宋体" w:hAnsi="宋体" w:cs="宋体"/>
          <w:b/>
          <w:sz w:val="24"/>
        </w:rPr>
        <w:t>2.1 招标文件的组成</w:t>
      </w:r>
      <w:bookmarkEnd w:id="40"/>
    </w:p>
    <w:p>
      <w:pPr>
        <w:adjustRightInd w:val="0"/>
        <w:snapToGrid w:val="0"/>
        <w:spacing w:line="360" w:lineRule="auto"/>
        <w:ind w:firstLine="480" w:firstLineChars="200"/>
        <w:rPr>
          <w:rFonts w:ascii="宋体" w:hAnsi="宋体" w:cs="宋体"/>
          <w:sz w:val="24"/>
        </w:rPr>
      </w:pPr>
      <w:r>
        <w:rPr>
          <w:rFonts w:hint="eastAsia" w:ascii="宋体" w:hAnsi="宋体" w:cs="宋体"/>
          <w:sz w:val="24"/>
        </w:rPr>
        <w:t>本招标文件包括：</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（1）招标公告；</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（2）投标人须知；</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（3）评标办法；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（4）合同条款、协议及格式；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（6）图纸；</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（7）技术标准和要求；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（8）投标文件格式；</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（9）投标人须知前附表规定的其他材料。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根据本章第2.2 款和第2.3款对招标文件所作的澄清、修改，构成招标文件的组成部分。</w:t>
      </w:r>
    </w:p>
    <w:p>
      <w:pPr>
        <w:autoSpaceDE w:val="0"/>
        <w:autoSpaceDN w:val="0"/>
        <w:adjustRightInd w:val="0"/>
        <w:snapToGrid w:val="0"/>
        <w:spacing w:line="360" w:lineRule="auto"/>
        <w:jc w:val="left"/>
        <w:rPr>
          <w:rFonts w:ascii="宋体" w:hAnsi="宋体" w:cs="宋体"/>
          <w:b/>
          <w:sz w:val="24"/>
        </w:rPr>
      </w:pPr>
      <w:bookmarkStart w:id="41" w:name="_Toc215282143"/>
      <w:r>
        <w:rPr>
          <w:rFonts w:hint="eastAsia" w:ascii="宋体" w:hAnsi="宋体" w:cs="宋体"/>
          <w:b/>
          <w:sz w:val="24"/>
        </w:rPr>
        <w:t>2.2 招标文件的澄清</w:t>
      </w:r>
      <w:bookmarkEnd w:id="41"/>
    </w:p>
    <w:p>
      <w:pPr>
        <w:adjustRightInd w:val="0"/>
        <w:snapToGrid w:val="0"/>
        <w:spacing w:line="360" w:lineRule="auto"/>
        <w:ind w:firstLine="480" w:firstLineChars="200"/>
        <w:rPr>
          <w:rFonts w:ascii="宋体" w:hAnsi="宋体" w:cs="宋体"/>
          <w:sz w:val="24"/>
        </w:rPr>
      </w:pPr>
      <w:r>
        <w:rPr>
          <w:rFonts w:hint="eastAsia" w:ascii="宋体" w:hAnsi="宋体" w:cs="宋体"/>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ascii="宋体" w:hAnsi="宋体" w:cs="宋体"/>
          <w:b/>
          <w:bCs/>
          <w:sz w:val="24"/>
        </w:rPr>
        <w:t>如未提出异议，视为全面接受。</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2.2.2 招标文件的澄清将在投标人须知前附表规定的投标截止时间15天前通过公共资源交易系统电子平台发出，但不指明澄清问题的来源。如果澄清发出的时间距投标截止时间不足15天，相应延长投标截止时间。</w:t>
      </w:r>
    </w:p>
    <w:p>
      <w:pPr>
        <w:adjustRightInd w:val="0"/>
        <w:snapToGrid w:val="0"/>
        <w:spacing w:line="360" w:lineRule="auto"/>
        <w:ind w:firstLine="480" w:firstLineChars="200"/>
        <w:rPr>
          <w:rFonts w:ascii="宋体" w:hAnsi="宋体" w:cs="宋体"/>
          <w:sz w:val="24"/>
          <w:highlight w:val="green"/>
        </w:rPr>
      </w:pPr>
      <w:r>
        <w:rPr>
          <w:rFonts w:hint="eastAsia" w:ascii="宋体" w:hAnsi="宋体" w:cs="宋体"/>
          <w:sz w:val="24"/>
        </w:rPr>
        <w:t xml:space="preserve">2.2.3 所有澄清、答疑全部以公共资源交易系统电子平台发出的为准，不再接受书面形式的递交。 </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2.3 招标文件的修改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2.3.1 在投标截止时间15天前，招标人可以</w:t>
      </w:r>
      <w:r>
        <w:rPr>
          <w:rFonts w:hint="eastAsia" w:hAnsi="宋体" w:cs="宋体"/>
          <w:sz w:val="24"/>
        </w:rPr>
        <w:t>通过全国公共资源交易平台（河南省·许昌市)修改招标文件，</w:t>
      </w:r>
      <w:r>
        <w:rPr>
          <w:rFonts w:hint="eastAsia" w:ascii="宋体" w:hAnsi="宋体" w:cs="宋体"/>
          <w:sz w:val="24"/>
        </w:rPr>
        <w:t>如果修改招标文件的的内容可能影响投标文件编制且发出的时间距投标截止时间不足15天，相应延长投标截止时间。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2.3.2 当招标文件（含评标、定标办法）、补充通知、答疑纪要，内容相互矛盾时，以最后发出的通知（或纪要）为准。</w:t>
      </w:r>
    </w:p>
    <w:p>
      <w:pPr>
        <w:autoSpaceDE w:val="0"/>
        <w:autoSpaceDN w:val="0"/>
        <w:adjustRightInd w:val="0"/>
        <w:snapToGrid w:val="0"/>
        <w:spacing w:line="360" w:lineRule="auto"/>
        <w:jc w:val="left"/>
        <w:outlineLvl w:val="1"/>
        <w:rPr>
          <w:rFonts w:ascii="宋体" w:hAnsi="宋体" w:cs="宋体"/>
          <w:b/>
          <w:sz w:val="24"/>
        </w:rPr>
      </w:pPr>
      <w:bookmarkStart w:id="42" w:name="_Toc215282145"/>
      <w:bookmarkStart w:id="43" w:name="_Toc30979"/>
      <w:r>
        <w:rPr>
          <w:rFonts w:hint="eastAsia" w:ascii="Arial" w:hAnsi="Arial" w:eastAsia="黑体"/>
          <w:b/>
          <w:bCs/>
          <w:kern w:val="0"/>
          <w:sz w:val="24"/>
        </w:rPr>
        <w:t>3. 投标文件</w:t>
      </w:r>
      <w:bookmarkEnd w:id="42"/>
      <w:bookmarkEnd w:id="43"/>
    </w:p>
    <w:p>
      <w:pPr>
        <w:autoSpaceDE w:val="0"/>
        <w:autoSpaceDN w:val="0"/>
        <w:adjustRightInd w:val="0"/>
        <w:snapToGrid w:val="0"/>
        <w:spacing w:line="360" w:lineRule="auto"/>
        <w:jc w:val="left"/>
        <w:rPr>
          <w:rFonts w:ascii="宋体" w:hAnsi="宋体" w:cs="宋体"/>
          <w:b/>
          <w:sz w:val="24"/>
        </w:rPr>
      </w:pPr>
      <w:bookmarkStart w:id="44" w:name="_Toc215282146"/>
      <w:r>
        <w:rPr>
          <w:rFonts w:hint="eastAsia" w:ascii="宋体" w:hAnsi="宋体" w:cs="宋体"/>
          <w:b/>
          <w:sz w:val="24"/>
        </w:rPr>
        <w:t>3.1 投标文件的组成</w:t>
      </w:r>
      <w:bookmarkEnd w:id="44"/>
    </w:p>
    <w:p>
      <w:pPr>
        <w:adjustRightInd w:val="0"/>
        <w:snapToGrid w:val="0"/>
        <w:spacing w:line="360" w:lineRule="auto"/>
        <w:rPr>
          <w:rFonts w:ascii="宋体" w:hAnsi="宋体" w:cs="宋体"/>
          <w:sz w:val="24"/>
        </w:rPr>
      </w:pPr>
      <w:bookmarkStart w:id="45" w:name="_Toc215282147"/>
      <w:r>
        <w:rPr>
          <w:rFonts w:hint="eastAsia" w:ascii="宋体" w:hAnsi="宋体" w:cs="宋体"/>
          <w:sz w:val="24"/>
        </w:rPr>
        <w:t xml:space="preserve">    投标文件包括但不限于以下内容：</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（一）投标函及投标函附录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（二）法定代表人身份证明及授权委托书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（三）投标保证金</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（四）已标价工程量清单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（五）技术方案（实施方案）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1、对工程的理解</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2、工作大纲</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3、总体工作思路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3.1工作思路</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3.2重、难点剖析及解决方案</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3.3工作开展流程</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4、工作进度计划及保障措施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5、工作质量保障体系及保障措施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6、安全生产及保障措施</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7、合理化建议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（六）项目管理机构</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（七）资格证明文件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（八）近年财务状况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（九）近年完成的类似项目情况表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（十）正在施工的和新承接的项目情况表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（十一）近年发生的诉讼和仲裁情况</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（十二）承诺书</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（十三）投标人须知前附表规定的其它材料</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3.2 投标报价</w:t>
      </w:r>
      <w:bookmarkEnd w:id="45"/>
    </w:p>
    <w:p>
      <w:pPr>
        <w:adjustRightInd w:val="0"/>
        <w:snapToGrid w:val="0"/>
        <w:spacing w:line="360" w:lineRule="auto"/>
        <w:ind w:firstLine="480" w:firstLineChars="200"/>
        <w:rPr>
          <w:rFonts w:ascii="宋体" w:hAnsi="宋体" w:cs="宋体"/>
          <w:sz w:val="24"/>
        </w:rPr>
      </w:pPr>
      <w:bookmarkStart w:id="46" w:name="_Toc215282148"/>
      <w:r>
        <w:rPr>
          <w:rFonts w:hint="eastAsia" w:ascii="宋体" w:hAnsi="宋体" w:cs="宋体"/>
          <w:sz w:val="24"/>
        </w:rPr>
        <w:t>3.2.1 投标报价编制的依据：</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河南省现行水利水电工程造价规范及省、市相关配套文件；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工程量清单；</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 现场踏勘资料及招标答疑资料（如有）。</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3.2.2 投标报价的有关要求：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(1) 招标人设置招标控制价，超出招标控制价的投标报价按无效标处理；</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(2) 本工程招标采用合理低价的报价方式，不保证最低价中标。投标人应按招标文件有关要求并结合市场行情和自身实力编制投标报价。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(3)投标人在投标截止时间前修改投标函中的投标报价总额，应同时修改“已标价工程量清单”中的相应报价，投标报价总额为各分项金额之和。此修改须符合本章第4.3款的有关要求。</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 投标人应充分考虑各类风险因素，以合理的优惠报价进行投标，报价在中标后不作调整；</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(5) 投标报价是投标人完成本工程并验收合格所需的全部费用，是单价基础上的总价；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(6) 投标人因抢工期而发生的技术措施费、抢工费，由投标人自行负担。</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3.2.3 本次招标不接受任何有选择的报价，投标文件中只允许有一个投标报价。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3.2.4 中标价即合同价。</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3.2.5招标代理服务费计取办法参照国家发改委文件“计价格【2002】1980号”、“发改办价格【2003】857号”由中标人支付。</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3.3 投标有效期</w:t>
      </w:r>
      <w:bookmarkEnd w:id="46"/>
    </w:p>
    <w:p>
      <w:pPr>
        <w:adjustRightInd w:val="0"/>
        <w:snapToGrid w:val="0"/>
        <w:spacing w:line="360" w:lineRule="auto"/>
        <w:ind w:firstLine="480" w:firstLineChars="200"/>
        <w:rPr>
          <w:rFonts w:ascii="宋体" w:hAnsi="宋体" w:cs="宋体"/>
          <w:sz w:val="24"/>
        </w:rPr>
      </w:pPr>
      <w:r>
        <w:rPr>
          <w:rFonts w:hint="eastAsia" w:ascii="宋体" w:hAnsi="宋体" w:cs="宋体"/>
          <w:sz w:val="24"/>
        </w:rPr>
        <w:t>3.3.1 在投标人须知前附表规定的投标有效期内，投标人不得要求撤销或修改其投标文件。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360" w:lineRule="auto"/>
        <w:jc w:val="left"/>
        <w:rPr>
          <w:rFonts w:ascii="宋体" w:hAnsi="宋体" w:cs="宋体"/>
          <w:b/>
          <w:sz w:val="24"/>
        </w:rPr>
      </w:pPr>
      <w:bookmarkStart w:id="47" w:name="_Toc282436964"/>
      <w:r>
        <w:rPr>
          <w:rFonts w:hint="eastAsia" w:ascii="宋体" w:hAnsi="宋体" w:cs="宋体"/>
          <w:b/>
          <w:sz w:val="24"/>
        </w:rPr>
        <w:t>3.4 投标保证金</w:t>
      </w:r>
      <w:bookmarkEnd w:id="47"/>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 投标保证金的递交</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3.4.1.1因投标人的原因无法及时退还投标（竞买）保证金、滞留三年以上的，投标（竞买）保证金上缴财政。</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3.4.1.2自文件发布之日起，投标人需进行基本户备案（建设工程项目），已备案的基本户开户银行、账户发生变化的，须重新办理备案手续。备案后方可提交投标（竞买）保证金。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 xml:space="preserve">基本户备案流程：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特殊情况处理</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投标人投标过程中因账户开户银行、银行账号发生变化，不能按照来款途径原路返还投标保证金的，投标人须提供原账户开户银行相关证明及新开账户开户许可证，到中心一楼交易见证部办理退款手续（0374-2968027）。</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3.4.2 投标人应按投标人须知前附表规定缴纳投标保证金。</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3.4.2.2 投标保证金缴纳方式：</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投标人网上报名后</w:t>
      </w:r>
      <w:r>
        <w:rPr>
          <w:rFonts w:hint="eastAsia" w:ascii="新宋体" w:hAnsi="新宋体" w:eastAsia="新宋体" w:cs="仿宋_GB2312"/>
          <w:sz w:val="24"/>
        </w:rPr>
        <w:t>，</w:t>
      </w:r>
      <w:r>
        <w:rPr>
          <w:rFonts w:hint="eastAsia" w:ascii="新宋体" w:hAnsi="新宋体" w:eastAsia="新宋体" w:cs="仿宋_GB2312"/>
          <w:sz w:val="24"/>
          <w:lang w:val="zh-CN"/>
        </w:rPr>
        <w:t>登录</w:t>
      </w:r>
      <w:r>
        <w:fldChar w:fldCharType="begin"/>
      </w:r>
      <w:r>
        <w:instrText xml:space="preserve"> HYPERLINK "http://221.14.6.70:8088/ggzy" </w:instrText>
      </w:r>
      <w:r>
        <w:fldChar w:fldCharType="separate"/>
      </w:r>
      <w:r>
        <w:rPr>
          <w:rFonts w:hint="eastAsia" w:ascii="新宋体" w:hAnsi="新宋体" w:eastAsia="新宋体" w:cs="仿宋_GB2312"/>
          <w:sz w:val="24"/>
        </w:rPr>
        <w:t>http://221.14.6.70:8088/ggzy</w:t>
      </w:r>
      <w:r>
        <w:rPr>
          <w:rFonts w:hint="eastAsia" w:ascii="新宋体" w:hAnsi="新宋体" w:eastAsia="新宋体" w:cs="仿宋_GB2312"/>
          <w:sz w:val="24"/>
        </w:rPr>
        <w:fldChar w:fldCharType="end"/>
      </w:r>
      <w:r>
        <w:rPr>
          <w:rFonts w:hint="eastAsia" w:ascii="新宋体" w:hAnsi="新宋体" w:eastAsia="新宋体" w:cs="仿宋_GB2312"/>
          <w:sz w:val="24"/>
          <w:lang w:val="zh-CN"/>
        </w:rPr>
        <w:t>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费用缴纳说明</w:t>
      </w:r>
      <w:r>
        <w:rPr>
          <w:rFonts w:hint="eastAsia" w:ascii="新宋体" w:hAnsi="新宋体" w:eastAsia="新宋体" w:cs="仿宋_GB2312"/>
          <w:sz w:val="24"/>
        </w:rPr>
        <w:t>”→“</w:t>
      </w:r>
      <w:r>
        <w:rPr>
          <w:rFonts w:hint="eastAsia" w:ascii="新宋体" w:hAnsi="新宋体" w:eastAsia="新宋体" w:cs="仿宋_GB2312"/>
          <w:sz w:val="24"/>
          <w:lang w:val="zh-CN"/>
        </w:rPr>
        <w:t>保证金缴纳说明单</w:t>
      </w:r>
      <w:r>
        <w:rPr>
          <w:rFonts w:hint="eastAsia" w:ascii="新宋体" w:hAnsi="新宋体" w:eastAsia="新宋体" w:cs="仿宋_GB2312"/>
          <w:sz w:val="24"/>
        </w:rPr>
        <w:t>”，</w:t>
      </w:r>
      <w:r>
        <w:rPr>
          <w:rFonts w:hint="eastAsia" w:ascii="新宋体" w:hAnsi="新宋体" w:eastAsia="新宋体" w:cs="仿宋_GB2312"/>
          <w:sz w:val="24"/>
          <w:lang w:val="zh-CN"/>
        </w:rPr>
        <w:t>获取缴费说明单</w:t>
      </w:r>
      <w:r>
        <w:rPr>
          <w:rFonts w:hint="eastAsia" w:ascii="新宋体" w:hAnsi="新宋体" w:eastAsia="新宋体" w:cs="仿宋_GB2312"/>
          <w:sz w:val="24"/>
        </w:rPr>
        <w:t>，</w:t>
      </w:r>
      <w:r>
        <w:rPr>
          <w:rFonts w:hint="eastAsia" w:ascii="新宋体" w:hAnsi="新宋体" w:eastAsia="新宋体" w:cs="仿宋_GB2312"/>
          <w:sz w:val="24"/>
          <w:lang w:val="zh-CN"/>
        </w:rPr>
        <w:t>根据每个标段的缴纳说明单在缴纳截止时间前缴纳</w:t>
      </w:r>
      <w:r>
        <w:rPr>
          <w:rFonts w:hint="eastAsia" w:ascii="新宋体" w:hAnsi="新宋体" w:eastAsia="新宋体" w:cs="仿宋_GB2312"/>
          <w:sz w:val="24"/>
        </w:rPr>
        <w:t>；</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成功缴纳后重新登录前述系统</w:t>
      </w:r>
      <w:r>
        <w:rPr>
          <w:rFonts w:hint="eastAsia" w:ascii="新宋体" w:hAnsi="新宋体" w:eastAsia="新宋体" w:cs="仿宋_GB2312"/>
          <w:sz w:val="24"/>
        </w:rPr>
        <w:t>，</w:t>
      </w:r>
      <w:r>
        <w:rPr>
          <w:rFonts w:hint="eastAsia" w:ascii="新宋体" w:hAnsi="新宋体" w:eastAsia="新宋体" w:cs="仿宋_GB2312"/>
          <w:sz w:val="24"/>
          <w:lang w:val="zh-CN"/>
        </w:rPr>
        <w:t>依次点击</w:t>
      </w:r>
      <w:r>
        <w:rPr>
          <w:rFonts w:hint="eastAsia" w:ascii="新宋体" w:hAnsi="新宋体" w:eastAsia="新宋体" w:cs="仿宋_GB2312"/>
          <w:sz w:val="24"/>
        </w:rPr>
        <w:t>“</w:t>
      </w:r>
      <w:r>
        <w:rPr>
          <w:rFonts w:hint="eastAsia" w:ascii="新宋体" w:hAnsi="新宋体" w:eastAsia="新宋体" w:cs="仿宋_GB2312"/>
          <w:sz w:val="24"/>
          <w:lang w:val="zh-CN"/>
        </w:rPr>
        <w:t>会员向导</w:t>
      </w:r>
      <w:r>
        <w:rPr>
          <w:rFonts w:hint="eastAsia" w:ascii="新宋体" w:hAnsi="新宋体" w:eastAsia="新宋体" w:cs="仿宋_GB2312"/>
          <w:sz w:val="24"/>
        </w:rPr>
        <w:t>”→“</w:t>
      </w:r>
      <w:r>
        <w:rPr>
          <w:rFonts w:hint="eastAsia" w:ascii="新宋体" w:hAnsi="新宋体" w:eastAsia="新宋体" w:cs="仿宋_GB2312"/>
          <w:sz w:val="24"/>
          <w:lang w:val="zh-CN"/>
        </w:rPr>
        <w:t>参与投标</w:t>
      </w:r>
      <w:r>
        <w:rPr>
          <w:rFonts w:hint="eastAsia" w:ascii="新宋体" w:hAnsi="新宋体" w:eastAsia="新宋体" w:cs="仿宋_GB2312"/>
          <w:sz w:val="24"/>
        </w:rPr>
        <w:t>”→“</w:t>
      </w:r>
      <w:r>
        <w:rPr>
          <w:rFonts w:hint="eastAsia" w:ascii="新宋体" w:hAnsi="新宋体" w:eastAsia="新宋体" w:cs="仿宋_GB2312"/>
          <w:sz w:val="24"/>
          <w:lang w:val="zh-CN"/>
        </w:rPr>
        <w:t>保证金绑定</w:t>
      </w:r>
      <w:r>
        <w:rPr>
          <w:rFonts w:hint="eastAsia" w:ascii="新宋体" w:hAnsi="新宋体" w:eastAsia="新宋体" w:cs="仿宋_GB2312"/>
          <w:sz w:val="24"/>
        </w:rPr>
        <w:t>”→“</w:t>
      </w:r>
      <w:r>
        <w:rPr>
          <w:rFonts w:hint="eastAsia" w:ascii="新宋体" w:hAnsi="新宋体" w:eastAsia="新宋体" w:cs="仿宋_GB2312"/>
          <w:sz w:val="24"/>
          <w:lang w:val="zh-CN"/>
        </w:rPr>
        <w:t>绑定</w:t>
      </w:r>
      <w:r>
        <w:rPr>
          <w:rFonts w:hint="eastAsia" w:ascii="新宋体" w:hAnsi="新宋体" w:eastAsia="新宋体" w:cs="仿宋_GB2312"/>
          <w:sz w:val="24"/>
        </w:rPr>
        <w:t>”</w:t>
      </w:r>
      <w:r>
        <w:rPr>
          <w:rFonts w:hint="eastAsia" w:ascii="新宋体" w:hAnsi="新宋体" w:eastAsia="新宋体" w:cs="仿宋_GB2312"/>
          <w:sz w:val="24"/>
          <w:lang w:val="zh-CN"/>
        </w:rPr>
        <w:t>进行投标保证金绑定。</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投标人要严格按照“保证金缴纳说明单”内容缴纳、成功绑定投标保证金，未绑定标段的投标保证金，视为未按时交纳。并将缴纳凭证“许昌公共资源交易中心保证金缴纳回执”附于投标文件中，同时在开标现场提供一份，以备查询。</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3.4.2.3 每个投标人每个项目每个标段只有唯一缴纳账号，</w:t>
      </w:r>
      <w:r>
        <w:rPr>
          <w:rFonts w:hint="eastAsia" w:ascii="新宋体" w:hAnsi="新宋体" w:eastAsia="新宋体" w:cs="仿宋_GB2312"/>
          <w:sz w:val="24"/>
        </w:rPr>
        <w:t>切勿重复缴纳或错误缴纳。</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3.4.2.4</w:t>
      </w:r>
      <w:r>
        <w:rPr>
          <w:rFonts w:hint="eastAsia" w:ascii="新宋体" w:hAnsi="新宋体" w:eastAsia="新宋体" w:cs="仿宋_GB2312"/>
          <w:sz w:val="24"/>
        </w:rPr>
        <w:t>未按上述规定操作引起的无效投标，由投标人自行负责。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3.4.2.5汇款凭证无须备注项目编号和项目名称。</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lang w:val="zh-CN"/>
        </w:rPr>
        <w:t xml:space="preserve">3.4.2.6 </w:t>
      </w:r>
      <w:r>
        <w:rPr>
          <w:rFonts w:hint="eastAsia" w:ascii="新宋体" w:hAnsi="新宋体" w:eastAsia="新宋体" w:cs="仿宋_GB2312"/>
          <w:sz w:val="24"/>
        </w:rPr>
        <w:t>出现以下情形造成的投标保证金无效，由投标人自行负责。</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(1)投标保证金未从投标人的基本账户转出；</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(2)投标保证金未按照招标文件划分的标段依次转账。</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3.4.2.7 《保证金缴纳绑定操作指南》获取方法：</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lang w:val="zh-CN"/>
        </w:rPr>
      </w:pPr>
      <w:r>
        <w:rPr>
          <w:rFonts w:hint="eastAsia" w:ascii="新宋体" w:hAnsi="新宋体" w:eastAsia="新宋体" w:cs="仿宋_GB2312"/>
          <w:sz w:val="24"/>
          <w:lang w:val="zh-CN"/>
        </w:rPr>
        <w:t>登录许昌公共资源交易系统-组件下载-《保证金缴纳绑定操作指南》</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3.4.3 投标人不按本章第3.4.2项要求提交投标保证金的，拒收其投标文件。</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3.4.4投标保证金的退还：</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（1）中标公示期满没有质疑或投诉的，5个工作日内退还非中标候选人投标保证金及银行同期活期存款利息。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360" w:lineRule="auto"/>
        <w:ind w:firstLine="480" w:firstLineChars="200"/>
        <w:jc w:val="left"/>
        <w:rPr>
          <w:rFonts w:ascii="新宋体" w:hAnsi="新宋体" w:eastAsia="新宋体" w:cs="仿宋_GB2312"/>
          <w:sz w:val="24"/>
        </w:rPr>
      </w:pPr>
      <w:r>
        <w:rPr>
          <w:rFonts w:hint="eastAsia" w:ascii="新宋体" w:hAnsi="新宋体" w:eastAsia="新宋体" w:cs="仿宋_GB2312"/>
          <w:sz w:val="24"/>
        </w:rPr>
        <w:t>（3）项目废标或招标人终止招标的，在此后5个工作日内退还投标保证金及银行同期活期存利息。</w:t>
      </w:r>
      <w:r>
        <w:rPr>
          <w:rFonts w:hint="eastAsia" w:ascii="新宋体" w:hAnsi="新宋体" w:eastAsia="新宋体" w:cs="仿宋_GB2312"/>
          <w:sz w:val="24"/>
        </w:rPr>
        <w:br w:type="textWrapping"/>
      </w:r>
      <w:r>
        <w:rPr>
          <w:rFonts w:hint="eastAsia" w:ascii="新宋体" w:hAnsi="新宋体" w:eastAsia="新宋体" w:cs="仿宋_GB2312"/>
          <w:sz w:val="24"/>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360" w:lineRule="auto"/>
        <w:ind w:firstLine="480" w:firstLineChars="200"/>
        <w:jc w:val="left"/>
        <w:rPr>
          <w:rFonts w:hAnsi="宋体"/>
          <w:color w:val="000000"/>
          <w:sz w:val="24"/>
        </w:rPr>
      </w:pPr>
      <w:r>
        <w:rPr>
          <w:rFonts w:hint="eastAsia" w:ascii="新宋体" w:hAnsi="新宋体" w:eastAsia="新宋体" w:cs="仿宋_GB2312"/>
          <w:sz w:val="24"/>
        </w:rPr>
        <w:t>（5）相关投标人有违法违规行为的项目，其投标保证金暂不退还，待行政监督部</w:t>
      </w:r>
      <w:r>
        <w:rPr>
          <w:rFonts w:hint="eastAsia" w:hAnsi="宋体"/>
          <w:color w:val="000000"/>
          <w:sz w:val="24"/>
        </w:rPr>
        <w:t>门对相关情况处置后，按照有关规定办理。</w:t>
      </w:r>
    </w:p>
    <w:p>
      <w:pPr>
        <w:tabs>
          <w:tab w:val="left" w:pos="1260"/>
        </w:tabs>
        <w:autoSpaceDE w:val="0"/>
        <w:autoSpaceDN w:val="0"/>
        <w:adjustRightInd w:val="0"/>
        <w:spacing w:line="360" w:lineRule="auto"/>
        <w:jc w:val="left"/>
        <w:rPr>
          <w:rFonts w:hAnsi="宋体" w:cs="宋体"/>
          <w:sz w:val="24"/>
        </w:rPr>
      </w:pPr>
      <w:r>
        <w:rPr>
          <w:rFonts w:hint="eastAsia" w:hAnsi="宋体"/>
          <w:color w:val="000000"/>
          <w:sz w:val="24"/>
        </w:rPr>
        <w:t xml:space="preserve">    （6）退还投标保证金，除另有规定外，一般以转账方式一次性退还至投标保证金的原提交账户。</w:t>
      </w:r>
    </w:p>
    <w:p>
      <w:pPr>
        <w:tabs>
          <w:tab w:val="left" w:pos="1260"/>
        </w:tabs>
        <w:autoSpaceDE w:val="0"/>
        <w:autoSpaceDN w:val="0"/>
        <w:adjustRightInd w:val="0"/>
        <w:spacing w:line="360" w:lineRule="auto"/>
        <w:jc w:val="left"/>
        <w:rPr>
          <w:rFonts w:hAnsi="宋体" w:cs="宋体"/>
          <w:sz w:val="24"/>
        </w:rPr>
      </w:pPr>
      <w:r>
        <w:rPr>
          <w:rFonts w:hint="eastAsia" w:hAnsi="宋体" w:cs="宋体"/>
          <w:sz w:val="24"/>
        </w:rPr>
        <w:t xml:space="preserve">    3.4.5投标人有下列情形之一的，不予退还投标保证金：</w:t>
      </w:r>
    </w:p>
    <w:p>
      <w:pPr>
        <w:tabs>
          <w:tab w:val="left" w:pos="1260"/>
        </w:tabs>
        <w:autoSpaceDE w:val="0"/>
        <w:autoSpaceDN w:val="0"/>
        <w:adjustRightInd w:val="0"/>
        <w:spacing w:line="360" w:lineRule="auto"/>
        <w:ind w:firstLine="480" w:firstLineChars="200"/>
        <w:jc w:val="left"/>
        <w:rPr>
          <w:rFonts w:hAnsi="宋体" w:cs="宋体"/>
          <w:sz w:val="24"/>
        </w:rPr>
      </w:pPr>
      <w:r>
        <w:rPr>
          <w:rFonts w:hint="eastAsia" w:hAnsi="宋体" w:cs="宋体"/>
          <w:sz w:val="24"/>
        </w:rPr>
        <w:t xml:space="preserve">（一）在招标文件要求提交投标文件的截止时间后至投标文件有效期满前撤回投标的；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（三）将中标项目转让给他人，或者在投标文件中未说明，且未经招标人同意，将中标项目分包给他人的；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（四）投标人在招投标活动中弄虚作假、围标串标，骗取中标并经招投标行政监督部门调查核实的； </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（五）拒绝履行合同义务的；</w:t>
      </w:r>
    </w:p>
    <w:p>
      <w:pPr>
        <w:tabs>
          <w:tab w:val="left" w:pos="1260"/>
        </w:tabs>
        <w:autoSpaceDE w:val="0"/>
        <w:autoSpaceDN w:val="0"/>
        <w:adjustRightInd w:val="0"/>
        <w:spacing w:line="360" w:lineRule="auto"/>
        <w:ind w:firstLine="360" w:firstLineChars="150"/>
        <w:jc w:val="left"/>
        <w:rPr>
          <w:rFonts w:hAnsi="宋体" w:cs="宋体"/>
          <w:sz w:val="24"/>
        </w:rPr>
      </w:pPr>
      <w:r>
        <w:rPr>
          <w:rFonts w:hint="eastAsia" w:hAnsi="宋体" w:cs="宋体"/>
          <w:sz w:val="24"/>
        </w:rPr>
        <w:t xml:space="preserve"> （六）相关法律、法规规定不予退还的其它情形。 </w:t>
      </w:r>
    </w:p>
    <w:p>
      <w:pPr>
        <w:autoSpaceDE w:val="0"/>
        <w:autoSpaceDN w:val="0"/>
        <w:adjustRightInd w:val="0"/>
        <w:spacing w:line="500" w:lineRule="exact"/>
        <w:ind w:firstLine="480" w:firstLineChars="200"/>
        <w:jc w:val="left"/>
        <w:rPr>
          <w:rFonts w:ascii="宋体" w:hAnsi="宋体"/>
          <w:kern w:val="0"/>
          <w:sz w:val="24"/>
        </w:rPr>
      </w:pPr>
      <w:r>
        <w:rPr>
          <w:rFonts w:hint="eastAsia" w:ascii="新宋体" w:hAnsi="新宋体" w:eastAsia="新宋体" w:cs="仿宋_GB2312"/>
          <w:sz w:val="24"/>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r>
        <w:rPr>
          <w:rFonts w:hint="eastAsia" w:hAnsi="宋体" w:cs="宋体"/>
          <w:sz w:val="24"/>
          <w:lang w:val="zh-CN"/>
        </w:rPr>
        <w:t>。</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3.5 资格审查资料</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3.5.1“投标人基本情况表”应附投标人营业执照副本、资质证书副本等复印件。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“近年财务状况表”应附经会计师事务所或审计机构审计的财务会计报表，包括资产负债表、现金流量表、利润表和财务情况说明书的复印件，具体年份要求见投标人须知前附表。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3.5.3 “近年完成类似工程的情况”应附合同和中标通知书复印件，具体年份要求见投标人要求前附表。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3.5.4“正在施工的和新承接的工程情况” 应附中标通知书和合同协议书复印件。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3.5.5“近年发生的诉讼及仲裁情况”应说明相关情况，应附法院或仲裁机构作出的判决、裁决等相关文件复印件，具体年份要求件投标人要求前附表。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3.5.6中标单位负责在项目建设中涉及地方关系等方面的协调,并承担由此产生的费用；同时对施工过程中的一切安全问题负责，投标人应对此项作出承诺，否则按废标处理。</w:t>
      </w:r>
    </w:p>
    <w:p>
      <w:pPr>
        <w:adjustRightInd w:val="0"/>
        <w:snapToGrid w:val="0"/>
        <w:spacing w:line="360" w:lineRule="auto"/>
        <w:ind w:firstLine="482" w:firstLineChars="200"/>
        <w:rPr>
          <w:rFonts w:ascii="宋体" w:hAnsi="宋体" w:cs="宋体"/>
          <w:b/>
          <w:bCs/>
          <w:sz w:val="24"/>
        </w:rPr>
      </w:pPr>
      <w:r>
        <w:rPr>
          <w:rFonts w:hint="eastAsia" w:ascii="宋体" w:hAnsi="宋体" w:cs="宋体"/>
          <w:b/>
          <w:bCs/>
          <w:sz w:val="24"/>
        </w:rPr>
        <w:t>在招投标期间，被河南省相关行政主管部门列入禁止在河南省进行投标的企业，所递交的投标文件无效，按废标处理。</w:t>
      </w:r>
    </w:p>
    <w:p>
      <w:pPr>
        <w:autoSpaceDE w:val="0"/>
        <w:autoSpaceDN w:val="0"/>
        <w:adjustRightInd w:val="0"/>
        <w:snapToGrid w:val="0"/>
        <w:spacing w:line="360" w:lineRule="auto"/>
        <w:jc w:val="left"/>
        <w:rPr>
          <w:rFonts w:ascii="宋体" w:hAnsi="宋体" w:cs="宋体"/>
          <w:b/>
          <w:sz w:val="24"/>
        </w:rPr>
      </w:pPr>
      <w:bookmarkStart w:id="48" w:name="_Toc215282150"/>
      <w:r>
        <w:rPr>
          <w:rFonts w:hint="eastAsia" w:ascii="宋体" w:hAnsi="宋体" w:cs="宋体"/>
          <w:b/>
          <w:sz w:val="24"/>
        </w:rPr>
        <w:t>3.</w:t>
      </w:r>
      <w:bookmarkEnd w:id="48"/>
      <w:r>
        <w:rPr>
          <w:rFonts w:hint="eastAsia" w:ascii="宋体" w:hAnsi="宋体" w:cs="宋体"/>
          <w:b/>
          <w:sz w:val="24"/>
        </w:rPr>
        <w:t>6备选投标方案（不需要）</w:t>
      </w:r>
    </w:p>
    <w:p>
      <w:pPr>
        <w:autoSpaceDE w:val="0"/>
        <w:autoSpaceDN w:val="0"/>
        <w:adjustRightInd w:val="0"/>
        <w:snapToGrid w:val="0"/>
        <w:spacing w:line="360" w:lineRule="auto"/>
        <w:jc w:val="left"/>
        <w:rPr>
          <w:rFonts w:ascii="宋体" w:hAnsi="宋体" w:cs="宋体"/>
          <w:b/>
          <w:sz w:val="24"/>
        </w:rPr>
      </w:pPr>
      <w:bookmarkStart w:id="49" w:name="_Toc215282152"/>
      <w:r>
        <w:rPr>
          <w:rFonts w:hint="eastAsia" w:ascii="宋体" w:hAnsi="宋体" w:cs="宋体"/>
          <w:b/>
          <w:sz w:val="24"/>
        </w:rPr>
        <w:t>3.7 投标文件的编制</w:t>
      </w:r>
      <w:bookmarkEnd w:id="49"/>
    </w:p>
    <w:p>
      <w:pPr>
        <w:spacing w:line="360" w:lineRule="auto"/>
        <w:ind w:firstLine="480" w:firstLineChars="200"/>
        <w:rPr>
          <w:rFonts w:hAnsi="宋体" w:cs="宋体"/>
          <w:sz w:val="24"/>
        </w:rPr>
      </w:pPr>
      <w:bookmarkStart w:id="50" w:name="_Toc23256"/>
      <w:bookmarkStart w:id="51" w:name="_Toc215282153"/>
      <w:bookmarkStart w:id="52" w:name="_Toc215282154"/>
      <w:r>
        <w:rPr>
          <w:rFonts w:hint="eastAsia" w:hAnsi="宋体" w:cs="宋体"/>
          <w:sz w:val="24"/>
        </w:rPr>
        <w:t>3.7.1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p>
    <w:p>
      <w:pPr>
        <w:autoSpaceDE w:val="0"/>
        <w:autoSpaceDN w:val="0"/>
        <w:adjustRightInd w:val="0"/>
        <w:spacing w:line="360" w:lineRule="auto"/>
        <w:ind w:firstLine="480"/>
        <w:rPr>
          <w:rFonts w:hAnsi="宋体" w:cs="宋体"/>
          <w:bCs/>
          <w:sz w:val="24"/>
        </w:rPr>
      </w:pPr>
      <w:r>
        <w:rPr>
          <w:rFonts w:hint="eastAsia" w:hAnsi="宋体" w:cs="宋体"/>
          <w:sz w:val="24"/>
        </w:rPr>
        <w:t>3.7.4 投标文件的份数见投标人须知前附表，在正本和副本的封面上应清楚地标明“正本”、“副本”字样。投标文件正本按招标文件要求签字盖章（无需逐页签字盖章），副本应与正本保持一致（可为正本的复印件）。当副本和正本不一致时，以正本为准。当正本中大小写不一致时，以大写为准。</w:t>
      </w:r>
      <w:r>
        <w:rPr>
          <w:rFonts w:hint="eastAsia" w:ascii="新宋体" w:hAnsi="新宋体" w:eastAsia="新宋体" w:cs="TimesNewRomanPSMT"/>
          <w:b/>
          <w:sz w:val="24"/>
        </w:rPr>
        <w:t>当电子文件与纸质文件写不一致时，以纸质文件为准。</w:t>
      </w:r>
    </w:p>
    <w:p>
      <w:pPr>
        <w:autoSpaceDE w:val="0"/>
        <w:autoSpaceDN w:val="0"/>
        <w:adjustRightInd w:val="0"/>
        <w:spacing w:line="460" w:lineRule="exact"/>
        <w:ind w:firstLine="480" w:firstLineChars="200"/>
        <w:jc w:val="left"/>
        <w:rPr>
          <w:rFonts w:hAnsi="宋体"/>
          <w:sz w:val="24"/>
        </w:rPr>
      </w:pPr>
      <w:r>
        <w:rPr>
          <w:rFonts w:hint="eastAsia" w:hAnsi="宋体" w:cs="宋体"/>
          <w:sz w:val="24"/>
        </w:rPr>
        <w:t>3.7.5 投标文件的正本与副本应分别装订成册，并编制目录</w:t>
      </w:r>
      <w:r>
        <w:rPr>
          <w:rFonts w:hint="eastAsia" w:hAnsi="宋体"/>
          <w:sz w:val="24"/>
        </w:rPr>
        <w:t>，具体装订要求见投标人须知前附表规定。</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 投标</w:t>
      </w:r>
      <w:bookmarkEnd w:id="50"/>
      <w:bookmarkEnd w:id="5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4.1 投标文件的密封和标记</w:t>
      </w:r>
      <w:bookmarkEnd w:id="52"/>
    </w:p>
    <w:p>
      <w:pPr>
        <w:adjustRightInd w:val="0"/>
        <w:snapToGrid w:val="0"/>
        <w:spacing w:line="360" w:lineRule="auto"/>
        <w:ind w:firstLine="480" w:firstLineChars="200"/>
        <w:rPr>
          <w:rFonts w:ascii="宋体" w:hAnsi="宋体" w:cs="宋体"/>
          <w:sz w:val="24"/>
        </w:rPr>
      </w:pPr>
      <w:bookmarkStart w:id="53" w:name="_Toc215282155"/>
      <w:r>
        <w:rPr>
          <w:rFonts w:hint="eastAsia" w:ascii="宋体" w:hAnsi="宋体" w:cs="宋体"/>
          <w:sz w:val="24"/>
        </w:rPr>
        <w:t xml:space="preserve">4.1.1 投标文件的正本、副本和电子版应分开包装，加贴封条，并在封套的封口处加盖投标人公章，密封不符合要求的不予受理。 </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4.1.2 投标文件的封套上应写明的其他内容见投标人须知前附表。</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4.1.3 未按本章第4.1.1项或第4.1.2项要求密封和加写标记的投标文件，招标人不予受理。</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4.2 投标文件的递交</w:t>
      </w:r>
      <w:bookmarkEnd w:id="53"/>
    </w:p>
    <w:p>
      <w:pPr>
        <w:autoSpaceDE w:val="0"/>
        <w:autoSpaceDN w:val="0"/>
        <w:spacing w:line="360" w:lineRule="auto"/>
        <w:ind w:firstLine="480" w:firstLineChars="200"/>
        <w:jc w:val="left"/>
        <w:outlineLvl w:val="0"/>
        <w:rPr>
          <w:rFonts w:hAnsi="宋体" w:cs="宋体"/>
          <w:sz w:val="24"/>
        </w:rPr>
      </w:pPr>
      <w:bookmarkStart w:id="54" w:name="_Toc215282156"/>
      <w:r>
        <w:rPr>
          <w:rFonts w:hint="eastAsia" w:hAnsi="宋体" w:cs="宋体"/>
          <w:sz w:val="24"/>
        </w:rPr>
        <w:t>4.2.1 投标人应在投标人须知前附表中规定的投标截止时间前递交投标文件。</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4.2.2 投标人递交投标文件的地点：见投标人须知前附表。</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4.2.3 除投标人须知前附表另有规定外，投标人所递交的投标文件不予退还。</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4.2.4 逾期送达的或者未送达指定地点的投标文件，招标人不予受理。</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4.3 投标文件的修改与撤回</w:t>
      </w:r>
      <w:bookmarkEnd w:id="54"/>
      <w:bookmarkStart w:id="55" w:name="_Toc215282157"/>
      <w:bookmarkStart w:id="56" w:name="_Toc22202"/>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4.3.1 在本章第2.2.2 项规定的投标截止时间前，投标人可以修改或撤回已递交的投标文件，但应以书面形式通知招标人。</w:t>
      </w:r>
    </w:p>
    <w:p>
      <w:pPr>
        <w:autoSpaceDE w:val="0"/>
        <w:autoSpaceDN w:val="0"/>
        <w:spacing w:line="360" w:lineRule="auto"/>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360" w:lineRule="auto"/>
        <w:ind w:firstLine="480" w:firstLineChars="200"/>
        <w:jc w:val="left"/>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5. 开标</w:t>
      </w:r>
      <w:bookmarkEnd w:id="55"/>
      <w:bookmarkEnd w:id="56"/>
    </w:p>
    <w:p>
      <w:pPr>
        <w:autoSpaceDE w:val="0"/>
        <w:autoSpaceDN w:val="0"/>
        <w:adjustRightInd w:val="0"/>
        <w:snapToGrid w:val="0"/>
        <w:spacing w:line="360" w:lineRule="auto"/>
        <w:jc w:val="left"/>
        <w:rPr>
          <w:rFonts w:ascii="宋体" w:hAnsi="宋体" w:cs="宋体"/>
          <w:b/>
          <w:sz w:val="24"/>
        </w:rPr>
      </w:pPr>
      <w:bookmarkStart w:id="57" w:name="_Toc215282158"/>
      <w:r>
        <w:rPr>
          <w:rFonts w:hint="eastAsia" w:ascii="宋体" w:hAnsi="宋体" w:cs="宋体"/>
          <w:b/>
          <w:sz w:val="24"/>
        </w:rPr>
        <w:t>5.1 开标时间和地点</w:t>
      </w:r>
      <w:bookmarkEnd w:id="57"/>
    </w:p>
    <w:p>
      <w:pPr>
        <w:adjustRightInd w:val="0"/>
        <w:snapToGrid w:val="0"/>
        <w:spacing w:line="360" w:lineRule="auto"/>
        <w:ind w:firstLine="480" w:firstLineChars="200"/>
        <w:rPr>
          <w:rFonts w:ascii="宋体" w:hAnsi="宋体" w:cs="宋体"/>
          <w:sz w:val="24"/>
        </w:rPr>
      </w:pPr>
      <w:r>
        <w:rPr>
          <w:rFonts w:hint="eastAsia" w:ascii="宋体" w:hAnsi="宋体" w:cs="宋体"/>
          <w:sz w:val="24"/>
        </w:rPr>
        <w:t>投标人在本章第2.2.2款规定的投标截止时间（开标时间）和投标人须知前附表规定的地点公开开标，并邀请所有投标人的法定代表人或委托代理人准时参加。</w:t>
      </w:r>
    </w:p>
    <w:p>
      <w:pPr>
        <w:autoSpaceDE w:val="0"/>
        <w:autoSpaceDN w:val="0"/>
        <w:adjustRightInd w:val="0"/>
        <w:snapToGrid w:val="0"/>
        <w:spacing w:line="360" w:lineRule="auto"/>
        <w:jc w:val="left"/>
        <w:rPr>
          <w:rFonts w:ascii="宋体" w:hAnsi="宋体" w:cs="宋体"/>
          <w:b/>
          <w:sz w:val="24"/>
        </w:rPr>
      </w:pPr>
      <w:bookmarkStart w:id="58" w:name="_Toc215282159"/>
      <w:r>
        <w:rPr>
          <w:rFonts w:hint="eastAsia" w:ascii="宋体" w:hAnsi="宋体" w:cs="宋体"/>
          <w:b/>
          <w:sz w:val="24"/>
        </w:rPr>
        <w:t>5.2开标程序</w:t>
      </w:r>
      <w:bookmarkEnd w:id="5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主持人按下列程序进行开标：</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（1）宣布开标纪律；</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（2）公布在投标截止时间前递交投标文件的投标人名称，并点名确认投标人是否派人到场；</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（3）宣读经备案的招标文件的补充和修改文件的份数；</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（4）宣布开标人、唱标人、记录人、监标人等有关人员姓名；</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（5）按照投标人须知前附表规定检查投标文件的密封情况；</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（6）按照投标人须知前附表的规定确定并宣布投标文件开标顺序；</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（7）按照宣布的开标顺序当众开标，公布投标人名称、标段名称、投标保证递交情况、投标报价、质量目标、工期等其他内容，并记录在案；</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（8）由投标人代表现场抽取参与计算合理评标价的调整系数，并宣读；</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（9）投标人代表、招标人代表、监标人、记录人等有关人员在开标记录上签字确认；</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（10）开标结束。</w:t>
      </w:r>
      <w:bookmarkStart w:id="59" w:name="_Toc215282160"/>
    </w:p>
    <w:p>
      <w:pPr>
        <w:autoSpaceDE w:val="0"/>
        <w:autoSpaceDN w:val="0"/>
        <w:adjustRightInd w:val="0"/>
        <w:snapToGrid w:val="0"/>
        <w:spacing w:line="360" w:lineRule="auto"/>
        <w:jc w:val="left"/>
        <w:rPr>
          <w:rFonts w:ascii="宋体" w:hAnsi="宋体" w:cs="宋体"/>
          <w:b/>
          <w:sz w:val="24"/>
        </w:rPr>
      </w:pPr>
      <w:bookmarkStart w:id="60" w:name="_Toc419"/>
      <w:r>
        <w:rPr>
          <w:rFonts w:hint="eastAsia" w:ascii="宋体" w:hAnsi="宋体" w:cs="宋体"/>
          <w:b/>
          <w:sz w:val="24"/>
        </w:rPr>
        <w:t>6. 评标</w:t>
      </w:r>
      <w:bookmarkEnd w:id="59"/>
      <w:bookmarkEnd w:id="60"/>
      <w:bookmarkStart w:id="61" w:name="_Toc215282161"/>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6.1 评标委员会</w:t>
      </w:r>
      <w:bookmarkEnd w:id="61"/>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6.1.1 评标由招标人依法组建的评标委员会负责。评标委员成员人数的确定方式见投标人须知前附表。</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6.1.2 评标委员会成员有下列情形之一的，应当回避：</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（1）招标人或投标人的主要负责人的近亲属；</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（2）项目主管部门或者行政监督部门的人员；</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（3）与投标人有经济利益关系，可能影响对投标公正评审的；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（4）曾因在招标、评标以及其他与招标投标有关活动中从事违法行为而受过行政处罚或刑事处罚的。</w:t>
      </w:r>
    </w:p>
    <w:p>
      <w:pPr>
        <w:autoSpaceDE w:val="0"/>
        <w:autoSpaceDN w:val="0"/>
        <w:adjustRightInd w:val="0"/>
        <w:snapToGrid w:val="0"/>
        <w:spacing w:line="360" w:lineRule="auto"/>
        <w:jc w:val="left"/>
        <w:rPr>
          <w:rFonts w:ascii="宋体" w:hAnsi="宋体" w:cs="宋体"/>
          <w:b/>
          <w:sz w:val="24"/>
        </w:rPr>
      </w:pPr>
      <w:bookmarkStart w:id="62" w:name="_Toc215282162"/>
      <w:r>
        <w:rPr>
          <w:rFonts w:hint="eastAsia" w:ascii="宋体" w:hAnsi="宋体" w:cs="宋体"/>
          <w:b/>
          <w:sz w:val="24"/>
        </w:rPr>
        <w:t>6.2 评标原则</w:t>
      </w:r>
      <w:bookmarkEnd w:id="62"/>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评标活动遵循公平、公正、科学和择优的原则。</w:t>
      </w:r>
    </w:p>
    <w:p>
      <w:pPr>
        <w:autoSpaceDE w:val="0"/>
        <w:autoSpaceDN w:val="0"/>
        <w:adjustRightInd w:val="0"/>
        <w:snapToGrid w:val="0"/>
        <w:spacing w:line="360" w:lineRule="auto"/>
        <w:jc w:val="left"/>
        <w:rPr>
          <w:rFonts w:ascii="宋体" w:hAnsi="宋体" w:cs="宋体"/>
          <w:b/>
          <w:sz w:val="24"/>
        </w:rPr>
      </w:pPr>
      <w:bookmarkStart w:id="63" w:name="_Toc215282163"/>
      <w:r>
        <w:rPr>
          <w:rFonts w:hint="eastAsia" w:ascii="宋体" w:hAnsi="宋体" w:cs="宋体"/>
          <w:b/>
          <w:sz w:val="24"/>
        </w:rPr>
        <w:t>6.3 评标</w:t>
      </w:r>
      <w:bookmarkEnd w:id="6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评标委员会按照第三章“评标办法”规定的方法、评审因素、标准和程序对投标文件进行评审。第三章“评标办法”没有规定的方法、评审因素和标准，不作为评标依据。</w:t>
      </w:r>
    </w:p>
    <w:p>
      <w:pPr>
        <w:autoSpaceDE w:val="0"/>
        <w:autoSpaceDN w:val="0"/>
        <w:adjustRightInd w:val="0"/>
        <w:snapToGrid w:val="0"/>
        <w:spacing w:line="360" w:lineRule="auto"/>
        <w:jc w:val="left"/>
        <w:rPr>
          <w:rFonts w:ascii="宋体" w:hAnsi="宋体" w:cs="宋体"/>
          <w:b/>
          <w:sz w:val="24"/>
        </w:rPr>
      </w:pPr>
      <w:bookmarkStart w:id="64" w:name="_Toc23856"/>
      <w:bookmarkStart w:id="65" w:name="_Toc215282164"/>
      <w:r>
        <w:rPr>
          <w:rFonts w:hint="eastAsia" w:ascii="宋体" w:hAnsi="宋体" w:cs="宋体"/>
          <w:b/>
          <w:sz w:val="24"/>
        </w:rPr>
        <w:t>7. 合同授予</w:t>
      </w:r>
      <w:bookmarkEnd w:id="64"/>
      <w:bookmarkEnd w:id="65"/>
    </w:p>
    <w:p>
      <w:pPr>
        <w:autoSpaceDE w:val="0"/>
        <w:autoSpaceDN w:val="0"/>
        <w:adjustRightInd w:val="0"/>
        <w:snapToGrid w:val="0"/>
        <w:spacing w:line="360" w:lineRule="auto"/>
        <w:jc w:val="left"/>
        <w:rPr>
          <w:rFonts w:ascii="宋体" w:hAnsi="宋体" w:cs="宋体"/>
          <w:b/>
          <w:sz w:val="24"/>
        </w:rPr>
      </w:pPr>
      <w:bookmarkStart w:id="66" w:name="_Toc215282165"/>
      <w:r>
        <w:rPr>
          <w:rFonts w:hint="eastAsia" w:ascii="宋体" w:hAnsi="宋体" w:cs="宋体"/>
          <w:b/>
          <w:sz w:val="24"/>
        </w:rPr>
        <w:t>7.1 定标方式</w:t>
      </w:r>
      <w:bookmarkEnd w:id="66"/>
    </w:p>
    <w:p>
      <w:pPr>
        <w:adjustRightInd w:val="0"/>
        <w:snapToGrid w:val="0"/>
        <w:spacing w:line="360" w:lineRule="auto"/>
        <w:ind w:firstLine="480" w:firstLineChars="200"/>
        <w:rPr>
          <w:rFonts w:ascii="宋体" w:hAnsi="宋体" w:cs="宋体"/>
          <w:sz w:val="24"/>
        </w:rPr>
      </w:pPr>
      <w:bookmarkStart w:id="67" w:name="_Toc215282166"/>
      <w:r>
        <w:rPr>
          <w:rFonts w:hint="eastAsia" w:ascii="宋体" w:hAnsi="宋体" w:cs="宋体"/>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auto"/>
        <w:jc w:val="left"/>
        <w:rPr>
          <w:rFonts w:ascii="宋体" w:hAnsi="宋体" w:cs="宋体"/>
          <w:b/>
          <w:sz w:val="24"/>
        </w:rPr>
      </w:pPr>
      <w:r>
        <w:rPr>
          <w:rFonts w:hint="eastAsia" w:ascii="宋体" w:hAnsi="宋体" w:cs="宋体"/>
          <w:b/>
          <w:sz w:val="24"/>
        </w:rPr>
        <w:t>7.2 中标通知</w:t>
      </w:r>
      <w:bookmarkEnd w:id="6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在本章第3.3 款规定的投标有效期内，招标人以书面形式向中标人发出中标通知书，同时将中标结果通知未中标的投标人。</w:t>
      </w:r>
    </w:p>
    <w:p>
      <w:pPr>
        <w:autoSpaceDE w:val="0"/>
        <w:autoSpaceDN w:val="0"/>
        <w:adjustRightInd w:val="0"/>
        <w:snapToGrid w:val="0"/>
        <w:spacing w:line="360" w:lineRule="auto"/>
        <w:jc w:val="left"/>
        <w:rPr>
          <w:rFonts w:ascii="宋体" w:hAnsi="宋体" w:cs="宋体"/>
          <w:b/>
          <w:sz w:val="24"/>
        </w:rPr>
      </w:pPr>
      <w:bookmarkStart w:id="68" w:name="_Toc152042345"/>
      <w:bookmarkStart w:id="69" w:name="_Toc152045569"/>
      <w:bookmarkStart w:id="70" w:name="_Toc179632587"/>
      <w:bookmarkStart w:id="71" w:name="_Toc144974537"/>
      <w:bookmarkStart w:id="72" w:name="_Toc215282169"/>
      <w:r>
        <w:rPr>
          <w:rFonts w:hint="eastAsia" w:ascii="宋体" w:hAnsi="宋体" w:cs="宋体"/>
          <w:b/>
          <w:sz w:val="24"/>
        </w:rPr>
        <w:t>7.3</w:t>
      </w:r>
      <w:bookmarkEnd w:id="68"/>
      <w:bookmarkEnd w:id="69"/>
      <w:bookmarkEnd w:id="70"/>
      <w:bookmarkEnd w:id="71"/>
      <w:r>
        <w:rPr>
          <w:rFonts w:hint="eastAsia" w:ascii="宋体" w:hAnsi="宋体" w:cs="宋体"/>
          <w:b/>
          <w:sz w:val="24"/>
        </w:rPr>
        <w:t xml:space="preserve"> 履约担保</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7.3.1 在签订合同前，中标人应按投标人须知前附表规定的金额、担保形式和招标文件第四章“合同条款及格式”规定的履约担保格式向招标人提交履约担保。联合体中标的，其履约担保由牵头人递交，并应符合投标人须知前附表规定的金额、担保形式和招标文件第四章“合同条款及格式”规定的履约担保格式要求。此项属招标人的实质性要求，投标单位若无此承诺，取消其中标资格。</w:t>
      </w:r>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7.3.2 中标人不能按本章第7.3.1项要求提交履约担保的，视为放弃中标，其投标保证金不予退还，给招标人造成的损失超过投标保证金数额的，中标人还应当对超过部分予以赔偿。</w:t>
      </w:r>
    </w:p>
    <w:p>
      <w:pPr>
        <w:autoSpaceDE w:val="0"/>
        <w:autoSpaceDN w:val="0"/>
        <w:adjustRightInd w:val="0"/>
        <w:snapToGrid w:val="0"/>
        <w:spacing w:line="360" w:lineRule="auto"/>
        <w:jc w:val="left"/>
        <w:rPr>
          <w:rFonts w:ascii="宋体" w:hAnsi="宋体" w:cs="宋体"/>
          <w:b/>
          <w:sz w:val="24"/>
        </w:rPr>
      </w:pPr>
      <w:bookmarkStart w:id="73" w:name="_Toc144974538"/>
      <w:bookmarkStart w:id="74" w:name="_Toc179632588"/>
      <w:bookmarkStart w:id="75" w:name="_Toc152042346"/>
      <w:bookmarkStart w:id="76" w:name="_Toc152045570"/>
      <w:r>
        <w:rPr>
          <w:rFonts w:hint="eastAsia" w:ascii="宋体" w:hAnsi="宋体" w:cs="宋体"/>
          <w:b/>
          <w:sz w:val="24"/>
        </w:rPr>
        <w:t>7.4 签订合同</w:t>
      </w:r>
      <w:bookmarkEnd w:id="73"/>
      <w:bookmarkEnd w:id="74"/>
      <w:bookmarkEnd w:id="75"/>
      <w:bookmarkEnd w:id="76"/>
    </w:p>
    <w:p>
      <w:pPr>
        <w:autoSpaceDE w:val="0"/>
        <w:autoSpaceDN w:val="0"/>
        <w:adjustRightInd w:val="0"/>
        <w:snapToGrid w:val="0"/>
        <w:spacing w:line="360" w:lineRule="auto"/>
        <w:jc w:val="left"/>
        <w:rPr>
          <w:rFonts w:ascii="宋体" w:hAnsi="宋体" w:cs="宋体"/>
          <w:sz w:val="24"/>
        </w:rPr>
      </w:pPr>
      <w:r>
        <w:rPr>
          <w:rFonts w:hint="eastAsia" w:ascii="宋体" w:hAnsi="宋体" w:cs="宋体"/>
          <w:sz w:val="24"/>
        </w:rPr>
        <w:t xml:space="preserve">    7.4.1 招标人和中标人应当自中标通知书发出之日起30天内，根据招标文件和中标人的投标文件订立书面合同。中标人无正当理由拒签合同的，招标人取消其中标资格，其投标保证金不予退还；给招标人造成的损失超过投标保证金数额的，中标人还应当对超过部分予以赔偿。 </w:t>
      </w:r>
    </w:p>
    <w:p>
      <w:pPr>
        <w:autoSpaceDE w:val="0"/>
        <w:autoSpaceDN w:val="0"/>
        <w:adjustRightInd w:val="0"/>
        <w:snapToGrid w:val="0"/>
        <w:spacing w:line="360" w:lineRule="auto"/>
        <w:jc w:val="left"/>
        <w:rPr>
          <w:rFonts w:ascii="宋体" w:hAnsi="宋体" w:cs="宋体"/>
          <w:sz w:val="24"/>
        </w:rPr>
      </w:pPr>
      <w:bookmarkStart w:id="77" w:name="_Toc221950219"/>
      <w:r>
        <w:rPr>
          <w:rFonts w:hint="eastAsia" w:ascii="宋体" w:hAnsi="宋体" w:cs="宋体"/>
          <w:sz w:val="24"/>
        </w:rPr>
        <w:t xml:space="preserve">    7.4.2 发出中标通知书后，招标人无正当理由拒签合同的，招标人向中标人退还投标保证金，并按投标保证金双倍的金额赔偿投标人损失。</w:t>
      </w:r>
      <w:bookmarkEnd w:id="77"/>
    </w:p>
    <w:p>
      <w:pPr>
        <w:autoSpaceDE w:val="0"/>
        <w:autoSpaceDN w:val="0"/>
        <w:adjustRightInd w:val="0"/>
        <w:snapToGrid w:val="0"/>
        <w:spacing w:line="360" w:lineRule="auto"/>
        <w:jc w:val="left"/>
        <w:rPr>
          <w:rFonts w:ascii="宋体" w:hAnsi="宋体" w:cs="宋体"/>
          <w:b/>
          <w:sz w:val="24"/>
        </w:rPr>
      </w:pPr>
      <w:bookmarkStart w:id="78" w:name="_Toc19935"/>
      <w:r>
        <w:rPr>
          <w:rFonts w:hint="eastAsia" w:ascii="宋体" w:hAnsi="宋体" w:cs="宋体"/>
          <w:b/>
          <w:sz w:val="24"/>
        </w:rPr>
        <w:t>8. 重新招标和不再招标</w:t>
      </w:r>
      <w:bookmarkEnd w:id="72"/>
      <w:bookmarkEnd w:id="78"/>
    </w:p>
    <w:p>
      <w:pPr>
        <w:autoSpaceDE w:val="0"/>
        <w:autoSpaceDN w:val="0"/>
        <w:adjustRightInd w:val="0"/>
        <w:snapToGrid w:val="0"/>
        <w:spacing w:line="360" w:lineRule="auto"/>
        <w:jc w:val="left"/>
        <w:rPr>
          <w:rFonts w:ascii="宋体" w:hAnsi="宋体" w:cs="宋体"/>
          <w:b/>
          <w:sz w:val="24"/>
        </w:rPr>
      </w:pPr>
      <w:bookmarkStart w:id="79" w:name="_Toc215282170"/>
      <w:r>
        <w:rPr>
          <w:rFonts w:hint="eastAsia" w:ascii="宋体" w:hAnsi="宋体" w:cs="宋体"/>
          <w:b/>
          <w:sz w:val="24"/>
        </w:rPr>
        <w:t>8.1 重新招标</w:t>
      </w:r>
      <w:bookmarkEnd w:id="79"/>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有下列情形之一的，招标人将重新招标：</w:t>
      </w:r>
    </w:p>
    <w:p>
      <w:pPr>
        <w:numPr>
          <w:ilvl w:val="0"/>
          <w:numId w:val="4"/>
        </w:num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投标截止时间止，投标人少于3个的；</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（2）经评标委员会评审后否决所有投标的。</w:t>
      </w:r>
    </w:p>
    <w:p>
      <w:pPr>
        <w:autoSpaceDE w:val="0"/>
        <w:autoSpaceDN w:val="0"/>
        <w:adjustRightInd w:val="0"/>
        <w:snapToGrid w:val="0"/>
        <w:spacing w:line="360" w:lineRule="auto"/>
        <w:jc w:val="left"/>
        <w:rPr>
          <w:rFonts w:ascii="宋体" w:hAnsi="宋体" w:cs="宋体"/>
          <w:b/>
          <w:sz w:val="24"/>
        </w:rPr>
      </w:pPr>
      <w:bookmarkStart w:id="80" w:name="_Toc215282171"/>
      <w:r>
        <w:rPr>
          <w:rFonts w:hint="eastAsia" w:ascii="宋体" w:hAnsi="宋体" w:cs="宋体"/>
          <w:b/>
          <w:sz w:val="24"/>
        </w:rPr>
        <w:t>8.2 不再招标</w:t>
      </w:r>
      <w:bookmarkEnd w:id="80"/>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重新招标后投标人仍少于3个或者所有投标被否决的，属于必须审批或核准的工程建设项目，经原审批或核准部门批准后不再进行招标。</w:t>
      </w:r>
    </w:p>
    <w:p>
      <w:pPr>
        <w:autoSpaceDE w:val="0"/>
        <w:autoSpaceDN w:val="0"/>
        <w:adjustRightInd w:val="0"/>
        <w:snapToGrid w:val="0"/>
        <w:spacing w:line="360" w:lineRule="auto"/>
        <w:jc w:val="left"/>
        <w:rPr>
          <w:rFonts w:ascii="宋体" w:hAnsi="宋体" w:cs="宋体"/>
          <w:b/>
          <w:sz w:val="24"/>
        </w:rPr>
      </w:pPr>
      <w:bookmarkStart w:id="81" w:name="_Toc215282172"/>
      <w:bookmarkStart w:id="82" w:name="_Toc26940"/>
      <w:r>
        <w:rPr>
          <w:rFonts w:hint="eastAsia" w:ascii="宋体" w:hAnsi="宋体" w:cs="宋体"/>
          <w:b/>
          <w:sz w:val="24"/>
        </w:rPr>
        <w:t>9. 纪律和监督</w:t>
      </w:r>
      <w:bookmarkEnd w:id="81"/>
      <w:bookmarkEnd w:id="82"/>
    </w:p>
    <w:p>
      <w:pPr>
        <w:autoSpaceDE w:val="0"/>
        <w:autoSpaceDN w:val="0"/>
        <w:adjustRightInd w:val="0"/>
        <w:snapToGrid w:val="0"/>
        <w:spacing w:line="360" w:lineRule="auto"/>
        <w:ind w:firstLine="480" w:firstLineChars="200"/>
        <w:jc w:val="left"/>
        <w:rPr>
          <w:rFonts w:ascii="宋体" w:hAnsi="宋体" w:cs="宋体"/>
          <w:sz w:val="24"/>
        </w:rPr>
      </w:pPr>
      <w:bookmarkStart w:id="83" w:name="_Toc215282173"/>
      <w:r>
        <w:rPr>
          <w:rFonts w:hint="eastAsia" w:ascii="宋体" w:hAnsi="宋体" w:cs="宋体"/>
          <w:sz w:val="24"/>
        </w:rPr>
        <w:t>9.1 对招标人的纪律要求</w:t>
      </w:r>
      <w:bookmarkEnd w:id="83"/>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auto"/>
        <w:ind w:firstLine="480" w:firstLineChars="200"/>
        <w:jc w:val="left"/>
        <w:rPr>
          <w:rFonts w:ascii="宋体" w:hAnsi="宋体" w:cs="宋体"/>
          <w:sz w:val="24"/>
        </w:rPr>
      </w:pPr>
      <w:bookmarkStart w:id="84" w:name="_Toc215282174"/>
      <w:r>
        <w:rPr>
          <w:rFonts w:hint="eastAsia" w:ascii="宋体" w:hAnsi="宋体" w:cs="宋体"/>
          <w:sz w:val="24"/>
        </w:rPr>
        <w:t>9.2 对投标人的纪律要求</w:t>
      </w:r>
      <w:bookmarkEnd w:id="84"/>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360" w:lineRule="auto"/>
        <w:ind w:firstLine="480" w:firstLineChars="200"/>
        <w:jc w:val="left"/>
        <w:rPr>
          <w:rFonts w:ascii="宋体" w:hAnsi="宋体" w:cs="宋体"/>
          <w:sz w:val="24"/>
        </w:rPr>
      </w:pPr>
      <w:bookmarkStart w:id="85" w:name="_Toc215282175"/>
      <w:r>
        <w:rPr>
          <w:rFonts w:hint="eastAsia" w:ascii="宋体" w:hAnsi="宋体" w:cs="宋体"/>
          <w:sz w:val="24"/>
        </w:rPr>
        <w:t>9.3 对评标委员会成员的纪律要求</w:t>
      </w:r>
      <w:bookmarkEnd w:id="85"/>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360" w:lineRule="auto"/>
        <w:ind w:firstLine="480" w:firstLineChars="200"/>
        <w:jc w:val="left"/>
        <w:rPr>
          <w:rFonts w:ascii="宋体" w:hAnsi="宋体" w:cs="宋体"/>
          <w:sz w:val="24"/>
        </w:rPr>
      </w:pPr>
      <w:bookmarkStart w:id="86" w:name="_Toc215282176"/>
      <w:r>
        <w:rPr>
          <w:rFonts w:hint="eastAsia" w:ascii="宋体" w:hAnsi="宋体" w:cs="宋体"/>
          <w:sz w:val="24"/>
        </w:rPr>
        <w:t>9.4 对与评标活动有关的工作人员的纪律要求</w:t>
      </w:r>
      <w:bookmarkEnd w:id="86"/>
    </w:p>
    <w:p>
      <w:pPr>
        <w:autoSpaceDE w:val="0"/>
        <w:autoSpaceDN w:val="0"/>
        <w:adjustRightInd w:val="0"/>
        <w:snapToGrid w:val="0"/>
        <w:spacing w:line="360" w:lineRule="auto"/>
        <w:ind w:firstLine="480" w:firstLineChars="200"/>
        <w:jc w:val="left"/>
        <w:rPr>
          <w:rFonts w:ascii="宋体" w:hAnsi="宋体" w:cs="宋体"/>
          <w:sz w:val="24"/>
        </w:rPr>
      </w:pPr>
      <w:bookmarkStart w:id="87" w:name="_Toc215282177"/>
      <w:r>
        <w:rPr>
          <w:rFonts w:hint="eastAsia" w:ascii="宋体"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9.5 投诉</w:t>
      </w:r>
      <w:bookmarkEnd w:id="87"/>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投标人和其他利害关系人认为本次招标活动违反法律、法规和规章规定的，有权向有关行政监督部门投诉。</w:t>
      </w:r>
    </w:p>
    <w:p>
      <w:pPr>
        <w:autoSpaceDE w:val="0"/>
        <w:autoSpaceDN w:val="0"/>
        <w:adjustRightInd w:val="0"/>
        <w:snapToGrid w:val="0"/>
        <w:spacing w:line="360" w:lineRule="auto"/>
        <w:jc w:val="left"/>
        <w:rPr>
          <w:rFonts w:ascii="宋体" w:hAnsi="宋体" w:cs="宋体"/>
          <w:b/>
          <w:sz w:val="24"/>
        </w:rPr>
      </w:pPr>
      <w:bookmarkStart w:id="88" w:name="_Toc10389"/>
      <w:r>
        <w:rPr>
          <w:rFonts w:hint="eastAsia" w:ascii="宋体" w:hAnsi="宋体" w:cs="宋体"/>
          <w:b/>
          <w:sz w:val="24"/>
        </w:rPr>
        <w:t>10.需要补充的其他内容</w:t>
      </w:r>
      <w:bookmarkEnd w:id="88"/>
    </w:p>
    <w:p>
      <w:pPr>
        <w:autoSpaceDE w:val="0"/>
        <w:autoSpaceDN w:val="0"/>
        <w:adjustRightInd w:val="0"/>
        <w:snapToGrid w:val="0"/>
        <w:spacing w:line="360" w:lineRule="auto"/>
        <w:ind w:firstLine="480" w:firstLineChars="200"/>
        <w:jc w:val="left"/>
        <w:rPr>
          <w:rFonts w:ascii="宋体" w:hAnsi="宋体" w:cs="宋体"/>
          <w:sz w:val="24"/>
        </w:rPr>
      </w:pPr>
      <w:r>
        <w:rPr>
          <w:rFonts w:hint="eastAsia" w:ascii="宋体" w:hAnsi="宋体" w:cs="宋体"/>
          <w:sz w:val="24"/>
        </w:rPr>
        <w:t>需要补充的其他内容：详见投标人须知前附表。</w:t>
      </w:r>
    </w:p>
    <w:p>
      <w:pPr>
        <w:pStyle w:val="7"/>
        <w:ind w:firstLine="240"/>
        <w:rPr>
          <w:rFonts w:ascii="宋体" w:hAnsi="宋体" w:cs="宋体"/>
          <w:sz w:val="24"/>
        </w:rPr>
      </w:pPr>
    </w:p>
    <w:p>
      <w:pPr>
        <w:pStyle w:val="7"/>
        <w:ind w:firstLine="240"/>
        <w:rPr>
          <w:rFonts w:ascii="宋体" w:hAnsi="宋体" w:cs="宋体"/>
          <w:sz w:val="24"/>
        </w:rPr>
      </w:pPr>
    </w:p>
    <w:p>
      <w:pPr>
        <w:autoSpaceDE w:val="0"/>
        <w:autoSpaceDN w:val="0"/>
        <w:adjustRightInd w:val="0"/>
        <w:spacing w:line="312" w:lineRule="auto"/>
        <w:jc w:val="left"/>
        <w:outlineLvl w:val="2"/>
        <w:rPr>
          <w:rFonts w:ascii="宋体" w:hAnsi="宋体" w:cs="宋体"/>
          <w:b/>
          <w:sz w:val="24"/>
        </w:rPr>
      </w:pPr>
      <w:bookmarkStart w:id="89" w:name="_Toc5248"/>
      <w:bookmarkStart w:id="90" w:name="_Toc26838"/>
      <w:bookmarkStart w:id="91" w:name="_Toc22712"/>
      <w:bookmarkStart w:id="92" w:name="_Toc20265"/>
      <w:r>
        <w:rPr>
          <w:rFonts w:hint="eastAsia" w:ascii="宋体" w:hAnsi="宋体" w:cs="宋体"/>
          <w:b/>
          <w:sz w:val="24"/>
        </w:rPr>
        <w:br w:type="page"/>
      </w:r>
    </w:p>
    <w:p>
      <w:pPr>
        <w:spacing w:line="312" w:lineRule="auto"/>
        <w:jc w:val="left"/>
        <w:outlineLvl w:val="2"/>
        <w:rPr>
          <w:rFonts w:ascii="宋体" w:hAnsi="宋体" w:cs="宋体"/>
          <w:sz w:val="24"/>
        </w:rPr>
      </w:pPr>
      <w:r>
        <w:rPr>
          <w:rFonts w:hint="eastAsia" w:ascii="宋体" w:hAnsi="宋体" w:cs="宋体"/>
          <w:b/>
          <w:sz w:val="24"/>
        </w:rPr>
        <w:t>附表一：</w:t>
      </w:r>
      <w:bookmarkEnd w:id="89"/>
      <w:bookmarkEnd w:id="90"/>
      <w:bookmarkEnd w:id="91"/>
      <w:bookmarkEnd w:id="92"/>
      <w:r>
        <w:rPr>
          <w:rFonts w:hint="eastAsia" w:ascii="宋体" w:hAnsi="宋体" w:cs="宋体"/>
          <w:b/>
          <w:sz w:val="24"/>
        </w:rPr>
        <w:t>开标记录表</w:t>
      </w:r>
    </w:p>
    <w:p>
      <w:pPr>
        <w:spacing w:line="312" w:lineRule="auto"/>
        <w:jc w:val="center"/>
        <w:rPr>
          <w:b/>
          <w:bCs/>
          <w:sz w:val="28"/>
          <w:szCs w:val="28"/>
        </w:rPr>
      </w:pPr>
      <w:r>
        <w:rPr>
          <w:rFonts w:hint="eastAsia"/>
          <w:b/>
          <w:bCs/>
          <w:sz w:val="28"/>
          <w:szCs w:val="28"/>
        </w:rPr>
        <w:t xml:space="preserve"> 开 标 记 录</w:t>
      </w:r>
    </w:p>
    <w:p>
      <w:pPr>
        <w:spacing w:line="312" w:lineRule="auto"/>
        <w:rPr>
          <w:sz w:val="24"/>
        </w:rPr>
      </w:pPr>
      <w:r>
        <w:rPr>
          <w:rFonts w:hint="eastAsia"/>
          <w:sz w:val="24"/>
        </w:rPr>
        <w:t xml:space="preserve">                                                                年  月  日</w:t>
      </w:r>
    </w:p>
    <w:tbl>
      <w:tblPr>
        <w:tblStyle w:val="21"/>
        <w:tblW w:w="95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042"/>
        <w:gridCol w:w="929"/>
        <w:gridCol w:w="727"/>
        <w:gridCol w:w="1153"/>
        <w:gridCol w:w="948"/>
        <w:gridCol w:w="720"/>
        <w:gridCol w:w="840"/>
        <w:gridCol w:w="720"/>
        <w:gridCol w:w="18"/>
        <w:gridCol w:w="1022"/>
        <w:gridCol w:w="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rPr>
                <w:sz w:val="24"/>
              </w:rPr>
            </w:pPr>
            <w:r>
              <w:rPr>
                <w:rFonts w:hint="eastAsia"/>
                <w:sz w:val="24"/>
              </w:rPr>
              <w:t>招标单位</w:t>
            </w:r>
          </w:p>
        </w:tc>
        <w:tc>
          <w:tcPr>
            <w:tcW w:w="7905" w:type="dxa"/>
            <w:gridSpan w:val="10"/>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1668" w:type="dxa"/>
            <w:gridSpan w:val="2"/>
          </w:tcPr>
          <w:p>
            <w:pPr>
              <w:spacing w:line="312" w:lineRule="auto"/>
              <w:rPr>
                <w:sz w:val="24"/>
              </w:rPr>
            </w:pPr>
            <w:r>
              <w:rPr>
                <w:rFonts w:hint="eastAsia"/>
                <w:sz w:val="24"/>
              </w:rPr>
              <w:t>项目名称+</w:t>
            </w:r>
          </w:p>
        </w:tc>
        <w:tc>
          <w:tcPr>
            <w:tcW w:w="7905" w:type="dxa"/>
            <w:gridSpan w:val="10"/>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668" w:type="dxa"/>
            <w:gridSpan w:val="2"/>
          </w:tcPr>
          <w:p>
            <w:pPr>
              <w:spacing w:line="312" w:lineRule="auto"/>
              <w:rPr>
                <w:sz w:val="24"/>
              </w:rPr>
            </w:pPr>
            <w:r>
              <w:rPr>
                <w:rFonts w:hint="eastAsia"/>
                <w:sz w:val="24"/>
              </w:rPr>
              <w:t>开标地点</w:t>
            </w:r>
          </w:p>
        </w:tc>
        <w:tc>
          <w:tcPr>
            <w:tcW w:w="7905" w:type="dxa"/>
            <w:gridSpan w:val="10"/>
          </w:tcPr>
          <w:p>
            <w:pPr>
              <w:spacing w:line="312" w:lineRule="auto"/>
              <w:rPr>
                <w:sz w:val="24"/>
              </w:rPr>
            </w:pPr>
            <w:r>
              <w:rPr>
                <w:rFonts w:hint="eastAsia"/>
                <w:sz w:val="24"/>
              </w:rPr>
              <w:t>许昌市公共资源交易中心开标（  ）室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9573" w:type="dxa"/>
            <w:gridSpan w:val="12"/>
          </w:tcPr>
          <w:p>
            <w:pPr>
              <w:spacing w:line="312" w:lineRule="auto"/>
              <w:rPr>
                <w:sz w:val="24"/>
              </w:rPr>
            </w:pPr>
            <w:r>
              <w:rPr>
                <w:rFonts w:hint="eastAsia"/>
                <w:sz w:val="24"/>
              </w:rPr>
              <w:t>仅对《投标保证金提交名单》中的投标企业进行唱标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5" w:hRule="atLeast"/>
          <w:jc w:val="center"/>
        </w:trPr>
        <w:tc>
          <w:tcPr>
            <w:tcW w:w="626" w:type="dxa"/>
            <w:vMerge w:val="restart"/>
            <w:vAlign w:val="center"/>
          </w:tcPr>
          <w:p>
            <w:pPr>
              <w:spacing w:line="312" w:lineRule="auto"/>
              <w:rPr>
                <w:sz w:val="24"/>
              </w:rPr>
            </w:pPr>
            <w:r>
              <w:rPr>
                <w:rFonts w:hint="eastAsia"/>
                <w:sz w:val="24"/>
              </w:rPr>
              <w:t>投标</w:t>
            </w:r>
          </w:p>
          <w:p>
            <w:pPr>
              <w:spacing w:line="312" w:lineRule="auto"/>
              <w:rPr>
                <w:sz w:val="24"/>
              </w:rPr>
            </w:pPr>
            <w:r>
              <w:rPr>
                <w:rFonts w:hint="eastAsia"/>
                <w:sz w:val="24"/>
              </w:rPr>
              <w:t>文件</w:t>
            </w:r>
          </w:p>
          <w:p>
            <w:pPr>
              <w:spacing w:line="312" w:lineRule="auto"/>
              <w:rPr>
                <w:sz w:val="24"/>
              </w:rPr>
            </w:pPr>
            <w:r>
              <w:rPr>
                <w:rFonts w:hint="eastAsia"/>
                <w:sz w:val="24"/>
              </w:rPr>
              <w:t>的主</w:t>
            </w:r>
          </w:p>
          <w:p>
            <w:pPr>
              <w:spacing w:line="312" w:lineRule="auto"/>
              <w:rPr>
                <w:sz w:val="24"/>
              </w:rPr>
            </w:pPr>
            <w:r>
              <w:rPr>
                <w:rFonts w:hint="eastAsia"/>
                <w:sz w:val="24"/>
              </w:rPr>
              <w:t>要内</w:t>
            </w:r>
          </w:p>
          <w:p>
            <w:pPr>
              <w:spacing w:line="312" w:lineRule="auto"/>
              <w:rPr>
                <w:sz w:val="24"/>
              </w:rPr>
            </w:pPr>
            <w:r>
              <w:rPr>
                <w:rFonts w:hint="eastAsia"/>
                <w:sz w:val="24"/>
              </w:rPr>
              <w:t>容</w:t>
            </w:r>
          </w:p>
        </w:tc>
        <w:tc>
          <w:tcPr>
            <w:tcW w:w="2698" w:type="dxa"/>
            <w:gridSpan w:val="3"/>
            <w:vAlign w:val="center"/>
          </w:tcPr>
          <w:p>
            <w:pPr>
              <w:spacing w:line="312" w:lineRule="auto"/>
              <w:jc w:val="center"/>
              <w:rPr>
                <w:sz w:val="24"/>
              </w:rPr>
            </w:pPr>
            <w:r>
              <w:rPr>
                <w:rFonts w:hint="eastAsia"/>
                <w:sz w:val="24"/>
              </w:rPr>
              <w:t>投标单位</w:t>
            </w:r>
          </w:p>
        </w:tc>
        <w:tc>
          <w:tcPr>
            <w:tcW w:w="1153" w:type="dxa"/>
            <w:vAlign w:val="center"/>
          </w:tcPr>
          <w:p>
            <w:pPr>
              <w:spacing w:line="312" w:lineRule="auto"/>
              <w:jc w:val="center"/>
              <w:rPr>
                <w:sz w:val="24"/>
              </w:rPr>
            </w:pPr>
            <w:r>
              <w:rPr>
                <w:rFonts w:hint="eastAsia"/>
                <w:sz w:val="24"/>
              </w:rPr>
              <w:t>投标</w:t>
            </w:r>
          </w:p>
          <w:p>
            <w:pPr>
              <w:spacing w:line="312" w:lineRule="auto"/>
              <w:jc w:val="center"/>
              <w:rPr>
                <w:sz w:val="24"/>
              </w:rPr>
            </w:pPr>
            <w:r>
              <w:rPr>
                <w:rFonts w:hint="eastAsia"/>
                <w:sz w:val="24"/>
              </w:rPr>
              <w:t>报价</w:t>
            </w:r>
          </w:p>
          <w:p>
            <w:pPr>
              <w:spacing w:line="312" w:lineRule="auto"/>
              <w:jc w:val="center"/>
              <w:rPr>
                <w:sz w:val="24"/>
              </w:rPr>
            </w:pPr>
            <w:r>
              <w:rPr>
                <w:rFonts w:hint="eastAsia"/>
                <w:sz w:val="24"/>
              </w:rPr>
              <w:t>（万元）</w:t>
            </w:r>
          </w:p>
        </w:tc>
        <w:tc>
          <w:tcPr>
            <w:tcW w:w="948" w:type="dxa"/>
            <w:vAlign w:val="center"/>
          </w:tcPr>
          <w:p>
            <w:pPr>
              <w:spacing w:line="312" w:lineRule="auto"/>
              <w:jc w:val="center"/>
              <w:rPr>
                <w:sz w:val="24"/>
              </w:rPr>
            </w:pPr>
            <w:r>
              <w:rPr>
                <w:rFonts w:hint="eastAsia"/>
                <w:sz w:val="24"/>
              </w:rPr>
              <w:t>工期</w:t>
            </w:r>
          </w:p>
          <w:p>
            <w:pPr>
              <w:spacing w:line="312" w:lineRule="auto"/>
              <w:jc w:val="center"/>
              <w:rPr>
                <w:sz w:val="24"/>
              </w:rPr>
            </w:pPr>
            <w:r>
              <w:rPr>
                <w:rFonts w:hint="eastAsia"/>
                <w:sz w:val="24"/>
              </w:rPr>
              <w:t>（日历天）</w:t>
            </w:r>
          </w:p>
        </w:tc>
        <w:tc>
          <w:tcPr>
            <w:tcW w:w="720" w:type="dxa"/>
            <w:vAlign w:val="center"/>
          </w:tcPr>
          <w:p>
            <w:pPr>
              <w:spacing w:line="312" w:lineRule="auto"/>
              <w:jc w:val="center"/>
              <w:rPr>
                <w:sz w:val="24"/>
              </w:rPr>
            </w:pPr>
            <w:r>
              <w:rPr>
                <w:rFonts w:hint="eastAsia"/>
                <w:sz w:val="24"/>
              </w:rPr>
              <w:t>质量要求</w:t>
            </w:r>
          </w:p>
        </w:tc>
        <w:tc>
          <w:tcPr>
            <w:tcW w:w="840" w:type="dxa"/>
            <w:vAlign w:val="center"/>
          </w:tcPr>
          <w:p>
            <w:pPr>
              <w:spacing w:line="312" w:lineRule="auto"/>
              <w:jc w:val="center"/>
              <w:rPr>
                <w:sz w:val="24"/>
              </w:rPr>
            </w:pPr>
            <w:r>
              <w:rPr>
                <w:rFonts w:hint="eastAsia"/>
                <w:sz w:val="24"/>
              </w:rPr>
              <w:t>拟派技术负责人</w:t>
            </w:r>
          </w:p>
        </w:tc>
        <w:tc>
          <w:tcPr>
            <w:tcW w:w="738" w:type="dxa"/>
            <w:gridSpan w:val="2"/>
            <w:vAlign w:val="center"/>
          </w:tcPr>
          <w:p>
            <w:pPr>
              <w:spacing w:line="312" w:lineRule="auto"/>
              <w:jc w:val="center"/>
              <w:rPr>
                <w:sz w:val="24"/>
              </w:rPr>
            </w:pPr>
            <w:r>
              <w:rPr>
                <w:rFonts w:hint="eastAsia"/>
                <w:sz w:val="24"/>
              </w:rPr>
              <w:t>密封</w:t>
            </w:r>
          </w:p>
          <w:p>
            <w:pPr>
              <w:spacing w:line="312" w:lineRule="auto"/>
              <w:jc w:val="center"/>
              <w:rPr>
                <w:sz w:val="24"/>
              </w:rPr>
            </w:pPr>
            <w:r>
              <w:rPr>
                <w:rFonts w:hint="eastAsia"/>
                <w:sz w:val="24"/>
              </w:rPr>
              <w:t>情况</w:t>
            </w:r>
          </w:p>
        </w:tc>
        <w:tc>
          <w:tcPr>
            <w:tcW w:w="1022" w:type="dxa"/>
            <w:vAlign w:val="center"/>
          </w:tcPr>
          <w:p>
            <w:pPr>
              <w:spacing w:line="312" w:lineRule="auto"/>
              <w:jc w:val="center"/>
              <w:rPr>
                <w:sz w:val="24"/>
              </w:rPr>
            </w:pPr>
            <w:r>
              <w:rPr>
                <w:rFonts w:hint="eastAsia"/>
                <w:sz w:val="24"/>
              </w:rPr>
              <w:t>对本次开标过程是否有异议</w:t>
            </w:r>
          </w:p>
        </w:tc>
        <w:tc>
          <w:tcPr>
            <w:tcW w:w="828" w:type="dxa"/>
            <w:vAlign w:val="center"/>
          </w:tcPr>
          <w:p>
            <w:pPr>
              <w:spacing w:line="312" w:lineRule="auto"/>
              <w:jc w:val="center"/>
              <w:rPr>
                <w:sz w:val="24"/>
              </w:rPr>
            </w:pPr>
            <w:r>
              <w:rPr>
                <w:rFonts w:hint="eastAsia"/>
                <w:sz w:val="24"/>
              </w:rPr>
              <w:t>签字</w:t>
            </w:r>
          </w:p>
          <w:p>
            <w:pPr>
              <w:spacing w:line="312" w:lineRule="auto"/>
              <w:jc w:val="center"/>
              <w:rPr>
                <w:sz w:val="24"/>
              </w:rPr>
            </w:pPr>
            <w:r>
              <w:rPr>
                <w:rFonts w:hint="eastAsia"/>
                <w:sz w:val="24"/>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vAlign w:val="center"/>
          </w:tcPr>
          <w:p>
            <w:pPr>
              <w:spacing w:line="312" w:lineRule="auto"/>
              <w:rPr>
                <w:sz w:val="24"/>
              </w:rPr>
            </w:pPr>
          </w:p>
        </w:tc>
        <w:tc>
          <w:tcPr>
            <w:tcW w:w="1153" w:type="dxa"/>
            <w:vAlign w:val="center"/>
          </w:tcPr>
          <w:p>
            <w:pPr>
              <w:spacing w:line="312" w:lineRule="auto"/>
              <w:rPr>
                <w:sz w:val="24"/>
              </w:rPr>
            </w:pPr>
          </w:p>
        </w:tc>
        <w:tc>
          <w:tcPr>
            <w:tcW w:w="948" w:type="dxa"/>
            <w:vAlign w:val="center"/>
          </w:tcPr>
          <w:p>
            <w:pPr>
              <w:spacing w:line="312" w:lineRule="auto"/>
              <w:rPr>
                <w:sz w:val="24"/>
              </w:rPr>
            </w:pPr>
          </w:p>
        </w:tc>
        <w:tc>
          <w:tcPr>
            <w:tcW w:w="720" w:type="dxa"/>
            <w:vAlign w:val="center"/>
          </w:tcPr>
          <w:p>
            <w:pPr>
              <w:spacing w:line="312" w:lineRule="auto"/>
              <w:rPr>
                <w:sz w:val="24"/>
              </w:rPr>
            </w:pPr>
          </w:p>
        </w:tc>
        <w:tc>
          <w:tcPr>
            <w:tcW w:w="840" w:type="dxa"/>
            <w:vAlign w:val="center"/>
          </w:tcPr>
          <w:p>
            <w:pPr>
              <w:spacing w:line="312" w:lineRule="auto"/>
              <w:rPr>
                <w:sz w:val="24"/>
              </w:rPr>
            </w:pPr>
          </w:p>
        </w:tc>
        <w:tc>
          <w:tcPr>
            <w:tcW w:w="738" w:type="dxa"/>
            <w:gridSpan w:val="2"/>
            <w:vAlign w:val="center"/>
          </w:tcPr>
          <w:p>
            <w:pPr>
              <w:spacing w:line="312" w:lineRule="auto"/>
              <w:rPr>
                <w:sz w:val="24"/>
              </w:rPr>
            </w:pPr>
          </w:p>
        </w:tc>
        <w:tc>
          <w:tcPr>
            <w:tcW w:w="1022" w:type="dxa"/>
            <w:vAlign w:val="center"/>
          </w:tcPr>
          <w:p>
            <w:pPr>
              <w:spacing w:line="312" w:lineRule="auto"/>
              <w:rPr>
                <w:sz w:val="24"/>
              </w:rPr>
            </w:pPr>
          </w:p>
        </w:tc>
        <w:tc>
          <w:tcPr>
            <w:tcW w:w="828" w:type="dxa"/>
            <w:vAlign w:val="center"/>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626" w:type="dxa"/>
            <w:vMerge w:val="continue"/>
            <w:vAlign w:val="center"/>
          </w:tcPr>
          <w:p>
            <w:pPr>
              <w:spacing w:line="312" w:lineRule="auto"/>
              <w:rPr>
                <w:sz w:val="24"/>
              </w:rPr>
            </w:pPr>
          </w:p>
        </w:tc>
        <w:tc>
          <w:tcPr>
            <w:tcW w:w="2698" w:type="dxa"/>
            <w:gridSpan w:val="3"/>
          </w:tcPr>
          <w:p>
            <w:pPr>
              <w:spacing w:line="312" w:lineRule="auto"/>
              <w:rPr>
                <w:sz w:val="24"/>
              </w:rPr>
            </w:pPr>
          </w:p>
        </w:tc>
        <w:tc>
          <w:tcPr>
            <w:tcW w:w="1153" w:type="dxa"/>
          </w:tcPr>
          <w:p>
            <w:pPr>
              <w:spacing w:line="312" w:lineRule="auto"/>
              <w:rPr>
                <w:sz w:val="24"/>
              </w:rPr>
            </w:pPr>
          </w:p>
        </w:tc>
        <w:tc>
          <w:tcPr>
            <w:tcW w:w="948" w:type="dxa"/>
          </w:tcPr>
          <w:p>
            <w:pPr>
              <w:spacing w:line="312" w:lineRule="auto"/>
              <w:rPr>
                <w:sz w:val="24"/>
              </w:rPr>
            </w:pPr>
          </w:p>
        </w:tc>
        <w:tc>
          <w:tcPr>
            <w:tcW w:w="720" w:type="dxa"/>
          </w:tcPr>
          <w:p>
            <w:pPr>
              <w:spacing w:line="312" w:lineRule="auto"/>
              <w:rPr>
                <w:sz w:val="24"/>
              </w:rPr>
            </w:pPr>
          </w:p>
        </w:tc>
        <w:tc>
          <w:tcPr>
            <w:tcW w:w="840" w:type="dxa"/>
          </w:tcPr>
          <w:p>
            <w:pPr>
              <w:spacing w:line="312" w:lineRule="auto"/>
              <w:rPr>
                <w:sz w:val="24"/>
              </w:rPr>
            </w:pPr>
          </w:p>
        </w:tc>
        <w:tc>
          <w:tcPr>
            <w:tcW w:w="738" w:type="dxa"/>
            <w:gridSpan w:val="2"/>
          </w:tcPr>
          <w:p>
            <w:pPr>
              <w:spacing w:line="312" w:lineRule="auto"/>
              <w:rPr>
                <w:sz w:val="24"/>
              </w:rPr>
            </w:pPr>
          </w:p>
        </w:tc>
        <w:tc>
          <w:tcPr>
            <w:tcW w:w="1022" w:type="dxa"/>
          </w:tcPr>
          <w:p>
            <w:pPr>
              <w:spacing w:line="312" w:lineRule="auto"/>
              <w:rPr>
                <w:sz w:val="24"/>
              </w:rPr>
            </w:pPr>
          </w:p>
        </w:tc>
        <w:tc>
          <w:tcPr>
            <w:tcW w:w="828" w:type="dxa"/>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招标控制价</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ascii="宋体" w:hAnsi="宋体"/>
                <w:sz w:val="24"/>
              </w:rPr>
              <w:t>α值</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1" w:hRule="atLeast"/>
          <w:jc w:val="center"/>
        </w:trPr>
        <w:tc>
          <w:tcPr>
            <w:tcW w:w="2597" w:type="dxa"/>
            <w:gridSpan w:val="3"/>
            <w:vAlign w:val="center"/>
          </w:tcPr>
          <w:p>
            <w:pPr>
              <w:spacing w:line="312" w:lineRule="auto"/>
              <w:jc w:val="center"/>
              <w:rPr>
                <w:sz w:val="24"/>
              </w:rPr>
            </w:pPr>
            <w:r>
              <w:rPr>
                <w:rFonts w:hint="eastAsia"/>
                <w:sz w:val="24"/>
              </w:rPr>
              <w:t>目标工期</w:t>
            </w:r>
          </w:p>
        </w:tc>
        <w:tc>
          <w:tcPr>
            <w:tcW w:w="2828" w:type="dxa"/>
            <w:gridSpan w:val="3"/>
            <w:vAlign w:val="center"/>
          </w:tcPr>
          <w:p>
            <w:pPr>
              <w:spacing w:line="312" w:lineRule="auto"/>
              <w:jc w:val="center"/>
              <w:rPr>
                <w:sz w:val="24"/>
              </w:rPr>
            </w:pPr>
            <w:r>
              <w:rPr>
                <w:rFonts w:hint="eastAsia"/>
                <w:sz w:val="24"/>
              </w:rPr>
              <w:t>日历天</w:t>
            </w:r>
          </w:p>
        </w:tc>
        <w:tc>
          <w:tcPr>
            <w:tcW w:w="2280" w:type="dxa"/>
            <w:gridSpan w:val="3"/>
            <w:vAlign w:val="center"/>
          </w:tcPr>
          <w:p>
            <w:pPr>
              <w:spacing w:line="312" w:lineRule="auto"/>
              <w:jc w:val="center"/>
              <w:rPr>
                <w:sz w:val="24"/>
              </w:rPr>
            </w:pPr>
            <w:r>
              <w:rPr>
                <w:rFonts w:hint="eastAsia"/>
                <w:sz w:val="24"/>
              </w:rPr>
              <w:t>质量要求</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2597" w:type="dxa"/>
            <w:gridSpan w:val="3"/>
            <w:vAlign w:val="center"/>
          </w:tcPr>
          <w:p>
            <w:pPr>
              <w:spacing w:line="312" w:lineRule="auto"/>
              <w:jc w:val="center"/>
              <w:rPr>
                <w:sz w:val="24"/>
              </w:rPr>
            </w:pPr>
            <w:r>
              <w:rPr>
                <w:rFonts w:hint="eastAsia"/>
                <w:sz w:val="24"/>
              </w:rPr>
              <w:t>招 标 人</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sz w:val="24"/>
              </w:rPr>
              <w:t>代理机构人员</w:t>
            </w:r>
          </w:p>
        </w:tc>
        <w:tc>
          <w:tcPr>
            <w:tcW w:w="1868" w:type="dxa"/>
            <w:gridSpan w:val="3"/>
          </w:tcPr>
          <w:p>
            <w:pPr>
              <w:spacing w:line="312"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0" w:hRule="atLeast"/>
          <w:jc w:val="center"/>
        </w:trPr>
        <w:tc>
          <w:tcPr>
            <w:tcW w:w="2597" w:type="dxa"/>
            <w:gridSpan w:val="3"/>
            <w:vAlign w:val="center"/>
          </w:tcPr>
          <w:p>
            <w:pPr>
              <w:spacing w:line="312" w:lineRule="auto"/>
              <w:jc w:val="center"/>
              <w:rPr>
                <w:sz w:val="24"/>
              </w:rPr>
            </w:pPr>
            <w:r>
              <w:rPr>
                <w:rFonts w:hint="eastAsia"/>
                <w:sz w:val="24"/>
              </w:rPr>
              <w:t>监督人员</w:t>
            </w:r>
          </w:p>
        </w:tc>
        <w:tc>
          <w:tcPr>
            <w:tcW w:w="2828" w:type="dxa"/>
            <w:gridSpan w:val="3"/>
          </w:tcPr>
          <w:p>
            <w:pPr>
              <w:spacing w:line="312" w:lineRule="auto"/>
              <w:rPr>
                <w:sz w:val="24"/>
              </w:rPr>
            </w:pPr>
          </w:p>
        </w:tc>
        <w:tc>
          <w:tcPr>
            <w:tcW w:w="2280" w:type="dxa"/>
            <w:gridSpan w:val="3"/>
            <w:vAlign w:val="center"/>
          </w:tcPr>
          <w:p>
            <w:pPr>
              <w:spacing w:line="312" w:lineRule="auto"/>
              <w:jc w:val="center"/>
              <w:rPr>
                <w:sz w:val="24"/>
              </w:rPr>
            </w:pPr>
            <w:r>
              <w:rPr>
                <w:rFonts w:hint="eastAsia"/>
                <w:sz w:val="24"/>
              </w:rPr>
              <w:t>中心见证人员</w:t>
            </w:r>
          </w:p>
        </w:tc>
        <w:tc>
          <w:tcPr>
            <w:tcW w:w="1868" w:type="dxa"/>
            <w:gridSpan w:val="3"/>
          </w:tcPr>
          <w:p>
            <w:pPr>
              <w:spacing w:line="312" w:lineRule="auto"/>
              <w:rPr>
                <w:sz w:val="24"/>
              </w:rPr>
            </w:pPr>
          </w:p>
        </w:tc>
      </w:tr>
    </w:tbl>
    <w:p>
      <w:pPr>
        <w:spacing w:line="312" w:lineRule="auto"/>
        <w:jc w:val="left"/>
        <w:outlineLvl w:val="2"/>
        <w:rPr>
          <w:rFonts w:ascii="宋体" w:hAnsi="宋体" w:cs="宋体"/>
          <w:b/>
          <w:sz w:val="24"/>
        </w:rPr>
      </w:pPr>
    </w:p>
    <w:p>
      <w:pPr>
        <w:spacing w:line="312" w:lineRule="auto"/>
        <w:outlineLvl w:val="2"/>
        <w:rPr>
          <w:rFonts w:ascii="宋体" w:hAnsi="宋体" w:cs="宋体"/>
          <w:b/>
          <w:sz w:val="24"/>
        </w:rPr>
      </w:pPr>
      <w:r>
        <w:rPr>
          <w:rFonts w:hint="eastAsia" w:ascii="宋体" w:hAnsi="宋体" w:cs="宋体"/>
          <w:b/>
          <w:sz w:val="24"/>
        </w:rPr>
        <w:br w:type="page"/>
      </w:r>
      <w:r>
        <w:rPr>
          <w:rFonts w:hint="eastAsia" w:ascii="宋体" w:hAnsi="宋体" w:cs="宋体"/>
          <w:b/>
          <w:sz w:val="24"/>
        </w:rPr>
        <w:t>附表二：</w:t>
      </w:r>
      <w:bookmarkStart w:id="93" w:name="_Toc32640"/>
      <w:r>
        <w:rPr>
          <w:rFonts w:hint="eastAsia" w:ascii="宋体" w:hAnsi="宋体" w:cs="宋体"/>
          <w:b/>
          <w:sz w:val="24"/>
        </w:rPr>
        <w:t>问题澄清通知</w:t>
      </w:r>
      <w:bookmarkEnd w:id="93"/>
    </w:p>
    <w:p>
      <w:pPr>
        <w:spacing w:beforeLines="100" w:afterLines="100" w:line="312" w:lineRule="auto"/>
        <w:jc w:val="center"/>
        <w:rPr>
          <w:rFonts w:ascii="宋体" w:hAnsi="宋体" w:cs="宋体"/>
          <w:sz w:val="24"/>
        </w:rPr>
      </w:pPr>
      <w:r>
        <w:rPr>
          <w:rFonts w:hint="eastAsia" w:ascii="宋体" w:hAnsi="宋体" w:cs="宋体"/>
          <w:sz w:val="24"/>
        </w:rPr>
        <w:t>问题澄清通知</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ind w:firstLine="480" w:firstLineChars="200"/>
        <w:rPr>
          <w:rFonts w:ascii="宋体" w:hAnsi="宋体" w:cs="宋体"/>
          <w:sz w:val="24"/>
        </w:rPr>
      </w:pPr>
      <w:r>
        <w:rPr>
          <w:rFonts w:hint="eastAsia" w:ascii="宋体" w:hAnsi="宋体" w:cs="宋体"/>
          <w:sz w:val="24"/>
        </w:rPr>
        <w:t>（投标人名称）：</w:t>
      </w:r>
    </w:p>
    <w:p>
      <w:pPr>
        <w:spacing w:line="312" w:lineRule="auto"/>
        <w:ind w:firstLine="480" w:firstLineChars="200"/>
        <w:rPr>
          <w:rFonts w:ascii="宋体" w:hAnsi="宋体" w:cs="宋体"/>
          <w:sz w:val="24"/>
        </w:rPr>
      </w:pPr>
      <w:r>
        <w:rPr>
          <w:rFonts w:hint="eastAsia" w:ascii="宋体" w:hAnsi="宋体" w:cs="宋体"/>
          <w:sz w:val="24"/>
        </w:rPr>
        <w:t>（项目名称）招标的评标委员会，对你方的投标文件进行了仔细的审查，现需你方对本通知所附质疑问卷中的问题以书面形式予以澄清、说明或者补正。</w:t>
      </w:r>
    </w:p>
    <w:p>
      <w:pPr>
        <w:spacing w:line="312" w:lineRule="auto"/>
        <w:ind w:firstLine="480" w:firstLineChars="200"/>
        <w:rPr>
          <w:rFonts w:ascii="宋体" w:hAnsi="宋体" w:cs="宋体"/>
          <w:sz w:val="24"/>
        </w:rPr>
      </w:pPr>
      <w:r>
        <w:rPr>
          <w:rFonts w:hint="eastAsia" w:ascii="宋体" w:hAnsi="宋体" w:cs="宋体"/>
          <w:sz w:val="24"/>
        </w:rPr>
        <w:t>请将上述问题的澄清、说明或者补正于年月日时前密封递交至（详细地址）或传真至（传真号码）。采用传真方式的，应在年月日</w:t>
      </w:r>
    </w:p>
    <w:p>
      <w:pPr>
        <w:spacing w:line="312" w:lineRule="auto"/>
        <w:rPr>
          <w:rFonts w:ascii="宋体" w:hAnsi="宋体" w:cs="宋体"/>
          <w:sz w:val="24"/>
        </w:rPr>
      </w:pPr>
      <w:r>
        <w:rPr>
          <w:rFonts w:hint="eastAsia" w:ascii="宋体" w:hAnsi="宋体" w:cs="宋体"/>
          <w:sz w:val="24"/>
        </w:rPr>
        <w:t>时前将原件递交至 （详细地址）。</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附件：质疑问卷</w:t>
      </w:r>
    </w:p>
    <w:p>
      <w:pPr>
        <w:spacing w:line="312" w:lineRule="auto"/>
        <w:ind w:left="3360" w:leftChars="1600" w:firstLine="360" w:firstLineChars="150"/>
        <w:rPr>
          <w:rFonts w:ascii="宋体" w:hAnsi="宋体" w:cs="宋体"/>
          <w:sz w:val="24"/>
        </w:rPr>
      </w:pPr>
      <w:bookmarkStart w:id="94" w:name="_Toc18603"/>
      <w:bookmarkStart w:id="95" w:name="_Toc425"/>
      <w:bookmarkStart w:id="96" w:name="_Toc30339"/>
      <w:bookmarkStart w:id="97" w:name="_Toc13289"/>
      <w:bookmarkStart w:id="98" w:name="_Toc22729"/>
      <w:r>
        <w:rPr>
          <w:rFonts w:hint="eastAsia" w:ascii="宋体" w:hAnsi="宋体" w:cs="宋体"/>
          <w:sz w:val="24"/>
        </w:rPr>
        <w:t>（项目名称）招标评标委员会（经评标委员会授权的招标人代表签字或招标人加盖单位章）</w:t>
      </w:r>
      <w:bookmarkEnd w:id="94"/>
      <w:bookmarkEnd w:id="95"/>
      <w:bookmarkEnd w:id="96"/>
      <w:bookmarkEnd w:id="97"/>
      <w:bookmarkEnd w:id="98"/>
    </w:p>
    <w:p>
      <w:pPr>
        <w:spacing w:line="312" w:lineRule="auto"/>
        <w:ind w:firstLine="5280" w:firstLineChars="2200"/>
        <w:rPr>
          <w:rFonts w:ascii="宋体" w:hAnsi="宋体" w:cs="宋体"/>
          <w:sz w:val="24"/>
        </w:rPr>
      </w:pPr>
      <w:r>
        <w:rPr>
          <w:rFonts w:hint="eastAsia" w:ascii="宋体" w:hAnsi="宋体" w:cs="宋体"/>
          <w:sz w:val="24"/>
        </w:rPr>
        <w:t>年月日</w:t>
      </w:r>
    </w:p>
    <w:p>
      <w:pPr>
        <w:spacing w:line="312" w:lineRule="auto"/>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ind w:firstLine="4320" w:firstLineChars="1800"/>
        <w:rPr>
          <w:rFonts w:ascii="宋体" w:hAnsi="宋体" w:cs="宋体"/>
          <w:sz w:val="24"/>
        </w:rPr>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pPr>
    </w:p>
    <w:p>
      <w:pPr>
        <w:spacing w:line="312" w:lineRule="auto"/>
        <w:outlineLvl w:val="2"/>
        <w:rPr>
          <w:rFonts w:ascii="宋体" w:hAnsi="宋体" w:cs="宋体"/>
          <w:sz w:val="24"/>
        </w:rPr>
      </w:pPr>
      <w:r>
        <w:rPr>
          <w:rFonts w:hint="eastAsia" w:ascii="宋体" w:hAnsi="宋体" w:cs="宋体"/>
          <w:sz w:val="24"/>
        </w:rPr>
        <w:br w:type="page"/>
      </w:r>
      <w:bookmarkStart w:id="99" w:name="_Toc25361"/>
      <w:r>
        <w:rPr>
          <w:rFonts w:hint="eastAsia" w:ascii="宋体" w:hAnsi="宋体" w:cs="宋体"/>
          <w:b/>
          <w:sz w:val="24"/>
        </w:rPr>
        <w:t>附表三：问题的澄清</w:t>
      </w:r>
      <w:bookmarkEnd w:id="99"/>
    </w:p>
    <w:p>
      <w:pPr>
        <w:spacing w:beforeLines="100" w:afterLines="100" w:line="312" w:lineRule="auto"/>
        <w:jc w:val="center"/>
        <w:rPr>
          <w:rFonts w:ascii="宋体" w:hAnsi="宋体" w:cs="宋体"/>
          <w:sz w:val="24"/>
        </w:rPr>
      </w:pPr>
      <w:r>
        <w:rPr>
          <w:rFonts w:hint="eastAsia" w:ascii="宋体" w:hAnsi="宋体" w:cs="宋体"/>
          <w:sz w:val="24"/>
        </w:rPr>
        <w:t>问题的澄清、说明或补正</w:t>
      </w:r>
    </w:p>
    <w:p>
      <w:pPr>
        <w:spacing w:line="312" w:lineRule="auto"/>
        <w:ind w:firstLine="6120" w:firstLineChars="2550"/>
        <w:rPr>
          <w:rFonts w:ascii="宋体" w:hAnsi="宋体" w:cs="宋体"/>
          <w:sz w:val="24"/>
          <w:u w:val="single"/>
        </w:rPr>
      </w:pPr>
      <w:r>
        <w:rPr>
          <w:rFonts w:hint="eastAsia" w:ascii="宋体" w:hAnsi="宋体" w:cs="宋体"/>
          <w:sz w:val="24"/>
        </w:rPr>
        <w:t>编号：</w:t>
      </w:r>
    </w:p>
    <w:p>
      <w:pPr>
        <w:spacing w:line="312" w:lineRule="auto"/>
        <w:rPr>
          <w:rFonts w:ascii="宋体" w:hAnsi="宋体" w:cs="宋体"/>
          <w:sz w:val="24"/>
        </w:rPr>
      </w:pPr>
      <w:r>
        <w:rPr>
          <w:rFonts w:hint="eastAsia" w:ascii="宋体" w:hAnsi="宋体" w:cs="宋体"/>
          <w:sz w:val="24"/>
        </w:rPr>
        <w:t>（项目名称）招标评标委员会：</w:t>
      </w:r>
    </w:p>
    <w:p>
      <w:pPr>
        <w:spacing w:line="312" w:lineRule="auto"/>
        <w:ind w:firstLine="480" w:firstLineChars="200"/>
        <w:rPr>
          <w:rFonts w:ascii="宋体" w:hAnsi="宋体" w:cs="宋体"/>
          <w:sz w:val="24"/>
        </w:rPr>
      </w:pPr>
      <w:r>
        <w:rPr>
          <w:rFonts w:hint="eastAsia" w:ascii="宋体" w:hAnsi="宋体" w:cs="宋体"/>
          <w:sz w:val="24"/>
        </w:rPr>
        <w:t>问题澄清通知（编号：）已收悉，现澄清、说明或者补正如下：</w:t>
      </w:r>
    </w:p>
    <w:p>
      <w:pPr>
        <w:spacing w:line="312" w:lineRule="auto"/>
        <w:ind w:firstLine="480" w:firstLineChars="200"/>
        <w:rPr>
          <w:rFonts w:ascii="宋体" w:hAnsi="宋体" w:cs="宋体"/>
          <w:sz w:val="24"/>
        </w:rPr>
      </w:pPr>
      <w:r>
        <w:rPr>
          <w:rFonts w:hint="eastAsia" w:ascii="宋体" w:hAnsi="宋体" w:cs="宋体"/>
          <w:sz w:val="24"/>
        </w:rPr>
        <w:t>1.</w:t>
      </w:r>
    </w:p>
    <w:p>
      <w:pPr>
        <w:spacing w:line="312" w:lineRule="auto"/>
        <w:ind w:firstLine="480" w:firstLineChars="200"/>
        <w:rPr>
          <w:rFonts w:ascii="宋体" w:hAnsi="宋体" w:cs="宋体"/>
          <w:sz w:val="24"/>
        </w:rPr>
      </w:pPr>
      <w:r>
        <w:rPr>
          <w:rFonts w:hint="eastAsia" w:ascii="宋体" w:hAnsi="宋体" w:cs="宋体"/>
          <w:sz w:val="24"/>
        </w:rPr>
        <w:t>2.</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w: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wordWrap w:val="0"/>
        <w:spacing w:line="312" w:lineRule="auto"/>
        <w:ind w:firstLine="480" w:firstLineChars="200"/>
        <w:jc w:val="right"/>
        <w:rPr>
          <w:rFonts w:ascii="宋体" w:hAnsi="宋体" w:cs="宋体"/>
          <w:sz w:val="24"/>
        </w:rPr>
      </w:pPr>
      <w:r>
        <w:rPr>
          <w:rFonts w:hint="eastAsia" w:ascii="宋体" w:hAnsi="宋体" w:cs="宋体"/>
          <w:sz w:val="24"/>
        </w:rPr>
        <w:t xml:space="preserve"> 投标人：（盖单位章） </w:t>
      </w:r>
    </w:p>
    <w:p>
      <w:pPr>
        <w:wordWrap w:val="0"/>
        <w:spacing w:beforeLines="50" w:afterLines="50" w:line="312" w:lineRule="auto"/>
        <w:jc w:val="right"/>
        <w:rPr>
          <w:rFonts w:ascii="宋体" w:hAnsi="宋体" w:cs="宋体"/>
          <w:sz w:val="24"/>
        </w:rPr>
      </w:pPr>
      <w:r>
        <w:rPr>
          <w:rFonts w:hint="eastAsia" w:ascii="宋体" w:hAnsi="宋体" w:cs="宋体"/>
          <w:sz w:val="24"/>
        </w:rPr>
        <w:t xml:space="preserve">法定代表人或其委托代理人：（签字或盖章） </w:t>
      </w:r>
    </w:p>
    <w:p>
      <w:pPr>
        <w:spacing w:line="312" w:lineRule="auto"/>
        <w:ind w:firstLine="5760" w:firstLineChars="2400"/>
        <w:rPr>
          <w:rFonts w:ascii="宋体" w:hAnsi="宋体" w:cs="宋体"/>
          <w:sz w:val="24"/>
          <w:u w:val="single"/>
        </w:rPr>
      </w:pPr>
    </w:p>
    <w:p>
      <w:pPr>
        <w:spacing w:line="312" w:lineRule="auto"/>
        <w:ind w:firstLine="5760" w:firstLineChars="2400"/>
        <w:rPr>
          <w:rFonts w:ascii="宋体" w:hAnsi="宋体" w:cs="宋体"/>
          <w:sz w:val="24"/>
        </w:rPr>
      </w:pPr>
      <w:r>
        <w:rPr>
          <w:rFonts w:hint="eastAsia" w:ascii="宋体" w:hAnsi="宋体" w:cs="宋体"/>
          <w:sz w:val="24"/>
        </w:rPr>
        <w:t>年月日</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pStyle w:val="4"/>
        <w:spacing w:before="0" w:after="0" w:line="312" w:lineRule="auto"/>
        <w:jc w:val="center"/>
        <w:rPr>
          <w:rStyle w:val="23"/>
          <w:b w:val="0"/>
          <w:bCs w:val="0"/>
          <w:sz w:val="30"/>
          <w:szCs w:val="30"/>
        </w:rPr>
      </w:pPr>
      <w:bookmarkStart w:id="100" w:name="_Toc14547"/>
      <w:bookmarkStart w:id="101" w:name="_Toc16968"/>
      <w:bookmarkStart w:id="102" w:name="_Toc29777"/>
      <w:bookmarkStart w:id="103" w:name="_Toc26924"/>
      <w:r>
        <w:rPr>
          <w:rStyle w:val="23"/>
          <w:rFonts w:hint="eastAsia"/>
          <w:b w:val="0"/>
          <w:bCs w:val="0"/>
          <w:sz w:val="30"/>
          <w:szCs w:val="30"/>
        </w:rPr>
        <w:t>第三章 评标办法</w:t>
      </w:r>
      <w:bookmarkEnd w:id="100"/>
      <w:bookmarkEnd w:id="101"/>
      <w:bookmarkEnd w:id="102"/>
      <w:bookmarkStart w:id="104" w:name="_Toc280271136"/>
      <w:bookmarkStart w:id="105" w:name="_Toc280275114"/>
      <w:bookmarkStart w:id="106" w:name="_Toc280271283"/>
      <w:r>
        <w:rPr>
          <w:rStyle w:val="23"/>
          <w:rFonts w:hint="eastAsia"/>
          <w:b w:val="0"/>
          <w:bCs w:val="0"/>
          <w:sz w:val="30"/>
          <w:szCs w:val="30"/>
        </w:rPr>
        <w:t>（综合评</w:t>
      </w:r>
      <w:r>
        <w:rPr>
          <w:rStyle w:val="23"/>
          <w:rFonts w:hint="eastAsia" w:eastAsia="黑体"/>
          <w:b w:val="0"/>
          <w:bCs w:val="0"/>
          <w:sz w:val="30"/>
          <w:szCs w:val="30"/>
          <w:lang w:val="en-US" w:eastAsia="zh-CN"/>
        </w:rPr>
        <w:t>估</w:t>
      </w:r>
      <w:r>
        <w:rPr>
          <w:rStyle w:val="23"/>
          <w:rFonts w:hint="eastAsia"/>
          <w:b w:val="0"/>
          <w:bCs w:val="0"/>
          <w:sz w:val="30"/>
          <w:szCs w:val="30"/>
        </w:rPr>
        <w:t>法）</w:t>
      </w:r>
      <w:bookmarkEnd w:id="103"/>
    </w:p>
    <w:bookmarkEnd w:id="104"/>
    <w:bookmarkEnd w:id="105"/>
    <w:bookmarkEnd w:id="106"/>
    <w:p>
      <w:pPr>
        <w:spacing w:beforeLines="20" w:afterLines="20" w:line="360" w:lineRule="auto"/>
        <w:rPr>
          <w:szCs w:val="21"/>
        </w:rPr>
      </w:pPr>
      <w:bookmarkStart w:id="107" w:name="_Toc399834329"/>
      <w:bookmarkStart w:id="108" w:name="_Toc382164569"/>
      <w:r>
        <w:rPr>
          <w:rFonts w:hint="eastAsia"/>
          <w:szCs w:val="21"/>
        </w:rPr>
        <w:t>评标办法前附表</w:t>
      </w:r>
      <w:bookmarkEnd w:id="107"/>
      <w:bookmarkEnd w:id="108"/>
    </w:p>
    <w:tbl>
      <w:tblPr>
        <w:tblStyle w:val="21"/>
        <w:tblW w:w="930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仿宋" w:hAnsi="仿宋" w:eastAsia="仿宋" w:cs="仿宋"/>
                <w:b/>
                <w:color w:val="000000"/>
                <w:sz w:val="24"/>
              </w:rPr>
            </w:pPr>
            <w:bookmarkStart w:id="109" w:name="_Toc144974567"/>
            <w:bookmarkStart w:id="110" w:name="_Toc21173"/>
            <w:bookmarkStart w:id="111" w:name="_Toc152045600"/>
            <w:bookmarkStart w:id="112" w:name="_Toc179632618"/>
            <w:bookmarkStart w:id="113" w:name="_Toc152042377"/>
            <w:bookmarkStart w:id="114" w:name="_Toc246996987"/>
            <w:bookmarkStart w:id="115" w:name="_Toc144974568"/>
            <w:bookmarkStart w:id="116" w:name="_Toc296602489"/>
            <w:bookmarkStart w:id="117" w:name="_Toc246996244"/>
            <w:bookmarkStart w:id="118" w:name="_Toc152045601"/>
            <w:bookmarkStart w:id="119" w:name="_Toc152042378"/>
            <w:bookmarkStart w:id="120" w:name="_Toc179632619"/>
            <w:bookmarkStart w:id="121" w:name="_Toc247085759"/>
            <w:r>
              <w:rPr>
                <w:rFonts w:hint="eastAsia" w:ascii="仿宋" w:hAnsi="仿宋" w:eastAsia="仿宋" w:cs="仿宋"/>
                <w:b/>
                <w:color w:val="000000"/>
                <w:sz w:val="24"/>
              </w:rPr>
              <w:t>条款号</w:t>
            </w:r>
          </w:p>
        </w:tc>
        <w:tc>
          <w:tcPr>
            <w:tcW w:w="2268"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评审因素</w:t>
            </w:r>
          </w:p>
        </w:tc>
        <w:tc>
          <w:tcPr>
            <w:tcW w:w="5167" w:type="dxa"/>
            <w:vAlign w:val="center"/>
          </w:tcPr>
          <w:p>
            <w:pPr>
              <w:spacing w:line="360" w:lineRule="auto"/>
              <w:jc w:val="center"/>
              <w:rPr>
                <w:rFonts w:ascii="仿宋" w:hAnsi="仿宋" w:eastAsia="仿宋" w:cs="仿宋"/>
                <w:b/>
                <w:color w:val="000000"/>
                <w:sz w:val="24"/>
              </w:rPr>
            </w:pPr>
            <w:r>
              <w:rPr>
                <w:rFonts w:hint="eastAsia" w:ascii="仿宋" w:hAnsi="仿宋" w:eastAsia="仿宋" w:cs="仿宋"/>
                <w:b/>
                <w:color w:val="000000"/>
                <w:sz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2.1.1</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形式</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投标人名称</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cs="宋体"/>
                <w:sz w:val="24"/>
              </w:rPr>
              <w:t>与营业执照、资质证书是否一致；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投标文件的签字盖章</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cs="宋体"/>
                <w:sz w:val="24"/>
              </w:rPr>
              <w:t>投标文件应经投标单位盖章和单位负责人签字。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投标文件格式</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报价唯一</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只能有一个报价；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投标文件的份数</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w:t>
            </w:r>
            <w:r>
              <w:rPr>
                <w:rFonts w:ascii="宋体" w:hAnsi="宋体"/>
                <w:sz w:val="24"/>
              </w:rPr>
              <w:t>二</w:t>
            </w:r>
            <w:r>
              <w:rPr>
                <w:rFonts w:hint="eastAsia" w:ascii="宋体" w:hAnsi="宋体"/>
                <w:sz w:val="24"/>
              </w:rPr>
              <w:t>章投标人须知第3.7.4款规定；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投标文件的印刷与装订</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w:t>
            </w:r>
            <w:r>
              <w:rPr>
                <w:rFonts w:ascii="宋体" w:hAnsi="宋体"/>
                <w:sz w:val="24"/>
              </w:rPr>
              <w:t>二</w:t>
            </w:r>
            <w:r>
              <w:rPr>
                <w:rFonts w:hint="eastAsia" w:ascii="宋体" w:hAnsi="宋体"/>
                <w:sz w:val="24"/>
              </w:rPr>
              <w:t>章投标人须知第3.7.5款规定；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2.1.2</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资格</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营业执照</w:t>
            </w:r>
          </w:p>
        </w:tc>
        <w:tc>
          <w:tcPr>
            <w:tcW w:w="5167" w:type="dxa"/>
            <w:vAlign w:val="center"/>
          </w:tcPr>
          <w:p>
            <w:pPr>
              <w:spacing w:line="360" w:lineRule="auto"/>
              <w:rPr>
                <w:rFonts w:asciiTheme="minorEastAsia" w:hAnsiTheme="minorEastAsia" w:eastAsiaTheme="minorEastAsia" w:cstheme="minorEastAsia"/>
                <w:color w:val="000000"/>
                <w:sz w:val="24"/>
              </w:rPr>
            </w:pPr>
            <w:r>
              <w:rPr>
                <w:rFonts w:ascii="宋体" w:hAnsi="宋体"/>
                <w:sz w:val="24"/>
              </w:rPr>
              <w:t>具备有效的营业执照</w:t>
            </w:r>
            <w:r>
              <w:rPr>
                <w:rFonts w:hint="eastAsia" w:ascii="宋体" w:hAnsi="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vAlign w:val="center"/>
          </w:tcPr>
          <w:p>
            <w:pPr>
              <w:spacing w:line="360" w:lineRule="auto"/>
              <w:jc w:val="center"/>
              <w:rPr>
                <w:rFonts w:asciiTheme="minorEastAsia" w:hAnsiTheme="minorEastAsia" w:eastAsiaTheme="minorEastAsia" w:cstheme="minorEastAsia"/>
                <w:color w:val="000000"/>
                <w:sz w:val="24"/>
              </w:rPr>
            </w:pPr>
            <w:r>
              <w:rPr>
                <w:rFonts w:hint="eastAsia" w:ascii="宋体" w:hAnsi="宋体"/>
                <w:sz w:val="24"/>
              </w:rPr>
              <w:t>资质要求</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vAlign w:val="center"/>
          </w:tcPr>
          <w:p>
            <w:pPr>
              <w:spacing w:line="360" w:lineRule="auto"/>
              <w:jc w:val="center"/>
              <w:rPr>
                <w:rFonts w:asciiTheme="minorEastAsia" w:hAnsiTheme="minorEastAsia" w:eastAsiaTheme="minorEastAsia" w:cstheme="minorEastAsia"/>
                <w:color w:val="000000"/>
                <w:sz w:val="24"/>
              </w:rPr>
            </w:pPr>
            <w:r>
              <w:rPr>
                <w:rFonts w:hint="eastAsia" w:ascii="宋体" w:hAnsi="宋体"/>
                <w:sz w:val="24"/>
              </w:rPr>
              <w:t>企业业绩</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企业2015年1月1日以来具有类似项目业绩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财务状况</w:t>
            </w:r>
            <w:r>
              <w:rPr>
                <w:rFonts w:hint="eastAsia" w:ascii="宋体" w:hAnsi="宋体"/>
                <w:sz w:val="24"/>
              </w:rPr>
              <w:t>要求</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2015、2016、2017年财务良好</w:t>
            </w:r>
            <w:r>
              <w:rPr>
                <w:rFonts w:hint="eastAsia" w:ascii="宋体" w:hAnsi="宋体"/>
                <w:b/>
                <w:sz w:val="24"/>
              </w:rPr>
              <w:t>，</w:t>
            </w:r>
            <w:r>
              <w:rPr>
                <w:rFonts w:hint="eastAsia" w:ascii="宋体" w:hAnsi="宋体"/>
                <w:bCs/>
                <w:sz w:val="24"/>
              </w:rPr>
              <w:t>若公司成立未满三年，须提供成立当年至今的财务报告。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信誉</w:t>
            </w:r>
            <w:r>
              <w:rPr>
                <w:rFonts w:hint="eastAsia" w:ascii="宋体" w:hAnsi="宋体"/>
                <w:sz w:val="24"/>
              </w:rPr>
              <w:t>要求</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Courier New" w:cs="Courier New"/>
                <w:sz w:val="24"/>
              </w:rPr>
              <w:t>核实投标人信誉及信用记录情况：仅核实投标人获奖、受罚、信用信息登记等的真实性</w:t>
            </w:r>
            <w:r>
              <w:rPr>
                <w:rFonts w:hint="eastAsia" w:ascii="宋体" w:hAnsi="宋体"/>
                <w:b/>
                <w:sz w:val="24"/>
              </w:rPr>
              <w:t>（以全国水利建设市场监管服务平台公示为准）</w:t>
            </w:r>
            <w:r>
              <w:rPr>
                <w:rFonts w:hint="eastAsia" w:ascii="宋体" w:hAnsi="Courier New" w:cs="Courier New"/>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拟派项目负责人</w:t>
            </w:r>
            <w:r>
              <w:rPr>
                <w:rFonts w:ascii="宋体" w:hAnsi="宋体"/>
                <w:sz w:val="24"/>
              </w:rPr>
              <w:t>资格</w:t>
            </w:r>
            <w:r>
              <w:rPr>
                <w:rFonts w:hint="eastAsia" w:ascii="宋体" w:hAnsi="宋体"/>
                <w:sz w:val="24"/>
              </w:rPr>
              <w:t>要求</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sz w:val="24"/>
              </w:rPr>
              <w:t>符合第</w:t>
            </w:r>
            <w:r>
              <w:rPr>
                <w:rFonts w:ascii="宋体" w:hAnsi="宋体"/>
                <w:sz w:val="24"/>
              </w:rPr>
              <w:t>二</w:t>
            </w:r>
            <w:r>
              <w:rPr>
                <w:rFonts w:hint="eastAsia" w:ascii="宋体" w:hAnsi="宋体"/>
                <w:sz w:val="24"/>
              </w:rPr>
              <w:t>章投标人须知第1.4.1款规定；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其他</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宋体" w:hAnsi="宋体" w:cs="宋体"/>
                <w:kern w:val="1"/>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2.1.3</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响应性</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评审</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标准</w:t>
            </w: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范围</w:t>
            </w:r>
          </w:p>
        </w:tc>
        <w:tc>
          <w:tcPr>
            <w:tcW w:w="5167" w:type="dxa"/>
            <w:vAlign w:val="center"/>
          </w:tcPr>
          <w:p>
            <w:pPr>
              <w:spacing w:line="360" w:lineRule="auto"/>
              <w:rPr>
                <w:rFonts w:asciiTheme="minorEastAsia" w:hAnsiTheme="minorEastAsia" w:eastAsiaTheme="minorEastAsia" w:cstheme="minorEastAsia"/>
                <w:color w:val="000000"/>
                <w:sz w:val="24"/>
              </w:rPr>
            </w:pPr>
            <w:r>
              <w:rPr>
                <w:rFonts w:ascii="宋体" w:hAnsi="宋体"/>
                <w:sz w:val="24"/>
              </w:rPr>
              <w:t>符合第二章“投标人须知”第1.3.1项规定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计划</w:t>
            </w:r>
            <w:r>
              <w:rPr>
                <w:rFonts w:ascii="宋体" w:hAnsi="宋体"/>
                <w:sz w:val="24"/>
              </w:rPr>
              <w:t>工期</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FF0000"/>
                <w:sz w:val="24"/>
              </w:rPr>
            </w:pPr>
            <w:r>
              <w:rPr>
                <w:rFonts w:ascii="宋体" w:hAnsi="宋体"/>
                <w:sz w:val="24"/>
              </w:rPr>
              <w:t>符合第二章“投标人须知”第1.3.2项规定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工程质量</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sz w:val="24"/>
              </w:rPr>
            </w:pPr>
            <w:r>
              <w:rPr>
                <w:rFonts w:ascii="宋体" w:hAnsi="宋体"/>
                <w:sz w:val="24"/>
              </w:rPr>
              <w:t>符合第二章“投标人须知”第1.3.3项规定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有效期</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60日历天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投标</w:t>
            </w:r>
            <w:r>
              <w:rPr>
                <w:rFonts w:hint="eastAsia" w:ascii="宋体" w:hAnsi="宋体"/>
                <w:sz w:val="24"/>
              </w:rPr>
              <w:t>保证金</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ascii="宋体" w:hAnsi="宋体"/>
                <w:sz w:val="24"/>
              </w:rPr>
              <w:t>符合第二章“投标人须知”第3.</w:t>
            </w:r>
            <w:r>
              <w:rPr>
                <w:rFonts w:hint="eastAsia" w:ascii="宋体" w:hAnsi="宋体"/>
                <w:sz w:val="24"/>
              </w:rPr>
              <w:t>4</w:t>
            </w:r>
            <w:r>
              <w:rPr>
                <w:rFonts w:ascii="宋体" w:hAnsi="宋体"/>
                <w:sz w:val="24"/>
              </w:rPr>
              <w:t>款规定</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权利义务</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ascii="宋体" w:hAnsi="宋体"/>
                <w:sz w:val="24"/>
              </w:rPr>
              <w:t>符合第四章“合同条款及格式”规定的权利义务</w:t>
            </w:r>
            <w:r>
              <w:rPr>
                <w:rFonts w:hint="eastAsia" w:ascii="宋体" w:hAnsi="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ascii="宋体" w:hAnsi="宋体"/>
                <w:sz w:val="24"/>
              </w:rPr>
              <w:t>已标价工程量清单</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ascii="宋体" w:hAnsi="宋体"/>
                <w:sz w:val="24"/>
              </w:rPr>
              <w:t>符合第五章“工程量清单”</w:t>
            </w:r>
            <w:r>
              <w:rPr>
                <w:rFonts w:hint="eastAsia" w:ascii="宋体" w:hAnsi="宋体"/>
                <w:sz w:val="24"/>
              </w:rPr>
              <w:t>填报的要求；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rPr>
                <w:rFonts w:asciiTheme="minorEastAsia" w:hAnsiTheme="minorEastAsia" w:eastAsiaTheme="minorEastAsia" w:cstheme="minorEastAsia"/>
                <w:color w:val="000000"/>
                <w:sz w:val="24"/>
              </w:rPr>
            </w:pPr>
          </w:p>
        </w:tc>
        <w:tc>
          <w:tcPr>
            <w:tcW w:w="2268" w:type="dxa"/>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技术标准和要求</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宋体" w:hAnsi="宋体"/>
                <w:sz w:val="24"/>
              </w:rPr>
              <w:t>符合第七章“技术标准和要求”（合同技术条款）的规定。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宋体" w:hAnsi="宋体"/>
                <w:sz w:val="24"/>
              </w:rPr>
              <w:t>投标报价</w:t>
            </w:r>
          </w:p>
        </w:tc>
        <w:tc>
          <w:tcPr>
            <w:tcW w:w="5167" w:type="dxa"/>
            <w:vAlign w:val="center"/>
          </w:tcPr>
          <w:p>
            <w:pPr>
              <w:autoSpaceDE w:val="0"/>
              <w:autoSpaceDN w:val="0"/>
              <w:spacing w:line="360" w:lineRule="auto"/>
              <w:contextualSpacing/>
              <w:jc w:val="left"/>
              <w:rPr>
                <w:rFonts w:asciiTheme="minorEastAsia" w:hAnsiTheme="minorEastAsia" w:eastAsiaTheme="minorEastAsia" w:cstheme="minorEastAsia"/>
                <w:color w:val="000000"/>
                <w:sz w:val="24"/>
              </w:rPr>
            </w:pPr>
            <w:r>
              <w:rPr>
                <w:rFonts w:hint="eastAsia" w:ascii="宋体" w:hAnsi="宋体"/>
                <w:sz w:val="24"/>
              </w:rPr>
              <w:t>投标报价不得低于成本或者高于招标文件设定的最高投标限价；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w:t>
            </w:r>
          </w:p>
        </w:tc>
        <w:tc>
          <w:tcPr>
            <w:tcW w:w="5167" w:type="dxa"/>
            <w:vAlign w:val="center"/>
          </w:tcPr>
          <w:p>
            <w:pPr>
              <w:autoSpaceDE w:val="0"/>
              <w:autoSpaceDN w:val="0"/>
              <w:spacing w:line="360" w:lineRule="auto"/>
              <w:contextualSpacing/>
              <w:jc w:val="left"/>
              <w:rPr>
                <w:rFonts w:ascii="宋体" w:hAnsi="宋体"/>
                <w:sz w:val="24"/>
              </w:rPr>
            </w:pPr>
            <w:r>
              <w:rPr>
                <w:rFonts w:hint="eastAsia" w:ascii="宋体" w:hAnsi="宋体"/>
                <w:sz w:val="24"/>
              </w:rPr>
              <w:t>1、投标文件应附农民工工资支付承诺书和廉政承诺书 。</w:t>
            </w:r>
          </w:p>
          <w:p>
            <w:pPr>
              <w:autoSpaceDE w:val="0"/>
              <w:autoSpaceDN w:val="0"/>
              <w:spacing w:line="360" w:lineRule="auto"/>
              <w:contextualSpacing/>
              <w:jc w:val="left"/>
              <w:rPr>
                <w:rFonts w:asciiTheme="minorEastAsia" w:hAnsiTheme="minorEastAsia" w:eastAsiaTheme="minorEastAsia" w:cstheme="minorEastAsia"/>
                <w:color w:val="000000"/>
                <w:sz w:val="24"/>
              </w:rPr>
            </w:pPr>
            <w:r>
              <w:rPr>
                <w:rFonts w:hint="eastAsia" w:ascii="宋体" w:hAnsi="宋体"/>
                <w:sz w:val="24"/>
              </w:rPr>
              <w:t>2、投标人应提供主要参建人员签字备案表，载明姓名、拟任职务、个人身份信息等内容，并由本人亲笔签名。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条款号</w:t>
            </w:r>
          </w:p>
        </w:tc>
        <w:tc>
          <w:tcPr>
            <w:tcW w:w="226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评分因素</w:t>
            </w:r>
          </w:p>
        </w:tc>
        <w:tc>
          <w:tcPr>
            <w:tcW w:w="5167" w:type="dxa"/>
            <w:vAlign w:val="center"/>
          </w:tcPr>
          <w:p>
            <w:pPr>
              <w:spacing w:line="360" w:lineRule="auto"/>
              <w:ind w:left="482" w:hanging="482" w:hangingChars="20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b/>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2.2.1</w:t>
            </w:r>
          </w:p>
        </w:tc>
        <w:tc>
          <w:tcPr>
            <w:tcW w:w="226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分值构成</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(总分100分)</w:t>
            </w:r>
          </w:p>
        </w:tc>
        <w:tc>
          <w:tcPr>
            <w:tcW w:w="5167" w:type="dxa"/>
            <w:vAlign w:val="center"/>
          </w:tcPr>
          <w:p>
            <w:pPr>
              <w:spacing w:line="360" w:lineRule="auto"/>
              <w:ind w:right="248"/>
              <w:rPr>
                <w:rFonts w:asciiTheme="minorEastAsia" w:hAnsiTheme="minorEastAsia" w:eastAsiaTheme="minorEastAsia" w:cstheme="minorEastAsia"/>
                <w:color w:val="000000"/>
                <w:sz w:val="24"/>
              </w:rPr>
            </w:pPr>
            <w:bookmarkStart w:id="122" w:name="_Toc221950462"/>
            <w:r>
              <w:rPr>
                <w:rFonts w:hint="eastAsia" w:asciiTheme="minorEastAsia" w:hAnsiTheme="minorEastAsia" w:eastAsiaTheme="minorEastAsia" w:cstheme="minorEastAsia"/>
                <w:color w:val="000000"/>
                <w:sz w:val="24"/>
              </w:rPr>
              <w:t>技术方案：</w:t>
            </w:r>
            <w:bookmarkEnd w:id="122"/>
            <w:r>
              <w:rPr>
                <w:rFonts w:hint="eastAsia" w:asciiTheme="minorEastAsia" w:hAnsiTheme="minorEastAsia" w:eastAsiaTheme="minorEastAsia" w:cstheme="minorEastAsia"/>
                <w:color w:val="000000"/>
                <w:sz w:val="24"/>
              </w:rPr>
              <w:t>40分</w:t>
            </w:r>
          </w:p>
          <w:p>
            <w:pPr>
              <w:spacing w:line="360" w:lineRule="auto"/>
              <w:ind w:right="248"/>
              <w:rPr>
                <w:rFonts w:asciiTheme="minorEastAsia" w:hAnsiTheme="minorEastAsia" w:eastAsiaTheme="minorEastAsia" w:cstheme="minorEastAsia"/>
                <w:color w:val="000000"/>
                <w:sz w:val="24"/>
              </w:rPr>
            </w:pPr>
            <w:bookmarkStart w:id="123" w:name="_Toc221950463"/>
            <w:r>
              <w:rPr>
                <w:rFonts w:hint="eastAsia" w:asciiTheme="minorEastAsia" w:hAnsiTheme="minorEastAsia" w:eastAsiaTheme="minorEastAsia" w:cstheme="minorEastAsia"/>
                <w:color w:val="000000"/>
                <w:sz w:val="24"/>
              </w:rPr>
              <w:t>项目管理机构：</w:t>
            </w:r>
            <w:bookmarkEnd w:id="123"/>
            <w:r>
              <w:rPr>
                <w:rFonts w:hint="eastAsia" w:asciiTheme="minorEastAsia" w:hAnsiTheme="minorEastAsia" w:eastAsiaTheme="minorEastAsia" w:cstheme="minorEastAsia"/>
                <w:color w:val="000000"/>
                <w:sz w:val="24"/>
              </w:rPr>
              <w:t>5分</w:t>
            </w:r>
          </w:p>
          <w:p>
            <w:pPr>
              <w:spacing w:line="360" w:lineRule="auto"/>
              <w:ind w:right="248"/>
              <w:rPr>
                <w:rFonts w:asciiTheme="minorEastAsia" w:hAnsiTheme="minorEastAsia" w:eastAsiaTheme="minorEastAsia" w:cstheme="minorEastAsia"/>
                <w:color w:val="000000"/>
                <w:sz w:val="24"/>
              </w:rPr>
            </w:pPr>
            <w:bookmarkStart w:id="124" w:name="_Toc221950464"/>
            <w:r>
              <w:rPr>
                <w:rFonts w:hint="eastAsia" w:asciiTheme="minorEastAsia" w:hAnsiTheme="minorEastAsia" w:eastAsiaTheme="minorEastAsia" w:cstheme="minorEastAsia"/>
                <w:color w:val="000000"/>
                <w:sz w:val="24"/>
              </w:rPr>
              <w:t>投标报价：</w:t>
            </w:r>
            <w:bookmarkEnd w:id="124"/>
            <w:r>
              <w:rPr>
                <w:rFonts w:hint="eastAsia" w:asciiTheme="minorEastAsia" w:hAnsiTheme="minorEastAsia" w:eastAsiaTheme="minorEastAsia" w:cstheme="minorEastAsia"/>
                <w:color w:val="000000"/>
                <w:sz w:val="24"/>
              </w:rPr>
              <w:t>40分</w:t>
            </w:r>
            <w:bookmarkStart w:id="125" w:name="_Toc221950465"/>
            <w:bookmarkEnd w:id="125"/>
          </w:p>
          <w:p>
            <w:pPr>
              <w:spacing w:line="360" w:lineRule="auto"/>
              <w:ind w:right="248"/>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信用等级：5分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其他评分因素：10分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2.2.2</w:t>
            </w:r>
          </w:p>
        </w:tc>
        <w:tc>
          <w:tcPr>
            <w:tcW w:w="2268" w:type="dxa"/>
            <w:vAlign w:val="center"/>
          </w:tcPr>
          <w:p>
            <w:pPr>
              <w:spacing w:line="360" w:lineRule="auto"/>
              <w:jc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sz w:val="24"/>
              </w:rPr>
              <w:t>评标基准价计算方法</w:t>
            </w:r>
          </w:p>
        </w:tc>
        <w:tc>
          <w:tcPr>
            <w:tcW w:w="5167" w:type="dxa"/>
            <w:vAlign w:val="center"/>
          </w:tcPr>
          <w:p>
            <w:pPr>
              <w:spacing w:line="360" w:lineRule="auto"/>
              <w:ind w:right="248"/>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S=T×0.5+[(a1+a2+a3+ai)/n] ×0.5</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式中：S——评标基准价;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T——招标控制价；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ai—在招标控制价的95%（含）-100%（含）区间的投标报价；当所有投标报价均不在招标控制价的95%（含）-100%（含）区间时，招标控制价即为评标基准价。</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n—投标人的个数。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2.2.3</w:t>
            </w:r>
          </w:p>
        </w:tc>
        <w:tc>
          <w:tcPr>
            <w:tcW w:w="226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投标报价的偏差率</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计算公式</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2.2.4</w:t>
            </w:r>
          </w:p>
        </w:tc>
        <w:tc>
          <w:tcPr>
            <w:tcW w:w="2268" w:type="dxa"/>
            <w:vAlign w:val="center"/>
          </w:tcPr>
          <w:p>
            <w:pPr>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1"/>
                <w:sz w:val="24"/>
              </w:rPr>
              <w:t>投标人获奖分值</w:t>
            </w:r>
          </w:p>
        </w:tc>
        <w:tc>
          <w:tcPr>
            <w:tcW w:w="5167" w:type="dxa"/>
            <w:vAlign w:val="center"/>
          </w:tcPr>
          <w:p>
            <w:pPr>
              <w:tabs>
                <w:tab w:val="left" w:pos="1080"/>
              </w:tabs>
              <w:spacing w:line="360" w:lineRule="auto"/>
              <w:rPr>
                <w:rFonts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以下情形为奖励分值，累计不超过5分：</w:t>
            </w:r>
          </w:p>
          <w:p>
            <w:pPr>
              <w:tabs>
                <w:tab w:val="left" w:pos="1080"/>
              </w:tabs>
              <w:spacing w:line="360" w:lineRule="auto"/>
              <w:rPr>
                <w:rFonts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1.承建的水利工程近三年获得市级以上（含市级）行政主管部门或其精神文明指导委员会颁发的“文明工地”称号的，每项加0.5分，最多不超过1分；</w:t>
            </w:r>
          </w:p>
          <w:p>
            <w:pPr>
              <w:tabs>
                <w:tab w:val="left" w:pos="1080"/>
              </w:tabs>
              <w:spacing w:line="360" w:lineRule="auto"/>
              <w:rPr>
                <w:rFonts w:asciiTheme="minorEastAsia" w:hAnsiTheme="minorEastAsia" w:eastAsiaTheme="minorEastAsia" w:cstheme="minorEastAsia"/>
                <w:kern w:val="1"/>
                <w:sz w:val="24"/>
              </w:rPr>
            </w:pPr>
            <w:r>
              <w:rPr>
                <w:rFonts w:hint="eastAsia" w:asciiTheme="minorEastAsia" w:hAnsiTheme="minorEastAsia" w:eastAsiaTheme="minorEastAsia" w:cstheme="minorEastAsia"/>
                <w:kern w:val="1"/>
                <w:sz w:val="24"/>
              </w:rPr>
              <w:t>2.承建的水利工程近三年获得市级行政主管部门颁发的“优质工程”或“优秀施工”的，加1分，本项最多加1分；</w:t>
            </w:r>
          </w:p>
          <w:p>
            <w:pPr>
              <w:tabs>
                <w:tab w:val="left" w:pos="1080"/>
              </w:tabs>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kern w:val="1"/>
                <w:sz w:val="24"/>
              </w:rPr>
              <w:t>上述1、2项加分时，同一奖项类别的同一工程不重复计算。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2.2.5</w:t>
            </w:r>
          </w:p>
        </w:tc>
        <w:tc>
          <w:tcPr>
            <w:tcW w:w="2268" w:type="dxa"/>
            <w:vAlign w:val="center"/>
          </w:tcPr>
          <w:p>
            <w:pPr>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1"/>
                <w:sz w:val="24"/>
              </w:rPr>
              <w:t>投标人受罚分值</w:t>
            </w:r>
          </w:p>
        </w:tc>
        <w:tc>
          <w:tcPr>
            <w:tcW w:w="5167" w:type="dxa"/>
            <w:vAlign w:val="center"/>
          </w:tcPr>
          <w:p>
            <w:pPr>
              <w:tabs>
                <w:tab w:val="left" w:pos="1080"/>
              </w:tabs>
              <w:spacing w:line="360" w:lineRule="auto"/>
              <w:rPr>
                <w:rFonts w:asciiTheme="minorEastAsia" w:hAnsiTheme="minorEastAsia" w:eastAsiaTheme="minorEastAsia" w:cstheme="minorEastAsia"/>
                <w:color w:val="000000"/>
                <w:kern w:val="1"/>
                <w:sz w:val="24"/>
              </w:rPr>
            </w:pPr>
            <w:r>
              <w:rPr>
                <w:rFonts w:hint="eastAsia" w:asciiTheme="minorEastAsia" w:hAnsiTheme="minorEastAsia" w:eastAsiaTheme="minorEastAsia" w:cstheme="minorEastAsia"/>
                <w:color w:val="000000"/>
                <w:kern w:val="1"/>
                <w:sz w:val="24"/>
              </w:rPr>
              <w:t>以下情形为惩罚分值，没有累计限制：</w:t>
            </w:r>
          </w:p>
          <w:p>
            <w:pPr>
              <w:tabs>
                <w:tab w:val="left" w:pos="1080"/>
              </w:tabs>
              <w:spacing w:line="360" w:lineRule="auto"/>
              <w:rPr>
                <w:rFonts w:asciiTheme="minorEastAsia" w:hAnsiTheme="minorEastAsia" w:eastAsiaTheme="minorEastAsia" w:cstheme="minorEastAsia"/>
                <w:color w:val="000000"/>
                <w:kern w:val="1"/>
                <w:sz w:val="24"/>
              </w:rPr>
            </w:pPr>
            <w:r>
              <w:rPr>
                <w:rFonts w:hint="eastAsia" w:asciiTheme="minorEastAsia" w:hAnsiTheme="minorEastAsia" w:eastAsiaTheme="minorEastAsia" w:cstheme="minorEastAsia"/>
                <w:color w:val="000000"/>
                <w:kern w:val="1"/>
                <w:sz w:val="24"/>
              </w:rPr>
              <w:t>1.近三年承建的水利工程发生过一般安全生产事故的，一次扣3分，较大及以上的一次扣5分；</w:t>
            </w:r>
          </w:p>
          <w:p>
            <w:pPr>
              <w:tabs>
                <w:tab w:val="left" w:pos="1080"/>
              </w:tabs>
              <w:spacing w:line="360" w:lineRule="auto"/>
              <w:rPr>
                <w:rFonts w:asciiTheme="minorEastAsia" w:hAnsiTheme="minorEastAsia" w:eastAsiaTheme="minorEastAsia" w:cstheme="minorEastAsia"/>
                <w:color w:val="000000"/>
                <w:kern w:val="1"/>
                <w:sz w:val="24"/>
              </w:rPr>
            </w:pPr>
            <w:r>
              <w:rPr>
                <w:rFonts w:hint="eastAsia" w:asciiTheme="minorEastAsia" w:hAnsiTheme="minorEastAsia" w:eastAsiaTheme="minorEastAsia" w:cstheme="minorEastAsia"/>
                <w:color w:val="000000"/>
                <w:kern w:val="1"/>
                <w:sz w:val="24"/>
              </w:rPr>
              <w:t>2.近三年承建的水利工程发生过一般质量事故的，一次扣3分，较大及以上的一次扣5分；</w:t>
            </w:r>
          </w:p>
          <w:p>
            <w:pPr>
              <w:tabs>
                <w:tab w:val="left" w:pos="1080"/>
              </w:tabs>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kern w:val="1"/>
                <w:sz w:val="24"/>
              </w:rPr>
              <w:t>3.除以上1、2项外，不良行为记录在</w:t>
            </w:r>
            <w:r>
              <w:rPr>
                <w:rFonts w:hint="eastAsia" w:asciiTheme="minorEastAsia" w:hAnsiTheme="minorEastAsia" w:eastAsiaTheme="minorEastAsia" w:cstheme="minorEastAsia"/>
                <w:color w:val="000000"/>
                <w:sz w:val="24"/>
              </w:rPr>
              <w:t>全国水利建设市场监管服务平台</w:t>
            </w:r>
            <w:r>
              <w:rPr>
                <w:rFonts w:hint="eastAsia" w:asciiTheme="minorEastAsia" w:hAnsiTheme="minorEastAsia" w:eastAsiaTheme="minorEastAsia" w:cstheme="minorEastAsia"/>
                <w:color w:val="000000"/>
                <w:kern w:val="1"/>
                <w:sz w:val="24"/>
              </w:rPr>
              <w:t>上公告且在处罚期限内的，一次扣3分。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条款号</w:t>
            </w:r>
          </w:p>
        </w:tc>
        <w:tc>
          <w:tcPr>
            <w:tcW w:w="2268"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评分因素</w:t>
            </w:r>
          </w:p>
        </w:tc>
        <w:tc>
          <w:tcPr>
            <w:tcW w:w="5167" w:type="dxa"/>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2.2.6（1）</w:t>
            </w:r>
          </w:p>
        </w:tc>
        <w:tc>
          <w:tcPr>
            <w:tcW w:w="1133"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投标报价</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（40分）</w:t>
            </w:r>
          </w:p>
        </w:tc>
        <w:tc>
          <w:tcPr>
            <w:tcW w:w="2268" w:type="dxa"/>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（40分）</w:t>
            </w:r>
          </w:p>
          <w:p>
            <w:pPr>
              <w:spacing w:line="360" w:lineRule="auto"/>
              <w:rPr>
                <w:rFonts w:asciiTheme="minorEastAsia" w:hAnsiTheme="minorEastAsia" w:eastAsiaTheme="minorEastAsia" w:cstheme="minorEastAsia"/>
                <w:sz w:val="24"/>
              </w:rPr>
            </w:pPr>
          </w:p>
        </w:tc>
        <w:tc>
          <w:tcPr>
            <w:tcW w:w="5167" w:type="dxa"/>
            <w:vAlign w:val="center"/>
          </w:tcPr>
          <w:p>
            <w:pPr>
              <w:tabs>
                <w:tab w:val="left" w:pos="6660"/>
              </w:tabs>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投标报价比评标基准价每高1%在40分基础上扣2分，扣完为止。等于评标基准价的得满分40分，每比评标基准价低1%，在40分基础上扣1分，扣完为止。（偏差率不足1%的，按内插法赋分。计算结果保留两位小数）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2.2.6（2）</w:t>
            </w:r>
          </w:p>
        </w:tc>
        <w:tc>
          <w:tcPr>
            <w:tcW w:w="1133" w:type="dxa"/>
            <w:vMerge w:val="restart"/>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技术方案（实施方案）（40分）</w:t>
            </w:r>
          </w:p>
        </w:tc>
        <w:tc>
          <w:tcPr>
            <w:tcW w:w="2268" w:type="dxa"/>
            <w:tcMar>
              <w:left w:w="57" w:type="dxa"/>
              <w:right w:w="57" w:type="dxa"/>
            </w:tcMar>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对工程的理解（3分）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对工程理解较透彻，对工程开展过程中的重点、难点分析准确且有针对性。在1～3分之间进行酌情赋分。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工作大纲（4分）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根据投标人编制的工作大纲的合理性及对本工程要求的满足程度，得2～4分，否则酌情赋分。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总体工作思路（12分）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总体工作思路清晰、工作方向明确，得2～3分；重、难点剖析得当且解决方案较为妥当，得3～5分；工作流程表达顺畅且符合工程实际要求，得2～4分；否则酌情赋分。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进度计划及保障措施（6分）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进度计划及保障措施得力，得3～6分，否则酌情赋分。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质量保证体系及保证措施（6分）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质量保证体系健全，措施合理，得3～6分，否则酌情赋分。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安全生产及保证措施（6分）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安全生产保证体系健全、措施得力、可操作性强，得3～6分，否则酌情赋分。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widowControl/>
              <w:spacing w:line="360" w:lineRule="auto"/>
              <w:jc w:val="center"/>
              <w:rPr>
                <w:rFonts w:asciiTheme="minorEastAsia" w:hAnsiTheme="minorEastAsia" w:eastAsiaTheme="minorEastAsia" w:cstheme="minorEastAsia"/>
                <w:sz w:val="24"/>
              </w:rPr>
            </w:pPr>
            <w:r>
              <w:rPr>
                <w:rFonts w:hAnsi="宋体"/>
                <w:color w:val="000000"/>
                <w:kern w:val="0"/>
                <w:sz w:val="24"/>
              </w:rPr>
              <w:t>合理化建议（</w:t>
            </w:r>
            <w:r>
              <w:rPr>
                <w:color w:val="000000"/>
                <w:kern w:val="0"/>
                <w:sz w:val="24"/>
              </w:rPr>
              <w:t>3</w:t>
            </w:r>
            <w:r>
              <w:rPr>
                <w:rFonts w:hAnsi="宋体"/>
                <w:color w:val="000000"/>
                <w:kern w:val="0"/>
                <w:sz w:val="24"/>
              </w:rPr>
              <w:t>分）</w:t>
            </w:r>
          </w:p>
        </w:tc>
        <w:tc>
          <w:tcPr>
            <w:tcW w:w="5167" w:type="dxa"/>
            <w:vAlign w:val="center"/>
          </w:tcPr>
          <w:p>
            <w:pPr>
              <w:widowControl/>
              <w:spacing w:line="360" w:lineRule="auto"/>
              <w:jc w:val="left"/>
              <w:rPr>
                <w:rFonts w:asciiTheme="minorEastAsia" w:hAnsiTheme="minorEastAsia" w:eastAsiaTheme="minorEastAsia" w:cstheme="minorEastAsia"/>
                <w:sz w:val="24"/>
              </w:rPr>
            </w:pPr>
            <w:r>
              <w:rPr>
                <w:rFonts w:hAnsi="宋体"/>
                <w:color w:val="000000"/>
                <w:kern w:val="0"/>
                <w:sz w:val="24"/>
              </w:rPr>
              <w:t>合理化建议可行得</w:t>
            </w:r>
            <w:r>
              <w:rPr>
                <w:color w:val="000000"/>
                <w:kern w:val="0"/>
                <w:sz w:val="24"/>
              </w:rPr>
              <w:t>3</w:t>
            </w:r>
            <w:r>
              <w:rPr>
                <w:rFonts w:hAnsi="宋体"/>
                <w:color w:val="000000"/>
                <w:kern w:val="0"/>
                <w:sz w:val="24"/>
              </w:rPr>
              <w:t>分，否则酌情赋分。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tcMar>
              <w:left w:w="57" w:type="dxa"/>
              <w:right w:w="57" w:type="dxa"/>
            </w:tcMar>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2.2.6（3）</w:t>
            </w:r>
          </w:p>
          <w:p>
            <w:pPr>
              <w:spacing w:line="360" w:lineRule="auto"/>
              <w:rPr>
                <w:rFonts w:asciiTheme="minorEastAsia" w:hAnsiTheme="minorEastAsia" w:eastAsiaTheme="minorEastAsia" w:cstheme="minorEastAsia"/>
                <w:color w:val="000000"/>
                <w:sz w:val="24"/>
              </w:rPr>
            </w:pPr>
          </w:p>
        </w:tc>
        <w:tc>
          <w:tcPr>
            <w:tcW w:w="1133"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项目管理机构</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（5分）</w:t>
            </w:r>
          </w:p>
        </w:tc>
        <w:tc>
          <w:tcPr>
            <w:tcW w:w="2268" w:type="dxa"/>
            <w:tcMar>
              <w:left w:w="57" w:type="dxa"/>
              <w:right w:w="57" w:type="dxa"/>
            </w:tcMar>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项目班子配备（0-5分）</w:t>
            </w:r>
          </w:p>
        </w:tc>
        <w:tc>
          <w:tcPr>
            <w:tcW w:w="5167" w:type="dxa"/>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1、项目负责人同时具有水利专业教授级高级工程师技术职称及注册土木工程师（水利水电）证书的得1分；</w:t>
            </w:r>
          </w:p>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所报项目组成人员中（除项目负责人外）同时具备水利专业高级及以上职称和注册土木工程师（水利水电）证书的每人得1分；同时具备水利专业高级及以上职称及注册测绘师证书的，每人得1分；此项最多得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tcMar>
              <w:left w:w="57" w:type="dxa"/>
              <w:right w:w="57" w:type="dxa"/>
            </w:tcMar>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2.2.6（4）</w:t>
            </w:r>
          </w:p>
        </w:tc>
        <w:tc>
          <w:tcPr>
            <w:tcW w:w="1133" w:type="dxa"/>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信用等级（0-5分）</w:t>
            </w:r>
          </w:p>
        </w:tc>
        <w:tc>
          <w:tcPr>
            <w:tcW w:w="2268" w:type="dxa"/>
            <w:tcMar>
              <w:left w:w="57" w:type="dxa"/>
              <w:right w:w="57" w:type="dxa"/>
            </w:tcMar>
            <w:vAlign w:val="center"/>
          </w:tcPr>
          <w:p>
            <w:pPr>
              <w:autoSpaceDE w:val="0"/>
              <w:autoSpaceDN w:val="0"/>
              <w:adjustRightInd w:val="0"/>
              <w:snapToGrid w:val="0"/>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信用等级（0-5分）</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信用等级经水利部评定且在有效期内，并以全国水利建设市场监管服务平台公开的为准。信用等级分值或权重：AAA级为5分，AA级为4分，A级为3分，BBB级为1分，CCC级为0分。</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（一）投标人在全国水利建设市场监管服务平台已建立信用档案，没有信用等级的，其信用等级视为BBB级；未建立信用档案的视为CCC级；</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（二）两个或者两个以上市场主体组成联合体投标时，按照信用等级较低的成员确定信用等级；</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（三）投标人近两年内存在且被发现有下列严重失信行为的，信用等级视为CCC级：</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1.出借、借用资质证书进行投标或承接工程的；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2.围标、串标的；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3.转包或违法分包所承揽工程的；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4.有行贿、受贿违法记录的；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5.对重(特)大质量事故、生产安全事故负有直接责任的；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6.公开信息隐瞒真实情况、弄虚作假的;</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7.拖欠农民工工资数额较大或造成严重不良影响的;</w:t>
            </w:r>
          </w:p>
          <w:p>
            <w:pPr>
              <w:autoSpaceDE w:val="0"/>
              <w:autoSpaceDN w:val="0"/>
              <w:adjustRightInd w:val="0"/>
              <w:snapToGrid w:val="0"/>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8.国家和省有关法律法规规定的其他情形。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restart"/>
            <w:tcMar>
              <w:left w:w="57" w:type="dxa"/>
              <w:right w:w="57" w:type="dxa"/>
            </w:tcMar>
            <w:vAlign w:val="center"/>
          </w:tcPr>
          <w:p>
            <w:pPr>
              <w:spacing w:line="360" w:lineRule="auto"/>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2.2.6（5）</w:t>
            </w:r>
          </w:p>
        </w:tc>
        <w:tc>
          <w:tcPr>
            <w:tcW w:w="1133" w:type="dxa"/>
            <w:vMerge w:val="restart"/>
            <w:vAlign w:val="center"/>
          </w:tcPr>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其他评分因素（0-10分）</w:t>
            </w:r>
          </w:p>
        </w:tc>
        <w:tc>
          <w:tcPr>
            <w:tcW w:w="2268" w:type="dxa"/>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企业业绩</w:t>
            </w:r>
          </w:p>
          <w:p>
            <w:pPr>
              <w:spacing w:line="360" w:lineRule="auto"/>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sz w:val="24"/>
              </w:rPr>
              <w:t>（0-1分）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2015年1月1日以来，投标人有类似业绩的每提供一项得1分，最多得1分；（以中标通知书及合同为准）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企业资信</w:t>
            </w:r>
          </w:p>
          <w:p>
            <w:pPr>
              <w:spacing w:line="360" w:lineRule="auto"/>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（2分）</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1、投标人自2015年1月1日以来获得过省级及以上年度勘察设计行业先进企业的得0.5分；</w:t>
            </w:r>
          </w:p>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2、投标人同时具有质量、环境、职业健康安全、信息安全认证证书的得0.5分，否则不得分。</w:t>
            </w:r>
          </w:p>
          <w:p>
            <w:pPr>
              <w:autoSpaceDE w:val="0"/>
              <w:autoSpaceDN w:val="0"/>
              <w:spacing w:line="360" w:lineRule="auto"/>
              <w:contextualSpacing/>
              <w:rPr>
                <w:rFonts w:asciiTheme="minorEastAsia" w:hAnsiTheme="minorEastAsia" w:eastAsiaTheme="minorEastAsia" w:cstheme="minorEastAsia"/>
                <w:sz w:val="24"/>
              </w:rPr>
            </w:pPr>
            <w:r>
              <w:rPr>
                <w:rFonts w:hint="eastAsia" w:asciiTheme="minorEastAsia" w:hAnsiTheme="minorEastAsia" w:eastAsiaTheme="minorEastAsia" w:cstheme="minorEastAsia"/>
                <w:color w:val="000000"/>
                <w:sz w:val="24"/>
              </w:rPr>
              <w:t>3、获得中国水利水电勘测设计协会颁发的信用等级为AAA级得1分，否则不得分。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spacing w:line="360" w:lineRule="auto"/>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pStyle w:val="43"/>
              <w:spacing w:line="360" w:lineRule="auto"/>
              <w:jc w:val="center"/>
              <w:rPr>
                <w:rFonts w:ascii="Times New Roman" w:cs="Times New Roman"/>
                <w:color w:val="auto"/>
              </w:rPr>
            </w:pPr>
            <w:r>
              <w:rPr>
                <w:rFonts w:hint="eastAsia" w:ascii="Times New Roman" w:hAnsi="宋体" w:cs="Times New Roman"/>
                <w:color w:val="auto"/>
              </w:rPr>
              <w:t>企业获奖</w:t>
            </w:r>
          </w:p>
          <w:p>
            <w:pPr>
              <w:spacing w:line="360" w:lineRule="auto"/>
              <w:jc w:val="center"/>
              <w:rPr>
                <w:rFonts w:asciiTheme="minorEastAsia" w:hAnsiTheme="minorEastAsia" w:eastAsiaTheme="minorEastAsia" w:cstheme="minorEastAsia"/>
                <w:sz w:val="24"/>
              </w:rPr>
            </w:pPr>
            <w:r>
              <w:rPr>
                <w:rFonts w:hAnsi="宋体"/>
              </w:rPr>
              <w:t>（</w:t>
            </w:r>
            <w:r>
              <w:rPr>
                <w:rFonts w:hint="eastAsia"/>
              </w:rPr>
              <w:t>4</w:t>
            </w:r>
            <w:r>
              <w:rPr>
                <w:rFonts w:hAnsi="宋体"/>
              </w:rPr>
              <w:t>分）</w:t>
            </w:r>
          </w:p>
        </w:tc>
        <w:tc>
          <w:tcPr>
            <w:tcW w:w="5167" w:type="dxa"/>
            <w:vAlign w:val="center"/>
          </w:tcPr>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2015年1月1日以来，获得全国优秀工程勘察设计行业奖一等奖，每提供一项得1.5分；获得全国优秀工程勘察设计行业奖二等奖，每提供一项得1分；获得全国优秀工程勘察设计行业奖三等奖，每提供一项得0.5分；本项最多得1.5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2015年1月1日以来，获得全国优秀水利水电工程勘测设计金质奖，每提供一项得1.5分；获得全国优秀水利水电工程勘测设计银质奖，每提供一项得1分；获得全国优秀水利水电工程勘测设计铜质奖，每提供一项得0.5分；本项最多得1.5分；</w:t>
            </w:r>
          </w:p>
          <w:p>
            <w:pPr>
              <w:spacing w:line="360" w:lineRule="auto"/>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3、2015年1月1日以来，获得过全国优秀测绘工程奖的得1分。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741" w:type="dxa"/>
            <w:vMerge w:val="continue"/>
            <w:tcMar>
              <w:left w:w="57" w:type="dxa"/>
              <w:right w:w="57" w:type="dxa"/>
            </w:tcMar>
            <w:vAlign w:val="center"/>
          </w:tcPr>
          <w:p>
            <w:pPr>
              <w:spacing w:line="360" w:lineRule="auto"/>
              <w:rPr>
                <w:rFonts w:asciiTheme="minorEastAsia" w:hAnsiTheme="minorEastAsia" w:eastAsiaTheme="minorEastAsia" w:cstheme="minorEastAsia"/>
                <w:color w:val="000000"/>
                <w:sz w:val="24"/>
              </w:rPr>
            </w:pPr>
          </w:p>
        </w:tc>
        <w:tc>
          <w:tcPr>
            <w:tcW w:w="1133" w:type="dxa"/>
            <w:vMerge w:val="continue"/>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p>
        </w:tc>
        <w:tc>
          <w:tcPr>
            <w:tcW w:w="2268" w:type="dxa"/>
            <w:tcMar>
              <w:left w:w="57" w:type="dxa"/>
              <w:right w:w="57" w:type="dxa"/>
            </w:tcMar>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服务承诺（0-3分）</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投标人针对招标项目的特点和要求，结合自身条件和潜力做出优惠和服务承诺，为建设好本项目，投标人向招标人提供的各项服务承诺，根据可行性和合理性在0～3之间酌情赋分。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综合评估得分</w:t>
            </w:r>
          </w:p>
        </w:tc>
        <w:tc>
          <w:tcPr>
            <w:tcW w:w="2268" w:type="dxa"/>
            <w:tcMar>
              <w:left w:w="57" w:type="dxa"/>
              <w:right w:w="57" w:type="dxa"/>
            </w:tcMar>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100分</w:t>
            </w:r>
          </w:p>
        </w:tc>
        <w:tc>
          <w:tcPr>
            <w:tcW w:w="5167" w:type="dxa"/>
            <w:vAlign w:val="center"/>
          </w:tcPr>
          <w:p>
            <w:pPr>
              <w:autoSpaceDE w:val="0"/>
              <w:autoSpaceDN w:val="0"/>
              <w:spacing w:line="360" w:lineRule="auto"/>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2.2.6（1）+2.2.6（2）+2.2.6（3）+2.2.6（4）+2.2.6（5）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ind w:left="105" w:leftChars="50"/>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2.2.7</w:t>
            </w:r>
          </w:p>
        </w:tc>
        <w:tc>
          <w:tcPr>
            <w:tcW w:w="226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投标人最终得分的计算方法</w:t>
            </w:r>
          </w:p>
        </w:tc>
        <w:tc>
          <w:tcPr>
            <w:tcW w:w="5167" w:type="dxa"/>
            <w:vAlign w:val="center"/>
          </w:tcPr>
          <w:p>
            <w:pPr>
              <w:spacing w:line="360" w:lineRule="auto"/>
              <w:ind w:firstLine="480" w:firstLineChars="200"/>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评标委员会仅对通过初步评审（形式评审、资格评审、响应性评审）的投标文件进行详细评审。</w:t>
            </w:r>
          </w:p>
          <w:p>
            <w:pPr>
              <w:spacing w:line="360" w:lineRule="auto"/>
              <w:ind w:firstLine="480" w:firstLineChars="200"/>
              <w:contextualSpacing/>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投标人最终得分=综合评估得分的算术平均值 + 奖励分值 - 惩罚分值。（计算评分值均保留两位小数）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rPr>
        <w:tc>
          <w:tcPr>
            <w:tcW w:w="1874" w:type="dxa"/>
            <w:gridSpan w:val="2"/>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2.2.8</w:t>
            </w:r>
          </w:p>
        </w:tc>
        <w:tc>
          <w:tcPr>
            <w:tcW w:w="2268" w:type="dxa"/>
            <w:tcMar>
              <w:left w:w="57" w:type="dxa"/>
              <w:right w:w="57" w:type="dxa"/>
            </w:tcMar>
            <w:vAlign w:val="center"/>
          </w:tcPr>
          <w:p>
            <w:pPr>
              <w:autoSpaceDE w:val="0"/>
              <w:autoSpaceDN w:val="0"/>
              <w:spacing w:line="360" w:lineRule="auto"/>
              <w:contextualSpacing/>
              <w:jc w:val="center"/>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推荐中标候选人</w:t>
            </w:r>
          </w:p>
        </w:tc>
        <w:tc>
          <w:tcPr>
            <w:tcW w:w="5167" w:type="dxa"/>
            <w:vAlign w:val="center"/>
          </w:tcPr>
          <w:p>
            <w:pPr>
              <w:spacing w:line="360" w:lineRule="auto"/>
              <w:ind w:right="248" w:firstLine="480" w:firstLineChars="200"/>
              <w:rPr>
                <w:rFonts w:asciiTheme="minorEastAsia" w:hAnsiTheme="minorEastAsia" w:eastAsiaTheme="minorEastAsia" w:cstheme="minorEastAsia"/>
                <w:color w:val="000000"/>
                <w:sz w:val="24"/>
              </w:rPr>
            </w:pPr>
            <w:r>
              <w:rPr>
                <w:rFonts w:hint="eastAsia" w:asciiTheme="minorEastAsia" w:hAnsiTheme="minorEastAsia" w:eastAsiaTheme="minorEastAsia" w:cstheme="minorEastAsia"/>
                <w:color w:val="000000"/>
                <w:sz w:val="24"/>
              </w:rPr>
              <w:t>采用综合评审法的。评标委员会对满足招标文件实质性要求的投标文件，按照本章第2.2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tc>
      </w:tr>
    </w:tbl>
    <w:p>
      <w:pPr>
        <w:spacing w:line="360" w:lineRule="auto"/>
        <w:rPr>
          <w:rFonts w:ascii="宋体" w:hAnsi="宋体" w:cs="宋体"/>
          <w:kern w:val="1"/>
          <w:szCs w:val="21"/>
        </w:rPr>
      </w:pPr>
      <w:r>
        <w:rPr>
          <w:rFonts w:ascii="宋体" w:hAnsi="宋体" w:cs="宋体"/>
          <w:kern w:val="1"/>
          <w:szCs w:val="21"/>
        </w:rPr>
        <w:t>备注：</w:t>
      </w:r>
    </w:p>
    <w:p>
      <w:pPr>
        <w:spacing w:line="360" w:lineRule="auto"/>
        <w:rPr>
          <w:rFonts w:ascii="宋体" w:hAnsi="宋体" w:cs="宋体"/>
          <w:kern w:val="1"/>
          <w:sz w:val="24"/>
        </w:rPr>
      </w:pPr>
      <w:r>
        <w:rPr>
          <w:rFonts w:ascii="宋体" w:hAnsi="宋体" w:cs="宋体"/>
          <w:kern w:val="1"/>
          <w:sz w:val="24"/>
        </w:rPr>
        <w:t>（1）以上涉及到资格审查的</w:t>
      </w:r>
      <w:r>
        <w:rPr>
          <w:rFonts w:hint="eastAsia" w:ascii="宋体" w:hAnsi="宋体" w:cs="宋体"/>
          <w:kern w:val="1"/>
          <w:sz w:val="24"/>
        </w:rPr>
        <w:t>资料</w:t>
      </w:r>
      <w:r>
        <w:rPr>
          <w:rFonts w:ascii="宋体" w:hAnsi="宋体" w:cs="宋体"/>
          <w:kern w:val="1"/>
          <w:sz w:val="24"/>
        </w:rPr>
        <w:t>均需以</w:t>
      </w:r>
      <w:r>
        <w:rPr>
          <w:rFonts w:hint="eastAsia" w:ascii="宋体" w:hAnsi="宋体" w:cs="宋体"/>
          <w:kern w:val="1"/>
          <w:sz w:val="24"/>
        </w:rPr>
        <w:t>投标文件正本中所附复印件</w:t>
      </w:r>
      <w:r>
        <w:rPr>
          <w:rFonts w:ascii="宋体" w:hAnsi="宋体" w:cs="宋体"/>
          <w:kern w:val="1"/>
          <w:sz w:val="24"/>
        </w:rPr>
        <w:t>为准。</w:t>
      </w:r>
    </w:p>
    <w:p>
      <w:pPr>
        <w:spacing w:line="360" w:lineRule="auto"/>
        <w:rPr>
          <w:rFonts w:ascii="宋体" w:hAnsi="宋体" w:cs="宋体"/>
          <w:kern w:val="1"/>
          <w:sz w:val="24"/>
        </w:rPr>
      </w:pPr>
      <w:r>
        <w:rPr>
          <w:rFonts w:ascii="宋体" w:hAnsi="宋体" w:cs="宋体"/>
          <w:kern w:val="1"/>
          <w:sz w:val="24"/>
        </w:rPr>
        <w:t>（2）所有证件如遇延期办理的应提供相关行政主管部门出具的证明。</w:t>
      </w:r>
    </w:p>
    <w:p>
      <w:pPr>
        <w:spacing w:line="360" w:lineRule="auto"/>
        <w:rPr>
          <w:b/>
          <w:sz w:val="24"/>
        </w:rPr>
      </w:pPr>
      <w:r>
        <w:rPr>
          <w:rFonts w:hint="eastAsia"/>
          <w:b/>
          <w:sz w:val="24"/>
        </w:rPr>
        <w:t>1. 评标方法</w:t>
      </w:r>
      <w:bookmarkEnd w:id="109"/>
      <w:bookmarkEnd w:id="110"/>
      <w:bookmarkEnd w:id="111"/>
      <w:bookmarkEnd w:id="112"/>
      <w:bookmarkEnd w:id="113"/>
    </w:p>
    <w:p>
      <w:pPr>
        <w:spacing w:line="360" w:lineRule="auto"/>
        <w:rPr>
          <w:bCs/>
          <w:sz w:val="24"/>
        </w:rPr>
      </w:pPr>
      <w:r>
        <w:rPr>
          <w:rFonts w:hint="eastAsia"/>
          <w:bCs/>
          <w:sz w:val="24"/>
        </w:rPr>
        <w:t>本次评标采用综合评</w:t>
      </w:r>
      <w:r>
        <w:rPr>
          <w:rFonts w:hint="eastAsia"/>
          <w:bCs/>
          <w:sz w:val="24"/>
          <w:lang w:val="en-US" w:eastAsia="zh-CN"/>
        </w:rPr>
        <w:t>估</w:t>
      </w:r>
      <w:r>
        <w:rPr>
          <w:rFonts w:hint="eastAsia"/>
          <w:bCs/>
          <w:sz w:val="24"/>
        </w:rPr>
        <w:t>法。评标委员会对满足招标文件实质性要求的投标文件，按照本章第2.2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w:t>
      </w:r>
    </w:p>
    <w:p>
      <w:pPr>
        <w:spacing w:line="360" w:lineRule="auto"/>
        <w:rPr>
          <w:b/>
          <w:sz w:val="24"/>
        </w:rPr>
      </w:pPr>
      <w:r>
        <w:rPr>
          <w:rFonts w:hint="eastAsia"/>
          <w:b/>
          <w:sz w:val="24"/>
        </w:rPr>
        <w:t>2. 评审标准</w:t>
      </w:r>
      <w:bookmarkEnd w:id="114"/>
      <w:bookmarkEnd w:id="115"/>
      <w:bookmarkEnd w:id="116"/>
      <w:bookmarkEnd w:id="117"/>
      <w:bookmarkEnd w:id="118"/>
      <w:bookmarkEnd w:id="119"/>
      <w:bookmarkEnd w:id="120"/>
      <w:bookmarkEnd w:id="121"/>
    </w:p>
    <w:p>
      <w:pPr>
        <w:spacing w:line="360" w:lineRule="auto"/>
        <w:rPr>
          <w:rFonts w:asciiTheme="majorEastAsia" w:hAnsiTheme="majorEastAsia" w:eastAsiaTheme="majorEastAsia" w:cstheme="majorEastAsia"/>
          <w:b/>
          <w:bCs/>
          <w:color w:val="000000"/>
          <w:sz w:val="24"/>
        </w:rPr>
      </w:pPr>
      <w:bookmarkStart w:id="126" w:name="_Toc152045603"/>
      <w:r>
        <w:rPr>
          <w:rFonts w:hint="eastAsia" w:asciiTheme="majorEastAsia" w:hAnsiTheme="majorEastAsia" w:eastAsiaTheme="majorEastAsia" w:cstheme="majorEastAsia"/>
          <w:b/>
          <w:bCs/>
          <w:color w:val="000000"/>
          <w:sz w:val="24"/>
        </w:rPr>
        <w:t>2.1  初步评审标准</w:t>
      </w:r>
      <w:bookmarkEnd w:id="126"/>
    </w:p>
    <w:p>
      <w:pPr>
        <w:spacing w:line="360" w:lineRule="auto"/>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2.1.1形式评审标准：详见评标办法前附表。</w:t>
      </w:r>
    </w:p>
    <w:p>
      <w:pPr>
        <w:spacing w:line="360" w:lineRule="auto"/>
        <w:ind w:firstLine="235" w:firstLineChars="9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2.1.2资格评审标准：详见评标办法前附表。</w:t>
      </w:r>
    </w:p>
    <w:p>
      <w:pPr>
        <w:spacing w:line="360" w:lineRule="auto"/>
        <w:ind w:firstLine="235" w:firstLineChars="98"/>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 xml:space="preserve"> 2.1.3 响应性评审标准：详见评标办法前附表。</w:t>
      </w:r>
      <w:bookmarkStart w:id="127" w:name="_Toc179632622"/>
      <w:bookmarkEnd w:id="127"/>
      <w:bookmarkStart w:id="128" w:name="_Toc247085762"/>
      <w:bookmarkEnd w:id="128"/>
      <w:bookmarkStart w:id="129" w:name="_Toc152045604"/>
      <w:bookmarkEnd w:id="129"/>
      <w:bookmarkStart w:id="130" w:name="_Toc296602492"/>
      <w:bookmarkEnd w:id="130"/>
      <w:bookmarkStart w:id="131" w:name="_Toc246996990"/>
      <w:bookmarkEnd w:id="131"/>
      <w:bookmarkStart w:id="132" w:name="_Toc144974571"/>
      <w:bookmarkEnd w:id="132"/>
      <w:bookmarkStart w:id="133" w:name="_Toc246996247"/>
      <w:bookmarkEnd w:id="133"/>
      <w:bookmarkStart w:id="134" w:name="_Toc152042381"/>
      <w:bookmarkEnd w:id="134"/>
    </w:p>
    <w:p>
      <w:pPr>
        <w:pStyle w:val="5"/>
        <w:spacing w:before="0" w:after="0" w:line="360" w:lineRule="auto"/>
        <w:rPr>
          <w:rFonts w:asciiTheme="majorEastAsia" w:hAnsiTheme="majorEastAsia" w:eastAsiaTheme="majorEastAsia" w:cstheme="majorEastAsia"/>
          <w:color w:val="000000"/>
          <w:sz w:val="24"/>
          <w:szCs w:val="24"/>
        </w:rPr>
      </w:pPr>
      <w:r>
        <w:rPr>
          <w:rFonts w:hint="eastAsia" w:asciiTheme="majorEastAsia" w:hAnsiTheme="majorEastAsia" w:eastAsiaTheme="majorEastAsia" w:cstheme="majorEastAsia"/>
          <w:color w:val="000000"/>
          <w:sz w:val="24"/>
          <w:szCs w:val="24"/>
        </w:rPr>
        <w:t>2.2 分值构成与评分标准</w:t>
      </w:r>
    </w:p>
    <w:p>
      <w:pPr>
        <w:pStyle w:val="5"/>
        <w:spacing w:before="0" w:after="0" w:line="360" w:lineRule="auto"/>
        <w:ind w:firstLine="240" w:firstLineChars="100"/>
        <w:rPr>
          <w:rFonts w:asciiTheme="majorEastAsia" w:hAnsiTheme="majorEastAsia" w:eastAsiaTheme="majorEastAsia" w:cstheme="majorEastAsia"/>
          <w:b w:val="0"/>
          <w:bCs w:val="0"/>
          <w:color w:val="000000"/>
          <w:sz w:val="24"/>
          <w:szCs w:val="24"/>
        </w:rPr>
      </w:pPr>
      <w:bookmarkStart w:id="135" w:name="_Toc221950492"/>
      <w:bookmarkEnd w:id="135"/>
      <w:r>
        <w:rPr>
          <w:rFonts w:hint="eastAsia" w:asciiTheme="majorEastAsia" w:hAnsiTheme="majorEastAsia" w:eastAsiaTheme="majorEastAsia" w:cstheme="majorEastAsia"/>
          <w:b w:val="0"/>
          <w:bCs w:val="0"/>
          <w:color w:val="000000"/>
          <w:sz w:val="24"/>
          <w:szCs w:val="24"/>
        </w:rPr>
        <w:t>2.2.1 分值构成：</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（1）</w:t>
      </w:r>
      <w:r>
        <w:rPr>
          <w:rFonts w:hint="eastAsia" w:asciiTheme="minorEastAsia" w:hAnsiTheme="minorEastAsia" w:eastAsiaTheme="minorEastAsia" w:cstheme="minorEastAsia"/>
          <w:color w:val="000000"/>
          <w:sz w:val="24"/>
        </w:rPr>
        <w:t>技术方案（实施方案）</w:t>
      </w:r>
      <w:r>
        <w:rPr>
          <w:rFonts w:hint="eastAsia" w:asciiTheme="majorEastAsia" w:hAnsiTheme="majorEastAsia" w:eastAsiaTheme="majorEastAsia" w:cstheme="majorEastAsia"/>
          <w:color w:val="000000"/>
          <w:sz w:val="24"/>
        </w:rPr>
        <w:t>：见评标办法前附表；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（2）项目管理机构：见评标办法前附表；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（3）投标报价：见评标办法前附表；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（4）信用等级；见评标办法前附表；</w:t>
      </w:r>
    </w:p>
    <w:p>
      <w:pPr>
        <w:spacing w:line="360" w:lineRule="auto"/>
        <w:ind w:firstLine="424" w:firstLineChars="177"/>
        <w:rPr>
          <w:rFonts w:asciiTheme="majorEastAsia" w:hAnsiTheme="majorEastAsia" w:eastAsiaTheme="majorEastAsia" w:cstheme="majorEastAsia"/>
          <w:color w:val="000000"/>
          <w:sz w:val="24"/>
        </w:rPr>
      </w:pPr>
      <w:r>
        <w:rPr>
          <w:rFonts w:hint="eastAsia" w:asciiTheme="majorEastAsia" w:hAnsiTheme="majorEastAsia" w:eastAsiaTheme="majorEastAsia" w:cstheme="majorEastAsia"/>
          <w:color w:val="000000"/>
          <w:sz w:val="24"/>
        </w:rPr>
        <w:t>（5）其他评分因素：见评标办法前附表。</w:t>
      </w:r>
    </w:p>
    <w:p>
      <w:pPr>
        <w:pStyle w:val="5"/>
        <w:spacing w:before="0" w:after="0" w:line="360" w:lineRule="auto"/>
        <w:ind w:firstLine="240" w:firstLineChars="100"/>
        <w:rPr>
          <w:rFonts w:asciiTheme="majorEastAsia" w:hAnsiTheme="majorEastAsia" w:eastAsiaTheme="majorEastAsia" w:cstheme="majorEastAsia"/>
          <w:b w:val="0"/>
          <w:bCs w:val="0"/>
          <w:color w:val="000000"/>
          <w:sz w:val="24"/>
          <w:szCs w:val="24"/>
        </w:rPr>
      </w:pPr>
      <w:bookmarkStart w:id="136" w:name="_Toc221950497"/>
      <w:bookmarkEnd w:id="136"/>
      <w:bookmarkStart w:id="137" w:name="_Toc221950503"/>
      <w:r>
        <w:rPr>
          <w:rFonts w:hint="eastAsia" w:asciiTheme="majorEastAsia" w:hAnsiTheme="majorEastAsia" w:eastAsiaTheme="majorEastAsia" w:cstheme="majorEastAsia"/>
          <w:b w:val="0"/>
          <w:bCs w:val="0"/>
          <w:color w:val="000000"/>
          <w:sz w:val="24"/>
          <w:szCs w:val="24"/>
        </w:rPr>
        <w:t>2.2.2确定评标基准价</w:t>
      </w:r>
      <w:bookmarkEnd w:id="137"/>
      <w:r>
        <w:rPr>
          <w:rFonts w:hint="eastAsia" w:asciiTheme="majorEastAsia" w:hAnsiTheme="majorEastAsia" w:eastAsiaTheme="majorEastAsia" w:cstheme="majorEastAsia"/>
          <w:b w:val="0"/>
          <w:bCs w:val="0"/>
          <w:color w:val="000000"/>
          <w:sz w:val="24"/>
          <w:szCs w:val="24"/>
        </w:rPr>
        <w:t xml:space="preserve">：见评标办法前附表。 </w:t>
      </w:r>
    </w:p>
    <w:p>
      <w:pPr>
        <w:pStyle w:val="5"/>
        <w:spacing w:before="0" w:after="0" w:line="360" w:lineRule="auto"/>
        <w:ind w:firstLine="240" w:firstLineChars="100"/>
        <w:rPr>
          <w:rFonts w:asciiTheme="majorEastAsia" w:hAnsiTheme="majorEastAsia" w:eastAsiaTheme="majorEastAsia" w:cstheme="majorEastAsia"/>
          <w:b w:val="0"/>
          <w:bCs w:val="0"/>
          <w:color w:val="000000"/>
          <w:sz w:val="24"/>
          <w:szCs w:val="24"/>
        </w:rPr>
      </w:pPr>
      <w:r>
        <w:rPr>
          <w:rFonts w:hint="eastAsia" w:asciiTheme="majorEastAsia" w:hAnsiTheme="majorEastAsia" w:eastAsiaTheme="majorEastAsia" w:cstheme="majorEastAsia"/>
          <w:b w:val="0"/>
          <w:bCs w:val="0"/>
          <w:color w:val="000000"/>
          <w:sz w:val="24"/>
          <w:szCs w:val="24"/>
        </w:rPr>
        <w:t>2.2.6评分标准： 见评分标准一览表</w:t>
      </w:r>
    </w:p>
    <w:p>
      <w:pPr>
        <w:spacing w:line="360" w:lineRule="auto"/>
        <w:rPr>
          <w:b/>
          <w:sz w:val="24"/>
        </w:rPr>
      </w:pPr>
      <w:r>
        <w:rPr>
          <w:rFonts w:hint="eastAsia"/>
          <w:b/>
          <w:sz w:val="24"/>
        </w:rPr>
        <w:t>3、评标程序</w:t>
      </w:r>
    </w:p>
    <w:p>
      <w:pPr>
        <w:spacing w:line="360" w:lineRule="auto"/>
        <w:rPr>
          <w:b/>
          <w:sz w:val="24"/>
        </w:rPr>
      </w:pPr>
      <w:r>
        <w:rPr>
          <w:rFonts w:hint="eastAsia"/>
          <w:b/>
          <w:sz w:val="24"/>
        </w:rPr>
        <w:t>3.1 初步评审</w:t>
      </w:r>
    </w:p>
    <w:p>
      <w:pPr>
        <w:spacing w:line="360" w:lineRule="auto"/>
        <w:ind w:firstLine="480" w:firstLineChars="200"/>
        <w:rPr>
          <w:rFonts w:ascii="宋体" w:hAnsi="宋体" w:cs="宋体"/>
          <w:sz w:val="24"/>
        </w:rPr>
      </w:pPr>
      <w:r>
        <w:rPr>
          <w:rFonts w:hint="eastAsia" w:ascii="宋体" w:hAnsi="宋体" w:cs="宋体"/>
          <w:sz w:val="24"/>
        </w:rPr>
        <w:t>3.1.1 评标委员会可以要求投标人提交第二章“投标人须知”中第3.5.1 项至第3.5.4 项规定的有关证明和证件的复印件，以便核验。评标委员会依据本章第2.1 款规定的标准对投标文件进行初步评审。</w:t>
      </w:r>
    </w:p>
    <w:p>
      <w:pPr>
        <w:spacing w:line="360" w:lineRule="auto"/>
        <w:ind w:firstLine="482" w:firstLineChars="200"/>
        <w:rPr>
          <w:rFonts w:ascii="宋体" w:hAnsi="宋体" w:cs="宋体"/>
          <w:b/>
          <w:sz w:val="24"/>
        </w:rPr>
      </w:pPr>
      <w:r>
        <w:rPr>
          <w:rFonts w:hint="eastAsia" w:ascii="宋体" w:hAnsi="宋体" w:cs="宋体"/>
          <w:b/>
          <w:sz w:val="24"/>
        </w:rPr>
        <w:t>3.1.2 投标人有以下情形之一的，其投标做废标处理：</w:t>
      </w:r>
    </w:p>
    <w:p>
      <w:pPr>
        <w:spacing w:line="360" w:lineRule="auto"/>
        <w:ind w:firstLine="482" w:firstLineChars="200"/>
        <w:jc w:val="left"/>
        <w:rPr>
          <w:rFonts w:ascii="宋体" w:hAnsi="宋体" w:cs="宋体"/>
          <w:b/>
          <w:sz w:val="24"/>
        </w:rPr>
      </w:pPr>
      <w:r>
        <w:rPr>
          <w:rFonts w:hint="eastAsia" w:ascii="宋体" w:hAnsi="宋体" w:cs="宋体"/>
          <w:b/>
          <w:sz w:val="24"/>
        </w:rPr>
        <w:t>⑴未按规定的格式填写，内容不全，关键字迹模糊或无法辨认的；</w:t>
      </w:r>
    </w:p>
    <w:p>
      <w:pPr>
        <w:spacing w:line="360" w:lineRule="auto"/>
        <w:ind w:firstLine="482" w:firstLineChars="200"/>
        <w:jc w:val="left"/>
        <w:rPr>
          <w:rFonts w:ascii="宋体" w:hAnsi="宋体" w:cs="宋体"/>
          <w:b/>
          <w:sz w:val="24"/>
        </w:rPr>
      </w:pPr>
      <w:r>
        <w:rPr>
          <w:rFonts w:hint="eastAsia" w:ascii="宋体" w:hAnsi="宋体" w:cs="宋体"/>
          <w:b/>
          <w:sz w:val="24"/>
        </w:rPr>
        <w:t>⑵未提供授权委托人、项目负责人近三个月社保证明和劳动合同的；</w:t>
      </w:r>
    </w:p>
    <w:p>
      <w:pPr>
        <w:spacing w:line="360" w:lineRule="auto"/>
        <w:ind w:firstLine="482" w:firstLineChars="200"/>
        <w:jc w:val="left"/>
        <w:rPr>
          <w:rFonts w:ascii="宋体" w:hAnsi="宋体" w:cs="宋体"/>
          <w:b/>
          <w:sz w:val="24"/>
        </w:rPr>
      </w:pPr>
      <w:r>
        <w:rPr>
          <w:rFonts w:hint="eastAsia" w:ascii="宋体" w:hAnsi="宋体" w:cs="宋体"/>
          <w:b/>
          <w:sz w:val="24"/>
        </w:rPr>
        <w:t>⑶未按招标文件要求提交投标保证金的；</w:t>
      </w:r>
    </w:p>
    <w:p>
      <w:pPr>
        <w:spacing w:line="360" w:lineRule="auto"/>
        <w:ind w:firstLine="482" w:firstLineChars="200"/>
        <w:jc w:val="left"/>
        <w:rPr>
          <w:rFonts w:ascii="宋体" w:hAnsi="宋体" w:cs="宋体"/>
          <w:b/>
          <w:sz w:val="24"/>
        </w:rPr>
      </w:pPr>
      <w:r>
        <w:rPr>
          <w:rFonts w:hint="eastAsia" w:ascii="宋体" w:hAnsi="宋体" w:cs="宋体"/>
          <w:b/>
          <w:sz w:val="24"/>
        </w:rPr>
        <w:t>⑷投标人资格条件不符合国家有关规定和招标文件要求的；</w:t>
      </w:r>
    </w:p>
    <w:p>
      <w:pPr>
        <w:spacing w:line="360" w:lineRule="auto"/>
        <w:ind w:firstLine="482" w:firstLineChars="200"/>
        <w:jc w:val="left"/>
        <w:rPr>
          <w:rFonts w:ascii="宋体" w:hAnsi="宋体" w:cs="宋体"/>
          <w:b/>
          <w:sz w:val="24"/>
        </w:rPr>
      </w:pPr>
      <w:r>
        <w:rPr>
          <w:rFonts w:hint="eastAsia" w:ascii="宋体" w:hAnsi="宋体" w:cs="宋体"/>
          <w:b/>
          <w:sz w:val="24"/>
        </w:rPr>
        <w:t>⑸违反国家强制性标准的；</w:t>
      </w:r>
    </w:p>
    <w:p>
      <w:pPr>
        <w:spacing w:line="360" w:lineRule="auto"/>
        <w:ind w:firstLine="482" w:firstLineChars="200"/>
        <w:jc w:val="left"/>
        <w:rPr>
          <w:rFonts w:ascii="宋体" w:hAnsi="宋体" w:cs="宋体"/>
          <w:b/>
          <w:sz w:val="24"/>
        </w:rPr>
      </w:pPr>
      <w:r>
        <w:rPr>
          <w:rFonts w:hint="eastAsia" w:ascii="宋体" w:hAnsi="宋体" w:cs="宋体"/>
          <w:b/>
          <w:sz w:val="24"/>
        </w:rPr>
        <w:t>⑹是否按照要求对投标报价进行确认、对投标文件进行澄清、说明或者补充的；</w:t>
      </w:r>
    </w:p>
    <w:p>
      <w:pPr>
        <w:spacing w:line="360" w:lineRule="auto"/>
        <w:ind w:firstLine="482" w:firstLineChars="200"/>
        <w:jc w:val="left"/>
        <w:rPr>
          <w:rFonts w:ascii="宋体" w:hAnsi="宋体" w:cs="宋体"/>
          <w:b/>
          <w:sz w:val="24"/>
        </w:rPr>
      </w:pPr>
      <w:r>
        <w:rPr>
          <w:rFonts w:hint="eastAsia" w:ascii="宋体" w:hAnsi="宋体" w:cs="宋体"/>
          <w:b/>
          <w:sz w:val="24"/>
        </w:rPr>
        <w:t>⑺投标文件附有招标人不能接受的条件的或不符合招标文件规定的其它情况的；</w:t>
      </w:r>
    </w:p>
    <w:p>
      <w:pPr>
        <w:spacing w:line="360" w:lineRule="auto"/>
        <w:ind w:firstLine="482" w:firstLineChars="200"/>
        <w:jc w:val="left"/>
        <w:rPr>
          <w:rFonts w:ascii="宋体" w:hAnsi="宋体" w:cs="宋体"/>
          <w:b/>
          <w:sz w:val="24"/>
        </w:rPr>
      </w:pPr>
      <w:r>
        <w:rPr>
          <w:rFonts w:hint="eastAsia" w:ascii="宋体" w:hAnsi="宋体" w:cs="宋体"/>
          <w:b/>
          <w:sz w:val="24"/>
        </w:rPr>
        <w:t>⑻变更工程量清单内容的；</w:t>
      </w:r>
    </w:p>
    <w:p>
      <w:pPr>
        <w:spacing w:line="360" w:lineRule="auto"/>
        <w:ind w:firstLine="482" w:firstLineChars="200"/>
        <w:jc w:val="left"/>
        <w:rPr>
          <w:rFonts w:ascii="宋体" w:hAnsi="宋体" w:cs="宋体"/>
          <w:b/>
          <w:sz w:val="24"/>
        </w:rPr>
      </w:pPr>
      <w:r>
        <w:rPr>
          <w:rFonts w:hint="eastAsia" w:ascii="宋体" w:hAnsi="宋体" w:cs="宋体"/>
          <w:b/>
          <w:sz w:val="24"/>
        </w:rPr>
        <w:t>⑼以他人名义投标、串通投标、弄虚作假的；</w:t>
      </w:r>
    </w:p>
    <w:p>
      <w:pPr>
        <w:spacing w:line="360" w:lineRule="auto"/>
        <w:ind w:firstLine="480" w:firstLineChars="200"/>
        <w:rPr>
          <w:rFonts w:ascii="宋体" w:hAnsi="宋体" w:cs="宋体"/>
          <w:sz w:val="24"/>
        </w:rPr>
      </w:pPr>
      <w:r>
        <w:rPr>
          <w:rFonts w:hint="eastAsia" w:ascii="宋体" w:hAnsi="宋体" w:cs="宋体"/>
          <w:sz w:val="24"/>
        </w:rPr>
        <w:t>3.1.3 投标报价有算术错误的，评标委员会按以下原则对投标报价进行修正，修正的价格经投标人书面确认后具有约束力。投标人不接受修正价格的，其投标作废标处理。</w:t>
      </w:r>
    </w:p>
    <w:p>
      <w:pPr>
        <w:spacing w:line="360" w:lineRule="auto"/>
        <w:ind w:firstLine="480" w:firstLineChars="200"/>
        <w:rPr>
          <w:rFonts w:ascii="宋体" w:hAnsi="宋体" w:cs="宋体"/>
          <w:sz w:val="24"/>
        </w:rPr>
      </w:pPr>
      <w:r>
        <w:rPr>
          <w:rFonts w:hint="eastAsia" w:ascii="宋体" w:hAnsi="宋体" w:cs="宋体"/>
          <w:sz w:val="24"/>
        </w:rPr>
        <w:t>(1）投标文件中的大写金额与小写金额不一致的，以大写金额为准；</w:t>
      </w:r>
    </w:p>
    <w:p>
      <w:pPr>
        <w:spacing w:line="360" w:lineRule="auto"/>
        <w:ind w:firstLine="480" w:firstLineChars="200"/>
        <w:rPr>
          <w:rFonts w:ascii="宋体" w:hAnsi="宋体" w:cs="宋体"/>
          <w:sz w:val="24"/>
        </w:rPr>
      </w:pPr>
      <w:r>
        <w:rPr>
          <w:rFonts w:hint="eastAsia" w:ascii="宋体" w:hAnsi="宋体" w:cs="宋体"/>
          <w:sz w:val="24"/>
        </w:rPr>
        <w:t>(2）总价金额与依据单价计算出的结果不一致的，以单价金额为准修正总价，但单价金额小数点有明显错误的除外。</w:t>
      </w:r>
    </w:p>
    <w:p>
      <w:pPr>
        <w:spacing w:line="360" w:lineRule="auto"/>
        <w:rPr>
          <w:rFonts w:ascii="宋体" w:hAnsi="宋体" w:cs="宋体"/>
          <w:sz w:val="24"/>
        </w:rPr>
      </w:pPr>
      <w:r>
        <w:rPr>
          <w:rFonts w:hint="eastAsia" w:ascii="宋体" w:hAnsi="宋体" w:cs="宋体"/>
          <w:sz w:val="24"/>
        </w:rPr>
        <w:t>3.2 详细评审</w:t>
      </w:r>
    </w:p>
    <w:p>
      <w:pPr>
        <w:spacing w:line="360" w:lineRule="auto"/>
        <w:ind w:firstLine="480" w:firstLineChars="200"/>
        <w:rPr>
          <w:rFonts w:ascii="宋体" w:hAnsi="宋体" w:cs="宋体"/>
          <w:sz w:val="24"/>
        </w:rPr>
      </w:pPr>
      <w:r>
        <w:rPr>
          <w:rFonts w:hint="eastAsia" w:ascii="宋体" w:hAnsi="宋体" w:cs="宋体"/>
          <w:sz w:val="24"/>
        </w:rPr>
        <w:t>3.2.1 评标委员会按本章第2.2 款规定的量化因素和要求进行评审，并计算出投标人评标价。</w:t>
      </w:r>
    </w:p>
    <w:p>
      <w:pPr>
        <w:spacing w:line="360" w:lineRule="auto"/>
        <w:ind w:firstLine="480" w:firstLineChars="200"/>
        <w:rPr>
          <w:rFonts w:ascii="宋体" w:hAnsi="宋体" w:cs="宋体"/>
          <w:sz w:val="24"/>
        </w:rPr>
      </w:pPr>
      <w:r>
        <w:rPr>
          <w:rFonts w:hint="eastAsia" w:ascii="宋体" w:hAnsi="宋体" w:cs="宋体"/>
          <w:sz w:val="24"/>
        </w:rPr>
        <w:t>3.2.2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80" w:firstLineChars="200"/>
        <w:rPr>
          <w:rFonts w:ascii="宋体" w:hAnsi="宋体" w:cs="宋体"/>
          <w:sz w:val="24"/>
        </w:rPr>
      </w:pPr>
      <w:r>
        <w:rPr>
          <w:rFonts w:hint="eastAsia" w:ascii="宋体" w:hAnsi="宋体" w:cs="宋体"/>
          <w:sz w:val="24"/>
        </w:rPr>
        <w:t>3.2.3投标人获奖、受罚、信用信息登记等，由招标代理机构从“全国水利建设市场监管服务平台”（http://xypt.mwr.gov.cn/）上收集并向评标委员会提供，评标委员会应以此为依据核实投标人提供的相关证明材料。</w:t>
      </w:r>
    </w:p>
    <w:p>
      <w:pPr>
        <w:spacing w:line="360" w:lineRule="auto"/>
        <w:rPr>
          <w:rFonts w:ascii="宋体" w:hAnsi="宋体" w:cs="宋体"/>
          <w:sz w:val="24"/>
        </w:rPr>
      </w:pPr>
      <w:r>
        <w:rPr>
          <w:rFonts w:hint="eastAsia" w:ascii="宋体" w:hAnsi="宋体" w:cs="宋体"/>
          <w:sz w:val="24"/>
        </w:rPr>
        <w:t>3.3 投标文件的澄清和补正</w:t>
      </w:r>
    </w:p>
    <w:p>
      <w:pPr>
        <w:spacing w:line="360" w:lineRule="auto"/>
        <w:ind w:firstLine="480" w:firstLineChars="200"/>
        <w:rPr>
          <w:rFonts w:ascii="宋体" w:hAnsi="宋体" w:cs="宋体"/>
          <w:sz w:val="24"/>
        </w:rPr>
      </w:pPr>
      <w:r>
        <w:rPr>
          <w:rFonts w:hint="eastAsia" w:ascii="宋体" w:hAnsi="宋体" w:cs="宋体"/>
          <w:sz w:val="24"/>
        </w:rPr>
        <w:t>3.3.1 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80" w:firstLineChars="200"/>
        <w:rPr>
          <w:rFonts w:ascii="宋体" w:hAnsi="宋体" w:cs="宋体"/>
          <w:sz w:val="24"/>
        </w:rPr>
      </w:pPr>
      <w:r>
        <w:rPr>
          <w:rFonts w:hint="eastAsia" w:ascii="宋体" w:hAnsi="宋体" w:cs="宋体"/>
          <w:sz w:val="24"/>
        </w:rPr>
        <w:t>3.3.2 澄清、说明和补正不得改变投标文件的实质性内容（算术性错误修正的除外）。投标人的书面澄清、说明和补正属于投标文件的组成部分。</w:t>
      </w:r>
    </w:p>
    <w:p>
      <w:pPr>
        <w:spacing w:line="360" w:lineRule="auto"/>
        <w:ind w:firstLine="480" w:firstLineChars="200"/>
        <w:rPr>
          <w:rFonts w:ascii="宋体" w:hAnsi="宋体" w:cs="宋体"/>
          <w:sz w:val="24"/>
        </w:rPr>
      </w:pPr>
      <w:r>
        <w:rPr>
          <w:rFonts w:hint="eastAsia" w:ascii="宋体" w:hAnsi="宋体" w:cs="宋体"/>
          <w:sz w:val="24"/>
        </w:rPr>
        <w:t>3.3.3 评标委员会对投标人提交的澄清、说明或补正有疑问的，可以要求投标人进一步澄清、说明或补正，直至满足评标委员会的要求。</w:t>
      </w:r>
    </w:p>
    <w:p>
      <w:pPr>
        <w:spacing w:line="360" w:lineRule="auto"/>
        <w:rPr>
          <w:rFonts w:ascii="宋体" w:hAnsi="宋体" w:cs="宋体"/>
          <w:sz w:val="24"/>
        </w:rPr>
      </w:pPr>
      <w:r>
        <w:rPr>
          <w:rFonts w:hint="eastAsia" w:ascii="宋体" w:hAnsi="宋体" w:cs="宋体"/>
          <w:sz w:val="24"/>
        </w:rPr>
        <w:t>3.4 评标结果</w:t>
      </w:r>
    </w:p>
    <w:p>
      <w:pPr>
        <w:spacing w:line="360" w:lineRule="auto"/>
        <w:ind w:firstLine="480" w:firstLineChars="200"/>
        <w:rPr>
          <w:rFonts w:ascii="宋体" w:hAnsi="宋体" w:cs="宋体"/>
          <w:sz w:val="24"/>
        </w:rPr>
      </w:pPr>
      <w:r>
        <w:rPr>
          <w:rFonts w:hint="eastAsia" w:ascii="宋体" w:hAnsi="宋体" w:cs="宋体"/>
          <w:sz w:val="24"/>
        </w:rPr>
        <w:t>3.4.1 按照本章第2.2 款规定的评分标准进行打分，并按得分由高到低顺序推荐中标候选人，但投标报价低于其成本的除外。综合评分相等时，以投标报价低的优先；投标报价也相等的，由评标委员会在相关部门监督下，以随机抽取的方式确定中标候选人排序。3.4.2 评标委员会完成评标后，应当向招标人提交书面评标报告。</w:t>
      </w:r>
    </w:p>
    <w:p>
      <w:pPr>
        <w:spacing w:line="360" w:lineRule="auto"/>
        <w:ind w:firstLine="480" w:firstLineChars="200"/>
        <w:rPr>
          <w:rStyle w:val="23"/>
          <w:sz w:val="36"/>
          <w:szCs w:val="36"/>
        </w:rPr>
      </w:pPr>
      <w:r>
        <w:rPr>
          <w:rFonts w:hint="eastAsia" w:ascii="宋体" w:hAnsi="宋体" w:cs="宋体"/>
          <w:sz w:val="24"/>
        </w:rPr>
        <w:t>3.4.3标人根据评标委员会提供的书面评标报告，取排名第一的中标候选人为中标人。排名第一的中标候选人放弃中标或因不可抗力提出不能履行合同，或者在规定期限内未能足额提交履约保证金的，或被查实存在影响中标结果的违法行为等情形，不符合中标条件的，招标人可以按照评标委员会提出的中标候选人名单依次确定其他中标候选人为中标人，可以重新招标，但不得在中标候选人以外确定中标人。</w:t>
      </w:r>
      <w:bookmarkStart w:id="138" w:name="_Toc701"/>
      <w:bookmarkStart w:id="139" w:name="_Toc4299"/>
      <w:bookmarkStart w:id="140" w:name="_Toc21870"/>
      <w:bookmarkStart w:id="141" w:name="_Toc24212"/>
      <w:bookmarkStart w:id="142" w:name="_Toc24218"/>
      <w:r>
        <w:rPr>
          <w:rStyle w:val="23"/>
          <w:rFonts w:hint="eastAsia"/>
          <w:sz w:val="36"/>
          <w:szCs w:val="36"/>
        </w:rPr>
        <w:br w:type="page"/>
      </w:r>
    </w:p>
    <w:p>
      <w:pPr>
        <w:pStyle w:val="4"/>
        <w:spacing w:before="0" w:after="0" w:line="312" w:lineRule="auto"/>
        <w:jc w:val="center"/>
        <w:rPr>
          <w:rStyle w:val="23"/>
          <w:b w:val="0"/>
          <w:bCs w:val="0"/>
          <w:sz w:val="36"/>
          <w:szCs w:val="36"/>
        </w:rPr>
      </w:pPr>
      <w:r>
        <w:rPr>
          <w:rStyle w:val="23"/>
          <w:rFonts w:hint="eastAsia"/>
          <w:b w:val="0"/>
          <w:bCs w:val="0"/>
          <w:sz w:val="36"/>
          <w:szCs w:val="36"/>
        </w:rPr>
        <w:t>第四章  合同条款、协议及格式</w:t>
      </w:r>
      <w:bookmarkEnd w:id="138"/>
      <w:bookmarkEnd w:id="139"/>
      <w:bookmarkEnd w:id="140"/>
      <w:bookmarkEnd w:id="141"/>
      <w:bookmarkEnd w:id="142"/>
    </w:p>
    <w:p>
      <w:pPr>
        <w:spacing w:line="312" w:lineRule="auto"/>
        <w:jc w:val="center"/>
        <w:rPr>
          <w:rFonts w:ascii="宋体" w:hAnsi="宋体"/>
          <w:b/>
          <w:bCs/>
          <w:sz w:val="28"/>
          <w:szCs w:val="28"/>
        </w:rPr>
      </w:pPr>
      <w:r>
        <w:rPr>
          <w:rFonts w:hint="eastAsia" w:ascii="宋体" w:hAnsi="宋体"/>
          <w:b/>
          <w:bCs/>
          <w:sz w:val="28"/>
          <w:szCs w:val="28"/>
        </w:rPr>
        <w:t xml:space="preserve"> 第一节 </w:t>
      </w:r>
      <w:r>
        <w:rPr>
          <w:rFonts w:ascii="宋体" w:hAnsi="宋体"/>
          <w:b/>
          <w:bCs/>
          <w:sz w:val="28"/>
          <w:szCs w:val="28"/>
        </w:rPr>
        <w:t>通用合同条款</w:t>
      </w:r>
      <w:r>
        <w:rPr>
          <w:rFonts w:hint="eastAsia" w:ascii="宋体" w:hAnsi="宋体"/>
          <w:b/>
          <w:bCs/>
          <w:sz w:val="28"/>
          <w:szCs w:val="28"/>
        </w:rPr>
        <w:t>(略)</w:t>
      </w:r>
    </w:p>
    <w:p>
      <w:pPr>
        <w:spacing w:line="312" w:lineRule="auto"/>
        <w:jc w:val="center"/>
        <w:rPr>
          <w:rFonts w:ascii="宋体" w:hAnsi="宋体"/>
          <w:b/>
          <w:bCs/>
          <w:sz w:val="28"/>
          <w:szCs w:val="28"/>
        </w:rPr>
      </w:pPr>
      <w:bookmarkStart w:id="143" w:name="_Toc382164703"/>
      <w:bookmarkStart w:id="144" w:name="_Toc221948340"/>
      <w:bookmarkStart w:id="145" w:name="_Toc222031028"/>
      <w:bookmarkStart w:id="146" w:name="_Toc382164588"/>
      <w:bookmarkStart w:id="147" w:name="_Toc222029526"/>
      <w:bookmarkStart w:id="148" w:name="_Toc221951110"/>
      <w:bookmarkStart w:id="149" w:name="_Toc229305386"/>
      <w:bookmarkStart w:id="150" w:name="_Toc222032695"/>
      <w:bookmarkStart w:id="151" w:name="_Toc222033877"/>
      <w:r>
        <w:rPr>
          <w:rFonts w:hint="eastAsia" w:ascii="宋体" w:hAnsi="宋体"/>
          <w:b/>
          <w:bCs/>
          <w:sz w:val="28"/>
          <w:szCs w:val="28"/>
        </w:rPr>
        <w:t>第二节 专用合同条款</w:t>
      </w:r>
      <w:bookmarkEnd w:id="143"/>
      <w:bookmarkEnd w:id="144"/>
      <w:bookmarkEnd w:id="145"/>
      <w:bookmarkEnd w:id="146"/>
      <w:bookmarkEnd w:id="147"/>
      <w:bookmarkEnd w:id="148"/>
      <w:bookmarkEnd w:id="149"/>
      <w:bookmarkEnd w:id="150"/>
      <w:bookmarkEnd w:id="151"/>
    </w:p>
    <w:p>
      <w:pPr>
        <w:spacing w:line="312" w:lineRule="auto"/>
        <w:rPr>
          <w:rFonts w:ascii="宋体" w:hAnsi="宋体" w:cs="宋体"/>
          <w:b/>
          <w:sz w:val="24"/>
        </w:rPr>
      </w:pPr>
      <w:bookmarkStart w:id="152" w:name="_Toc229305387"/>
      <w:bookmarkStart w:id="153" w:name="_Toc222033878"/>
      <w:bookmarkStart w:id="154" w:name="_Toc222032696"/>
      <w:bookmarkStart w:id="155" w:name="_Toc221951111"/>
      <w:bookmarkStart w:id="156" w:name="_Toc222029527"/>
      <w:bookmarkStart w:id="157" w:name="_Toc222031029"/>
      <w:r>
        <w:rPr>
          <w:rFonts w:hint="eastAsia" w:ascii="宋体" w:hAnsi="宋体" w:cs="宋体"/>
          <w:b/>
          <w:sz w:val="24"/>
        </w:rPr>
        <w:t>1．一般约定</w:t>
      </w:r>
      <w:bookmarkEnd w:id="152"/>
      <w:bookmarkEnd w:id="153"/>
      <w:bookmarkEnd w:id="154"/>
      <w:bookmarkEnd w:id="155"/>
      <w:bookmarkEnd w:id="156"/>
      <w:bookmarkEnd w:id="157"/>
    </w:p>
    <w:p>
      <w:pPr>
        <w:spacing w:line="312" w:lineRule="auto"/>
        <w:rPr>
          <w:rFonts w:ascii="宋体" w:hAnsi="宋体" w:cs="宋体"/>
          <w:b/>
          <w:bCs/>
          <w:sz w:val="24"/>
        </w:rPr>
      </w:pPr>
      <w:bookmarkStart w:id="158" w:name="_Toc221951112"/>
      <w:r>
        <w:rPr>
          <w:rFonts w:hint="eastAsia" w:ascii="宋体" w:hAnsi="宋体" w:cs="宋体"/>
          <w:b/>
          <w:bCs/>
          <w:sz w:val="24"/>
        </w:rPr>
        <w:t>1.1  词语定义</w:t>
      </w:r>
      <w:bookmarkEnd w:id="158"/>
    </w:p>
    <w:p>
      <w:pPr>
        <w:spacing w:line="312" w:lineRule="auto"/>
        <w:rPr>
          <w:rFonts w:ascii="宋体" w:hAnsi="宋体" w:cs="宋体"/>
          <w:sz w:val="24"/>
        </w:rPr>
      </w:pPr>
      <w:bookmarkStart w:id="159" w:name="_Toc221951113"/>
      <w:r>
        <w:rPr>
          <w:rFonts w:hint="eastAsia" w:ascii="宋体" w:hAnsi="宋体" w:cs="宋体"/>
          <w:sz w:val="24"/>
        </w:rPr>
        <w:t>1.1.2  合同当事人和人员</w:t>
      </w:r>
      <w:bookmarkEnd w:id="159"/>
    </w:p>
    <w:p>
      <w:pPr>
        <w:spacing w:line="312" w:lineRule="auto"/>
        <w:rPr>
          <w:rFonts w:ascii="宋体" w:hAnsi="宋体" w:cs="宋体"/>
          <w:sz w:val="24"/>
        </w:rPr>
      </w:pPr>
      <w:bookmarkStart w:id="160" w:name="_Toc221951114"/>
      <w:r>
        <w:rPr>
          <w:rFonts w:hint="eastAsia" w:ascii="宋体" w:hAnsi="宋体" w:cs="宋体"/>
          <w:sz w:val="24"/>
        </w:rPr>
        <w:t>1.1.2.2  发包人：</w:t>
      </w:r>
      <w:r>
        <w:rPr>
          <w:rFonts w:hint="eastAsia" w:ascii="宋体" w:hAnsi="宋体" w:cs="宋体"/>
          <w:sz w:val="24"/>
          <w:u w:val="single"/>
        </w:rPr>
        <w:t xml:space="preserve">             (填入发包人的名称)       </w:t>
      </w:r>
      <w:r>
        <w:rPr>
          <w:rFonts w:hint="eastAsia" w:ascii="宋体" w:hAnsi="宋体" w:cs="宋体"/>
          <w:sz w:val="24"/>
        </w:rPr>
        <w:t>。</w:t>
      </w:r>
      <w:bookmarkEnd w:id="160"/>
    </w:p>
    <w:p>
      <w:pPr>
        <w:spacing w:line="312" w:lineRule="auto"/>
        <w:rPr>
          <w:rFonts w:ascii="宋体" w:hAnsi="宋体" w:cs="宋体"/>
          <w:sz w:val="24"/>
        </w:rPr>
      </w:pPr>
      <w:bookmarkStart w:id="161" w:name="_Toc221951115"/>
      <w:r>
        <w:rPr>
          <w:rFonts w:hint="eastAsia" w:ascii="宋体" w:hAnsi="宋体" w:cs="宋体"/>
          <w:sz w:val="24"/>
        </w:rPr>
        <w:t>1.1.2.3  承包人：</w:t>
      </w:r>
      <w:r>
        <w:rPr>
          <w:rFonts w:hint="eastAsia" w:ascii="宋体" w:hAnsi="宋体" w:cs="宋体"/>
          <w:sz w:val="24"/>
          <w:u w:val="single"/>
        </w:rPr>
        <w:t xml:space="preserve">                 (签约后填入承包人的名称)    </w:t>
      </w:r>
      <w:r>
        <w:rPr>
          <w:rFonts w:hint="eastAsia" w:ascii="宋体" w:hAnsi="宋体" w:cs="宋体"/>
          <w:sz w:val="24"/>
        </w:rPr>
        <w:t>。</w:t>
      </w:r>
      <w:bookmarkEnd w:id="161"/>
    </w:p>
    <w:p>
      <w:pPr>
        <w:spacing w:line="312" w:lineRule="auto"/>
        <w:rPr>
          <w:rFonts w:ascii="宋体" w:hAnsi="宋体" w:cs="宋体"/>
          <w:sz w:val="24"/>
        </w:rPr>
      </w:pPr>
      <w:bookmarkStart w:id="162" w:name="_Toc221951116"/>
      <w:r>
        <w:rPr>
          <w:rFonts w:hint="eastAsia" w:ascii="宋体" w:hAnsi="宋体" w:cs="宋体"/>
          <w:sz w:val="24"/>
        </w:rPr>
        <w:t>1.1.2.5  分包人：</w:t>
      </w:r>
      <w:r>
        <w:rPr>
          <w:rFonts w:hint="eastAsia" w:ascii="宋体" w:hAnsi="宋体" w:cs="宋体"/>
          <w:sz w:val="24"/>
          <w:u w:val="single"/>
        </w:rPr>
        <w:t xml:space="preserve">                 (签约后填入分包人的名称)    </w:t>
      </w:r>
      <w:r>
        <w:rPr>
          <w:rFonts w:hint="eastAsia" w:ascii="宋体" w:hAnsi="宋体" w:cs="宋体"/>
          <w:sz w:val="24"/>
        </w:rPr>
        <w:t>。</w:t>
      </w:r>
      <w:bookmarkEnd w:id="162"/>
    </w:p>
    <w:p>
      <w:pPr>
        <w:spacing w:line="312" w:lineRule="auto"/>
        <w:rPr>
          <w:rFonts w:ascii="宋体" w:hAnsi="宋体" w:cs="宋体"/>
          <w:sz w:val="24"/>
        </w:rPr>
      </w:pPr>
      <w:bookmarkStart w:id="163" w:name="_Toc221951117"/>
      <w:r>
        <w:rPr>
          <w:rFonts w:hint="eastAsia" w:ascii="宋体" w:hAnsi="宋体" w:cs="宋体"/>
          <w:sz w:val="24"/>
        </w:rPr>
        <w:t>1.1.2.6  监理人：</w:t>
      </w:r>
      <w:r>
        <w:rPr>
          <w:rFonts w:hint="eastAsia" w:ascii="宋体" w:hAnsi="宋体" w:cs="宋体"/>
          <w:sz w:val="24"/>
          <w:u w:val="single"/>
        </w:rPr>
        <w:t xml:space="preserve">                     (填入监理人名称)       </w:t>
      </w:r>
      <w:r>
        <w:rPr>
          <w:rFonts w:hint="eastAsia" w:ascii="宋体" w:hAnsi="宋体" w:cs="宋体"/>
          <w:sz w:val="24"/>
        </w:rPr>
        <w:t xml:space="preserve"> 。</w:t>
      </w:r>
      <w:bookmarkEnd w:id="163"/>
    </w:p>
    <w:p>
      <w:pPr>
        <w:spacing w:line="312" w:lineRule="auto"/>
        <w:rPr>
          <w:rFonts w:ascii="宋体" w:hAnsi="宋体" w:cs="宋体"/>
          <w:sz w:val="24"/>
        </w:rPr>
      </w:pPr>
      <w:bookmarkStart w:id="164" w:name="_Toc221951125"/>
      <w:r>
        <w:rPr>
          <w:rFonts w:hint="eastAsia" w:ascii="宋体" w:hAnsi="宋体" w:cs="宋体"/>
          <w:sz w:val="24"/>
        </w:rPr>
        <w:t>1.1.4  日期</w:t>
      </w:r>
      <w:bookmarkEnd w:id="164"/>
      <w:r>
        <w:rPr>
          <w:rFonts w:hint="eastAsia" w:ascii="宋体" w:hAnsi="宋体" w:cs="宋体"/>
          <w:sz w:val="24"/>
        </w:rPr>
        <w:t>：</w:t>
      </w:r>
    </w:p>
    <w:p>
      <w:pPr>
        <w:spacing w:line="312" w:lineRule="auto"/>
        <w:rPr>
          <w:rFonts w:ascii="宋体" w:hAnsi="宋体" w:cs="宋体"/>
          <w:sz w:val="24"/>
        </w:rPr>
      </w:pPr>
      <w:bookmarkStart w:id="165" w:name="_Toc221951126"/>
      <w:r>
        <w:rPr>
          <w:rFonts w:hint="eastAsia" w:ascii="宋体" w:hAnsi="宋体" w:cs="宋体"/>
          <w:sz w:val="24"/>
        </w:rPr>
        <w:t>1.1.4.5  缺陷责任期：</w:t>
      </w:r>
      <w:r>
        <w:rPr>
          <w:rFonts w:hint="eastAsia" w:ascii="宋体" w:hAnsi="宋体" w:cs="宋体"/>
          <w:sz w:val="24"/>
          <w:u w:val="single"/>
        </w:rPr>
        <w:t xml:space="preserve">    （填写本合同工程的缺陷责任期限）    </w:t>
      </w:r>
      <w:r>
        <w:rPr>
          <w:rFonts w:hint="eastAsia" w:ascii="宋体" w:hAnsi="宋体" w:cs="宋体"/>
          <w:sz w:val="24"/>
        </w:rPr>
        <w:t>。</w:t>
      </w:r>
      <w:bookmarkEnd w:id="165"/>
    </w:p>
    <w:p>
      <w:pPr>
        <w:spacing w:line="312" w:lineRule="auto"/>
        <w:rPr>
          <w:rFonts w:ascii="宋体" w:hAnsi="宋体" w:cs="宋体"/>
          <w:b/>
          <w:bCs/>
          <w:sz w:val="24"/>
        </w:rPr>
      </w:pPr>
      <w:bookmarkStart w:id="166" w:name="_Toc221951127"/>
      <w:r>
        <w:rPr>
          <w:rFonts w:hint="eastAsia" w:ascii="宋体" w:hAnsi="宋体" w:cs="宋体"/>
          <w:b/>
          <w:bCs/>
          <w:sz w:val="24"/>
        </w:rPr>
        <w:t>1.4  合同文件的优先顺序</w:t>
      </w:r>
      <w:bookmarkEnd w:id="166"/>
      <w:bookmarkStart w:id="167" w:name="_Toc221951129"/>
    </w:p>
    <w:p>
      <w:pPr>
        <w:spacing w:line="312" w:lineRule="auto"/>
        <w:ind w:firstLine="120" w:firstLineChars="50"/>
        <w:rPr>
          <w:rFonts w:ascii="宋体" w:hAnsi="宋体" w:cs="宋体"/>
          <w:sz w:val="24"/>
        </w:rPr>
      </w:pPr>
      <w:r>
        <w:rPr>
          <w:rFonts w:hint="eastAsia" w:ascii="宋体" w:hAnsi="宋体" w:cs="宋体"/>
          <w:sz w:val="24"/>
        </w:rPr>
        <w:t>进人合同文件的各项文件及其优先顺序是。</w:t>
      </w:r>
    </w:p>
    <w:p>
      <w:pPr>
        <w:spacing w:line="312" w:lineRule="auto"/>
        <w:rPr>
          <w:rFonts w:ascii="宋体" w:hAnsi="宋体" w:cs="宋体"/>
          <w:b/>
          <w:bCs/>
          <w:sz w:val="24"/>
        </w:rPr>
      </w:pPr>
      <w:r>
        <w:rPr>
          <w:rFonts w:hint="eastAsia" w:ascii="宋体" w:hAnsi="宋体" w:cs="宋体"/>
          <w:b/>
          <w:bCs/>
          <w:sz w:val="24"/>
        </w:rPr>
        <w:t>1.7  联络</w:t>
      </w:r>
      <w:bookmarkEnd w:id="167"/>
    </w:p>
    <w:p>
      <w:pPr>
        <w:spacing w:line="312" w:lineRule="auto"/>
        <w:rPr>
          <w:rFonts w:ascii="宋体" w:hAnsi="宋体" w:cs="宋体"/>
          <w:sz w:val="24"/>
        </w:rPr>
      </w:pPr>
      <w:bookmarkStart w:id="168" w:name="_Toc221951130"/>
      <w:r>
        <w:rPr>
          <w:rFonts w:hint="eastAsia" w:ascii="宋体" w:hAnsi="宋体" w:cs="宋体"/>
          <w:sz w:val="24"/>
        </w:rPr>
        <w:t>1.7.2来往函件均应按技术标准和要求（合同技术条款）约定的期限送达</w:t>
      </w:r>
      <w:r>
        <w:rPr>
          <w:rFonts w:hint="eastAsia" w:ascii="宋体" w:hAnsi="宋体" w:cs="宋体"/>
          <w:sz w:val="24"/>
          <w:u w:val="single"/>
        </w:rPr>
        <w:t xml:space="preserve">  (填写文件送达地点)  </w:t>
      </w:r>
      <w:r>
        <w:rPr>
          <w:rFonts w:hint="eastAsia" w:ascii="宋体" w:hAnsi="宋体" w:cs="宋体"/>
          <w:sz w:val="24"/>
        </w:rPr>
        <w:t>。</w:t>
      </w:r>
      <w:bookmarkEnd w:id="168"/>
    </w:p>
    <w:p>
      <w:pPr>
        <w:spacing w:line="312" w:lineRule="auto"/>
        <w:rPr>
          <w:rFonts w:ascii="宋体" w:hAnsi="宋体" w:cs="宋体"/>
          <w:b/>
          <w:sz w:val="24"/>
        </w:rPr>
      </w:pPr>
      <w:bookmarkStart w:id="169" w:name="_Toc222033879"/>
      <w:bookmarkStart w:id="170" w:name="_Toc222031030"/>
      <w:bookmarkStart w:id="171" w:name="_Toc222029528"/>
      <w:bookmarkStart w:id="172" w:name="_Toc222032697"/>
      <w:bookmarkStart w:id="173" w:name="_Toc229305388"/>
      <w:bookmarkStart w:id="174" w:name="_Toc221951131"/>
      <w:bookmarkStart w:id="175" w:name="_Toc221951132"/>
      <w:r>
        <w:rPr>
          <w:rFonts w:hint="eastAsia" w:ascii="宋体" w:hAnsi="宋体" w:cs="宋体"/>
          <w:b/>
          <w:sz w:val="24"/>
        </w:rPr>
        <w:t>2  发包人义务</w:t>
      </w:r>
      <w:bookmarkEnd w:id="169"/>
      <w:bookmarkEnd w:id="170"/>
      <w:bookmarkEnd w:id="171"/>
      <w:bookmarkEnd w:id="172"/>
      <w:bookmarkEnd w:id="173"/>
      <w:bookmarkEnd w:id="174"/>
    </w:p>
    <w:p>
      <w:pPr>
        <w:spacing w:line="312" w:lineRule="auto"/>
        <w:rPr>
          <w:rFonts w:ascii="宋体" w:hAnsi="宋体" w:cs="宋体"/>
          <w:b/>
          <w:bCs/>
          <w:sz w:val="24"/>
        </w:rPr>
      </w:pPr>
      <w:r>
        <w:rPr>
          <w:rFonts w:hint="eastAsia" w:ascii="宋体" w:hAnsi="宋体" w:cs="宋体"/>
          <w:b/>
          <w:bCs/>
          <w:sz w:val="24"/>
        </w:rPr>
        <w:t>2.3  提供施工场地</w:t>
      </w:r>
      <w:bookmarkEnd w:id="175"/>
    </w:p>
    <w:p>
      <w:pPr>
        <w:spacing w:line="312" w:lineRule="auto"/>
        <w:ind w:right="248" w:firstLine="480"/>
        <w:rPr>
          <w:rFonts w:ascii="宋体" w:hAnsi="宋体" w:cs="宋体"/>
          <w:sz w:val="24"/>
        </w:rPr>
      </w:pPr>
      <w:bookmarkStart w:id="176" w:name="_Toc221951133"/>
      <w:r>
        <w:rPr>
          <w:rFonts w:hint="eastAsia" w:ascii="宋体" w:hAnsi="宋体" w:cs="宋体"/>
          <w:sz w:val="24"/>
        </w:rPr>
        <w:t>2.3.2</w:t>
      </w:r>
      <w:bookmarkEnd w:id="176"/>
      <w:r>
        <w:rPr>
          <w:rFonts w:hint="eastAsia" w:ascii="宋体" w:hAnsi="宋体" w:cs="宋体"/>
          <w:sz w:val="24"/>
        </w:rPr>
        <w:t>发包人提供的施工场地范围为：。</w:t>
      </w:r>
    </w:p>
    <w:p>
      <w:pPr>
        <w:spacing w:line="312" w:lineRule="auto"/>
        <w:ind w:right="248" w:firstLine="480"/>
        <w:rPr>
          <w:rFonts w:ascii="宋体" w:hAnsi="宋体" w:cs="宋体"/>
          <w:sz w:val="24"/>
        </w:rPr>
      </w:pPr>
      <w:r>
        <w:rPr>
          <w:rFonts w:hint="eastAsia" w:ascii="宋体" w:hAnsi="宋体" w:cs="宋体"/>
          <w:sz w:val="24"/>
        </w:rPr>
        <w:t>2.2.3承包人自行勘察的施工场地范围为：。</w:t>
      </w:r>
    </w:p>
    <w:p>
      <w:pPr>
        <w:spacing w:line="312" w:lineRule="auto"/>
        <w:rPr>
          <w:rFonts w:ascii="宋体" w:hAnsi="宋体" w:cs="宋体"/>
          <w:b/>
          <w:bCs/>
          <w:sz w:val="24"/>
        </w:rPr>
      </w:pPr>
      <w:bookmarkStart w:id="177" w:name="_Toc221951134"/>
      <w:r>
        <w:rPr>
          <w:rFonts w:hint="eastAsia" w:ascii="宋体" w:hAnsi="宋体" w:cs="宋体"/>
          <w:b/>
          <w:bCs/>
          <w:sz w:val="24"/>
        </w:rPr>
        <w:t>2.8  其它义务</w:t>
      </w:r>
      <w:bookmarkEnd w:id="177"/>
    </w:p>
    <w:p>
      <w:pPr>
        <w:pStyle w:val="10"/>
        <w:spacing w:line="312" w:lineRule="auto"/>
        <w:ind w:right="248"/>
        <w:rPr>
          <w:rFonts w:ascii="宋体" w:hAnsi="宋体" w:cs="宋体"/>
          <w:sz w:val="24"/>
        </w:rPr>
      </w:pPr>
      <w:bookmarkStart w:id="178" w:name="_Toc221951135"/>
      <w:r>
        <w:rPr>
          <w:rFonts w:hint="eastAsia" w:ascii="宋体" w:hAnsi="宋体" w:cs="宋体"/>
          <w:sz w:val="24"/>
        </w:rPr>
        <w:t xml:space="preserve"> (根据发包人的合同管理要求补充)</w:t>
      </w:r>
      <w:bookmarkEnd w:id="178"/>
    </w:p>
    <w:p>
      <w:pPr>
        <w:spacing w:line="312" w:lineRule="auto"/>
        <w:ind w:right="248" w:firstLine="480"/>
        <w:rPr>
          <w:rFonts w:ascii="宋体" w:hAnsi="宋体" w:cs="宋体"/>
          <w:sz w:val="24"/>
        </w:rPr>
      </w:pPr>
      <w:bookmarkStart w:id="179" w:name="_Toc221951136"/>
      <w:r>
        <w:rPr>
          <w:rFonts w:hint="eastAsia" w:ascii="宋体" w:hAnsi="宋体" w:cs="宋体"/>
          <w:sz w:val="24"/>
        </w:rPr>
        <w:t>(1) ……</w:t>
      </w:r>
      <w:bookmarkEnd w:id="179"/>
    </w:p>
    <w:p>
      <w:pPr>
        <w:spacing w:line="312" w:lineRule="auto"/>
        <w:ind w:right="248" w:firstLine="480"/>
        <w:rPr>
          <w:rFonts w:ascii="宋体" w:hAnsi="宋体" w:cs="宋体"/>
          <w:sz w:val="24"/>
        </w:rPr>
      </w:pPr>
      <w:bookmarkStart w:id="180" w:name="_Toc221951137"/>
      <w:r>
        <w:rPr>
          <w:rFonts w:hint="eastAsia" w:ascii="宋体" w:hAnsi="宋体" w:cs="宋体"/>
          <w:sz w:val="24"/>
        </w:rPr>
        <w:t>(2) ……</w:t>
      </w:r>
      <w:bookmarkEnd w:id="180"/>
    </w:p>
    <w:p>
      <w:pPr>
        <w:spacing w:line="312" w:lineRule="auto"/>
        <w:rPr>
          <w:rFonts w:ascii="宋体" w:hAnsi="宋体" w:cs="宋体"/>
          <w:b/>
          <w:sz w:val="24"/>
        </w:rPr>
      </w:pPr>
      <w:bookmarkStart w:id="181" w:name="_Toc222032698"/>
      <w:bookmarkStart w:id="182" w:name="_Toc221951140"/>
      <w:bookmarkStart w:id="183" w:name="_Toc222029529"/>
      <w:bookmarkStart w:id="184" w:name="_Toc222031031"/>
      <w:bookmarkStart w:id="185" w:name="_Toc229305389"/>
      <w:bookmarkStart w:id="186" w:name="_Toc222033880"/>
      <w:r>
        <w:rPr>
          <w:rFonts w:hint="eastAsia" w:ascii="宋体" w:hAnsi="宋体" w:cs="宋体"/>
          <w:b/>
          <w:sz w:val="24"/>
        </w:rPr>
        <w:t>3  监理人</w:t>
      </w:r>
      <w:bookmarkEnd w:id="181"/>
      <w:bookmarkEnd w:id="182"/>
      <w:bookmarkEnd w:id="183"/>
      <w:bookmarkEnd w:id="184"/>
      <w:bookmarkEnd w:id="185"/>
      <w:bookmarkEnd w:id="186"/>
    </w:p>
    <w:p>
      <w:pPr>
        <w:spacing w:line="312" w:lineRule="auto"/>
        <w:rPr>
          <w:rFonts w:ascii="宋体" w:hAnsi="宋体" w:cs="宋体"/>
          <w:b/>
          <w:bCs/>
          <w:sz w:val="24"/>
        </w:rPr>
      </w:pPr>
      <w:bookmarkStart w:id="187" w:name="_Toc221951141"/>
      <w:r>
        <w:rPr>
          <w:rFonts w:hint="eastAsia" w:ascii="宋体" w:hAnsi="宋体" w:cs="宋体"/>
          <w:b/>
          <w:bCs/>
          <w:sz w:val="24"/>
        </w:rPr>
        <w:t>3.1  监理人的职责和权力</w:t>
      </w:r>
      <w:bookmarkEnd w:id="187"/>
    </w:p>
    <w:p>
      <w:pPr>
        <w:spacing w:line="312" w:lineRule="auto"/>
        <w:ind w:right="248" w:firstLine="480"/>
        <w:rPr>
          <w:rFonts w:ascii="宋体" w:hAnsi="宋体" w:cs="宋体"/>
          <w:sz w:val="24"/>
        </w:rPr>
      </w:pPr>
      <w:bookmarkStart w:id="188" w:name="_Toc221951142"/>
      <w:r>
        <w:rPr>
          <w:rFonts w:hint="eastAsia" w:ascii="宋体" w:hAnsi="宋体" w:cs="宋体"/>
          <w:sz w:val="24"/>
        </w:rPr>
        <w:t>3.1.1</w:t>
      </w:r>
      <w:bookmarkEnd w:id="188"/>
      <w:r>
        <w:rPr>
          <w:rFonts w:hint="eastAsia" w:ascii="宋体" w:hAnsi="宋体" w:cs="宋体"/>
          <w:sz w:val="24"/>
        </w:rPr>
        <w:t>监理人须根据发包人事先批准的权力范围行使权力，发包人批准的权力范围：（填写监理人须经发包人批准才能行使的权力，以下示例供参考）</w:t>
      </w:r>
    </w:p>
    <w:p>
      <w:pPr>
        <w:spacing w:line="312" w:lineRule="auto"/>
        <w:ind w:right="248" w:firstLine="480"/>
        <w:rPr>
          <w:rFonts w:ascii="宋体" w:hAnsi="宋体" w:cs="宋体"/>
          <w:sz w:val="24"/>
        </w:rPr>
      </w:pPr>
      <w:bookmarkStart w:id="189" w:name="_Toc222033881"/>
      <w:bookmarkStart w:id="190" w:name="_Toc221951150"/>
      <w:bookmarkStart w:id="191" w:name="_Toc222032699"/>
      <w:bookmarkStart w:id="192" w:name="_Toc222029530"/>
      <w:bookmarkStart w:id="193" w:name="_Toc222031032"/>
      <w:bookmarkStart w:id="194" w:name="_Toc229305390"/>
      <w:r>
        <w:rPr>
          <w:rFonts w:hint="eastAsia" w:ascii="宋体" w:hAnsi="宋体" w:cs="宋体"/>
          <w:sz w:val="24"/>
        </w:rPr>
        <w:t>(l）按第4.3款约定，批准工程的分包；</w:t>
      </w:r>
    </w:p>
    <w:p>
      <w:pPr>
        <w:spacing w:line="312" w:lineRule="auto"/>
        <w:ind w:right="248" w:firstLine="480"/>
        <w:rPr>
          <w:rFonts w:ascii="宋体" w:hAnsi="宋体" w:cs="宋体"/>
          <w:sz w:val="24"/>
        </w:rPr>
      </w:pPr>
      <w:r>
        <w:rPr>
          <w:rFonts w:hint="eastAsia" w:ascii="宋体" w:hAnsi="宋体" w:cs="宋体"/>
          <w:sz w:val="24"/>
        </w:rPr>
        <w:t>(2）按第11.3款约定，确定延长完工期限；</w:t>
      </w:r>
    </w:p>
    <w:p>
      <w:pPr>
        <w:spacing w:line="312" w:lineRule="auto"/>
        <w:ind w:right="248" w:firstLine="480"/>
        <w:rPr>
          <w:rFonts w:ascii="宋体" w:hAnsi="宋体" w:cs="宋体"/>
          <w:sz w:val="24"/>
        </w:rPr>
      </w:pPr>
      <w:r>
        <w:rPr>
          <w:rFonts w:hint="eastAsia" w:ascii="宋体" w:hAnsi="宋体" w:cs="宋体"/>
          <w:sz w:val="24"/>
        </w:rPr>
        <w:t>(3）按第15.6款约定，批准暂列金额的使用；</w:t>
      </w:r>
    </w:p>
    <w:p>
      <w:pPr>
        <w:spacing w:line="312" w:lineRule="auto"/>
        <w:ind w:right="248" w:firstLine="480"/>
        <w:rPr>
          <w:rFonts w:ascii="宋体" w:hAnsi="宋体" w:cs="宋体"/>
          <w:sz w:val="24"/>
        </w:rPr>
      </w:pPr>
      <w:r>
        <w:rPr>
          <w:rFonts w:hint="eastAsia" w:ascii="宋体" w:hAnsi="宋体" w:cs="宋体"/>
          <w:sz w:val="24"/>
        </w:rPr>
        <w:t xml:space="preserve">(4）… … </w:t>
      </w:r>
    </w:p>
    <w:p>
      <w:pPr>
        <w:spacing w:line="312" w:lineRule="auto"/>
        <w:rPr>
          <w:rFonts w:ascii="宋体" w:hAnsi="宋体" w:cs="宋体"/>
          <w:b/>
          <w:sz w:val="24"/>
        </w:rPr>
      </w:pPr>
      <w:r>
        <w:rPr>
          <w:rFonts w:hint="eastAsia" w:ascii="宋体" w:hAnsi="宋体" w:cs="宋体"/>
          <w:b/>
          <w:sz w:val="24"/>
        </w:rPr>
        <w:t>4  承包人</w:t>
      </w:r>
      <w:bookmarkEnd w:id="189"/>
      <w:bookmarkEnd w:id="190"/>
      <w:bookmarkEnd w:id="191"/>
      <w:bookmarkEnd w:id="192"/>
      <w:bookmarkEnd w:id="193"/>
      <w:bookmarkEnd w:id="194"/>
    </w:p>
    <w:p>
      <w:pPr>
        <w:spacing w:line="312" w:lineRule="auto"/>
        <w:rPr>
          <w:rFonts w:ascii="宋体" w:hAnsi="宋体" w:cs="宋体"/>
          <w:b/>
          <w:bCs/>
          <w:sz w:val="24"/>
        </w:rPr>
      </w:pPr>
      <w:bookmarkStart w:id="195" w:name="_Toc221951151"/>
      <w:r>
        <w:rPr>
          <w:rFonts w:hint="eastAsia" w:ascii="宋体" w:hAnsi="宋体" w:cs="宋体"/>
          <w:b/>
          <w:bCs/>
          <w:sz w:val="24"/>
        </w:rPr>
        <w:t>4.1  承包人的一般义务</w:t>
      </w:r>
      <w:bookmarkEnd w:id="195"/>
    </w:p>
    <w:p>
      <w:pPr>
        <w:spacing w:line="312" w:lineRule="auto"/>
        <w:ind w:right="248" w:firstLine="480"/>
        <w:rPr>
          <w:rFonts w:ascii="宋体" w:hAnsi="宋体" w:cs="宋体"/>
          <w:sz w:val="24"/>
        </w:rPr>
      </w:pPr>
      <w:bookmarkStart w:id="196" w:name="_Toc221951152"/>
      <w:r>
        <w:rPr>
          <w:rFonts w:hint="eastAsia" w:ascii="宋体" w:hAnsi="宋体" w:cs="宋体"/>
          <w:sz w:val="24"/>
        </w:rPr>
        <w:t>4.1.1承包人项目班子其他成员：</w:t>
      </w:r>
    </w:p>
    <w:p>
      <w:pPr>
        <w:spacing w:line="312" w:lineRule="auto"/>
        <w:ind w:right="248" w:firstLine="480"/>
        <w:rPr>
          <w:rFonts w:ascii="宋体" w:hAnsi="宋体" w:cs="宋体"/>
          <w:sz w:val="24"/>
        </w:rPr>
      </w:pPr>
      <w:r>
        <w:rPr>
          <w:rFonts w:hint="eastAsia" w:ascii="宋体" w:hAnsi="宋体" w:cs="宋体"/>
          <w:sz w:val="24"/>
        </w:rPr>
        <w:t>投标文件中确定的项目班子成员在中标后原则上不得更换，如确因不可抗力因素必须要更换项目班子其他成员的，必须在征得发包人同意后更换同资质同水平的人员派驻现场。项目班子其他成员每更换一次对承包人给予10000元/人的罚款。</w:t>
      </w:r>
    </w:p>
    <w:p>
      <w:pPr>
        <w:spacing w:line="312" w:lineRule="auto"/>
        <w:ind w:right="248" w:firstLine="480"/>
        <w:rPr>
          <w:rFonts w:ascii="宋体" w:hAnsi="宋体" w:cs="宋体"/>
          <w:sz w:val="24"/>
        </w:rPr>
      </w:pPr>
      <w:r>
        <w:rPr>
          <w:rFonts w:hint="eastAsia" w:ascii="宋体" w:hAnsi="宋体" w:cs="宋体"/>
          <w:sz w:val="24"/>
        </w:rPr>
        <w:t>4.1.10  其他义务</w:t>
      </w:r>
      <w:bookmarkEnd w:id="196"/>
    </w:p>
    <w:p>
      <w:pPr>
        <w:spacing w:line="312" w:lineRule="auto"/>
        <w:ind w:right="248" w:firstLine="480"/>
        <w:rPr>
          <w:rFonts w:ascii="宋体" w:hAnsi="宋体" w:cs="宋体"/>
          <w:sz w:val="24"/>
        </w:rPr>
      </w:pPr>
      <w:r>
        <w:rPr>
          <w:rFonts w:hint="eastAsia" w:ascii="宋体" w:hAnsi="宋体" w:cs="宋体"/>
          <w:sz w:val="24"/>
        </w:rPr>
        <w:t>　（1）… …</w:t>
      </w:r>
    </w:p>
    <w:p>
      <w:pPr>
        <w:spacing w:line="312" w:lineRule="auto"/>
        <w:ind w:right="248" w:firstLine="480"/>
        <w:rPr>
          <w:rFonts w:ascii="宋体" w:hAnsi="宋体" w:cs="宋体"/>
          <w:sz w:val="24"/>
        </w:rPr>
      </w:pPr>
      <w:r>
        <w:rPr>
          <w:rFonts w:hint="eastAsia" w:ascii="宋体" w:hAnsi="宋体" w:cs="宋体"/>
          <w:sz w:val="24"/>
        </w:rPr>
        <w:t>　（2）… …</w:t>
      </w:r>
    </w:p>
    <w:p>
      <w:pPr>
        <w:spacing w:line="312" w:lineRule="auto"/>
        <w:rPr>
          <w:rFonts w:ascii="宋体" w:hAnsi="宋体" w:cs="宋体"/>
          <w:b/>
          <w:bCs/>
          <w:sz w:val="24"/>
        </w:rPr>
      </w:pPr>
      <w:bookmarkStart w:id="197" w:name="_Toc221951153"/>
      <w:r>
        <w:rPr>
          <w:rFonts w:hint="eastAsia" w:ascii="宋体" w:hAnsi="宋体" w:cs="宋体"/>
          <w:b/>
          <w:bCs/>
          <w:sz w:val="24"/>
        </w:rPr>
        <w:t>4.3  分包</w:t>
      </w:r>
      <w:bookmarkEnd w:id="197"/>
    </w:p>
    <w:p>
      <w:pPr>
        <w:spacing w:line="312" w:lineRule="auto"/>
        <w:ind w:right="248" w:firstLine="360" w:firstLineChars="150"/>
        <w:rPr>
          <w:rFonts w:ascii="宋体" w:hAnsi="宋体" w:cs="宋体"/>
          <w:bCs/>
          <w:sz w:val="24"/>
        </w:rPr>
      </w:pPr>
      <w:bookmarkStart w:id="198" w:name="_Toc221951154"/>
      <w:r>
        <w:rPr>
          <w:rFonts w:hint="eastAsia" w:ascii="宋体" w:hAnsi="宋体" w:cs="宋体"/>
          <w:bCs/>
          <w:sz w:val="24"/>
        </w:rPr>
        <w:t>4.3.2  允许承包人分包的工程项目、工作内容与</w:t>
      </w:r>
      <w:r>
        <w:rPr>
          <w:rFonts w:hint="eastAsia" w:ascii="宋体" w:hAnsi="宋体" w:cs="宋体"/>
          <w:sz w:val="24"/>
          <w:lang w:val="zh-CN"/>
        </w:rPr>
        <w:t>分包金额</w:t>
      </w:r>
      <w:r>
        <w:rPr>
          <w:rFonts w:hint="eastAsia" w:ascii="宋体" w:hAnsi="宋体" w:cs="宋体"/>
          <w:bCs/>
          <w:sz w:val="24"/>
        </w:rPr>
        <w:t>限额为：</w:t>
      </w:r>
      <w:bookmarkEnd w:id="198"/>
    </w:p>
    <w:p>
      <w:pPr>
        <w:pStyle w:val="10"/>
        <w:spacing w:line="312" w:lineRule="auto"/>
        <w:ind w:left="0" w:leftChars="0" w:right="248"/>
        <w:rPr>
          <w:rFonts w:ascii="宋体" w:hAnsi="宋体" w:cs="宋体"/>
          <w:bCs/>
          <w:sz w:val="24"/>
        </w:rPr>
      </w:pPr>
      <w:bookmarkStart w:id="199" w:name="_Toc221951155"/>
      <w:r>
        <w:rPr>
          <w:rFonts w:hint="eastAsia" w:ascii="宋体" w:hAnsi="宋体" w:cs="宋体"/>
          <w:sz w:val="24"/>
        </w:rPr>
        <w:t>（</w:t>
      </w:r>
      <w:r>
        <w:rPr>
          <w:rFonts w:hint="eastAsia" w:ascii="宋体" w:hAnsi="宋体" w:cs="宋体"/>
          <w:bCs/>
          <w:sz w:val="24"/>
        </w:rPr>
        <w:t>1）工程项目：。</w:t>
      </w:r>
      <w:bookmarkEnd w:id="199"/>
    </w:p>
    <w:p>
      <w:pPr>
        <w:pStyle w:val="10"/>
        <w:spacing w:line="312" w:lineRule="auto"/>
        <w:ind w:left="0" w:leftChars="0" w:right="248" w:firstLine="120" w:firstLineChars="50"/>
        <w:rPr>
          <w:rFonts w:ascii="宋体" w:hAnsi="宋体" w:cs="宋体"/>
          <w:bCs/>
          <w:sz w:val="24"/>
        </w:rPr>
      </w:pPr>
      <w:bookmarkStart w:id="200" w:name="_Toc221951156"/>
      <w:r>
        <w:rPr>
          <w:rFonts w:hint="eastAsia" w:ascii="宋体" w:hAnsi="宋体" w:cs="宋体"/>
          <w:bCs/>
          <w:sz w:val="24"/>
        </w:rPr>
        <w:t>（2）工作内容：。</w:t>
      </w:r>
      <w:bookmarkEnd w:id="200"/>
    </w:p>
    <w:p>
      <w:pPr>
        <w:pStyle w:val="10"/>
        <w:spacing w:line="312" w:lineRule="auto"/>
        <w:ind w:left="0" w:leftChars="0" w:right="248" w:firstLine="240" w:firstLineChars="100"/>
        <w:rPr>
          <w:rFonts w:ascii="宋体" w:hAnsi="宋体" w:cs="宋体"/>
          <w:sz w:val="24"/>
        </w:rPr>
      </w:pPr>
      <w:bookmarkStart w:id="201" w:name="_Toc221951157"/>
      <w:r>
        <w:rPr>
          <w:rFonts w:hint="eastAsia" w:ascii="宋体" w:hAnsi="宋体" w:cs="宋体"/>
          <w:sz w:val="24"/>
        </w:rPr>
        <w:t>（3）分包金额限额：。</w:t>
      </w:r>
      <w:bookmarkEnd w:id="201"/>
    </w:p>
    <w:p>
      <w:pPr>
        <w:pStyle w:val="10"/>
        <w:spacing w:line="312" w:lineRule="auto"/>
        <w:ind w:left="0" w:leftChars="0" w:right="248" w:firstLine="360" w:firstLineChars="150"/>
        <w:rPr>
          <w:rFonts w:ascii="宋体" w:hAnsi="宋体" w:cs="宋体"/>
          <w:bCs/>
          <w:sz w:val="24"/>
        </w:rPr>
      </w:pPr>
      <w:r>
        <w:rPr>
          <w:rFonts w:hint="eastAsia" w:ascii="宋体" w:hAnsi="宋体" w:cs="宋体"/>
          <w:sz w:val="24"/>
        </w:rPr>
        <w:t xml:space="preserve">4.3.10 分包人项目管理机构的设立：。 </w:t>
      </w:r>
    </w:p>
    <w:p>
      <w:pPr>
        <w:spacing w:line="312" w:lineRule="auto"/>
        <w:rPr>
          <w:rFonts w:ascii="宋体" w:hAnsi="宋体" w:cs="宋体"/>
          <w:b/>
          <w:bCs/>
          <w:sz w:val="24"/>
        </w:rPr>
      </w:pPr>
      <w:bookmarkStart w:id="202" w:name="_Toc221951158"/>
      <w:r>
        <w:rPr>
          <w:rFonts w:hint="eastAsia" w:ascii="宋体" w:hAnsi="宋体" w:cs="宋体"/>
          <w:b/>
          <w:bCs/>
          <w:sz w:val="24"/>
        </w:rPr>
        <w:t>4.11  不利物质条件</w:t>
      </w:r>
      <w:bookmarkEnd w:id="202"/>
    </w:p>
    <w:p>
      <w:pPr>
        <w:spacing w:line="312" w:lineRule="auto"/>
        <w:ind w:right="248" w:firstLine="360" w:firstLineChars="150"/>
        <w:rPr>
          <w:rFonts w:ascii="宋体" w:hAnsi="宋体" w:cs="宋体"/>
          <w:sz w:val="24"/>
        </w:rPr>
      </w:pPr>
      <w:bookmarkStart w:id="203" w:name="_Toc221951159"/>
      <w:r>
        <w:rPr>
          <w:rFonts w:hint="eastAsia" w:ascii="宋体" w:hAnsi="宋体" w:cs="宋体"/>
          <w:sz w:val="24"/>
        </w:rPr>
        <w:t>4.11.1 不利物质条件的范围：。</w:t>
      </w:r>
      <w:bookmarkEnd w:id="203"/>
    </w:p>
    <w:p>
      <w:pPr>
        <w:spacing w:line="312" w:lineRule="auto"/>
        <w:rPr>
          <w:rFonts w:ascii="宋体" w:hAnsi="宋体" w:cs="宋体"/>
          <w:b/>
          <w:sz w:val="24"/>
        </w:rPr>
      </w:pPr>
      <w:bookmarkStart w:id="204" w:name="_Toc229305391"/>
      <w:bookmarkStart w:id="205" w:name="_Toc222031033"/>
      <w:bookmarkStart w:id="206" w:name="_Toc222033882"/>
      <w:bookmarkStart w:id="207" w:name="_Toc222029531"/>
      <w:bookmarkStart w:id="208" w:name="_Toc222032700"/>
      <w:bookmarkStart w:id="209" w:name="_Toc221951160"/>
      <w:r>
        <w:rPr>
          <w:rFonts w:hint="eastAsia" w:ascii="宋体" w:hAnsi="宋体" w:cs="宋体"/>
          <w:b/>
          <w:sz w:val="24"/>
        </w:rPr>
        <w:t>5  材料和工程设备</w:t>
      </w:r>
      <w:bookmarkEnd w:id="204"/>
      <w:bookmarkEnd w:id="205"/>
      <w:bookmarkEnd w:id="206"/>
      <w:bookmarkEnd w:id="207"/>
      <w:bookmarkEnd w:id="208"/>
      <w:bookmarkEnd w:id="209"/>
    </w:p>
    <w:p>
      <w:pPr>
        <w:spacing w:line="312" w:lineRule="auto"/>
        <w:rPr>
          <w:rFonts w:ascii="宋体" w:hAnsi="宋体" w:cs="宋体"/>
          <w:b/>
          <w:bCs/>
          <w:sz w:val="24"/>
        </w:rPr>
      </w:pPr>
      <w:bookmarkStart w:id="210" w:name="_Toc221951161"/>
      <w:r>
        <w:rPr>
          <w:rFonts w:hint="eastAsia" w:ascii="宋体" w:hAnsi="宋体" w:cs="宋体"/>
          <w:b/>
          <w:bCs/>
          <w:sz w:val="24"/>
        </w:rPr>
        <w:t xml:space="preserve">5.2  </w:t>
      </w:r>
      <w:bookmarkEnd w:id="210"/>
      <w:r>
        <w:rPr>
          <w:rFonts w:hint="eastAsia" w:ascii="宋体" w:hAnsi="宋体" w:cs="宋体"/>
          <w:b/>
          <w:bCs/>
          <w:sz w:val="24"/>
        </w:rPr>
        <w:t>发包人提供的材料和工程设备</w:t>
      </w:r>
    </w:p>
    <w:p>
      <w:pPr>
        <w:spacing w:line="312" w:lineRule="auto"/>
        <w:ind w:firstLine="360" w:firstLineChars="150"/>
        <w:rPr>
          <w:rFonts w:ascii="宋体" w:hAnsi="宋体" w:cs="宋体"/>
          <w:sz w:val="24"/>
        </w:rPr>
      </w:pPr>
      <w:r>
        <w:rPr>
          <w:rFonts w:hint="eastAsia" w:ascii="宋体" w:hAnsi="宋体" w:cs="宋体"/>
          <w:sz w:val="24"/>
        </w:rPr>
        <w:t>5.2.1 发包人提</w:t>
      </w:r>
      <w:r>
        <w:rPr>
          <w:rFonts w:hint="eastAsia" w:ascii="宋体" w:hAnsi="宋体" w:cs="宋体"/>
          <w:bCs/>
          <w:sz w:val="24"/>
        </w:rPr>
        <w:t>供的材料和工程设备</w:t>
      </w:r>
      <w:r>
        <w:rPr>
          <w:rFonts w:hint="eastAsia" w:ascii="宋体" w:hAnsi="宋体" w:cs="宋体"/>
          <w:sz w:val="24"/>
        </w:rPr>
        <w:t>见下表：</w:t>
      </w:r>
    </w:p>
    <w:p>
      <w:pPr>
        <w:spacing w:line="312" w:lineRule="auto"/>
        <w:ind w:right="248" w:firstLine="2812" w:firstLineChars="1167"/>
        <w:rPr>
          <w:rFonts w:ascii="宋体" w:hAnsi="宋体" w:cs="宋体"/>
          <w:sz w:val="24"/>
        </w:rPr>
      </w:pPr>
      <w:r>
        <w:rPr>
          <w:rFonts w:hint="eastAsia" w:ascii="宋体" w:hAnsi="宋体" w:cs="宋体"/>
          <w:b/>
          <w:sz w:val="24"/>
        </w:rPr>
        <w:t>发包人提供的主要材料表(</w:t>
      </w:r>
      <w:r>
        <w:rPr>
          <w:rFonts w:hint="eastAsia" w:ascii="宋体" w:hAnsi="宋体" w:cs="宋体"/>
          <w:sz w:val="24"/>
        </w:rPr>
        <w:t>参考格式</w:t>
      </w:r>
      <w:r>
        <w:rPr>
          <w:rFonts w:hint="eastAsia" w:ascii="宋体" w:hAnsi="宋体" w:cs="宋体"/>
          <w:b/>
          <w:sz w:val="24"/>
        </w:rPr>
        <w:t>)</w:t>
      </w:r>
    </w:p>
    <w:tbl>
      <w:tblPr>
        <w:tblStyle w:val="21"/>
        <w:tblW w:w="87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6"/>
        <w:gridCol w:w="1196"/>
        <w:gridCol w:w="763"/>
        <w:gridCol w:w="1196"/>
        <w:gridCol w:w="1196"/>
        <w:gridCol w:w="1596"/>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6" w:type="dxa"/>
          </w:tcPr>
          <w:p>
            <w:pPr>
              <w:spacing w:line="312" w:lineRule="auto"/>
              <w:jc w:val="center"/>
              <w:rPr>
                <w:rFonts w:ascii="宋体" w:hAnsi="宋体" w:cs="宋体"/>
                <w:sz w:val="24"/>
              </w:rPr>
            </w:pPr>
            <w:r>
              <w:rPr>
                <w:rFonts w:hint="eastAsia" w:ascii="宋体" w:hAnsi="宋体" w:cs="宋体"/>
                <w:sz w:val="24"/>
              </w:rPr>
              <w:t>材料名称</w:t>
            </w:r>
          </w:p>
        </w:tc>
        <w:tc>
          <w:tcPr>
            <w:tcW w:w="1196" w:type="dxa"/>
          </w:tcPr>
          <w:p>
            <w:pPr>
              <w:spacing w:line="312" w:lineRule="auto"/>
              <w:jc w:val="center"/>
              <w:rPr>
                <w:rFonts w:ascii="宋体" w:hAnsi="宋体" w:cs="宋体"/>
                <w:sz w:val="24"/>
              </w:rPr>
            </w:pPr>
            <w:r>
              <w:rPr>
                <w:rFonts w:hint="eastAsia" w:ascii="宋体" w:hAnsi="宋体" w:cs="宋体"/>
                <w:sz w:val="24"/>
              </w:rPr>
              <w:t>材料规格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96"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ind w:right="248"/>
        <w:rPr>
          <w:rFonts w:ascii="宋体" w:hAnsi="宋体" w:cs="宋体"/>
          <w:b/>
          <w:sz w:val="24"/>
        </w:rPr>
      </w:pPr>
    </w:p>
    <w:p>
      <w:pPr>
        <w:spacing w:line="312" w:lineRule="auto"/>
        <w:ind w:right="248" w:firstLine="3600" w:firstLineChars="1494"/>
        <w:rPr>
          <w:rFonts w:ascii="宋体" w:hAnsi="宋体" w:cs="宋体"/>
          <w:sz w:val="24"/>
        </w:rPr>
      </w:pPr>
      <w:r>
        <w:rPr>
          <w:rFonts w:hint="eastAsia" w:ascii="宋体" w:hAnsi="宋体" w:cs="宋体"/>
          <w:b/>
          <w:sz w:val="24"/>
        </w:rPr>
        <w:t>发包人提供的工程设备表(</w:t>
      </w:r>
      <w:r>
        <w:rPr>
          <w:rFonts w:hint="eastAsia" w:ascii="宋体" w:hAnsi="宋体" w:cs="宋体"/>
          <w:sz w:val="24"/>
        </w:rPr>
        <w:t>参考格式</w:t>
      </w:r>
      <w:r>
        <w:rPr>
          <w:rFonts w:hint="eastAsia" w:ascii="宋体" w:hAnsi="宋体" w:cs="宋体"/>
          <w:b/>
          <w:sz w:val="24"/>
        </w:rPr>
        <w:t>)</w:t>
      </w:r>
    </w:p>
    <w:tbl>
      <w:tblPr>
        <w:tblStyle w:val="21"/>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596"/>
        <w:gridCol w:w="1396"/>
        <w:gridCol w:w="763"/>
        <w:gridCol w:w="1196"/>
        <w:gridCol w:w="1196"/>
        <w:gridCol w:w="1550"/>
        <w:gridCol w:w="7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596" w:type="dxa"/>
          </w:tcPr>
          <w:p>
            <w:pPr>
              <w:spacing w:line="312" w:lineRule="auto"/>
              <w:jc w:val="center"/>
              <w:rPr>
                <w:rFonts w:ascii="宋体" w:hAnsi="宋体" w:cs="宋体"/>
                <w:sz w:val="24"/>
              </w:rPr>
            </w:pPr>
            <w:r>
              <w:rPr>
                <w:rFonts w:hint="eastAsia" w:ascii="宋体" w:hAnsi="宋体" w:cs="宋体"/>
                <w:sz w:val="24"/>
              </w:rPr>
              <w:t>工程设备名称</w:t>
            </w:r>
          </w:p>
        </w:tc>
        <w:tc>
          <w:tcPr>
            <w:tcW w:w="1396" w:type="dxa"/>
          </w:tcPr>
          <w:p>
            <w:pPr>
              <w:spacing w:line="312" w:lineRule="auto"/>
              <w:jc w:val="center"/>
              <w:rPr>
                <w:rFonts w:ascii="宋体" w:hAnsi="宋体" w:cs="宋体"/>
                <w:sz w:val="24"/>
              </w:rPr>
            </w:pPr>
            <w:r>
              <w:rPr>
                <w:rFonts w:hint="eastAsia" w:ascii="宋体" w:hAnsi="宋体" w:cs="宋体"/>
                <w:sz w:val="24"/>
              </w:rPr>
              <w:t>型号及规格</w:t>
            </w:r>
          </w:p>
        </w:tc>
        <w:tc>
          <w:tcPr>
            <w:tcW w:w="763" w:type="dxa"/>
          </w:tcPr>
          <w:p>
            <w:pPr>
              <w:spacing w:line="312" w:lineRule="auto"/>
              <w:ind w:right="-33"/>
              <w:jc w:val="center"/>
              <w:rPr>
                <w:rFonts w:ascii="宋体" w:hAnsi="宋体" w:cs="宋体"/>
                <w:sz w:val="24"/>
              </w:rPr>
            </w:pPr>
            <w:r>
              <w:rPr>
                <w:rFonts w:hint="eastAsia" w:ascii="宋体" w:hAnsi="宋体" w:cs="宋体"/>
                <w:sz w:val="24"/>
              </w:rPr>
              <w:t>数量</w:t>
            </w:r>
          </w:p>
        </w:tc>
        <w:tc>
          <w:tcPr>
            <w:tcW w:w="1196" w:type="dxa"/>
          </w:tcPr>
          <w:p>
            <w:pPr>
              <w:spacing w:line="312" w:lineRule="auto"/>
              <w:jc w:val="center"/>
              <w:rPr>
                <w:rFonts w:ascii="宋体" w:hAnsi="宋体" w:cs="宋体"/>
                <w:sz w:val="24"/>
              </w:rPr>
            </w:pPr>
            <w:r>
              <w:rPr>
                <w:rFonts w:hint="eastAsia" w:ascii="宋体" w:hAnsi="宋体" w:cs="宋体"/>
                <w:sz w:val="24"/>
              </w:rPr>
              <w:t>交货地点</w:t>
            </w:r>
          </w:p>
        </w:tc>
        <w:tc>
          <w:tcPr>
            <w:tcW w:w="1196" w:type="dxa"/>
          </w:tcPr>
          <w:p>
            <w:pPr>
              <w:spacing w:line="312" w:lineRule="auto"/>
              <w:jc w:val="center"/>
              <w:rPr>
                <w:rFonts w:ascii="宋体" w:hAnsi="宋体" w:cs="宋体"/>
                <w:sz w:val="24"/>
              </w:rPr>
            </w:pPr>
            <w:r>
              <w:rPr>
                <w:rFonts w:hint="eastAsia" w:ascii="宋体" w:hAnsi="宋体" w:cs="宋体"/>
                <w:sz w:val="24"/>
              </w:rPr>
              <w:t>交货方式</w:t>
            </w:r>
          </w:p>
        </w:tc>
        <w:tc>
          <w:tcPr>
            <w:tcW w:w="1550" w:type="dxa"/>
          </w:tcPr>
          <w:p>
            <w:pPr>
              <w:spacing w:line="312" w:lineRule="auto"/>
              <w:jc w:val="center"/>
              <w:rPr>
                <w:rFonts w:ascii="宋体" w:hAnsi="宋体" w:cs="宋体"/>
                <w:sz w:val="24"/>
              </w:rPr>
            </w:pPr>
            <w:r>
              <w:rPr>
                <w:rFonts w:hint="eastAsia" w:ascii="宋体" w:hAnsi="宋体" w:cs="宋体"/>
                <w:sz w:val="24"/>
              </w:rPr>
              <w:t>计划交货日期</w:t>
            </w:r>
          </w:p>
        </w:tc>
        <w:tc>
          <w:tcPr>
            <w:tcW w:w="796" w:type="dxa"/>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1396" w:type="dxa"/>
          </w:tcPr>
          <w:p>
            <w:pPr>
              <w:spacing w:line="312" w:lineRule="auto"/>
              <w:ind w:right="248"/>
              <w:jc w:val="center"/>
              <w:rPr>
                <w:rFonts w:ascii="宋体" w:hAnsi="宋体" w:cs="宋体"/>
                <w:sz w:val="24"/>
              </w:rPr>
            </w:pPr>
          </w:p>
        </w:tc>
        <w:tc>
          <w:tcPr>
            <w:tcW w:w="763"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196" w:type="dxa"/>
          </w:tcPr>
          <w:p>
            <w:pPr>
              <w:spacing w:line="312" w:lineRule="auto"/>
              <w:ind w:right="248"/>
              <w:jc w:val="center"/>
              <w:rPr>
                <w:rFonts w:ascii="宋体" w:hAnsi="宋体" w:cs="宋体"/>
                <w:sz w:val="24"/>
              </w:rPr>
            </w:pPr>
          </w:p>
        </w:tc>
        <w:tc>
          <w:tcPr>
            <w:tcW w:w="1550" w:type="dxa"/>
          </w:tcPr>
          <w:p>
            <w:pPr>
              <w:spacing w:line="312" w:lineRule="auto"/>
              <w:ind w:right="248"/>
              <w:jc w:val="center"/>
              <w:rPr>
                <w:rFonts w:ascii="宋体" w:hAnsi="宋体" w:cs="宋体"/>
                <w:sz w:val="24"/>
              </w:rPr>
            </w:pPr>
          </w:p>
        </w:tc>
        <w:tc>
          <w:tcPr>
            <w:tcW w:w="796" w:type="dxa"/>
          </w:tcPr>
          <w:p>
            <w:pPr>
              <w:spacing w:line="312" w:lineRule="auto"/>
              <w:ind w:right="248"/>
              <w:jc w:val="center"/>
              <w:rPr>
                <w:rFonts w:ascii="宋体" w:hAnsi="宋体" w:cs="宋体"/>
                <w:sz w:val="24"/>
              </w:rPr>
            </w:pPr>
          </w:p>
        </w:tc>
      </w:tr>
    </w:tbl>
    <w:p>
      <w:pPr>
        <w:spacing w:line="312" w:lineRule="auto"/>
        <w:rPr>
          <w:rFonts w:ascii="宋体" w:hAnsi="宋体" w:cs="宋体"/>
          <w:sz w:val="24"/>
        </w:rPr>
      </w:pPr>
    </w:p>
    <w:p>
      <w:pPr>
        <w:spacing w:line="312" w:lineRule="auto"/>
        <w:rPr>
          <w:rFonts w:ascii="宋体" w:hAnsi="宋体" w:cs="宋体"/>
          <w:b/>
          <w:sz w:val="24"/>
        </w:rPr>
      </w:pPr>
      <w:bookmarkStart w:id="211" w:name="_Toc221951166"/>
      <w:bookmarkStart w:id="212" w:name="_Toc222032701"/>
      <w:bookmarkStart w:id="213" w:name="_Toc222029532"/>
      <w:bookmarkStart w:id="214" w:name="_Toc222031034"/>
      <w:bookmarkStart w:id="215" w:name="_Toc222033883"/>
      <w:bookmarkStart w:id="216" w:name="_Toc229305392"/>
      <w:r>
        <w:rPr>
          <w:rFonts w:hint="eastAsia" w:ascii="宋体" w:hAnsi="宋体" w:cs="宋体"/>
          <w:b/>
          <w:sz w:val="24"/>
        </w:rPr>
        <w:t>6  施工设备和临时设施</w:t>
      </w:r>
      <w:bookmarkEnd w:id="211"/>
      <w:bookmarkEnd w:id="212"/>
      <w:bookmarkEnd w:id="213"/>
      <w:bookmarkEnd w:id="214"/>
      <w:bookmarkEnd w:id="215"/>
      <w:bookmarkEnd w:id="216"/>
    </w:p>
    <w:p>
      <w:pPr>
        <w:spacing w:line="312" w:lineRule="auto"/>
        <w:rPr>
          <w:rFonts w:ascii="宋体" w:hAnsi="宋体" w:cs="宋体"/>
          <w:b/>
          <w:bCs/>
          <w:sz w:val="24"/>
        </w:rPr>
      </w:pPr>
      <w:bookmarkStart w:id="217" w:name="_Toc221951167"/>
      <w:r>
        <w:rPr>
          <w:rFonts w:hint="eastAsia" w:ascii="宋体" w:hAnsi="宋体" w:cs="宋体"/>
          <w:b/>
          <w:bCs/>
          <w:sz w:val="24"/>
        </w:rPr>
        <w:t>6.2  发包人提供的施工设备和临时设施</w:t>
      </w:r>
      <w:bookmarkEnd w:id="217"/>
    </w:p>
    <w:p>
      <w:pPr>
        <w:spacing w:line="312" w:lineRule="auto"/>
        <w:ind w:right="248"/>
        <w:rPr>
          <w:rFonts w:ascii="宋体" w:hAnsi="宋体" w:cs="宋体"/>
          <w:bCs/>
          <w:sz w:val="24"/>
        </w:rPr>
      </w:pPr>
      <w:bookmarkStart w:id="218" w:name="_Toc221951169"/>
      <w:r>
        <w:rPr>
          <w:rFonts w:hint="eastAsia" w:ascii="宋体" w:hAnsi="宋体" w:cs="宋体"/>
          <w:bCs/>
          <w:sz w:val="24"/>
        </w:rPr>
        <w:t>（1）发包人提供的的施工设备见下表</w:t>
      </w:r>
      <w:bookmarkEnd w:id="218"/>
      <w:r>
        <w:rPr>
          <w:rFonts w:hint="eastAsia" w:ascii="宋体" w:hAnsi="宋体" w:cs="宋体"/>
          <w:bCs/>
          <w:sz w:val="24"/>
        </w:rPr>
        <w:t>：</w:t>
      </w:r>
      <w:bookmarkStart w:id="219" w:name="_Toc221951170"/>
    </w:p>
    <w:p>
      <w:pPr>
        <w:spacing w:line="312" w:lineRule="auto"/>
        <w:ind w:right="248" w:firstLine="3159" w:firstLineChars="1311"/>
        <w:rPr>
          <w:rFonts w:ascii="宋体" w:hAnsi="宋体" w:cs="宋体"/>
          <w:sz w:val="24"/>
        </w:rPr>
      </w:pPr>
      <w:r>
        <w:rPr>
          <w:rFonts w:hint="eastAsia" w:ascii="宋体" w:hAnsi="宋体" w:cs="宋体"/>
          <w:b/>
          <w:sz w:val="24"/>
        </w:rPr>
        <w:t>发包人提供的施工设备表(</w:t>
      </w:r>
      <w:r>
        <w:rPr>
          <w:rFonts w:hint="eastAsia" w:ascii="宋体" w:hAnsi="宋体" w:cs="宋体"/>
          <w:sz w:val="24"/>
        </w:rPr>
        <w:t>参考格式</w:t>
      </w:r>
      <w:r>
        <w:rPr>
          <w:rFonts w:hint="eastAsia" w:ascii="宋体" w:hAnsi="宋体" w:cs="宋体"/>
          <w:b/>
          <w:sz w:val="24"/>
        </w:rPr>
        <w:t>)</w:t>
      </w:r>
      <w:bookmarkEnd w:id="219"/>
    </w:p>
    <w:tbl>
      <w:tblPr>
        <w:tblStyle w:val="21"/>
        <w:tblW w:w="892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93"/>
        <w:gridCol w:w="1193"/>
        <w:gridCol w:w="1396"/>
        <w:gridCol w:w="1196"/>
        <w:gridCol w:w="763"/>
        <w:gridCol w:w="1196"/>
        <w:gridCol w:w="1596"/>
        <w:gridCol w:w="7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3"/>
              <w:jc w:val="center"/>
              <w:rPr>
                <w:rFonts w:ascii="宋体" w:hAnsi="宋体" w:cs="宋体"/>
                <w:sz w:val="24"/>
              </w:rPr>
            </w:pPr>
            <w:r>
              <w:rPr>
                <w:rFonts w:hint="eastAsia" w:ascii="宋体" w:hAnsi="宋体" w:cs="宋体"/>
                <w:sz w:val="24"/>
              </w:rPr>
              <w:t>序号</w:t>
            </w:r>
          </w:p>
        </w:tc>
        <w:tc>
          <w:tcPr>
            <w:tcW w:w="1193" w:type="dxa"/>
            <w:vAlign w:val="center"/>
          </w:tcPr>
          <w:p>
            <w:pPr>
              <w:spacing w:line="312" w:lineRule="auto"/>
              <w:ind w:right="-3"/>
              <w:jc w:val="center"/>
              <w:rPr>
                <w:rFonts w:ascii="宋体" w:hAnsi="宋体" w:cs="宋体"/>
                <w:sz w:val="24"/>
              </w:rPr>
            </w:pPr>
            <w:bookmarkStart w:id="220" w:name="_Toc221951171"/>
            <w:r>
              <w:rPr>
                <w:rFonts w:hint="eastAsia" w:ascii="宋体" w:hAnsi="宋体" w:cs="宋体"/>
                <w:sz w:val="24"/>
              </w:rPr>
              <w:t>设备名称</w:t>
            </w:r>
            <w:bookmarkEnd w:id="220"/>
          </w:p>
        </w:tc>
        <w:tc>
          <w:tcPr>
            <w:tcW w:w="1396" w:type="dxa"/>
            <w:vAlign w:val="center"/>
          </w:tcPr>
          <w:p>
            <w:pPr>
              <w:spacing w:line="312" w:lineRule="auto"/>
              <w:jc w:val="center"/>
              <w:rPr>
                <w:rFonts w:ascii="宋体" w:hAnsi="宋体" w:cs="宋体"/>
                <w:sz w:val="24"/>
              </w:rPr>
            </w:pPr>
            <w:bookmarkStart w:id="221" w:name="_Toc221951172"/>
            <w:r>
              <w:rPr>
                <w:rFonts w:hint="eastAsia" w:ascii="宋体" w:hAnsi="宋体" w:cs="宋体"/>
                <w:sz w:val="24"/>
              </w:rPr>
              <w:t>型号及规格</w:t>
            </w:r>
            <w:bookmarkEnd w:id="221"/>
          </w:p>
        </w:tc>
        <w:tc>
          <w:tcPr>
            <w:tcW w:w="1196" w:type="dxa"/>
            <w:vAlign w:val="center"/>
          </w:tcPr>
          <w:p>
            <w:pPr>
              <w:spacing w:line="312" w:lineRule="auto"/>
              <w:jc w:val="center"/>
              <w:rPr>
                <w:rFonts w:ascii="宋体" w:hAnsi="宋体" w:cs="宋体"/>
                <w:sz w:val="24"/>
              </w:rPr>
            </w:pPr>
            <w:bookmarkStart w:id="222" w:name="_Toc221951173"/>
            <w:r>
              <w:rPr>
                <w:rFonts w:hint="eastAsia" w:ascii="宋体" w:hAnsi="宋体" w:cs="宋体"/>
                <w:sz w:val="24"/>
              </w:rPr>
              <w:t>设备状况</w:t>
            </w:r>
            <w:bookmarkEnd w:id="222"/>
          </w:p>
        </w:tc>
        <w:tc>
          <w:tcPr>
            <w:tcW w:w="763" w:type="dxa"/>
            <w:vAlign w:val="center"/>
          </w:tcPr>
          <w:p>
            <w:pPr>
              <w:spacing w:line="312" w:lineRule="auto"/>
              <w:ind w:right="-33"/>
              <w:jc w:val="center"/>
              <w:rPr>
                <w:rFonts w:ascii="宋体" w:hAnsi="宋体" w:cs="宋体"/>
                <w:sz w:val="24"/>
              </w:rPr>
            </w:pPr>
            <w:bookmarkStart w:id="223" w:name="_Toc221951174"/>
            <w:r>
              <w:rPr>
                <w:rFonts w:hint="eastAsia" w:ascii="宋体" w:hAnsi="宋体" w:cs="宋体"/>
                <w:sz w:val="24"/>
              </w:rPr>
              <w:t>数量</w:t>
            </w:r>
            <w:bookmarkEnd w:id="223"/>
          </w:p>
        </w:tc>
        <w:tc>
          <w:tcPr>
            <w:tcW w:w="1196" w:type="dxa"/>
            <w:vAlign w:val="center"/>
          </w:tcPr>
          <w:p>
            <w:pPr>
              <w:spacing w:line="312" w:lineRule="auto"/>
              <w:jc w:val="center"/>
              <w:rPr>
                <w:rFonts w:ascii="宋体" w:hAnsi="宋体" w:cs="宋体"/>
                <w:sz w:val="24"/>
              </w:rPr>
            </w:pPr>
            <w:bookmarkStart w:id="224" w:name="_Toc221951175"/>
            <w:r>
              <w:rPr>
                <w:rFonts w:hint="eastAsia" w:ascii="宋体" w:hAnsi="宋体" w:cs="宋体"/>
                <w:sz w:val="24"/>
              </w:rPr>
              <w:t>移交地点</w:t>
            </w:r>
            <w:bookmarkEnd w:id="224"/>
          </w:p>
        </w:tc>
        <w:tc>
          <w:tcPr>
            <w:tcW w:w="1596" w:type="dxa"/>
          </w:tcPr>
          <w:p>
            <w:pPr>
              <w:spacing w:line="312" w:lineRule="auto"/>
              <w:jc w:val="center"/>
              <w:rPr>
                <w:rFonts w:ascii="宋体" w:hAnsi="宋体" w:cs="宋体"/>
                <w:sz w:val="24"/>
              </w:rPr>
            </w:pPr>
            <w:r>
              <w:rPr>
                <w:rFonts w:hint="eastAsia" w:ascii="宋体" w:hAnsi="宋体" w:cs="宋体"/>
                <w:sz w:val="24"/>
              </w:rPr>
              <w:t>计划移交日期</w:t>
            </w:r>
          </w:p>
        </w:tc>
        <w:tc>
          <w:tcPr>
            <w:tcW w:w="796" w:type="dxa"/>
            <w:vAlign w:val="center"/>
          </w:tcPr>
          <w:p>
            <w:pPr>
              <w:spacing w:line="312" w:lineRule="auto"/>
              <w:jc w:val="center"/>
              <w:rPr>
                <w:rFonts w:ascii="宋体" w:hAnsi="宋体" w:cs="宋体"/>
                <w:sz w:val="24"/>
              </w:rPr>
            </w:pPr>
            <w:bookmarkStart w:id="225" w:name="_Toc221951176"/>
            <w:r>
              <w:rPr>
                <w:rFonts w:hint="eastAsia" w:ascii="宋体" w:hAnsi="宋体" w:cs="宋体"/>
                <w:sz w:val="24"/>
              </w:rPr>
              <w:t>备注</w:t>
            </w:r>
            <w:bookmarkEnd w:id="22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c>
          <w:tcPr>
            <w:tcW w:w="793" w:type="dxa"/>
          </w:tcPr>
          <w:p>
            <w:pPr>
              <w:spacing w:line="312" w:lineRule="auto"/>
              <w:ind w:right="248"/>
              <w:jc w:val="center"/>
              <w:rPr>
                <w:rFonts w:ascii="宋体" w:hAnsi="宋体" w:cs="宋体"/>
                <w:sz w:val="24"/>
              </w:rPr>
            </w:pPr>
          </w:p>
        </w:tc>
        <w:tc>
          <w:tcPr>
            <w:tcW w:w="1193" w:type="dxa"/>
            <w:vAlign w:val="center"/>
          </w:tcPr>
          <w:p>
            <w:pPr>
              <w:spacing w:line="312" w:lineRule="auto"/>
              <w:ind w:right="248"/>
              <w:jc w:val="center"/>
              <w:rPr>
                <w:rFonts w:ascii="宋体" w:hAnsi="宋体" w:cs="宋体"/>
                <w:sz w:val="24"/>
              </w:rPr>
            </w:pPr>
          </w:p>
        </w:tc>
        <w:tc>
          <w:tcPr>
            <w:tcW w:w="1396"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763" w:type="dxa"/>
            <w:vAlign w:val="center"/>
          </w:tcPr>
          <w:p>
            <w:pPr>
              <w:spacing w:line="312" w:lineRule="auto"/>
              <w:ind w:right="248"/>
              <w:jc w:val="center"/>
              <w:rPr>
                <w:rFonts w:ascii="宋体" w:hAnsi="宋体" w:cs="宋体"/>
                <w:sz w:val="24"/>
              </w:rPr>
            </w:pPr>
          </w:p>
        </w:tc>
        <w:tc>
          <w:tcPr>
            <w:tcW w:w="1196" w:type="dxa"/>
            <w:vAlign w:val="center"/>
          </w:tcPr>
          <w:p>
            <w:pPr>
              <w:spacing w:line="312" w:lineRule="auto"/>
              <w:ind w:right="248"/>
              <w:jc w:val="center"/>
              <w:rPr>
                <w:rFonts w:ascii="宋体" w:hAnsi="宋体" w:cs="宋体"/>
                <w:sz w:val="24"/>
              </w:rPr>
            </w:pPr>
          </w:p>
        </w:tc>
        <w:tc>
          <w:tcPr>
            <w:tcW w:w="1596" w:type="dxa"/>
          </w:tcPr>
          <w:p>
            <w:pPr>
              <w:spacing w:line="312" w:lineRule="auto"/>
              <w:ind w:right="248"/>
              <w:jc w:val="center"/>
              <w:rPr>
                <w:rFonts w:ascii="宋体" w:hAnsi="宋体" w:cs="宋体"/>
                <w:sz w:val="24"/>
              </w:rPr>
            </w:pPr>
          </w:p>
        </w:tc>
        <w:tc>
          <w:tcPr>
            <w:tcW w:w="796" w:type="dxa"/>
            <w:vAlign w:val="center"/>
          </w:tcPr>
          <w:p>
            <w:pPr>
              <w:spacing w:line="312" w:lineRule="auto"/>
              <w:ind w:right="248"/>
              <w:jc w:val="center"/>
              <w:rPr>
                <w:rFonts w:ascii="宋体" w:hAnsi="宋体" w:cs="宋体"/>
                <w:sz w:val="24"/>
              </w:rPr>
            </w:pPr>
          </w:p>
        </w:tc>
      </w:tr>
    </w:tbl>
    <w:p>
      <w:pPr>
        <w:pStyle w:val="14"/>
        <w:spacing w:line="312" w:lineRule="auto"/>
        <w:rPr>
          <w:rFonts w:ascii="宋体" w:hAnsi="宋体" w:cs="宋体"/>
          <w:sz w:val="24"/>
        </w:rPr>
      </w:pPr>
      <w:bookmarkStart w:id="226" w:name="_Toc221951177"/>
      <w:r>
        <w:rPr>
          <w:rFonts w:hint="eastAsia" w:ascii="宋体" w:hAnsi="宋体" w:cs="宋体"/>
          <w:sz w:val="24"/>
        </w:rPr>
        <w:t>注：设备状况栏内填写该设备的新旧程度、购进时间、已使用小时数和最近一次的大修时间。</w:t>
      </w:r>
      <w:bookmarkEnd w:id="226"/>
    </w:p>
    <w:p>
      <w:pPr>
        <w:spacing w:line="312" w:lineRule="auto"/>
        <w:ind w:right="248"/>
        <w:rPr>
          <w:rFonts w:ascii="宋体" w:hAnsi="宋体" w:cs="宋体"/>
          <w:sz w:val="24"/>
        </w:rPr>
      </w:pPr>
      <w:r>
        <w:rPr>
          <w:rFonts w:hint="eastAsia" w:ascii="宋体" w:hAnsi="宋体" w:cs="宋体"/>
          <w:sz w:val="24"/>
        </w:rPr>
        <w:t>（2）</w:t>
      </w:r>
      <w:r>
        <w:rPr>
          <w:rFonts w:hint="eastAsia" w:ascii="宋体" w:hAnsi="宋体" w:cs="宋体"/>
          <w:bCs/>
          <w:sz w:val="24"/>
        </w:rPr>
        <w:t>发包人提供的临时设施：</w:t>
      </w:r>
      <w:r>
        <w:rPr>
          <w:rFonts w:hint="eastAsia" w:ascii="宋体" w:hAnsi="宋体" w:cs="宋体"/>
          <w:sz w:val="24"/>
        </w:rPr>
        <w:t>。</w:t>
      </w:r>
    </w:p>
    <w:p>
      <w:pPr>
        <w:spacing w:line="312" w:lineRule="auto"/>
        <w:rPr>
          <w:rFonts w:ascii="宋体" w:hAnsi="宋体" w:cs="宋体"/>
          <w:b/>
          <w:sz w:val="24"/>
        </w:rPr>
      </w:pPr>
      <w:bookmarkStart w:id="227" w:name="_Toc222029533"/>
      <w:bookmarkStart w:id="228" w:name="_Toc222033884"/>
      <w:bookmarkStart w:id="229" w:name="_Toc222032702"/>
      <w:bookmarkStart w:id="230" w:name="_Toc222031035"/>
      <w:bookmarkStart w:id="231" w:name="_Toc221951178"/>
      <w:r>
        <w:rPr>
          <w:rFonts w:hint="eastAsia" w:ascii="宋体" w:hAnsi="宋体" w:cs="宋体"/>
          <w:b/>
          <w:sz w:val="24"/>
        </w:rPr>
        <w:t>7  交通运输</w:t>
      </w:r>
      <w:bookmarkEnd w:id="227"/>
      <w:bookmarkEnd w:id="228"/>
      <w:bookmarkEnd w:id="229"/>
      <w:bookmarkEnd w:id="230"/>
      <w:bookmarkEnd w:id="231"/>
    </w:p>
    <w:p>
      <w:pPr>
        <w:spacing w:line="312" w:lineRule="auto"/>
        <w:rPr>
          <w:rFonts w:ascii="宋体" w:hAnsi="宋体" w:cs="宋体"/>
          <w:b/>
          <w:bCs/>
          <w:sz w:val="24"/>
        </w:rPr>
      </w:pPr>
      <w:bookmarkStart w:id="232" w:name="_Toc221951179"/>
      <w:r>
        <w:rPr>
          <w:rFonts w:hint="eastAsia" w:ascii="宋体" w:hAnsi="宋体" w:cs="宋体"/>
          <w:b/>
          <w:bCs/>
          <w:sz w:val="24"/>
        </w:rPr>
        <w:t>7.1  道路通行权和场外设施</w:t>
      </w:r>
      <w:bookmarkEnd w:id="232"/>
    </w:p>
    <w:p>
      <w:pPr>
        <w:spacing w:line="312" w:lineRule="auto"/>
        <w:ind w:right="248" w:firstLine="360" w:firstLineChars="150"/>
        <w:rPr>
          <w:rFonts w:ascii="宋体" w:hAnsi="宋体" w:cs="宋体"/>
          <w:sz w:val="24"/>
        </w:rPr>
      </w:pPr>
      <w:r>
        <w:rPr>
          <w:rFonts w:hint="eastAsia" w:ascii="宋体" w:hAnsi="宋体" w:cs="宋体"/>
          <w:bCs/>
          <w:sz w:val="24"/>
        </w:rPr>
        <w:t>道路通行权和场外设施的约定</w:t>
      </w:r>
      <w:r>
        <w:rPr>
          <w:rFonts w:hint="eastAsia" w:ascii="宋体" w:hAnsi="宋体" w:cs="宋体"/>
          <w:sz w:val="24"/>
        </w:rPr>
        <w:t>：。</w:t>
      </w:r>
    </w:p>
    <w:p>
      <w:pPr>
        <w:spacing w:line="312" w:lineRule="auto"/>
        <w:rPr>
          <w:rFonts w:ascii="宋体" w:hAnsi="宋体" w:cs="宋体"/>
          <w:b/>
          <w:sz w:val="24"/>
        </w:rPr>
      </w:pPr>
      <w:r>
        <w:rPr>
          <w:rFonts w:hint="eastAsia" w:ascii="宋体" w:hAnsi="宋体" w:cs="宋体"/>
          <w:b/>
          <w:sz w:val="24"/>
        </w:rPr>
        <w:t xml:space="preserve">8 测量放线   </w:t>
      </w:r>
    </w:p>
    <w:p>
      <w:pPr>
        <w:spacing w:line="312" w:lineRule="auto"/>
        <w:rPr>
          <w:rFonts w:ascii="宋体" w:hAnsi="宋体" w:cs="宋体"/>
          <w:b/>
          <w:bCs/>
          <w:sz w:val="24"/>
        </w:rPr>
      </w:pPr>
      <w:r>
        <w:rPr>
          <w:rFonts w:hint="eastAsia" w:ascii="宋体" w:hAnsi="宋体" w:cs="宋体"/>
          <w:b/>
          <w:bCs/>
          <w:sz w:val="24"/>
        </w:rPr>
        <w:t>8.1施工控制网</w:t>
      </w:r>
    </w:p>
    <w:p>
      <w:pPr>
        <w:spacing w:line="312" w:lineRule="auto"/>
        <w:ind w:right="248" w:firstLine="360" w:firstLineChars="150"/>
        <w:rPr>
          <w:rFonts w:ascii="宋体" w:hAnsi="宋体" w:cs="宋体"/>
          <w:sz w:val="24"/>
        </w:rPr>
      </w:pPr>
      <w:r>
        <w:rPr>
          <w:rFonts w:hint="eastAsia" w:ascii="宋体" w:hAnsi="宋体" w:cs="宋体"/>
          <w:bCs/>
          <w:sz w:val="24"/>
        </w:rPr>
        <w:t>8.1.1 施工控制网的约定：</w:t>
      </w:r>
      <w:r>
        <w:rPr>
          <w:rFonts w:hint="eastAsia" w:ascii="宋体" w:hAnsi="宋体" w:cs="宋体"/>
          <w:sz w:val="24"/>
        </w:rPr>
        <w:t xml:space="preserve"> 。</w:t>
      </w:r>
    </w:p>
    <w:p>
      <w:pPr>
        <w:spacing w:line="312" w:lineRule="auto"/>
        <w:rPr>
          <w:rFonts w:ascii="宋体" w:hAnsi="宋体" w:cs="宋体"/>
          <w:b/>
          <w:sz w:val="24"/>
        </w:rPr>
      </w:pPr>
      <w:r>
        <w:rPr>
          <w:rFonts w:hint="eastAsia" w:ascii="宋体" w:hAnsi="宋体" w:cs="宋体"/>
          <w:b/>
          <w:sz w:val="24"/>
        </w:rPr>
        <w:t>9 施工安全、治安保卫和环境保护</w:t>
      </w:r>
    </w:p>
    <w:p>
      <w:pPr>
        <w:spacing w:line="312" w:lineRule="auto"/>
        <w:rPr>
          <w:rFonts w:ascii="宋体" w:hAnsi="宋体" w:cs="宋体"/>
          <w:b/>
          <w:bCs/>
          <w:sz w:val="24"/>
        </w:rPr>
      </w:pPr>
      <w:r>
        <w:rPr>
          <w:rFonts w:hint="eastAsia" w:ascii="宋体" w:hAnsi="宋体" w:cs="宋体"/>
          <w:b/>
          <w:bCs/>
          <w:sz w:val="24"/>
        </w:rPr>
        <w:t>9.1 发包人的施工安全责任</w:t>
      </w:r>
    </w:p>
    <w:p>
      <w:pPr>
        <w:spacing w:line="312" w:lineRule="auto"/>
        <w:ind w:right="248" w:firstLine="360" w:firstLineChars="150"/>
        <w:rPr>
          <w:rFonts w:ascii="宋体" w:hAnsi="宋体" w:cs="宋体"/>
          <w:sz w:val="24"/>
          <w:u w:val="single"/>
        </w:rPr>
      </w:pPr>
      <w:r>
        <w:rPr>
          <w:rFonts w:hint="eastAsia" w:ascii="宋体" w:hAnsi="宋体" w:cs="宋体"/>
          <w:sz w:val="24"/>
        </w:rPr>
        <w:t>9</w:t>
      </w:r>
      <w:r>
        <w:rPr>
          <w:rFonts w:hint="eastAsia" w:ascii="宋体" w:hAnsi="宋体" w:cs="宋体"/>
          <w:bCs/>
          <w:sz w:val="24"/>
        </w:rPr>
        <w:t>.1.4 发包人提供资料，其余资料由承包人负责收集。</w:t>
      </w:r>
    </w:p>
    <w:p>
      <w:pPr>
        <w:spacing w:line="312" w:lineRule="auto"/>
        <w:rPr>
          <w:rFonts w:ascii="宋体" w:hAnsi="宋体" w:cs="宋体"/>
          <w:b/>
          <w:bCs/>
          <w:sz w:val="24"/>
        </w:rPr>
      </w:pPr>
      <w:r>
        <w:rPr>
          <w:rFonts w:hint="eastAsia" w:ascii="宋体" w:hAnsi="宋体" w:cs="宋体"/>
          <w:b/>
          <w:bCs/>
          <w:sz w:val="24"/>
        </w:rPr>
        <w:t>9.2 承包人的施工安全责任</w:t>
      </w:r>
    </w:p>
    <w:p>
      <w:pPr>
        <w:spacing w:line="312" w:lineRule="auto"/>
        <w:ind w:right="248" w:firstLine="480"/>
        <w:rPr>
          <w:rFonts w:ascii="宋体" w:hAnsi="宋体" w:cs="宋体"/>
          <w:sz w:val="24"/>
        </w:rPr>
      </w:pPr>
      <w:r>
        <w:rPr>
          <w:rFonts w:hint="eastAsia" w:ascii="宋体" w:hAnsi="宋体" w:cs="宋体"/>
          <w:sz w:val="24"/>
        </w:rPr>
        <w:t>9.2.12 下列工程应编制专项施工方案：。其中应组织专家论证和审查。</w:t>
      </w:r>
    </w:p>
    <w:p>
      <w:pPr>
        <w:spacing w:line="312" w:lineRule="auto"/>
        <w:rPr>
          <w:rFonts w:ascii="宋体" w:hAnsi="宋体" w:cs="宋体"/>
          <w:b/>
          <w:bCs/>
          <w:sz w:val="24"/>
        </w:rPr>
      </w:pPr>
      <w:r>
        <w:rPr>
          <w:rFonts w:hint="eastAsia" w:ascii="宋体" w:hAnsi="宋体" w:cs="宋体"/>
          <w:b/>
          <w:bCs/>
          <w:sz w:val="24"/>
        </w:rPr>
        <w:t>9.7 文明工地</w:t>
      </w:r>
    </w:p>
    <w:p>
      <w:pPr>
        <w:spacing w:line="312" w:lineRule="auto"/>
        <w:ind w:right="248" w:firstLine="480"/>
        <w:rPr>
          <w:rFonts w:ascii="宋体" w:hAnsi="宋体" w:cs="宋体"/>
          <w:sz w:val="24"/>
        </w:rPr>
      </w:pPr>
      <w:r>
        <w:rPr>
          <w:rFonts w:hint="eastAsia" w:ascii="宋体" w:hAnsi="宋体" w:cs="宋体"/>
          <w:sz w:val="24"/>
        </w:rPr>
        <w:t>9.7.1 本合同文明工地的约定：。</w:t>
      </w:r>
    </w:p>
    <w:p>
      <w:pPr>
        <w:spacing w:line="312" w:lineRule="auto"/>
        <w:rPr>
          <w:rFonts w:ascii="宋体" w:hAnsi="宋体" w:cs="宋体"/>
          <w:b/>
          <w:sz w:val="24"/>
        </w:rPr>
      </w:pPr>
      <w:bookmarkStart w:id="233" w:name="_Toc222032705"/>
      <w:bookmarkStart w:id="234" w:name="_Toc229305394"/>
      <w:bookmarkStart w:id="235" w:name="_Toc222029536"/>
      <w:bookmarkStart w:id="236" w:name="_Toc222033887"/>
      <w:bookmarkStart w:id="237" w:name="_Toc222031038"/>
      <w:bookmarkStart w:id="238" w:name="_Toc221951188"/>
      <w:r>
        <w:rPr>
          <w:rFonts w:hint="eastAsia" w:ascii="宋体" w:hAnsi="宋体" w:cs="宋体"/>
          <w:b/>
          <w:sz w:val="24"/>
        </w:rPr>
        <w:t>11  开工和竣工</w:t>
      </w:r>
      <w:bookmarkEnd w:id="233"/>
      <w:bookmarkEnd w:id="234"/>
      <w:bookmarkEnd w:id="235"/>
      <w:bookmarkEnd w:id="236"/>
      <w:bookmarkEnd w:id="237"/>
      <w:bookmarkEnd w:id="238"/>
      <w:r>
        <w:rPr>
          <w:rFonts w:hint="eastAsia" w:ascii="宋体" w:hAnsi="宋体" w:cs="宋体"/>
          <w:b/>
          <w:sz w:val="24"/>
        </w:rPr>
        <w:t>（完工）</w:t>
      </w:r>
    </w:p>
    <w:p>
      <w:pPr>
        <w:spacing w:line="312" w:lineRule="auto"/>
        <w:rPr>
          <w:rFonts w:ascii="宋体" w:hAnsi="宋体" w:cs="宋体"/>
          <w:sz w:val="24"/>
        </w:rPr>
      </w:pPr>
      <w:bookmarkStart w:id="239" w:name="_Toc221951189"/>
      <w:r>
        <w:rPr>
          <w:rFonts w:hint="eastAsia" w:ascii="宋体" w:hAnsi="宋体" w:cs="宋体"/>
          <w:b/>
          <w:bCs/>
          <w:sz w:val="24"/>
        </w:rPr>
        <w:t>11</w:t>
      </w:r>
      <w:r>
        <w:rPr>
          <w:rFonts w:hint="eastAsia" w:ascii="宋体" w:hAnsi="宋体" w:cs="宋体"/>
          <w:sz w:val="24"/>
        </w:rPr>
        <w:t>.4  异常恶劣的气候条件</w:t>
      </w:r>
      <w:bookmarkEnd w:id="239"/>
    </w:p>
    <w:p>
      <w:pPr>
        <w:spacing w:line="312" w:lineRule="auto"/>
        <w:ind w:right="248" w:firstLine="480"/>
        <w:rPr>
          <w:rFonts w:ascii="宋体" w:hAnsi="宋体" w:cs="宋体"/>
          <w:sz w:val="24"/>
        </w:rPr>
      </w:pPr>
      <w:bookmarkStart w:id="240" w:name="_Toc221951191"/>
      <w:r>
        <w:rPr>
          <w:rFonts w:hint="eastAsia" w:ascii="宋体" w:hAnsi="宋体" w:cs="宋体"/>
          <w:sz w:val="24"/>
        </w:rPr>
        <w:t>11.4.3  本合同工程界定异常恶劣气候条件的范围为：</w:t>
      </w:r>
      <w:bookmarkEnd w:id="240"/>
    </w:p>
    <w:p>
      <w:pPr>
        <w:spacing w:line="312" w:lineRule="auto"/>
        <w:ind w:right="248" w:firstLine="480"/>
        <w:rPr>
          <w:rFonts w:ascii="宋体" w:hAnsi="宋体" w:cs="宋体"/>
          <w:sz w:val="24"/>
        </w:rPr>
      </w:pPr>
      <w:bookmarkStart w:id="241" w:name="_Toc221951192"/>
      <w:r>
        <w:rPr>
          <w:rFonts w:hint="eastAsia" w:ascii="宋体" w:hAnsi="宋体" w:cs="宋体"/>
          <w:sz w:val="24"/>
        </w:rPr>
        <w:t>（1）日降雨量大于㎜的雨日超过天； `</w:t>
      </w:r>
      <w:bookmarkEnd w:id="241"/>
    </w:p>
    <w:p>
      <w:pPr>
        <w:spacing w:line="312" w:lineRule="auto"/>
        <w:ind w:right="248" w:firstLine="480"/>
        <w:rPr>
          <w:rFonts w:ascii="宋体" w:hAnsi="宋体" w:cs="宋体"/>
          <w:sz w:val="24"/>
        </w:rPr>
      </w:pPr>
      <w:bookmarkStart w:id="242" w:name="_Toc221951193"/>
      <w:r>
        <w:rPr>
          <w:rFonts w:hint="eastAsia" w:ascii="宋体" w:hAnsi="宋体" w:cs="宋体"/>
          <w:sz w:val="24"/>
        </w:rPr>
        <w:t>（2）风速大于m/s的级以上台风灾害；</w:t>
      </w:r>
      <w:bookmarkEnd w:id="242"/>
    </w:p>
    <w:p>
      <w:pPr>
        <w:spacing w:line="312" w:lineRule="auto"/>
        <w:ind w:right="248" w:firstLine="480"/>
        <w:rPr>
          <w:rFonts w:ascii="宋体" w:hAnsi="宋体" w:cs="宋体"/>
          <w:sz w:val="24"/>
        </w:rPr>
      </w:pPr>
      <w:bookmarkStart w:id="243" w:name="_Toc221951194"/>
      <w:r>
        <w:rPr>
          <w:rFonts w:hint="eastAsia" w:ascii="宋体" w:hAnsi="宋体" w:cs="宋体"/>
          <w:sz w:val="24"/>
        </w:rPr>
        <w:t>（3）</w:t>
      </w:r>
      <w:bookmarkEnd w:id="243"/>
      <w:r>
        <w:rPr>
          <w:rFonts w:hint="eastAsia" w:ascii="宋体" w:hAnsi="宋体" w:cs="宋体"/>
          <w:sz w:val="24"/>
        </w:rPr>
        <w:t>日气温超过℃的高温大于天；</w:t>
      </w:r>
    </w:p>
    <w:p>
      <w:pPr>
        <w:spacing w:line="312" w:lineRule="auto"/>
        <w:ind w:right="248" w:firstLine="480"/>
        <w:rPr>
          <w:rFonts w:ascii="宋体" w:hAnsi="宋体" w:cs="宋体"/>
          <w:sz w:val="24"/>
        </w:rPr>
      </w:pPr>
      <w:bookmarkStart w:id="244" w:name="_Toc221951195"/>
      <w:r>
        <w:rPr>
          <w:rFonts w:hint="eastAsia" w:ascii="宋体" w:hAnsi="宋体" w:cs="宋体"/>
          <w:sz w:val="24"/>
        </w:rPr>
        <w:t>（4）</w:t>
      </w:r>
      <w:bookmarkEnd w:id="244"/>
      <w:r>
        <w:rPr>
          <w:rFonts w:hint="eastAsia" w:ascii="宋体" w:hAnsi="宋体" w:cs="宋体"/>
          <w:sz w:val="24"/>
        </w:rPr>
        <w:t>日气温低于℃的严寒大于天。</w:t>
      </w:r>
    </w:p>
    <w:p>
      <w:pPr>
        <w:spacing w:line="312" w:lineRule="auto"/>
        <w:ind w:right="248" w:firstLine="480"/>
        <w:rPr>
          <w:rFonts w:ascii="宋体" w:hAnsi="宋体" w:cs="宋体"/>
          <w:sz w:val="24"/>
        </w:rPr>
      </w:pPr>
      <w:bookmarkStart w:id="245" w:name="_Toc221951196"/>
      <w:r>
        <w:rPr>
          <w:rFonts w:hint="eastAsia" w:ascii="宋体" w:hAnsi="宋体" w:cs="宋体"/>
          <w:sz w:val="24"/>
        </w:rPr>
        <w:t>（5）</w:t>
      </w:r>
      <w:bookmarkEnd w:id="245"/>
      <w:r>
        <w:rPr>
          <w:rFonts w:hint="eastAsia" w:ascii="宋体" w:hAnsi="宋体" w:cs="宋体"/>
          <w:sz w:val="24"/>
        </w:rPr>
        <w:t>造成工程损坏的冰雹和大雪灾害：                。</w:t>
      </w:r>
    </w:p>
    <w:p>
      <w:pPr>
        <w:spacing w:line="312" w:lineRule="auto"/>
        <w:ind w:right="248" w:firstLine="480"/>
        <w:rPr>
          <w:rFonts w:ascii="宋体" w:hAnsi="宋体" w:cs="宋体"/>
          <w:sz w:val="24"/>
        </w:rPr>
      </w:pPr>
      <w:bookmarkStart w:id="246" w:name="_Toc221951197"/>
      <w:r>
        <w:rPr>
          <w:rFonts w:hint="eastAsia" w:ascii="宋体" w:hAnsi="宋体" w:cs="宋体"/>
          <w:sz w:val="24"/>
        </w:rPr>
        <w:t>（6）其他异常恶劣气候灾害。</w:t>
      </w:r>
      <w:bookmarkEnd w:id="246"/>
    </w:p>
    <w:p>
      <w:pPr>
        <w:spacing w:line="312" w:lineRule="auto"/>
        <w:rPr>
          <w:rFonts w:ascii="宋体" w:hAnsi="宋体" w:cs="宋体"/>
          <w:sz w:val="24"/>
        </w:rPr>
      </w:pPr>
      <w:bookmarkStart w:id="247" w:name="_Toc221951198"/>
      <w:r>
        <w:rPr>
          <w:rFonts w:hint="eastAsia" w:ascii="宋体" w:hAnsi="宋体" w:cs="宋体"/>
          <w:b/>
          <w:bCs/>
          <w:sz w:val="24"/>
        </w:rPr>
        <w:t>11</w:t>
      </w:r>
      <w:r>
        <w:rPr>
          <w:rFonts w:hint="eastAsia" w:ascii="宋体" w:hAnsi="宋体" w:cs="宋体"/>
          <w:sz w:val="24"/>
        </w:rPr>
        <w:t>.5  承包人工期延误</w:t>
      </w:r>
      <w:bookmarkEnd w:id="247"/>
    </w:p>
    <w:p>
      <w:pPr>
        <w:spacing w:line="312" w:lineRule="auto"/>
        <w:ind w:right="248" w:firstLine="480" w:firstLineChars="200"/>
        <w:rPr>
          <w:rFonts w:ascii="宋体" w:hAnsi="宋体" w:cs="宋体"/>
          <w:bCs/>
          <w:sz w:val="24"/>
        </w:rPr>
      </w:pPr>
      <w:bookmarkStart w:id="248" w:name="_Toc221951200"/>
      <w:r>
        <w:rPr>
          <w:rFonts w:hint="eastAsia" w:ascii="宋体" w:hAnsi="宋体" w:cs="宋体"/>
          <w:bCs/>
          <w:sz w:val="24"/>
        </w:rPr>
        <w:t>（1）逾期竣工违约金表(参考格式)</w:t>
      </w:r>
      <w:bookmarkEnd w:id="248"/>
    </w:p>
    <w:tbl>
      <w:tblPr>
        <w:tblStyle w:val="21"/>
        <w:tblW w:w="92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8"/>
        <w:gridCol w:w="3999"/>
        <w:gridCol w:w="2172"/>
        <w:gridCol w:w="217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918" w:type="dxa"/>
            <w:vAlign w:val="center"/>
          </w:tcPr>
          <w:p>
            <w:pPr>
              <w:spacing w:line="312" w:lineRule="auto"/>
              <w:ind w:right="-3"/>
              <w:jc w:val="center"/>
              <w:rPr>
                <w:rFonts w:ascii="宋体" w:hAnsi="宋体" w:cs="宋体"/>
                <w:sz w:val="24"/>
              </w:rPr>
            </w:pPr>
            <w:bookmarkStart w:id="249" w:name="_Toc221951201"/>
            <w:r>
              <w:rPr>
                <w:rFonts w:hint="eastAsia" w:ascii="宋体" w:hAnsi="宋体" w:cs="宋体"/>
                <w:sz w:val="24"/>
              </w:rPr>
              <w:t>序号</w:t>
            </w:r>
            <w:bookmarkEnd w:id="249"/>
          </w:p>
        </w:tc>
        <w:tc>
          <w:tcPr>
            <w:tcW w:w="3999" w:type="dxa"/>
            <w:vAlign w:val="center"/>
          </w:tcPr>
          <w:p>
            <w:pPr>
              <w:spacing w:line="312" w:lineRule="auto"/>
              <w:ind w:right="3"/>
              <w:jc w:val="center"/>
              <w:rPr>
                <w:rFonts w:ascii="宋体" w:hAnsi="宋体" w:cs="宋体"/>
                <w:sz w:val="24"/>
              </w:rPr>
            </w:pPr>
            <w:bookmarkStart w:id="250" w:name="_Toc221951202"/>
            <w:r>
              <w:rPr>
                <w:rFonts w:hint="eastAsia" w:ascii="宋体" w:hAnsi="宋体" w:cs="宋体"/>
                <w:sz w:val="24"/>
              </w:rPr>
              <w:t>项目及其说明</w:t>
            </w:r>
            <w:bookmarkEnd w:id="250"/>
          </w:p>
        </w:tc>
        <w:tc>
          <w:tcPr>
            <w:tcW w:w="2172" w:type="dxa"/>
            <w:vAlign w:val="center"/>
          </w:tcPr>
          <w:p>
            <w:pPr>
              <w:spacing w:line="312" w:lineRule="auto"/>
              <w:ind w:right="9"/>
              <w:jc w:val="center"/>
              <w:rPr>
                <w:rFonts w:ascii="宋体" w:hAnsi="宋体" w:cs="宋体"/>
                <w:sz w:val="24"/>
              </w:rPr>
            </w:pPr>
            <w:bookmarkStart w:id="251" w:name="_Toc221951203"/>
            <w:r>
              <w:rPr>
                <w:rFonts w:hint="eastAsia" w:ascii="宋体" w:hAnsi="宋体" w:cs="宋体"/>
                <w:sz w:val="24"/>
              </w:rPr>
              <w:t>要求竣工日期</w:t>
            </w:r>
            <w:bookmarkEnd w:id="251"/>
          </w:p>
        </w:tc>
        <w:tc>
          <w:tcPr>
            <w:tcW w:w="2171" w:type="dxa"/>
          </w:tcPr>
          <w:p>
            <w:pPr>
              <w:spacing w:line="312" w:lineRule="auto"/>
              <w:ind w:right="9"/>
              <w:jc w:val="center"/>
              <w:rPr>
                <w:rFonts w:ascii="宋体" w:hAnsi="宋体" w:cs="宋体"/>
                <w:sz w:val="24"/>
              </w:rPr>
            </w:pPr>
            <w:bookmarkStart w:id="252" w:name="_Toc221951204"/>
            <w:r>
              <w:rPr>
                <w:rFonts w:hint="eastAsia" w:ascii="宋体" w:hAnsi="宋体" w:cs="宋体"/>
                <w:sz w:val="24"/>
              </w:rPr>
              <w:t>违约金(元/天)</w:t>
            </w:r>
            <w:bookmarkEnd w:id="252"/>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39" w:hRule="atLeast"/>
        </w:trPr>
        <w:tc>
          <w:tcPr>
            <w:tcW w:w="918" w:type="dxa"/>
            <w:vAlign w:val="center"/>
          </w:tcPr>
          <w:p>
            <w:pPr>
              <w:spacing w:line="312" w:lineRule="auto"/>
              <w:ind w:right="248"/>
              <w:jc w:val="center"/>
              <w:rPr>
                <w:rFonts w:ascii="宋体" w:hAnsi="宋体" w:cs="宋体"/>
                <w:sz w:val="24"/>
              </w:rPr>
            </w:pPr>
          </w:p>
        </w:tc>
        <w:tc>
          <w:tcPr>
            <w:tcW w:w="3999" w:type="dxa"/>
            <w:vAlign w:val="center"/>
          </w:tcPr>
          <w:p>
            <w:pPr>
              <w:spacing w:line="312" w:lineRule="auto"/>
              <w:ind w:right="248"/>
              <w:jc w:val="center"/>
              <w:rPr>
                <w:rFonts w:ascii="宋体" w:hAnsi="宋体" w:cs="宋体"/>
                <w:sz w:val="24"/>
              </w:rPr>
            </w:pPr>
          </w:p>
        </w:tc>
        <w:tc>
          <w:tcPr>
            <w:tcW w:w="2172" w:type="dxa"/>
            <w:vAlign w:val="center"/>
          </w:tcPr>
          <w:p>
            <w:pPr>
              <w:spacing w:line="312" w:lineRule="auto"/>
              <w:ind w:right="248"/>
              <w:jc w:val="center"/>
              <w:rPr>
                <w:rFonts w:ascii="宋体" w:hAnsi="宋体" w:cs="宋体"/>
                <w:sz w:val="24"/>
              </w:rPr>
            </w:pPr>
          </w:p>
        </w:tc>
        <w:tc>
          <w:tcPr>
            <w:tcW w:w="2171" w:type="dxa"/>
          </w:tcPr>
          <w:p>
            <w:pPr>
              <w:spacing w:line="312" w:lineRule="auto"/>
              <w:ind w:right="248"/>
              <w:jc w:val="center"/>
              <w:rPr>
                <w:rFonts w:ascii="宋体" w:hAnsi="宋体" w:cs="宋体"/>
                <w:sz w:val="24"/>
              </w:rPr>
            </w:pPr>
          </w:p>
        </w:tc>
      </w:tr>
    </w:tbl>
    <w:p>
      <w:pPr>
        <w:spacing w:line="312" w:lineRule="auto"/>
        <w:ind w:right="248" w:firstLine="480" w:firstLineChars="200"/>
        <w:rPr>
          <w:rFonts w:ascii="宋体" w:hAnsi="宋体" w:cs="宋体"/>
          <w:sz w:val="24"/>
        </w:rPr>
      </w:pPr>
      <w:bookmarkStart w:id="253" w:name="_Toc221951205"/>
      <w:r>
        <w:rPr>
          <w:rFonts w:hint="eastAsia" w:ascii="宋体" w:hAnsi="宋体" w:cs="宋体"/>
          <w:sz w:val="24"/>
        </w:rPr>
        <w:t>（2）全部逾期竣工违约金的总限额为</w:t>
      </w:r>
      <w:r>
        <w:rPr>
          <w:rFonts w:hint="eastAsia" w:ascii="宋体" w:hAnsi="宋体" w:cs="宋体"/>
          <w:sz w:val="24"/>
          <w:u w:val="single"/>
        </w:rPr>
        <w:t xml:space="preserve">  （不超过合同总价的  %） </w:t>
      </w:r>
      <w:r>
        <w:rPr>
          <w:rFonts w:hint="eastAsia" w:ascii="宋体" w:hAnsi="宋体" w:cs="宋体"/>
          <w:sz w:val="24"/>
        </w:rPr>
        <w:t>。</w:t>
      </w:r>
      <w:bookmarkEnd w:id="253"/>
    </w:p>
    <w:p>
      <w:pPr>
        <w:spacing w:line="312" w:lineRule="auto"/>
        <w:rPr>
          <w:rFonts w:ascii="宋体" w:hAnsi="宋体" w:cs="宋体"/>
          <w:sz w:val="24"/>
        </w:rPr>
      </w:pPr>
      <w:r>
        <w:rPr>
          <w:rFonts w:hint="eastAsia" w:ascii="宋体" w:hAnsi="宋体" w:cs="宋体"/>
          <w:b/>
          <w:bCs/>
          <w:sz w:val="24"/>
        </w:rPr>
        <w:t>11</w:t>
      </w:r>
      <w:r>
        <w:rPr>
          <w:rFonts w:hint="eastAsia" w:ascii="宋体" w:hAnsi="宋体" w:cs="宋体"/>
          <w:sz w:val="24"/>
        </w:rPr>
        <w:t>.6 工期提前</w:t>
      </w:r>
    </w:p>
    <w:p>
      <w:pPr>
        <w:spacing w:line="312" w:lineRule="auto"/>
        <w:ind w:right="248" w:firstLine="480"/>
        <w:rPr>
          <w:rFonts w:ascii="宋体" w:hAnsi="宋体" w:cs="宋体"/>
          <w:sz w:val="24"/>
        </w:rPr>
      </w:pPr>
      <w:r>
        <w:rPr>
          <w:rFonts w:hint="eastAsia" w:ascii="宋体" w:hAnsi="宋体" w:cs="宋体"/>
          <w:sz w:val="24"/>
        </w:rPr>
        <w:t>工期提前的奖金约定：。</w:t>
      </w:r>
    </w:p>
    <w:p>
      <w:pPr>
        <w:spacing w:line="312" w:lineRule="auto"/>
        <w:rPr>
          <w:rFonts w:ascii="宋体" w:hAnsi="宋体" w:cs="宋体"/>
          <w:b/>
          <w:sz w:val="24"/>
        </w:rPr>
      </w:pPr>
      <w:bookmarkStart w:id="254" w:name="_Toc221951206"/>
      <w:bookmarkStart w:id="255" w:name="_Toc222032706"/>
      <w:bookmarkStart w:id="256" w:name="_Toc222033888"/>
      <w:bookmarkStart w:id="257" w:name="_Toc222029537"/>
      <w:bookmarkStart w:id="258" w:name="_Toc222031039"/>
      <w:bookmarkStart w:id="259" w:name="_Toc229305395"/>
      <w:r>
        <w:rPr>
          <w:rFonts w:hint="eastAsia" w:ascii="宋体" w:hAnsi="宋体" w:cs="宋体"/>
          <w:b/>
          <w:sz w:val="24"/>
        </w:rPr>
        <w:t>12  暂停施工</w:t>
      </w:r>
      <w:bookmarkEnd w:id="254"/>
      <w:bookmarkEnd w:id="255"/>
      <w:bookmarkEnd w:id="256"/>
      <w:bookmarkEnd w:id="257"/>
      <w:bookmarkEnd w:id="258"/>
      <w:bookmarkEnd w:id="259"/>
    </w:p>
    <w:p>
      <w:pPr>
        <w:spacing w:line="312" w:lineRule="auto"/>
        <w:rPr>
          <w:rFonts w:ascii="宋体" w:hAnsi="宋体" w:cs="宋体"/>
          <w:b/>
          <w:bCs/>
          <w:sz w:val="24"/>
        </w:rPr>
      </w:pPr>
      <w:bookmarkStart w:id="260" w:name="_Toc221951207"/>
      <w:r>
        <w:rPr>
          <w:rFonts w:hint="eastAsia" w:ascii="宋体" w:hAnsi="宋体" w:cs="宋体"/>
          <w:b/>
          <w:bCs/>
          <w:sz w:val="24"/>
        </w:rPr>
        <w:t>12.1  承包人暂停施工的责任</w:t>
      </w:r>
      <w:bookmarkEnd w:id="260"/>
    </w:p>
    <w:p>
      <w:pPr>
        <w:spacing w:line="312" w:lineRule="auto"/>
        <w:ind w:right="248" w:firstLine="480"/>
        <w:rPr>
          <w:rFonts w:ascii="宋体" w:hAnsi="宋体" w:cs="宋体"/>
          <w:sz w:val="24"/>
        </w:rPr>
      </w:pPr>
      <w:bookmarkStart w:id="261" w:name="_Toc221951209"/>
      <w:r>
        <w:rPr>
          <w:rFonts w:hint="eastAsia" w:ascii="宋体" w:hAnsi="宋体" w:cs="宋体"/>
          <w:sz w:val="24"/>
        </w:rPr>
        <w:t xml:space="preserve"> (5) 承包人承担的其他暂停施工责任的其它情形：。</w:t>
      </w:r>
      <w:bookmarkEnd w:id="261"/>
    </w:p>
    <w:p>
      <w:pPr>
        <w:spacing w:line="312" w:lineRule="auto"/>
        <w:rPr>
          <w:rFonts w:ascii="宋体" w:hAnsi="宋体" w:cs="宋体"/>
          <w:b/>
          <w:bCs/>
          <w:sz w:val="24"/>
        </w:rPr>
      </w:pPr>
      <w:r>
        <w:rPr>
          <w:rFonts w:hint="eastAsia" w:ascii="宋体" w:hAnsi="宋体" w:cs="宋体"/>
          <w:b/>
          <w:bCs/>
          <w:sz w:val="24"/>
        </w:rPr>
        <w:t xml:space="preserve">12.2  发包人暂停施工的责任   </w:t>
      </w:r>
    </w:p>
    <w:p>
      <w:pPr>
        <w:spacing w:line="312" w:lineRule="auto"/>
        <w:rPr>
          <w:rFonts w:ascii="宋体" w:hAnsi="宋体" w:cs="宋体"/>
          <w:sz w:val="24"/>
        </w:rPr>
      </w:pPr>
      <w:r>
        <w:rPr>
          <w:rFonts w:hint="eastAsia" w:ascii="宋体" w:hAnsi="宋体" w:cs="宋体"/>
          <w:sz w:val="24"/>
        </w:rPr>
        <w:t xml:space="preserve">      (3) 发包人承担的其他暂停施工责任的其它情形：。</w:t>
      </w:r>
    </w:p>
    <w:p>
      <w:pPr>
        <w:spacing w:line="312" w:lineRule="auto"/>
        <w:rPr>
          <w:rFonts w:ascii="宋体" w:hAnsi="宋体" w:cs="宋体"/>
          <w:b/>
          <w:sz w:val="24"/>
        </w:rPr>
      </w:pPr>
      <w:r>
        <w:rPr>
          <w:rFonts w:hint="eastAsia" w:ascii="宋体" w:hAnsi="宋体" w:cs="宋体"/>
          <w:b/>
          <w:sz w:val="24"/>
        </w:rPr>
        <w:t>13 工程质量</w:t>
      </w:r>
    </w:p>
    <w:p>
      <w:pPr>
        <w:spacing w:line="312" w:lineRule="auto"/>
        <w:rPr>
          <w:rFonts w:ascii="宋体" w:hAnsi="宋体" w:cs="宋体"/>
          <w:b/>
          <w:bCs/>
          <w:sz w:val="24"/>
        </w:rPr>
      </w:pPr>
      <w:r>
        <w:rPr>
          <w:rFonts w:hint="eastAsia" w:ascii="宋体" w:hAnsi="宋体" w:cs="宋体"/>
          <w:b/>
          <w:bCs/>
          <w:sz w:val="24"/>
        </w:rPr>
        <w:t>13.7 质量评定</w:t>
      </w:r>
    </w:p>
    <w:p>
      <w:pPr>
        <w:spacing w:line="312" w:lineRule="auto"/>
        <w:rPr>
          <w:rFonts w:ascii="宋体" w:hAnsi="宋体" w:cs="宋体"/>
          <w:sz w:val="24"/>
          <w:u w:val="single"/>
        </w:rPr>
      </w:pPr>
      <w:r>
        <w:rPr>
          <w:rFonts w:hint="eastAsia" w:ascii="宋体" w:hAnsi="宋体" w:cs="宋体"/>
          <w:sz w:val="24"/>
        </w:rPr>
        <w:t>13.7.4 重要隐蔽单元工程和关键部位单元工程质量评定的约定：。</w:t>
      </w:r>
    </w:p>
    <w:p>
      <w:pPr>
        <w:spacing w:line="312" w:lineRule="auto"/>
        <w:rPr>
          <w:rFonts w:ascii="宋体" w:hAnsi="宋体" w:cs="宋体"/>
          <w:sz w:val="24"/>
          <w:u w:val="single"/>
        </w:rPr>
      </w:pPr>
      <w:r>
        <w:rPr>
          <w:rFonts w:hint="eastAsia" w:ascii="宋体" w:hAnsi="宋体" w:cs="宋体"/>
          <w:sz w:val="24"/>
        </w:rPr>
        <w:t>13.7.7 工程合格标准为：；优良标准为：。达到优良的奖金为：。</w:t>
      </w:r>
    </w:p>
    <w:p>
      <w:pPr>
        <w:spacing w:line="312" w:lineRule="auto"/>
        <w:rPr>
          <w:rFonts w:ascii="宋体" w:hAnsi="宋体" w:cs="宋体"/>
          <w:b/>
          <w:bCs/>
          <w:sz w:val="24"/>
        </w:rPr>
      </w:pPr>
      <w:r>
        <w:rPr>
          <w:rFonts w:hint="eastAsia" w:ascii="宋体" w:hAnsi="宋体" w:cs="宋体"/>
          <w:b/>
          <w:bCs/>
          <w:sz w:val="24"/>
        </w:rPr>
        <w:t>13.8 质量事故处理</w:t>
      </w:r>
    </w:p>
    <w:p>
      <w:pPr>
        <w:spacing w:line="312" w:lineRule="auto"/>
        <w:rPr>
          <w:rFonts w:ascii="宋体" w:hAnsi="宋体" w:cs="宋体"/>
          <w:sz w:val="24"/>
        </w:rPr>
      </w:pPr>
      <w:r>
        <w:rPr>
          <w:rFonts w:hint="eastAsia" w:ascii="宋体" w:hAnsi="宋体" w:cs="宋体"/>
          <w:sz w:val="24"/>
        </w:rPr>
        <w:t>13.8.4 工程竣工验收时，向竣工验收委员会汇报并提交历次质量缺陷处理的备案资料。</w:t>
      </w:r>
    </w:p>
    <w:p>
      <w:pPr>
        <w:spacing w:line="312" w:lineRule="auto"/>
        <w:rPr>
          <w:rFonts w:ascii="宋体" w:hAnsi="宋体" w:cs="宋体"/>
          <w:b/>
          <w:sz w:val="24"/>
        </w:rPr>
      </w:pPr>
      <w:r>
        <w:rPr>
          <w:rFonts w:hint="eastAsia" w:ascii="宋体" w:hAnsi="宋体" w:cs="宋体"/>
          <w:b/>
          <w:sz w:val="24"/>
        </w:rPr>
        <w:t>14. 试验和检验</w:t>
      </w:r>
    </w:p>
    <w:p>
      <w:pPr>
        <w:spacing w:line="312" w:lineRule="auto"/>
        <w:rPr>
          <w:rFonts w:ascii="宋体" w:hAnsi="宋体" w:cs="宋体"/>
          <w:b/>
          <w:bCs/>
          <w:sz w:val="24"/>
        </w:rPr>
      </w:pPr>
      <w:r>
        <w:rPr>
          <w:rFonts w:hint="eastAsia" w:ascii="宋体" w:hAnsi="宋体" w:cs="宋体"/>
          <w:b/>
          <w:bCs/>
          <w:sz w:val="24"/>
        </w:rPr>
        <w:t>14.1材料、工程设备和工程的试验和检验</w:t>
      </w:r>
    </w:p>
    <w:p>
      <w:pPr>
        <w:spacing w:line="312" w:lineRule="auto"/>
        <w:rPr>
          <w:rFonts w:ascii="宋体" w:hAnsi="宋体" w:cs="宋体"/>
          <w:sz w:val="24"/>
          <w:u w:val="single"/>
        </w:rPr>
      </w:pPr>
      <w:r>
        <w:rPr>
          <w:rFonts w:hint="eastAsia" w:ascii="宋体" w:hAnsi="宋体" w:cs="宋体"/>
          <w:sz w:val="24"/>
        </w:rPr>
        <w:t>14.1.5 水工金属结构、启闭机及机电产品进场后的交货检查和验收中，承包人负责。</w:t>
      </w:r>
    </w:p>
    <w:p>
      <w:pPr>
        <w:spacing w:line="312" w:lineRule="auto"/>
        <w:rPr>
          <w:rFonts w:ascii="宋体" w:hAnsi="宋体" w:cs="宋体"/>
          <w:sz w:val="24"/>
        </w:rPr>
      </w:pPr>
      <w:r>
        <w:rPr>
          <w:rFonts w:hint="eastAsia" w:ascii="宋体" w:hAnsi="宋体" w:cs="宋体"/>
          <w:sz w:val="24"/>
        </w:rPr>
        <w:t>14.1.6 本工程实行见证取样的试块、试件及有关材料：。</w:t>
      </w:r>
    </w:p>
    <w:p>
      <w:pPr>
        <w:spacing w:line="312" w:lineRule="auto"/>
        <w:rPr>
          <w:rFonts w:ascii="宋体" w:hAnsi="宋体" w:cs="宋体"/>
          <w:b/>
          <w:sz w:val="24"/>
        </w:rPr>
      </w:pPr>
      <w:bookmarkStart w:id="262" w:name="_Toc222029539"/>
      <w:bookmarkStart w:id="263" w:name="_Toc222031041"/>
      <w:bookmarkStart w:id="264" w:name="_Toc222032708"/>
      <w:bookmarkStart w:id="265" w:name="_Toc229305396"/>
      <w:bookmarkStart w:id="266" w:name="_Toc222033890"/>
      <w:bookmarkStart w:id="267" w:name="_Toc221951213"/>
      <w:r>
        <w:rPr>
          <w:rFonts w:hint="eastAsia" w:ascii="宋体" w:hAnsi="宋体" w:cs="宋体"/>
          <w:b/>
          <w:sz w:val="24"/>
        </w:rPr>
        <w:t>15  变更</w:t>
      </w:r>
      <w:bookmarkEnd w:id="262"/>
      <w:bookmarkEnd w:id="263"/>
      <w:bookmarkEnd w:id="264"/>
      <w:bookmarkEnd w:id="265"/>
      <w:bookmarkEnd w:id="266"/>
      <w:bookmarkEnd w:id="267"/>
    </w:p>
    <w:p>
      <w:pPr>
        <w:spacing w:line="312" w:lineRule="auto"/>
        <w:rPr>
          <w:rFonts w:ascii="宋体" w:hAnsi="宋体" w:cs="宋体"/>
          <w:b/>
          <w:bCs/>
          <w:sz w:val="24"/>
        </w:rPr>
      </w:pPr>
      <w:bookmarkStart w:id="268" w:name="_Toc221951214"/>
      <w:r>
        <w:rPr>
          <w:rFonts w:hint="eastAsia" w:ascii="宋体" w:hAnsi="宋体" w:cs="宋体"/>
          <w:b/>
          <w:bCs/>
          <w:sz w:val="24"/>
        </w:rPr>
        <w:t>15.1  变更的范围和内容</w:t>
      </w:r>
      <w:bookmarkEnd w:id="268"/>
    </w:p>
    <w:p>
      <w:pPr>
        <w:spacing w:line="312" w:lineRule="auto"/>
        <w:ind w:right="248" w:firstLine="480"/>
        <w:rPr>
          <w:rFonts w:ascii="宋体" w:hAnsi="宋体" w:cs="宋体"/>
          <w:sz w:val="24"/>
        </w:rPr>
      </w:pPr>
      <w:bookmarkStart w:id="269" w:name="_Toc221951216"/>
      <w:r>
        <w:rPr>
          <w:rFonts w:hint="eastAsia" w:ascii="宋体" w:hAnsi="宋体" w:cs="宋体"/>
          <w:sz w:val="24"/>
        </w:rPr>
        <w:t>（6）增加或减少合同中关键项目的工程量超过其项目工程总量的％。</w:t>
      </w:r>
      <w:bookmarkEnd w:id="269"/>
      <w:r>
        <w:rPr>
          <w:rFonts w:hint="eastAsia" w:ascii="宋体" w:hAnsi="宋体" w:cs="宋体"/>
          <w:sz w:val="24"/>
        </w:rPr>
        <w:t>关键项目：，单价调整方式：。</w:t>
      </w:r>
    </w:p>
    <w:p>
      <w:pPr>
        <w:spacing w:line="312" w:lineRule="auto"/>
        <w:rPr>
          <w:rFonts w:ascii="宋体" w:hAnsi="宋体" w:cs="宋体"/>
          <w:b/>
          <w:bCs/>
          <w:sz w:val="24"/>
        </w:rPr>
      </w:pPr>
      <w:bookmarkStart w:id="270" w:name="_Toc221951218"/>
      <w:r>
        <w:rPr>
          <w:rFonts w:hint="eastAsia" w:ascii="宋体" w:hAnsi="宋体" w:cs="宋体"/>
          <w:b/>
          <w:bCs/>
          <w:sz w:val="24"/>
        </w:rPr>
        <w:t>15.5承包人的合理化建议</w:t>
      </w:r>
    </w:p>
    <w:p>
      <w:pPr>
        <w:spacing w:line="312" w:lineRule="auto"/>
        <w:ind w:firstLine="420"/>
        <w:rPr>
          <w:rFonts w:ascii="宋体" w:hAnsi="宋体" w:cs="宋体"/>
          <w:sz w:val="24"/>
        </w:rPr>
      </w:pPr>
      <w:r>
        <w:rPr>
          <w:rFonts w:hint="eastAsia" w:ascii="宋体" w:hAnsi="宋体" w:cs="宋体"/>
          <w:sz w:val="24"/>
        </w:rPr>
        <w:t xml:space="preserve">15.5.2 </w:t>
      </w:r>
      <w:bookmarkEnd w:id="270"/>
      <w:bookmarkStart w:id="271" w:name="_Toc221951219"/>
      <w:r>
        <w:rPr>
          <w:rFonts w:hint="eastAsia" w:ascii="宋体" w:hAnsi="宋体" w:cs="宋体"/>
          <w:sz w:val="24"/>
        </w:rPr>
        <w:t>承包人实现合理化建议的奖励金额为：</w:t>
      </w:r>
      <w:r>
        <w:rPr>
          <w:rFonts w:hint="eastAsia" w:ascii="宋体" w:hAnsi="宋体" w:cs="宋体"/>
          <w:sz w:val="24"/>
          <w:u w:val="single"/>
        </w:rPr>
        <w:t xml:space="preserve">  （填写奖励额度</w:t>
      </w:r>
      <w:bookmarkEnd w:id="271"/>
      <w:bookmarkStart w:id="272" w:name="_Toc221951220"/>
      <w:r>
        <w:rPr>
          <w:rFonts w:hint="eastAsia" w:ascii="宋体" w:hAnsi="宋体" w:cs="宋体"/>
          <w:sz w:val="24"/>
          <w:u w:val="single"/>
        </w:rPr>
        <w:t>）</w:t>
      </w:r>
      <w:r>
        <w:rPr>
          <w:rFonts w:hint="eastAsia" w:ascii="宋体" w:hAnsi="宋体" w:cs="宋体"/>
          <w:sz w:val="24"/>
        </w:rPr>
        <w:t>。</w:t>
      </w:r>
      <w:bookmarkEnd w:id="272"/>
    </w:p>
    <w:p>
      <w:pPr>
        <w:spacing w:line="312" w:lineRule="auto"/>
        <w:rPr>
          <w:rFonts w:ascii="宋体" w:hAnsi="宋体" w:cs="宋体"/>
          <w:b/>
          <w:bCs/>
          <w:sz w:val="24"/>
        </w:rPr>
      </w:pPr>
      <w:bookmarkStart w:id="273" w:name="_Toc221951221"/>
      <w:r>
        <w:rPr>
          <w:rFonts w:hint="eastAsia" w:ascii="宋体" w:hAnsi="宋体" w:cs="宋体"/>
          <w:b/>
          <w:bCs/>
          <w:sz w:val="24"/>
        </w:rPr>
        <w:t>15.8  暂估价</w:t>
      </w:r>
      <w:bookmarkEnd w:id="273"/>
    </w:p>
    <w:p>
      <w:pPr>
        <w:spacing w:line="312" w:lineRule="auto"/>
        <w:rPr>
          <w:rFonts w:ascii="宋体" w:hAnsi="宋体" w:cs="宋体"/>
          <w:sz w:val="24"/>
        </w:rPr>
      </w:pPr>
      <w:r>
        <w:rPr>
          <w:rFonts w:hint="eastAsia" w:ascii="宋体" w:hAnsi="宋体" w:cs="宋体"/>
          <w:sz w:val="24"/>
        </w:rPr>
        <w:t xml:space="preserve">    15.8.1 (l）发包人和承包人组织招标的暂估价项目：</w:t>
      </w:r>
      <w:r>
        <w:rPr>
          <w:rFonts w:hint="eastAsia" w:ascii="宋体" w:hAnsi="宋体" w:cs="宋体"/>
          <w:sz w:val="24"/>
          <w:u w:val="single"/>
        </w:rPr>
        <w:t xml:space="preserve">    （签约后填入）  </w:t>
      </w:r>
      <w:r>
        <w:rPr>
          <w:rFonts w:hint="eastAsia" w:ascii="宋体" w:hAnsi="宋体" w:cs="宋体"/>
          <w:sz w:val="24"/>
        </w:rPr>
        <w:t>；发包人组织招标的暂估价项目：</w:t>
      </w:r>
      <w:r>
        <w:rPr>
          <w:rFonts w:hint="eastAsia" w:ascii="宋体" w:hAnsi="宋体" w:cs="宋体"/>
          <w:sz w:val="24"/>
          <w:u w:val="single"/>
        </w:rPr>
        <w:t xml:space="preserve">   （签约后填入）    </w:t>
      </w:r>
      <w:r>
        <w:rPr>
          <w:rFonts w:hint="eastAsia" w:ascii="宋体" w:hAnsi="宋体" w:cs="宋体"/>
          <w:sz w:val="24"/>
        </w:rPr>
        <w:t>。</w:t>
      </w:r>
    </w:p>
    <w:p>
      <w:pPr>
        <w:spacing w:line="312" w:lineRule="auto"/>
        <w:ind w:firstLine="720" w:firstLineChars="300"/>
        <w:rPr>
          <w:rFonts w:ascii="宋体" w:hAnsi="宋体" w:cs="宋体"/>
          <w:sz w:val="24"/>
        </w:rPr>
      </w:pPr>
      <w:r>
        <w:rPr>
          <w:rFonts w:hint="eastAsia" w:ascii="宋体" w:hAnsi="宋体" w:cs="宋体"/>
          <w:sz w:val="24"/>
        </w:rPr>
        <w:t xml:space="preserve">    （2）发包人和承包人以招标方式选择暂估价项目供应商或分包人时，双方的权利义务关系：。</w:t>
      </w:r>
    </w:p>
    <w:p>
      <w:pPr>
        <w:spacing w:line="312" w:lineRule="auto"/>
        <w:rPr>
          <w:rFonts w:ascii="宋体" w:hAnsi="宋体" w:cs="宋体"/>
          <w:b/>
          <w:sz w:val="24"/>
        </w:rPr>
      </w:pPr>
      <w:bookmarkStart w:id="274" w:name="_Toc229305397"/>
      <w:r>
        <w:rPr>
          <w:rFonts w:hint="eastAsia" w:ascii="宋体" w:hAnsi="宋体" w:cs="宋体"/>
          <w:b/>
          <w:sz w:val="24"/>
        </w:rPr>
        <w:t>16 价格调整</w:t>
      </w:r>
      <w:bookmarkEnd w:id="274"/>
    </w:p>
    <w:p>
      <w:pPr>
        <w:spacing w:line="312" w:lineRule="auto"/>
        <w:rPr>
          <w:rFonts w:ascii="宋体" w:hAnsi="宋体" w:cs="宋体"/>
          <w:b/>
          <w:bCs/>
          <w:sz w:val="24"/>
        </w:rPr>
      </w:pPr>
      <w:r>
        <w:rPr>
          <w:rFonts w:hint="eastAsia" w:ascii="宋体" w:hAnsi="宋体" w:cs="宋体"/>
          <w:b/>
          <w:bCs/>
          <w:sz w:val="24"/>
        </w:rPr>
        <w:t>16.1 物价波动引起的价格调整</w:t>
      </w:r>
    </w:p>
    <w:p>
      <w:pPr>
        <w:spacing w:line="312" w:lineRule="auto"/>
        <w:rPr>
          <w:rFonts w:ascii="宋体" w:hAnsi="宋体" w:cs="宋体"/>
          <w:sz w:val="24"/>
        </w:rPr>
      </w:pPr>
      <w:bookmarkStart w:id="275" w:name="_Toc222033891"/>
      <w:bookmarkStart w:id="276" w:name="_Toc221951223"/>
      <w:bookmarkStart w:id="277" w:name="_Toc229305398"/>
      <w:bookmarkStart w:id="278" w:name="_Toc222029540"/>
      <w:bookmarkStart w:id="279" w:name="_Toc222032709"/>
      <w:bookmarkStart w:id="280" w:name="_Toc222031042"/>
      <w:r>
        <w:rPr>
          <w:rFonts w:hint="eastAsia" w:ascii="宋体" w:hAnsi="宋体" w:cs="宋体"/>
          <w:sz w:val="24"/>
        </w:rPr>
        <w:t xml:space="preserve">   16.1.1物价波动引起的价格调整方式：。</w:t>
      </w:r>
    </w:p>
    <w:p>
      <w:pPr>
        <w:spacing w:line="312" w:lineRule="auto"/>
        <w:rPr>
          <w:rFonts w:ascii="宋体" w:hAnsi="宋体" w:cs="宋体"/>
          <w:sz w:val="24"/>
        </w:rPr>
      </w:pPr>
      <w:r>
        <w:rPr>
          <w:rFonts w:hint="eastAsia" w:ascii="宋体" w:hAnsi="宋体" w:cs="宋体"/>
          <w:sz w:val="24"/>
        </w:rPr>
        <w:t xml:space="preserve">   16.1.2采用造价信息调整价格差额。        </w:t>
      </w:r>
    </w:p>
    <w:p>
      <w:pPr>
        <w:spacing w:line="312" w:lineRule="auto"/>
        <w:rPr>
          <w:rFonts w:ascii="宋体" w:hAnsi="宋体" w:cs="宋体"/>
          <w:sz w:val="24"/>
        </w:rPr>
      </w:pPr>
      <w:r>
        <w:rPr>
          <w:rFonts w:hint="eastAsia" w:ascii="宋体" w:hAnsi="宋体" w:cs="宋体"/>
          <w:sz w:val="24"/>
        </w:rPr>
        <w:t xml:space="preserve">         工程造价信息及其来源： 。</w:t>
      </w:r>
    </w:p>
    <w:p>
      <w:pPr>
        <w:spacing w:line="312" w:lineRule="auto"/>
        <w:rPr>
          <w:rFonts w:ascii="宋体" w:hAnsi="宋体" w:cs="宋体"/>
          <w:sz w:val="24"/>
        </w:rPr>
      </w:pPr>
      <w:r>
        <w:rPr>
          <w:rFonts w:hint="eastAsia" w:ascii="宋体" w:hAnsi="宋体" w:cs="宋体"/>
          <w:sz w:val="24"/>
        </w:rPr>
        <w:t xml:space="preserve">         价格调整的项目和系数： 。</w:t>
      </w:r>
    </w:p>
    <w:p>
      <w:pPr>
        <w:spacing w:line="312" w:lineRule="auto"/>
        <w:rPr>
          <w:rFonts w:ascii="宋体" w:hAnsi="宋体" w:cs="宋体"/>
          <w:b/>
          <w:sz w:val="24"/>
        </w:rPr>
      </w:pPr>
      <w:r>
        <w:rPr>
          <w:rFonts w:hint="eastAsia" w:ascii="宋体" w:hAnsi="宋体" w:cs="宋体"/>
          <w:b/>
          <w:sz w:val="24"/>
        </w:rPr>
        <w:t>17  计量与支付</w:t>
      </w:r>
      <w:bookmarkEnd w:id="275"/>
      <w:bookmarkEnd w:id="276"/>
      <w:bookmarkEnd w:id="277"/>
      <w:bookmarkEnd w:id="278"/>
      <w:bookmarkEnd w:id="279"/>
      <w:bookmarkEnd w:id="280"/>
    </w:p>
    <w:p>
      <w:pPr>
        <w:spacing w:line="312" w:lineRule="auto"/>
        <w:rPr>
          <w:rFonts w:ascii="宋体" w:hAnsi="宋体" w:cs="宋体"/>
          <w:b/>
          <w:bCs/>
          <w:sz w:val="24"/>
        </w:rPr>
      </w:pPr>
      <w:bookmarkStart w:id="281" w:name="_Toc221951224"/>
      <w:r>
        <w:rPr>
          <w:rFonts w:hint="eastAsia" w:ascii="宋体" w:hAnsi="宋体" w:cs="宋体"/>
          <w:b/>
          <w:bCs/>
          <w:sz w:val="24"/>
        </w:rPr>
        <w:t>17.2  预付款</w:t>
      </w:r>
      <w:bookmarkEnd w:id="281"/>
    </w:p>
    <w:p>
      <w:pPr>
        <w:spacing w:line="312" w:lineRule="auto"/>
        <w:ind w:right="248" w:firstLine="480"/>
        <w:rPr>
          <w:rFonts w:ascii="宋体" w:hAnsi="宋体" w:cs="宋体"/>
          <w:sz w:val="24"/>
        </w:rPr>
      </w:pPr>
      <w:bookmarkStart w:id="282" w:name="_Toc221951226"/>
      <w:r>
        <w:rPr>
          <w:rFonts w:hint="eastAsia" w:ascii="宋体" w:hAnsi="宋体" w:cs="宋体"/>
          <w:sz w:val="24"/>
        </w:rPr>
        <w:t>17.2.1预付款</w:t>
      </w:r>
      <w:bookmarkEnd w:id="282"/>
      <w:r>
        <w:rPr>
          <w:rFonts w:hint="eastAsia" w:ascii="宋体" w:hAnsi="宋体" w:cs="宋体"/>
          <w:sz w:val="24"/>
        </w:rPr>
        <w:t xml:space="preserve"> ：</w:t>
      </w:r>
    </w:p>
    <w:p>
      <w:pPr>
        <w:spacing w:line="312" w:lineRule="auto"/>
        <w:ind w:right="248" w:firstLine="480"/>
        <w:rPr>
          <w:rFonts w:ascii="宋体" w:hAnsi="宋体" w:cs="宋体"/>
          <w:sz w:val="24"/>
        </w:rPr>
      </w:pPr>
      <w:bookmarkStart w:id="283" w:name="_Toc221951228"/>
      <w:r>
        <w:rPr>
          <w:rFonts w:hint="eastAsia" w:ascii="宋体" w:hAnsi="宋体" w:cs="宋体"/>
          <w:sz w:val="24"/>
        </w:rPr>
        <w:t>工程预付款的总金额为签约合同价的%，分次支付给承包人。</w:t>
      </w:r>
      <w:bookmarkEnd w:id="283"/>
    </w:p>
    <w:p>
      <w:pPr>
        <w:spacing w:line="312" w:lineRule="auto"/>
        <w:ind w:right="248" w:firstLine="480"/>
        <w:rPr>
          <w:rFonts w:ascii="宋体" w:hAnsi="宋体" w:cs="宋体"/>
          <w:sz w:val="24"/>
        </w:rPr>
      </w:pPr>
      <w:bookmarkStart w:id="284" w:name="_Toc221951229"/>
      <w:r>
        <w:rPr>
          <w:rFonts w:hint="eastAsia" w:ascii="宋体" w:hAnsi="宋体" w:cs="宋体"/>
          <w:sz w:val="24"/>
        </w:rPr>
        <w:t>各次预付款的支付额度和付款时间为：</w:t>
      </w:r>
      <w:bookmarkEnd w:id="284"/>
    </w:p>
    <w:p>
      <w:pPr>
        <w:spacing w:line="312" w:lineRule="auto"/>
        <w:ind w:right="248" w:firstLine="480"/>
        <w:rPr>
          <w:rFonts w:ascii="宋体" w:hAnsi="宋体" w:cs="宋体"/>
          <w:sz w:val="24"/>
        </w:rPr>
      </w:pPr>
      <w:bookmarkStart w:id="285" w:name="_Toc221951230"/>
      <w:r>
        <w:rPr>
          <w:rFonts w:hint="eastAsia" w:ascii="宋体" w:hAnsi="宋体" w:cs="宋体"/>
          <w:sz w:val="24"/>
        </w:rPr>
        <w:t>1）第一次预付款金额为工程预付款总金额的%，付款时间应在合同协议书签订后，由承包人向发包人提交了发包人认可的银行出具的工程预付款保函，并经监理人出具付款证书报送发包人批准后14天内予以支付。</w:t>
      </w:r>
      <w:bookmarkEnd w:id="285"/>
    </w:p>
    <w:p>
      <w:pPr>
        <w:spacing w:line="312" w:lineRule="auto"/>
        <w:ind w:right="248" w:firstLine="480"/>
        <w:rPr>
          <w:rFonts w:ascii="宋体" w:hAnsi="宋体" w:cs="宋体"/>
          <w:sz w:val="24"/>
        </w:rPr>
      </w:pPr>
      <w:bookmarkStart w:id="286" w:name="_Toc221951231"/>
      <w:r>
        <w:rPr>
          <w:rFonts w:hint="eastAsia" w:ascii="宋体" w:hAnsi="宋体" w:cs="宋体"/>
          <w:sz w:val="24"/>
        </w:rPr>
        <w:t>2）第二次预付款金额为工程预付款总金额的%。付款时间需待承包人主要设备进入工地后，其估算价值已达到本次预付款金额时，由承包人提出书面申请，经监理人核实后出具付款证书报送发包人批准后14天内予以支付。</w:t>
      </w:r>
      <w:bookmarkEnd w:id="286"/>
    </w:p>
    <w:p>
      <w:pPr>
        <w:spacing w:line="312" w:lineRule="auto"/>
        <w:ind w:right="248" w:firstLine="480"/>
        <w:rPr>
          <w:rFonts w:ascii="宋体" w:hAnsi="宋体" w:cs="宋体"/>
          <w:sz w:val="24"/>
        </w:rPr>
      </w:pPr>
      <w:bookmarkStart w:id="287" w:name="_Toc221951232"/>
      <w:r>
        <w:rPr>
          <w:rFonts w:hint="eastAsia" w:ascii="宋体" w:hAnsi="宋体" w:cs="宋体"/>
          <w:sz w:val="24"/>
        </w:rPr>
        <w:t>3）第三次预付款 …………………………………。</w:t>
      </w:r>
      <w:bookmarkEnd w:id="287"/>
    </w:p>
    <w:p>
      <w:pPr>
        <w:spacing w:line="312" w:lineRule="auto"/>
        <w:ind w:right="248" w:firstLine="480"/>
        <w:rPr>
          <w:rFonts w:ascii="宋体" w:hAnsi="宋体" w:cs="宋体"/>
          <w:sz w:val="24"/>
        </w:rPr>
      </w:pPr>
      <w:bookmarkStart w:id="288" w:name="_Toc221951235"/>
      <w:r>
        <w:rPr>
          <w:rFonts w:hint="eastAsia" w:ascii="宋体" w:hAnsi="宋体" w:cs="宋体"/>
          <w:sz w:val="24"/>
        </w:rPr>
        <w:t>17.2.2 预付款保函</w:t>
      </w:r>
      <w:bookmarkEnd w:id="288"/>
      <w:r>
        <w:rPr>
          <w:rFonts w:hint="eastAsia" w:ascii="宋体" w:hAnsi="宋体" w:cs="宋体"/>
          <w:sz w:val="24"/>
        </w:rPr>
        <w:t>（担保）</w:t>
      </w:r>
    </w:p>
    <w:p>
      <w:pPr>
        <w:spacing w:line="312" w:lineRule="auto"/>
        <w:ind w:right="248" w:firstLine="480" w:firstLineChars="200"/>
        <w:rPr>
          <w:rFonts w:ascii="宋体" w:hAnsi="宋体" w:cs="宋体"/>
          <w:sz w:val="24"/>
        </w:rPr>
      </w:pPr>
      <w:bookmarkStart w:id="289" w:name="_Toc221951236"/>
      <w:r>
        <w:rPr>
          <w:rFonts w:hint="eastAsia" w:ascii="宋体" w:hAnsi="宋体" w:cs="宋体"/>
          <w:sz w:val="24"/>
        </w:rPr>
        <w:t>（2）工程材料预付款的担保约定为：。</w:t>
      </w:r>
      <w:bookmarkEnd w:id="289"/>
    </w:p>
    <w:p>
      <w:pPr>
        <w:spacing w:line="312" w:lineRule="auto"/>
        <w:ind w:right="248" w:firstLine="480" w:firstLineChars="200"/>
        <w:rPr>
          <w:rFonts w:ascii="宋体" w:hAnsi="宋体" w:cs="宋体"/>
          <w:sz w:val="24"/>
        </w:rPr>
      </w:pPr>
      <w:bookmarkStart w:id="290" w:name="_Toc221951237"/>
      <w:r>
        <w:rPr>
          <w:rFonts w:hint="eastAsia" w:ascii="宋体" w:hAnsi="宋体" w:cs="宋体"/>
          <w:sz w:val="24"/>
        </w:rPr>
        <w:t>17.2.3 预付款的扣回与还清</w:t>
      </w:r>
      <w:bookmarkEnd w:id="290"/>
    </w:p>
    <w:p>
      <w:pPr>
        <w:spacing w:line="312" w:lineRule="auto"/>
        <w:ind w:left="120" w:leftChars="57" w:right="248" w:firstLine="360" w:firstLineChars="150"/>
        <w:rPr>
          <w:rFonts w:ascii="宋体" w:hAnsi="宋体" w:cs="宋体"/>
          <w:sz w:val="24"/>
        </w:rPr>
      </w:pPr>
      <w:bookmarkStart w:id="291" w:name="_Toc221951238"/>
      <w:r>
        <w:rPr>
          <w:rFonts w:hint="eastAsia" w:ascii="宋体" w:hAnsi="宋体" w:cs="宋体"/>
          <w:sz w:val="24"/>
        </w:rPr>
        <w:t>（1）工程预付款在合同累计完成金额达到合同价格的%时开始扣款，直至合同累计完成金额达到合同价格的%时全部扣清。</w:t>
      </w:r>
      <w:bookmarkEnd w:id="291"/>
    </w:p>
    <w:p>
      <w:pPr>
        <w:spacing w:line="312" w:lineRule="auto"/>
        <w:ind w:right="248" w:firstLine="1080" w:firstLineChars="450"/>
        <w:rPr>
          <w:rFonts w:ascii="宋体" w:hAnsi="宋体" w:cs="宋体"/>
          <w:sz w:val="24"/>
        </w:rPr>
      </w:pPr>
      <w:r>
        <w:rPr>
          <w:rFonts w:ascii="宋体" w:hAnsi="宋体" w:cs="宋体"/>
          <w:sz w:val="24"/>
          <w:lang w:val="zh-CN"/>
        </w:rPr>
        <w:pict>
          <v:shape id="对象 3" o:spid="_x0000_s1026" o:spt="75" type="#_x0000_t75" style="position:absolute;left:0pt;margin-left:63pt;margin-top:4.8pt;height:39pt;width:128.9pt;mso-wrap-distance-bottom:0pt;mso-wrap-distance-left:9pt;mso-wrap-distance-right:9pt;mso-wrap-distance-top:0pt;z-index:251659264;mso-width-relative:page;mso-height-relative:page;" o:ole="t" fillcolor="#000011" filled="f" o:preferrelative="t" stroked="f" coordsize="21600,21600">
            <v:path/>
            <v:fill on="f" focussize="0,0"/>
            <v:stroke on="f" joinstyle="miter"/>
            <v:imagedata r:id="rId10" o:title=""/>
            <o:lock v:ext="edit" aspectratio="t"/>
            <w10:wrap type="square" side="right"/>
          </v:shape>
          <o:OLEObject Type="Embed" ProgID="Equation.3" ShapeID="对象 3" DrawAspect="Content" ObjectID="_1468075725" r:id="rId9">
            <o:LockedField>false</o:LockedField>
          </o:OLEObject>
        </w:pict>
      </w:r>
      <w:bookmarkStart w:id="292" w:name="_Toc221951240"/>
    </w:p>
    <w:p>
      <w:pPr>
        <w:spacing w:line="312" w:lineRule="auto"/>
        <w:ind w:right="248"/>
        <w:rPr>
          <w:rFonts w:ascii="宋体" w:hAnsi="宋体" w:cs="宋体"/>
          <w:sz w:val="24"/>
        </w:rPr>
      </w:pPr>
    </w:p>
    <w:p>
      <w:pPr>
        <w:spacing w:line="312" w:lineRule="auto"/>
        <w:ind w:right="248"/>
        <w:rPr>
          <w:rFonts w:ascii="宋体" w:hAnsi="宋体" w:cs="宋体"/>
          <w:sz w:val="24"/>
        </w:rPr>
      </w:pPr>
    </w:p>
    <w:p>
      <w:pPr>
        <w:spacing w:line="312" w:lineRule="auto"/>
        <w:ind w:right="248" w:firstLine="600" w:firstLineChars="250"/>
        <w:rPr>
          <w:rFonts w:ascii="宋体" w:hAnsi="宋体" w:cs="宋体"/>
          <w:sz w:val="24"/>
        </w:rPr>
      </w:pPr>
      <w:r>
        <w:rPr>
          <w:rFonts w:hint="eastAsia" w:ascii="宋体" w:hAnsi="宋体" w:cs="宋体"/>
          <w:sz w:val="24"/>
        </w:rPr>
        <w:t>式中：R——每次进度付款中累计扣回的金额；</w:t>
      </w:r>
      <w:bookmarkEnd w:id="292"/>
    </w:p>
    <w:p>
      <w:pPr>
        <w:spacing w:line="312" w:lineRule="auto"/>
        <w:ind w:right="248" w:firstLine="480"/>
        <w:rPr>
          <w:rFonts w:ascii="宋体" w:hAnsi="宋体" w:cs="宋体"/>
          <w:sz w:val="24"/>
        </w:rPr>
      </w:pPr>
      <w:bookmarkStart w:id="293" w:name="_Toc221951241"/>
      <w:r>
        <w:rPr>
          <w:rFonts w:hint="eastAsia" w:ascii="宋体" w:hAnsi="宋体" w:cs="宋体"/>
          <w:sz w:val="24"/>
        </w:rPr>
        <w:t>A——工程预付款总金额；</w:t>
      </w:r>
      <w:bookmarkEnd w:id="293"/>
    </w:p>
    <w:p>
      <w:pPr>
        <w:spacing w:line="312" w:lineRule="auto"/>
        <w:ind w:right="248" w:firstLine="480"/>
        <w:rPr>
          <w:rFonts w:ascii="宋体" w:hAnsi="宋体" w:cs="宋体"/>
          <w:sz w:val="24"/>
        </w:rPr>
      </w:pPr>
      <w:bookmarkStart w:id="294" w:name="_Toc221951242"/>
      <w:r>
        <w:rPr>
          <w:rFonts w:hint="eastAsia" w:ascii="宋体" w:hAnsi="宋体" w:cs="宋体"/>
          <w:sz w:val="24"/>
        </w:rPr>
        <w:t>S——合同价格；</w:t>
      </w:r>
      <w:bookmarkEnd w:id="294"/>
    </w:p>
    <w:p>
      <w:pPr>
        <w:spacing w:line="312" w:lineRule="auto"/>
        <w:ind w:right="248" w:firstLine="480"/>
        <w:rPr>
          <w:rFonts w:ascii="宋体" w:hAnsi="宋体" w:cs="宋体"/>
          <w:sz w:val="24"/>
        </w:rPr>
      </w:pPr>
      <w:bookmarkStart w:id="295" w:name="_Toc221951243"/>
      <w:r>
        <w:rPr>
          <w:rFonts w:hint="eastAsia" w:ascii="宋体" w:hAnsi="宋体" w:cs="宋体"/>
          <w:sz w:val="24"/>
        </w:rPr>
        <w:t>C——合同累计完成金额；</w:t>
      </w:r>
      <w:bookmarkEnd w:id="295"/>
    </w:p>
    <w:p>
      <w:pPr>
        <w:spacing w:line="312" w:lineRule="auto"/>
        <w:ind w:right="248" w:firstLine="480"/>
        <w:rPr>
          <w:rFonts w:ascii="宋体" w:hAnsi="宋体" w:cs="宋体"/>
          <w:sz w:val="24"/>
        </w:rPr>
      </w:pPr>
      <w:bookmarkStart w:id="296" w:name="_Toc221951244"/>
      <w:r>
        <w:rPr>
          <w:rFonts w:hint="eastAsia" w:ascii="宋体" w:hAnsi="宋体" w:cs="宋体"/>
          <w:sz w:val="24"/>
        </w:rPr>
        <w:t>F1——开始扣款时合同累计完成金额达到合同价格的比例；</w:t>
      </w:r>
      <w:bookmarkEnd w:id="296"/>
    </w:p>
    <w:p>
      <w:pPr>
        <w:spacing w:line="312" w:lineRule="auto"/>
        <w:ind w:right="248" w:firstLine="480"/>
        <w:rPr>
          <w:rFonts w:ascii="宋体" w:hAnsi="宋体" w:cs="宋体"/>
          <w:sz w:val="24"/>
        </w:rPr>
      </w:pPr>
      <w:bookmarkStart w:id="297" w:name="_Toc221951245"/>
      <w:r>
        <w:rPr>
          <w:rFonts w:hint="eastAsia" w:ascii="宋体" w:hAnsi="宋体" w:cs="宋体"/>
          <w:sz w:val="24"/>
        </w:rPr>
        <w:t>F2——全部扣清时合同累计完成金额达到合同价格的比例。</w:t>
      </w:r>
      <w:bookmarkEnd w:id="297"/>
    </w:p>
    <w:p>
      <w:pPr>
        <w:spacing w:line="312" w:lineRule="auto"/>
        <w:ind w:right="248" w:firstLine="480"/>
        <w:rPr>
          <w:rFonts w:ascii="宋体" w:hAnsi="宋体" w:cs="宋体"/>
          <w:sz w:val="24"/>
        </w:rPr>
      </w:pPr>
      <w:bookmarkStart w:id="298" w:name="_Toc221951246"/>
      <w:r>
        <w:rPr>
          <w:rFonts w:hint="eastAsia" w:ascii="宋体" w:hAnsi="宋体" w:cs="宋体"/>
          <w:sz w:val="24"/>
        </w:rPr>
        <w:t>上述合同累计完成金额均指价格调整前未扣质量保证金的金额。</w:t>
      </w:r>
      <w:bookmarkEnd w:id="298"/>
    </w:p>
    <w:p>
      <w:pPr>
        <w:spacing w:line="312" w:lineRule="auto"/>
        <w:ind w:right="248" w:firstLine="480"/>
        <w:rPr>
          <w:rFonts w:ascii="宋体" w:hAnsi="宋体" w:cs="宋体"/>
          <w:sz w:val="24"/>
        </w:rPr>
      </w:pPr>
      <w:r>
        <w:rPr>
          <w:rFonts w:hint="eastAsia" w:ascii="宋体" w:hAnsi="宋体" w:cs="宋体"/>
          <w:sz w:val="24"/>
        </w:rPr>
        <w:t>（2）工程材料预付款的扣回与还清约定为： 。</w:t>
      </w:r>
    </w:p>
    <w:p>
      <w:pPr>
        <w:spacing w:line="312" w:lineRule="auto"/>
        <w:rPr>
          <w:rFonts w:ascii="宋体" w:hAnsi="宋体" w:cs="宋体"/>
          <w:b/>
          <w:bCs/>
          <w:sz w:val="24"/>
        </w:rPr>
      </w:pPr>
      <w:bookmarkStart w:id="299" w:name="_Toc221951260"/>
      <w:r>
        <w:rPr>
          <w:rFonts w:hint="eastAsia" w:ascii="宋体" w:hAnsi="宋体" w:cs="宋体"/>
          <w:b/>
          <w:bCs/>
          <w:sz w:val="24"/>
        </w:rPr>
        <w:t>17.4  质量保证金</w:t>
      </w:r>
      <w:bookmarkEnd w:id="299"/>
    </w:p>
    <w:p>
      <w:pPr>
        <w:spacing w:line="312" w:lineRule="auto"/>
        <w:ind w:right="248" w:firstLine="480" w:firstLineChars="200"/>
        <w:rPr>
          <w:rFonts w:ascii="宋体" w:hAnsi="宋体" w:cs="宋体"/>
          <w:sz w:val="24"/>
        </w:rPr>
      </w:pPr>
      <w:bookmarkStart w:id="300" w:name="_Toc221951262"/>
      <w:r>
        <w:rPr>
          <w:rFonts w:hint="eastAsia" w:ascii="宋体" w:hAnsi="宋体" w:cs="宋体"/>
          <w:sz w:val="24"/>
        </w:rPr>
        <w:t>17.4.1</w:t>
      </w:r>
      <w:bookmarkEnd w:id="300"/>
      <w:r>
        <w:rPr>
          <w:rFonts w:hint="eastAsia" w:ascii="宋体" w:hAnsi="宋体" w:cs="宋体"/>
          <w:sz w:val="24"/>
        </w:rPr>
        <w:t xml:space="preserve"> 每个付款周期扣留的质量保证金为工程进度付款的</w:t>
      </w:r>
      <w:r>
        <w:rPr>
          <w:rFonts w:hint="eastAsia" w:ascii="宋体" w:hAnsi="宋体" w:cs="宋体"/>
          <w:sz w:val="24"/>
          <w:u w:val="single"/>
        </w:rPr>
        <w:t xml:space="preserve"> 5 </w:t>
      </w:r>
      <w:r>
        <w:rPr>
          <w:rFonts w:hint="eastAsia" w:ascii="宋体" w:hAnsi="宋体" w:cs="宋体"/>
          <w:sz w:val="24"/>
        </w:rPr>
        <w:t>％，扣留的质量保证金总额为签约合同价的</w:t>
      </w:r>
      <w:r>
        <w:rPr>
          <w:rFonts w:hint="eastAsia" w:ascii="宋体" w:hAnsi="宋体" w:cs="宋体"/>
          <w:sz w:val="24"/>
          <w:u w:val="single"/>
        </w:rPr>
        <w:t xml:space="preserve"> 5 </w:t>
      </w:r>
      <w:r>
        <w:rPr>
          <w:rFonts w:hint="eastAsia" w:ascii="宋体" w:hAnsi="宋体" w:cs="宋体"/>
          <w:sz w:val="24"/>
        </w:rPr>
        <w:t>％。</w:t>
      </w:r>
    </w:p>
    <w:p>
      <w:pPr>
        <w:spacing w:line="312" w:lineRule="auto"/>
        <w:rPr>
          <w:rFonts w:ascii="宋体" w:hAnsi="宋体" w:cs="宋体"/>
          <w:b/>
          <w:bCs/>
          <w:sz w:val="24"/>
        </w:rPr>
      </w:pPr>
      <w:bookmarkStart w:id="301" w:name="_Toc221951265"/>
      <w:r>
        <w:rPr>
          <w:rFonts w:hint="eastAsia" w:ascii="宋体" w:hAnsi="宋体" w:cs="宋体"/>
          <w:b/>
          <w:bCs/>
          <w:sz w:val="24"/>
        </w:rPr>
        <w:t>17.5  竣工（完工）结算</w:t>
      </w:r>
      <w:bookmarkEnd w:id="301"/>
    </w:p>
    <w:p>
      <w:pPr>
        <w:spacing w:line="312" w:lineRule="auto"/>
        <w:ind w:right="248" w:firstLine="480"/>
        <w:rPr>
          <w:rFonts w:ascii="宋体" w:hAnsi="宋体" w:cs="宋体"/>
          <w:sz w:val="24"/>
        </w:rPr>
      </w:pPr>
      <w:bookmarkStart w:id="302" w:name="_Toc221951266"/>
      <w:r>
        <w:rPr>
          <w:rFonts w:hint="eastAsia" w:ascii="宋体" w:hAnsi="宋体" w:cs="宋体"/>
          <w:sz w:val="24"/>
        </w:rPr>
        <w:t>17.5.1  竣工（完工）付款申请单</w:t>
      </w:r>
      <w:bookmarkEnd w:id="302"/>
    </w:p>
    <w:p>
      <w:pPr>
        <w:spacing w:line="312" w:lineRule="auto"/>
        <w:ind w:right="248" w:firstLine="480"/>
        <w:rPr>
          <w:rFonts w:ascii="宋体" w:hAnsi="宋体" w:cs="宋体"/>
          <w:sz w:val="24"/>
        </w:rPr>
      </w:pPr>
      <w:bookmarkStart w:id="303" w:name="_Toc221951267"/>
      <w:r>
        <w:rPr>
          <w:rFonts w:hint="eastAsia" w:ascii="宋体" w:hAnsi="宋体" w:cs="宋体"/>
          <w:sz w:val="24"/>
        </w:rPr>
        <w:t>（1）承包人应提交竣工付款申请单一式份。</w:t>
      </w:r>
      <w:bookmarkEnd w:id="303"/>
    </w:p>
    <w:p>
      <w:pPr>
        <w:spacing w:line="312" w:lineRule="auto"/>
        <w:rPr>
          <w:rFonts w:ascii="宋体" w:hAnsi="宋体" w:cs="宋体"/>
          <w:b/>
          <w:bCs/>
          <w:sz w:val="24"/>
        </w:rPr>
      </w:pPr>
      <w:bookmarkStart w:id="304" w:name="_Toc221951268"/>
      <w:r>
        <w:rPr>
          <w:rFonts w:hint="eastAsia" w:ascii="宋体" w:hAnsi="宋体" w:cs="宋体"/>
          <w:b/>
          <w:bCs/>
          <w:sz w:val="24"/>
        </w:rPr>
        <w:t>17.6  最终结清</w:t>
      </w:r>
      <w:bookmarkEnd w:id="304"/>
    </w:p>
    <w:p>
      <w:pPr>
        <w:spacing w:line="312" w:lineRule="auto"/>
        <w:ind w:right="248" w:firstLine="480"/>
        <w:rPr>
          <w:rFonts w:ascii="宋体" w:hAnsi="宋体" w:cs="宋体"/>
          <w:sz w:val="24"/>
        </w:rPr>
      </w:pPr>
      <w:bookmarkStart w:id="305" w:name="_Toc221951269"/>
      <w:r>
        <w:rPr>
          <w:rFonts w:hint="eastAsia" w:ascii="宋体" w:hAnsi="宋体" w:cs="宋体"/>
          <w:sz w:val="24"/>
        </w:rPr>
        <w:t>17.6 1  最终结清申请单</w:t>
      </w:r>
      <w:bookmarkEnd w:id="305"/>
    </w:p>
    <w:p>
      <w:pPr>
        <w:spacing w:line="312" w:lineRule="auto"/>
        <w:ind w:right="248" w:firstLine="480"/>
        <w:rPr>
          <w:rFonts w:ascii="宋体" w:hAnsi="宋体" w:cs="宋体"/>
          <w:sz w:val="24"/>
        </w:rPr>
      </w:pPr>
      <w:bookmarkStart w:id="306" w:name="_Toc221951270"/>
      <w:r>
        <w:rPr>
          <w:rFonts w:hint="eastAsia" w:ascii="宋体" w:hAnsi="宋体" w:cs="宋体"/>
          <w:sz w:val="24"/>
        </w:rPr>
        <w:t>（1）承包人应提交最终结清申请单一式份。</w:t>
      </w:r>
      <w:bookmarkEnd w:id="306"/>
    </w:p>
    <w:p>
      <w:pPr>
        <w:spacing w:line="312" w:lineRule="auto"/>
        <w:rPr>
          <w:rFonts w:ascii="宋体" w:hAnsi="宋体" w:cs="宋体"/>
          <w:b/>
          <w:bCs/>
          <w:sz w:val="24"/>
        </w:rPr>
      </w:pPr>
      <w:r>
        <w:rPr>
          <w:rFonts w:hint="eastAsia" w:ascii="宋体" w:hAnsi="宋体" w:cs="宋体"/>
          <w:b/>
          <w:bCs/>
          <w:sz w:val="24"/>
        </w:rPr>
        <w:t>17.7 竣工财务决算</w:t>
      </w:r>
    </w:p>
    <w:p>
      <w:pPr>
        <w:spacing w:line="312" w:lineRule="auto"/>
        <w:ind w:right="248" w:firstLine="480"/>
        <w:rPr>
          <w:rFonts w:ascii="宋体" w:hAnsi="宋体" w:cs="宋体"/>
          <w:sz w:val="24"/>
        </w:rPr>
      </w:pPr>
      <w:r>
        <w:rPr>
          <w:rFonts w:hint="eastAsia" w:ascii="宋体" w:hAnsi="宋体" w:cs="宋体"/>
          <w:sz w:val="24"/>
        </w:rPr>
        <w:t>承包人应为竣工财务决算编制提供的资料：。</w:t>
      </w:r>
    </w:p>
    <w:p>
      <w:pPr>
        <w:spacing w:line="312" w:lineRule="auto"/>
        <w:rPr>
          <w:rFonts w:ascii="宋体" w:hAnsi="宋体" w:cs="宋体"/>
          <w:b/>
          <w:sz w:val="24"/>
        </w:rPr>
      </w:pPr>
      <w:bookmarkStart w:id="307" w:name="_Toc222032710"/>
      <w:bookmarkStart w:id="308" w:name="_Toc229305399"/>
      <w:bookmarkStart w:id="309" w:name="_Toc222031043"/>
      <w:bookmarkStart w:id="310" w:name="_Toc222029541"/>
      <w:bookmarkStart w:id="311" w:name="_Toc222033892"/>
      <w:bookmarkStart w:id="312" w:name="_Toc221951271"/>
      <w:r>
        <w:rPr>
          <w:rFonts w:hint="eastAsia" w:ascii="宋体" w:hAnsi="宋体" w:cs="宋体"/>
          <w:b/>
          <w:sz w:val="24"/>
        </w:rPr>
        <w:t>18  竣工验收</w:t>
      </w:r>
      <w:bookmarkEnd w:id="307"/>
      <w:bookmarkEnd w:id="308"/>
      <w:bookmarkEnd w:id="309"/>
      <w:bookmarkEnd w:id="310"/>
      <w:bookmarkEnd w:id="311"/>
      <w:bookmarkEnd w:id="312"/>
      <w:r>
        <w:rPr>
          <w:rFonts w:hint="eastAsia" w:ascii="宋体" w:hAnsi="宋体" w:cs="宋体"/>
          <w:b/>
          <w:sz w:val="24"/>
        </w:rPr>
        <w:t>（验收）</w:t>
      </w:r>
    </w:p>
    <w:p>
      <w:pPr>
        <w:spacing w:line="312" w:lineRule="auto"/>
        <w:rPr>
          <w:rFonts w:ascii="宋体" w:hAnsi="宋体" w:cs="宋体"/>
          <w:b/>
          <w:bCs/>
          <w:sz w:val="24"/>
        </w:rPr>
      </w:pPr>
      <w:bookmarkStart w:id="313" w:name="_Toc221951272"/>
      <w:r>
        <w:rPr>
          <w:rFonts w:hint="eastAsia" w:ascii="宋体" w:hAnsi="宋体" w:cs="宋体"/>
          <w:b/>
          <w:bCs/>
          <w:sz w:val="24"/>
        </w:rPr>
        <w:t xml:space="preserve">18.1 </w:t>
      </w:r>
      <w:bookmarkEnd w:id="313"/>
      <w:r>
        <w:rPr>
          <w:rFonts w:hint="eastAsia" w:ascii="宋体" w:hAnsi="宋体" w:cs="宋体"/>
          <w:b/>
          <w:bCs/>
          <w:sz w:val="24"/>
        </w:rPr>
        <w:t>验收工作分类</w:t>
      </w:r>
    </w:p>
    <w:p>
      <w:pPr>
        <w:spacing w:line="312" w:lineRule="auto"/>
        <w:ind w:firstLine="360" w:firstLineChars="150"/>
        <w:rPr>
          <w:rFonts w:ascii="宋体" w:hAnsi="宋体" w:cs="宋体"/>
          <w:sz w:val="24"/>
        </w:rPr>
      </w:pPr>
      <w:bookmarkStart w:id="314" w:name="_Toc221951274"/>
      <w:r>
        <w:rPr>
          <w:rFonts w:hint="eastAsia" w:ascii="宋体" w:hAnsi="宋体" w:cs="宋体"/>
          <w:sz w:val="24"/>
        </w:rPr>
        <w:t>本工程法人验收包括：；政府验收包括：。验收条件为：，验收程序为：。</w:t>
      </w:r>
    </w:p>
    <w:p>
      <w:pPr>
        <w:spacing w:line="312" w:lineRule="auto"/>
        <w:rPr>
          <w:rFonts w:ascii="宋体" w:hAnsi="宋体" w:cs="宋体"/>
          <w:b/>
          <w:bCs/>
          <w:sz w:val="24"/>
        </w:rPr>
      </w:pPr>
      <w:r>
        <w:rPr>
          <w:rFonts w:hint="eastAsia" w:ascii="宋体" w:hAnsi="宋体" w:cs="宋体"/>
          <w:b/>
          <w:bCs/>
          <w:sz w:val="24"/>
        </w:rPr>
        <w:t>18.2 分部工程验收</w:t>
      </w:r>
    </w:p>
    <w:p>
      <w:pPr>
        <w:spacing w:line="312" w:lineRule="auto"/>
        <w:ind w:firstLine="360" w:firstLineChars="150"/>
        <w:rPr>
          <w:rFonts w:ascii="宋体" w:hAnsi="宋体" w:cs="宋体"/>
          <w:sz w:val="24"/>
        </w:rPr>
      </w:pPr>
      <w:r>
        <w:rPr>
          <w:rFonts w:hint="eastAsia" w:ascii="宋体" w:hAnsi="宋体" w:cs="宋体"/>
          <w:sz w:val="24"/>
        </w:rPr>
        <w:t>18.2.2 本工程由发包人主持的分部工程验收为，其余由监理人主持。</w:t>
      </w:r>
    </w:p>
    <w:p>
      <w:pPr>
        <w:spacing w:line="312" w:lineRule="auto"/>
        <w:rPr>
          <w:rFonts w:ascii="宋体" w:hAnsi="宋体" w:cs="宋体"/>
          <w:b/>
          <w:bCs/>
          <w:sz w:val="24"/>
        </w:rPr>
      </w:pPr>
      <w:r>
        <w:rPr>
          <w:rFonts w:hint="eastAsia" w:ascii="宋体" w:hAnsi="宋体" w:cs="宋体"/>
          <w:b/>
          <w:bCs/>
          <w:sz w:val="24"/>
        </w:rPr>
        <w:t>18.3 单位工程验收</w:t>
      </w:r>
    </w:p>
    <w:p>
      <w:pPr>
        <w:spacing w:line="312" w:lineRule="auto"/>
        <w:ind w:firstLine="360" w:firstLineChars="150"/>
        <w:rPr>
          <w:rFonts w:ascii="宋体" w:hAnsi="宋体" w:cs="宋体"/>
          <w:sz w:val="24"/>
        </w:rPr>
      </w:pPr>
      <w:r>
        <w:rPr>
          <w:rFonts w:hint="eastAsia" w:ascii="宋体" w:hAnsi="宋体" w:cs="宋体"/>
          <w:sz w:val="24"/>
        </w:rPr>
        <w:t xml:space="preserve">18.3.4 提前投人使用的单位工程包括：、、。 </w:t>
      </w:r>
    </w:p>
    <w:p>
      <w:pPr>
        <w:spacing w:line="312" w:lineRule="auto"/>
        <w:rPr>
          <w:rFonts w:ascii="宋体" w:hAnsi="宋体" w:cs="宋体"/>
          <w:b/>
          <w:bCs/>
          <w:sz w:val="24"/>
        </w:rPr>
      </w:pPr>
      <w:r>
        <w:rPr>
          <w:rFonts w:hint="eastAsia" w:ascii="宋体" w:hAnsi="宋体" w:cs="宋体"/>
          <w:b/>
          <w:bCs/>
          <w:sz w:val="24"/>
        </w:rPr>
        <w:t>18.5 阶段验收</w:t>
      </w:r>
    </w:p>
    <w:p>
      <w:pPr>
        <w:spacing w:line="312" w:lineRule="auto"/>
        <w:ind w:firstLine="360" w:firstLineChars="150"/>
        <w:rPr>
          <w:rFonts w:ascii="宋体" w:hAnsi="宋体" w:cs="宋体"/>
          <w:sz w:val="24"/>
        </w:rPr>
      </w:pPr>
      <w:r>
        <w:rPr>
          <w:rFonts w:hint="eastAsia" w:ascii="宋体" w:hAnsi="宋体" w:cs="宋体"/>
          <w:sz w:val="24"/>
        </w:rPr>
        <w:t>18.5.1 本合同工程阶段验收类别包括：、、。</w:t>
      </w:r>
    </w:p>
    <w:p>
      <w:pPr>
        <w:spacing w:line="312" w:lineRule="auto"/>
        <w:rPr>
          <w:rFonts w:ascii="宋体" w:hAnsi="宋体" w:cs="宋体"/>
          <w:b/>
          <w:bCs/>
          <w:sz w:val="24"/>
        </w:rPr>
      </w:pPr>
      <w:r>
        <w:rPr>
          <w:rFonts w:hint="eastAsia" w:ascii="宋体" w:hAnsi="宋体" w:cs="宋体"/>
          <w:b/>
          <w:bCs/>
          <w:sz w:val="24"/>
        </w:rPr>
        <w:t>18.6 专项验收</w:t>
      </w:r>
    </w:p>
    <w:p>
      <w:pPr>
        <w:spacing w:line="312" w:lineRule="auto"/>
        <w:ind w:firstLine="360" w:firstLineChars="150"/>
        <w:rPr>
          <w:rFonts w:ascii="宋体" w:hAnsi="宋体" w:cs="宋体"/>
          <w:sz w:val="24"/>
        </w:rPr>
      </w:pPr>
      <w:r>
        <w:rPr>
          <w:rFonts w:hint="eastAsia" w:ascii="宋体" w:hAnsi="宋体" w:cs="宋体"/>
          <w:sz w:val="24"/>
        </w:rPr>
        <w:t>18.6.2 本合同工程专项验收类别包括：、、。</w:t>
      </w:r>
    </w:p>
    <w:p>
      <w:pPr>
        <w:spacing w:line="312" w:lineRule="auto"/>
        <w:rPr>
          <w:rFonts w:ascii="宋体" w:hAnsi="宋体" w:cs="宋体"/>
          <w:b/>
          <w:bCs/>
          <w:sz w:val="24"/>
        </w:rPr>
      </w:pPr>
      <w:r>
        <w:rPr>
          <w:rFonts w:hint="eastAsia" w:ascii="宋体" w:hAnsi="宋体" w:cs="宋体"/>
          <w:b/>
          <w:bCs/>
          <w:sz w:val="24"/>
        </w:rPr>
        <w:t>18.7 竣工验收</w:t>
      </w:r>
    </w:p>
    <w:p>
      <w:pPr>
        <w:spacing w:line="312" w:lineRule="auto"/>
        <w:ind w:firstLine="360" w:firstLineChars="150"/>
        <w:rPr>
          <w:rFonts w:ascii="宋体" w:hAnsi="宋体" w:cs="宋体"/>
          <w:sz w:val="24"/>
        </w:rPr>
      </w:pPr>
      <w:r>
        <w:rPr>
          <w:rFonts w:hint="eastAsia" w:ascii="宋体" w:hAnsi="宋体" w:cs="宋体"/>
          <w:sz w:val="24"/>
        </w:rPr>
        <w:t>18.7.3 本工程（需要／不需要）竣工验收技术鉴定（蓄水安全鉴定）。</w:t>
      </w:r>
    </w:p>
    <w:bookmarkEnd w:id="314"/>
    <w:p>
      <w:pPr>
        <w:spacing w:line="312" w:lineRule="auto"/>
        <w:rPr>
          <w:rFonts w:ascii="宋体" w:hAnsi="宋体" w:cs="宋体"/>
          <w:b/>
          <w:bCs/>
          <w:sz w:val="24"/>
        </w:rPr>
      </w:pPr>
      <w:bookmarkStart w:id="315" w:name="_Toc221951282"/>
      <w:r>
        <w:rPr>
          <w:rFonts w:hint="eastAsia" w:ascii="宋体" w:hAnsi="宋体" w:cs="宋体"/>
          <w:b/>
          <w:bCs/>
          <w:sz w:val="24"/>
        </w:rPr>
        <w:t>18.8 施工期运行</w:t>
      </w:r>
      <w:bookmarkEnd w:id="315"/>
    </w:p>
    <w:p>
      <w:pPr>
        <w:spacing w:line="312" w:lineRule="auto"/>
        <w:ind w:firstLine="360" w:firstLineChars="150"/>
        <w:rPr>
          <w:rFonts w:ascii="宋体" w:hAnsi="宋体" w:cs="宋体"/>
          <w:sz w:val="24"/>
        </w:rPr>
      </w:pPr>
      <w:bookmarkStart w:id="316" w:name="_Toc221951283"/>
      <w:r>
        <w:rPr>
          <w:rFonts w:hint="eastAsia" w:ascii="宋体" w:hAnsi="宋体" w:cs="宋体"/>
          <w:sz w:val="24"/>
        </w:rPr>
        <w:t>18.8.1 需要在施工期运行的单位工程或工程设备为：</w:t>
      </w:r>
      <w:bookmarkEnd w:id="316"/>
      <w:r>
        <w:rPr>
          <w:rFonts w:hint="eastAsia" w:ascii="宋体" w:hAnsi="宋体" w:cs="宋体"/>
          <w:sz w:val="24"/>
        </w:rPr>
        <w:t>、、。</w:t>
      </w:r>
    </w:p>
    <w:p>
      <w:pPr>
        <w:spacing w:line="312" w:lineRule="auto"/>
        <w:rPr>
          <w:rFonts w:ascii="宋体" w:hAnsi="宋体" w:cs="宋体"/>
          <w:b/>
          <w:bCs/>
          <w:sz w:val="24"/>
        </w:rPr>
      </w:pPr>
      <w:bookmarkStart w:id="317" w:name="_Toc221951285"/>
      <w:r>
        <w:rPr>
          <w:rFonts w:hint="eastAsia" w:ascii="宋体" w:hAnsi="宋体" w:cs="宋体"/>
          <w:b/>
          <w:bCs/>
          <w:sz w:val="24"/>
        </w:rPr>
        <w:t>18.9 试运行</w:t>
      </w:r>
      <w:bookmarkEnd w:id="317"/>
    </w:p>
    <w:p>
      <w:pPr>
        <w:spacing w:line="312" w:lineRule="auto"/>
        <w:ind w:right="248" w:firstLine="600" w:firstLineChars="250"/>
        <w:rPr>
          <w:rFonts w:ascii="宋体" w:hAnsi="宋体" w:cs="宋体"/>
          <w:sz w:val="24"/>
        </w:rPr>
      </w:pPr>
      <w:bookmarkStart w:id="318" w:name="_Toc221951286"/>
      <w:r>
        <w:rPr>
          <w:rFonts w:hint="eastAsia" w:ascii="宋体" w:hAnsi="宋体" w:cs="宋体"/>
          <w:sz w:val="24"/>
        </w:rPr>
        <w:t xml:space="preserve">18.9.1 </w:t>
      </w:r>
      <w:bookmarkEnd w:id="318"/>
      <w:r>
        <w:rPr>
          <w:rFonts w:hint="eastAsia" w:ascii="宋体" w:hAnsi="宋体" w:cs="宋体"/>
          <w:sz w:val="24"/>
        </w:rPr>
        <w:t>试运行的组织：；费用承担： 。</w:t>
      </w:r>
    </w:p>
    <w:p>
      <w:pPr>
        <w:spacing w:line="312" w:lineRule="auto"/>
        <w:rPr>
          <w:rFonts w:ascii="宋体" w:hAnsi="宋体" w:cs="宋体"/>
          <w:b/>
          <w:sz w:val="24"/>
        </w:rPr>
      </w:pPr>
      <w:r>
        <w:rPr>
          <w:rFonts w:hint="eastAsia" w:ascii="宋体" w:hAnsi="宋体" w:cs="宋体"/>
          <w:b/>
          <w:sz w:val="24"/>
        </w:rPr>
        <w:t>19 缺陷责任与保修责任</w:t>
      </w:r>
    </w:p>
    <w:p>
      <w:pPr>
        <w:spacing w:line="312" w:lineRule="auto"/>
        <w:rPr>
          <w:rFonts w:ascii="宋体" w:hAnsi="宋体" w:cs="宋体"/>
          <w:b/>
          <w:bCs/>
          <w:sz w:val="24"/>
        </w:rPr>
      </w:pPr>
      <w:r>
        <w:rPr>
          <w:rFonts w:hint="eastAsia" w:ascii="宋体" w:hAnsi="宋体" w:cs="宋体"/>
          <w:b/>
          <w:bCs/>
          <w:sz w:val="24"/>
        </w:rPr>
        <w:t>19.1 缺陷责任期（工程质量保修期）的起算时间</w:t>
      </w:r>
    </w:p>
    <w:p>
      <w:pPr>
        <w:spacing w:line="312" w:lineRule="auto"/>
        <w:ind w:right="248" w:firstLine="600" w:firstLineChars="250"/>
        <w:rPr>
          <w:rFonts w:ascii="宋体" w:hAnsi="宋体" w:cs="宋体"/>
          <w:sz w:val="24"/>
        </w:rPr>
      </w:pPr>
      <w:r>
        <w:rPr>
          <w:rFonts w:hint="eastAsia" w:ascii="宋体" w:hAnsi="宋体" w:cs="宋体"/>
          <w:sz w:val="24"/>
        </w:rPr>
        <w:t>本工程缺陷责任期（工程质量保修期）计算如下： 。</w:t>
      </w:r>
    </w:p>
    <w:p>
      <w:pPr>
        <w:spacing w:line="312" w:lineRule="auto"/>
        <w:rPr>
          <w:rFonts w:ascii="宋体" w:hAnsi="宋体" w:cs="宋体"/>
          <w:b/>
          <w:sz w:val="24"/>
        </w:rPr>
      </w:pPr>
      <w:bookmarkStart w:id="319" w:name="_Toc222029542"/>
      <w:bookmarkStart w:id="320" w:name="_Toc222033893"/>
      <w:bookmarkStart w:id="321" w:name="_Toc221951299"/>
      <w:bookmarkStart w:id="322" w:name="_Toc222032711"/>
      <w:bookmarkStart w:id="323" w:name="_Toc229305400"/>
      <w:bookmarkStart w:id="324" w:name="_Toc222031044"/>
      <w:r>
        <w:rPr>
          <w:rFonts w:hint="eastAsia" w:ascii="宋体" w:hAnsi="宋体" w:cs="宋体"/>
          <w:b/>
          <w:sz w:val="24"/>
        </w:rPr>
        <w:t>20  保险</w:t>
      </w:r>
      <w:bookmarkEnd w:id="319"/>
      <w:bookmarkEnd w:id="320"/>
      <w:bookmarkEnd w:id="321"/>
      <w:bookmarkEnd w:id="322"/>
      <w:bookmarkEnd w:id="323"/>
      <w:bookmarkEnd w:id="324"/>
    </w:p>
    <w:p>
      <w:pPr>
        <w:spacing w:line="312" w:lineRule="auto"/>
        <w:rPr>
          <w:rFonts w:ascii="宋体" w:hAnsi="宋体" w:cs="宋体"/>
          <w:b/>
          <w:bCs/>
          <w:sz w:val="24"/>
        </w:rPr>
      </w:pPr>
      <w:bookmarkStart w:id="325" w:name="_Toc221951321"/>
      <w:r>
        <w:rPr>
          <w:rFonts w:hint="eastAsia" w:ascii="宋体" w:hAnsi="宋体" w:cs="宋体"/>
          <w:b/>
          <w:bCs/>
          <w:sz w:val="24"/>
        </w:rPr>
        <w:t>20.1  工程保险</w:t>
      </w:r>
      <w:bookmarkEnd w:id="325"/>
    </w:p>
    <w:p>
      <w:pPr>
        <w:spacing w:line="312" w:lineRule="auto"/>
        <w:ind w:right="248" w:firstLine="480"/>
        <w:rPr>
          <w:rFonts w:ascii="宋体" w:hAnsi="宋体" w:cs="宋体"/>
          <w:sz w:val="24"/>
        </w:rPr>
      </w:pPr>
      <w:bookmarkStart w:id="326" w:name="_Toc221951323"/>
      <w:r>
        <w:rPr>
          <w:rFonts w:hint="eastAsia" w:ascii="宋体" w:hAnsi="宋体" w:cs="宋体"/>
          <w:sz w:val="24"/>
        </w:rPr>
        <w:t xml:space="preserve">建筑工程一切险和（或）安装工程一切险投保人：；                        </w:t>
      </w:r>
    </w:p>
    <w:p>
      <w:pPr>
        <w:spacing w:line="312" w:lineRule="auto"/>
        <w:ind w:right="248" w:firstLine="480"/>
        <w:rPr>
          <w:rFonts w:ascii="宋体" w:hAnsi="宋体" w:cs="宋体"/>
          <w:sz w:val="24"/>
        </w:rPr>
      </w:pPr>
      <w:r>
        <w:rPr>
          <w:rFonts w:hint="eastAsia" w:ascii="宋体" w:hAnsi="宋体" w:cs="宋体"/>
          <w:sz w:val="24"/>
        </w:rPr>
        <w:t xml:space="preserve">投保内容：；                                                      </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20.4  第三者责任险</w:t>
      </w:r>
      <w:bookmarkEnd w:id="326"/>
    </w:p>
    <w:p>
      <w:pPr>
        <w:spacing w:line="312" w:lineRule="auto"/>
        <w:ind w:right="248" w:firstLine="480"/>
        <w:rPr>
          <w:rFonts w:ascii="宋体" w:hAnsi="宋体" w:cs="宋体"/>
          <w:sz w:val="24"/>
        </w:rPr>
      </w:pPr>
      <w:bookmarkStart w:id="327" w:name="_Toc221951325"/>
      <w:r>
        <w:rPr>
          <w:rFonts w:hint="eastAsia" w:ascii="宋体" w:hAnsi="宋体" w:cs="宋体"/>
          <w:sz w:val="24"/>
        </w:rPr>
        <w:t xml:space="preserve">20.4.2 第三者责任险保险费率：；                                       </w:t>
      </w:r>
    </w:p>
    <w:p>
      <w:pPr>
        <w:spacing w:line="312" w:lineRule="auto"/>
        <w:ind w:right="248" w:firstLine="480"/>
        <w:rPr>
          <w:rFonts w:ascii="宋体" w:hAnsi="宋体" w:cs="宋体"/>
          <w:sz w:val="24"/>
        </w:rPr>
      </w:pPr>
      <w:r>
        <w:rPr>
          <w:rFonts w:hint="eastAsia" w:ascii="宋体" w:hAnsi="宋体" w:cs="宋体"/>
          <w:sz w:val="24"/>
        </w:rPr>
        <w:t xml:space="preserve">第三者责任险保险金额：。 </w:t>
      </w:r>
    </w:p>
    <w:p>
      <w:pPr>
        <w:spacing w:line="312" w:lineRule="auto"/>
        <w:rPr>
          <w:rFonts w:ascii="宋体" w:hAnsi="宋体" w:cs="宋体"/>
          <w:b/>
          <w:bCs/>
          <w:sz w:val="24"/>
        </w:rPr>
      </w:pPr>
      <w:r>
        <w:rPr>
          <w:rFonts w:hint="eastAsia" w:ascii="宋体" w:hAnsi="宋体" w:cs="宋体"/>
          <w:b/>
          <w:bCs/>
          <w:sz w:val="24"/>
        </w:rPr>
        <w:t>20.5  其他保险</w:t>
      </w:r>
      <w:bookmarkEnd w:id="327"/>
    </w:p>
    <w:p>
      <w:pPr>
        <w:spacing w:line="312" w:lineRule="auto"/>
        <w:ind w:right="248" w:firstLine="480"/>
        <w:rPr>
          <w:rFonts w:ascii="宋体" w:hAnsi="宋体" w:cs="宋体"/>
          <w:sz w:val="24"/>
        </w:rPr>
      </w:pPr>
      <w:bookmarkStart w:id="328" w:name="_Toc221951327"/>
      <w:r>
        <w:rPr>
          <w:rFonts w:hint="eastAsia" w:ascii="宋体" w:hAnsi="宋体" w:cs="宋体"/>
          <w:sz w:val="24"/>
        </w:rPr>
        <w:t>需要投保的其他内容：；</w:t>
      </w:r>
    </w:p>
    <w:p>
      <w:pPr>
        <w:spacing w:line="312" w:lineRule="auto"/>
        <w:ind w:right="248" w:firstLine="480"/>
        <w:rPr>
          <w:rFonts w:ascii="宋体" w:hAnsi="宋体" w:cs="宋体"/>
          <w:sz w:val="24"/>
        </w:rPr>
      </w:pPr>
      <w:r>
        <w:rPr>
          <w:rFonts w:hint="eastAsia" w:ascii="宋体" w:hAnsi="宋体" w:cs="宋体"/>
          <w:sz w:val="24"/>
        </w:rPr>
        <w:t>保险金额、保险费率和保险期限：。</w:t>
      </w:r>
    </w:p>
    <w:p>
      <w:pPr>
        <w:spacing w:line="312" w:lineRule="auto"/>
        <w:rPr>
          <w:rFonts w:ascii="宋体" w:hAnsi="宋体" w:cs="宋体"/>
          <w:b/>
          <w:bCs/>
          <w:sz w:val="24"/>
        </w:rPr>
      </w:pPr>
      <w:r>
        <w:rPr>
          <w:rFonts w:hint="eastAsia" w:ascii="宋体" w:hAnsi="宋体" w:cs="宋体"/>
          <w:b/>
          <w:bCs/>
          <w:sz w:val="24"/>
        </w:rPr>
        <w:t>20.6  对各项保险的一般要求</w:t>
      </w:r>
      <w:bookmarkEnd w:id="328"/>
    </w:p>
    <w:p>
      <w:pPr>
        <w:spacing w:line="312" w:lineRule="auto"/>
        <w:rPr>
          <w:rFonts w:ascii="宋体" w:hAnsi="宋体" w:cs="宋体"/>
          <w:sz w:val="24"/>
        </w:rPr>
      </w:pPr>
      <w:bookmarkStart w:id="329" w:name="_Toc221951328"/>
      <w:r>
        <w:rPr>
          <w:rFonts w:hint="eastAsia" w:ascii="宋体" w:hAnsi="宋体" w:cs="宋体"/>
          <w:sz w:val="24"/>
        </w:rPr>
        <w:t xml:space="preserve">     20.6.1  保险凭证</w:t>
      </w:r>
      <w:bookmarkEnd w:id="329"/>
    </w:p>
    <w:p>
      <w:pPr>
        <w:spacing w:line="312" w:lineRule="auto"/>
        <w:ind w:right="248" w:firstLine="480"/>
        <w:rPr>
          <w:rFonts w:ascii="宋体" w:hAnsi="宋体" w:cs="宋体"/>
          <w:sz w:val="24"/>
        </w:rPr>
      </w:pPr>
      <w:bookmarkStart w:id="330" w:name="_Toc221951330"/>
      <w:r>
        <w:rPr>
          <w:rFonts w:hint="eastAsia" w:ascii="宋体" w:hAnsi="宋体" w:cs="宋体"/>
          <w:sz w:val="24"/>
        </w:rPr>
        <w:t>承包人提交保险凭证的期限：</w:t>
      </w:r>
      <w:bookmarkEnd w:id="330"/>
      <w:r>
        <w:rPr>
          <w:rFonts w:hint="eastAsia" w:ascii="宋体" w:hAnsi="宋体" w:cs="宋体"/>
          <w:sz w:val="24"/>
        </w:rPr>
        <w:t>；</w:t>
      </w:r>
    </w:p>
    <w:p>
      <w:pPr>
        <w:spacing w:line="312" w:lineRule="auto"/>
        <w:ind w:right="248" w:firstLine="480"/>
        <w:rPr>
          <w:rFonts w:ascii="宋体" w:hAnsi="宋体" w:cs="宋体"/>
          <w:sz w:val="24"/>
        </w:rPr>
      </w:pPr>
      <w:bookmarkStart w:id="331" w:name="_Toc221951329"/>
      <w:r>
        <w:rPr>
          <w:rFonts w:hint="eastAsia" w:ascii="宋体" w:hAnsi="宋体" w:cs="宋体"/>
          <w:sz w:val="24"/>
        </w:rPr>
        <w:t>保险条件：</w:t>
      </w:r>
      <w:bookmarkEnd w:id="331"/>
      <w:r>
        <w:rPr>
          <w:rFonts w:hint="eastAsia" w:ascii="宋体" w:hAnsi="宋体" w:cs="宋体"/>
          <w:sz w:val="24"/>
        </w:rPr>
        <w:t>。</w:t>
      </w:r>
    </w:p>
    <w:p>
      <w:pPr>
        <w:spacing w:line="312" w:lineRule="auto"/>
        <w:ind w:right="248" w:firstLine="480"/>
        <w:rPr>
          <w:rFonts w:ascii="宋体" w:hAnsi="宋体" w:cs="宋体"/>
          <w:sz w:val="24"/>
        </w:rPr>
      </w:pPr>
      <w:bookmarkStart w:id="332" w:name="_Toc221951331"/>
      <w:r>
        <w:rPr>
          <w:rFonts w:hint="eastAsia" w:ascii="宋体" w:hAnsi="宋体" w:cs="宋体"/>
          <w:sz w:val="24"/>
        </w:rPr>
        <w:t>20.6.4  保险金不足的补偿</w:t>
      </w:r>
      <w:bookmarkEnd w:id="332"/>
    </w:p>
    <w:p>
      <w:pPr>
        <w:spacing w:line="312" w:lineRule="auto"/>
        <w:ind w:left="959" w:leftChars="228" w:right="248" w:hanging="480" w:hangingChars="200"/>
        <w:rPr>
          <w:rFonts w:ascii="宋体" w:hAnsi="宋体" w:cs="宋体"/>
          <w:sz w:val="24"/>
        </w:rPr>
      </w:pPr>
      <w:bookmarkStart w:id="333" w:name="_Toc221951332"/>
      <w:r>
        <w:rPr>
          <w:rFonts w:hint="eastAsia" w:ascii="宋体" w:hAnsi="宋体" w:cs="宋体"/>
          <w:sz w:val="24"/>
        </w:rPr>
        <w:t>承包人负责补偿的范围与金额：</w:t>
      </w:r>
      <w:bookmarkEnd w:id="333"/>
      <w:r>
        <w:rPr>
          <w:rFonts w:hint="eastAsia" w:ascii="宋体" w:hAnsi="宋体" w:cs="宋体"/>
          <w:sz w:val="24"/>
        </w:rPr>
        <w:t>；</w:t>
      </w:r>
    </w:p>
    <w:p>
      <w:pPr>
        <w:spacing w:line="312" w:lineRule="auto"/>
        <w:ind w:left="959" w:leftChars="228" w:right="248" w:hanging="480" w:hangingChars="200"/>
        <w:rPr>
          <w:rFonts w:ascii="宋体" w:hAnsi="宋体" w:cs="宋体"/>
          <w:sz w:val="24"/>
          <w:u w:val="single"/>
        </w:rPr>
      </w:pPr>
      <w:r>
        <w:rPr>
          <w:rFonts w:hint="eastAsia" w:ascii="宋体" w:hAnsi="宋体" w:cs="宋体"/>
          <w:sz w:val="24"/>
        </w:rPr>
        <w:t xml:space="preserve">发包人负责补偿的范围与金额：。                                                                                                                                                                                                                                                                                                                                                                                                                                                                                                                                                                                                                                                                                                                                                                                                                                                                                                                                                                                                                                                                                                                                                                                                                                                                                                                                                                                                                                                                                                                                                                                                                                                                                                                                                                                                                                                                                                                                                                                                                                          </w:t>
      </w:r>
    </w:p>
    <w:p>
      <w:pPr>
        <w:spacing w:line="312" w:lineRule="auto"/>
        <w:rPr>
          <w:rFonts w:ascii="宋体" w:hAnsi="宋体" w:cs="宋体"/>
          <w:b/>
          <w:sz w:val="24"/>
        </w:rPr>
      </w:pPr>
      <w:bookmarkStart w:id="334" w:name="_Toc222032712"/>
      <w:bookmarkStart w:id="335" w:name="_Toc222029543"/>
      <w:bookmarkStart w:id="336" w:name="_Toc229305401"/>
      <w:bookmarkStart w:id="337" w:name="_Toc222033894"/>
      <w:bookmarkStart w:id="338" w:name="_Toc221951334"/>
      <w:bookmarkStart w:id="339" w:name="_Toc222031045"/>
      <w:r>
        <w:rPr>
          <w:rFonts w:hint="eastAsia" w:ascii="宋体" w:hAnsi="宋体" w:cs="宋体"/>
          <w:b/>
          <w:sz w:val="24"/>
        </w:rPr>
        <w:t>24. 争议的解决</w:t>
      </w:r>
      <w:bookmarkEnd w:id="334"/>
      <w:bookmarkEnd w:id="335"/>
      <w:bookmarkEnd w:id="336"/>
      <w:bookmarkEnd w:id="337"/>
      <w:bookmarkEnd w:id="338"/>
      <w:bookmarkEnd w:id="339"/>
    </w:p>
    <w:p>
      <w:pPr>
        <w:spacing w:after="120" w:line="312" w:lineRule="auto"/>
        <w:ind w:firstLine="480" w:firstLineChars="200"/>
        <w:rPr>
          <w:rFonts w:ascii="宋体" w:hAnsi="宋体" w:cs="宋体"/>
          <w:sz w:val="24"/>
        </w:rPr>
      </w:pPr>
      <w:r>
        <w:rPr>
          <w:rFonts w:hint="eastAsia" w:ascii="宋体" w:hAnsi="宋体" w:cs="宋体"/>
          <w:sz w:val="24"/>
        </w:rPr>
        <w:t>发包人和承包人在履行合同中发生争议的，可以友好协商解决或者提请争议评审组评审。合同当事人友好协商解决不成、不愿提请争议评审或者不接受争议评审组意见的，可按下列第种方式解决：</w:t>
      </w:r>
    </w:p>
    <w:p>
      <w:pPr>
        <w:spacing w:line="312" w:lineRule="auto"/>
        <w:ind w:firstLine="480" w:firstLineChars="200"/>
        <w:jc w:val="left"/>
        <w:rPr>
          <w:rFonts w:ascii="宋体" w:hAnsi="宋体" w:cs="宋体"/>
          <w:sz w:val="24"/>
        </w:rPr>
      </w:pPr>
      <w:r>
        <w:rPr>
          <w:rFonts w:hint="eastAsia" w:ascii="宋体" w:hAnsi="宋体" w:cs="宋体"/>
          <w:sz w:val="24"/>
        </w:rPr>
        <w:t>（1）向仲裁委员会申请仲裁；</w:t>
      </w:r>
    </w:p>
    <w:p>
      <w:pPr>
        <w:pStyle w:val="15"/>
        <w:spacing w:before="0" w:beforeAutospacing="0" w:after="0" w:afterAutospacing="0" w:line="312" w:lineRule="auto"/>
        <w:rPr>
          <w:rFonts w:ascii="宋体" w:hAnsi="宋体" w:cs="宋体"/>
          <w:szCs w:val="24"/>
        </w:rPr>
      </w:pPr>
      <w:r>
        <w:rPr>
          <w:rFonts w:hint="eastAsia" w:ascii="宋体" w:hAnsi="宋体" w:cs="宋体"/>
          <w:szCs w:val="24"/>
        </w:rPr>
        <w:t xml:space="preserve">    （2）向人民法院起诉。</w:t>
      </w:r>
    </w:p>
    <w:p>
      <w:pPr>
        <w:pStyle w:val="15"/>
        <w:spacing w:line="312" w:lineRule="auto"/>
      </w:pPr>
    </w:p>
    <w:p>
      <w:pPr>
        <w:spacing w:line="312" w:lineRule="auto"/>
        <w:contextualSpacing/>
        <w:rPr>
          <w:rFonts w:ascii="宋体" w:hAnsi="宋体"/>
          <w:b/>
          <w:sz w:val="32"/>
          <w:szCs w:val="32"/>
        </w:rPr>
      </w:pPr>
      <w:bookmarkStart w:id="340" w:name="_Toc168476286"/>
      <w:bookmarkStart w:id="341" w:name="_Toc229305402"/>
      <w:bookmarkStart w:id="342" w:name="_Toc276296576"/>
      <w:bookmarkStart w:id="343" w:name="_Toc279701706"/>
      <w:bookmarkStart w:id="344" w:name="_Toc168475883"/>
      <w:bookmarkStart w:id="345" w:name="_Toc144974826"/>
      <w:r>
        <w:rPr>
          <w:rFonts w:ascii="宋体" w:hAnsi="宋体"/>
          <w:b/>
          <w:sz w:val="32"/>
          <w:szCs w:val="32"/>
        </w:rPr>
        <w:t>第三节  合同附件格式</w:t>
      </w:r>
      <w:bookmarkEnd w:id="340"/>
      <w:bookmarkEnd w:id="341"/>
      <w:bookmarkEnd w:id="342"/>
      <w:bookmarkEnd w:id="343"/>
      <w:bookmarkEnd w:id="344"/>
      <w:bookmarkEnd w:id="345"/>
    </w:p>
    <w:p>
      <w:pPr>
        <w:spacing w:before="120" w:line="312" w:lineRule="auto"/>
        <w:rPr>
          <w:rFonts w:ascii="宋体" w:hAnsi="宋体"/>
          <w:sz w:val="24"/>
        </w:rPr>
      </w:pPr>
      <w:bookmarkStart w:id="346" w:name="_Toc277250438"/>
      <w:bookmarkStart w:id="347" w:name="_Toc168475884"/>
      <w:bookmarkStart w:id="348" w:name="_Toc276296577"/>
      <w:bookmarkStart w:id="349" w:name="_Toc279698662"/>
      <w:bookmarkStart w:id="350" w:name="_Toc279701707"/>
      <w:bookmarkStart w:id="351" w:name="_Toc144974827"/>
      <w:bookmarkStart w:id="352" w:name="_Toc266885982"/>
      <w:bookmarkStart w:id="353" w:name="_Toc168476287"/>
      <w:bookmarkStart w:id="354" w:name="_Toc277253913"/>
      <w:bookmarkStart w:id="355" w:name="_Toc266859678"/>
      <w:r>
        <w:rPr>
          <w:rFonts w:ascii="宋体" w:hAnsi="宋体"/>
          <w:sz w:val="24"/>
        </w:rPr>
        <w:t>附件一：</w:t>
      </w:r>
      <w:bookmarkEnd w:id="346"/>
      <w:bookmarkEnd w:id="347"/>
      <w:bookmarkEnd w:id="348"/>
      <w:bookmarkEnd w:id="349"/>
      <w:bookmarkEnd w:id="350"/>
      <w:bookmarkEnd w:id="351"/>
      <w:bookmarkEnd w:id="352"/>
      <w:bookmarkEnd w:id="353"/>
      <w:bookmarkEnd w:id="354"/>
      <w:bookmarkEnd w:id="355"/>
    </w:p>
    <w:p>
      <w:pPr>
        <w:spacing w:line="312" w:lineRule="auto"/>
        <w:jc w:val="center"/>
        <w:rPr>
          <w:rFonts w:ascii="宋体" w:hAnsi="宋体"/>
          <w:b/>
          <w:sz w:val="24"/>
        </w:rPr>
      </w:pPr>
      <w:r>
        <w:rPr>
          <w:rFonts w:ascii="宋体" w:hAnsi="宋体"/>
          <w:b/>
          <w:sz w:val="24"/>
        </w:rPr>
        <w:t>合同协议书</w:t>
      </w:r>
    </w:p>
    <w:p>
      <w:pPr>
        <w:spacing w:line="312" w:lineRule="auto"/>
        <w:jc w:val="center"/>
        <w:rPr>
          <w:rFonts w:ascii="宋体" w:hAnsi="宋体"/>
          <w:b/>
          <w:sz w:val="24"/>
        </w:rPr>
      </w:pPr>
    </w:p>
    <w:p>
      <w:pPr>
        <w:autoSpaceDE w:val="0"/>
        <w:autoSpaceDN w:val="0"/>
        <w:adjustRightInd w:val="0"/>
        <w:spacing w:line="312" w:lineRule="auto"/>
        <w:ind w:firstLine="424" w:firstLineChars="177"/>
        <w:rPr>
          <w:rFonts w:ascii="宋体" w:hAnsi="宋体"/>
          <w:sz w:val="24"/>
        </w:rPr>
      </w:pPr>
      <w:r>
        <w:rPr>
          <w:rFonts w:ascii="宋体" w:hAnsi="宋体"/>
          <w:sz w:val="24"/>
        </w:rPr>
        <w:t>（发包人名称，以下简称“发包人”）为实施（项目名称），已接受（承包人名称，以下简称“承包人”）对（项目名称）（标段名称）的投标，并确定其为中标人。发包人和承包人共同达成如下协议。发包人和承包人共同达成如下协议。</w:t>
      </w:r>
    </w:p>
    <w:p>
      <w:pPr>
        <w:spacing w:line="312" w:lineRule="auto"/>
        <w:ind w:firstLine="424" w:firstLineChars="177"/>
        <w:rPr>
          <w:rFonts w:ascii="宋体" w:hAnsi="宋体"/>
          <w:sz w:val="24"/>
        </w:rPr>
      </w:pPr>
      <w:bookmarkStart w:id="356" w:name="_Toc144974828"/>
      <w:bookmarkStart w:id="357" w:name="_Toc168476288"/>
      <w:bookmarkStart w:id="358" w:name="_Toc168475885"/>
      <w:r>
        <w:rPr>
          <w:rFonts w:ascii="宋体" w:hAnsi="宋体"/>
          <w:sz w:val="24"/>
        </w:rPr>
        <w:t>1. 本协议书与下列文件一起构成合同文件：</w:t>
      </w:r>
      <w:bookmarkEnd w:id="356"/>
      <w:bookmarkEnd w:id="357"/>
      <w:bookmarkEnd w:id="358"/>
    </w:p>
    <w:p>
      <w:pPr>
        <w:spacing w:line="312" w:lineRule="auto"/>
        <w:ind w:firstLine="424" w:firstLineChars="177"/>
        <w:rPr>
          <w:rFonts w:ascii="宋体" w:hAnsi="宋体"/>
          <w:sz w:val="24"/>
        </w:rPr>
      </w:pPr>
      <w:r>
        <w:rPr>
          <w:rFonts w:ascii="宋体" w:hAnsi="宋体"/>
          <w:sz w:val="24"/>
        </w:rPr>
        <w:t>（1）中标通知书；</w:t>
      </w:r>
    </w:p>
    <w:p>
      <w:pPr>
        <w:spacing w:line="312" w:lineRule="auto"/>
        <w:ind w:firstLine="424" w:firstLineChars="177"/>
        <w:rPr>
          <w:rFonts w:ascii="宋体" w:hAnsi="宋体"/>
          <w:sz w:val="24"/>
        </w:rPr>
      </w:pPr>
      <w:r>
        <w:rPr>
          <w:rFonts w:ascii="宋体" w:hAnsi="宋体"/>
          <w:sz w:val="24"/>
        </w:rPr>
        <w:t>（2）投标函及投标函附录；</w:t>
      </w:r>
    </w:p>
    <w:p>
      <w:pPr>
        <w:spacing w:line="312" w:lineRule="auto"/>
        <w:ind w:firstLine="424" w:firstLineChars="177"/>
        <w:rPr>
          <w:rFonts w:ascii="宋体" w:hAnsi="宋体"/>
          <w:sz w:val="24"/>
        </w:rPr>
      </w:pPr>
      <w:r>
        <w:rPr>
          <w:rFonts w:ascii="宋体" w:hAnsi="宋体"/>
          <w:sz w:val="24"/>
        </w:rPr>
        <w:t>（3）专用合同条款；</w:t>
      </w:r>
    </w:p>
    <w:p>
      <w:pPr>
        <w:spacing w:line="312" w:lineRule="auto"/>
        <w:ind w:firstLine="424" w:firstLineChars="177"/>
        <w:rPr>
          <w:rFonts w:ascii="宋体" w:hAnsi="宋体"/>
          <w:sz w:val="24"/>
        </w:rPr>
      </w:pPr>
      <w:r>
        <w:rPr>
          <w:rFonts w:ascii="宋体" w:hAnsi="宋体"/>
          <w:sz w:val="24"/>
        </w:rPr>
        <w:t>（4）通用合同条款；</w:t>
      </w:r>
    </w:p>
    <w:p>
      <w:pPr>
        <w:spacing w:line="312" w:lineRule="auto"/>
        <w:ind w:firstLine="424" w:firstLineChars="177"/>
        <w:rPr>
          <w:rFonts w:ascii="宋体" w:hAnsi="宋体"/>
          <w:sz w:val="24"/>
        </w:rPr>
      </w:pPr>
      <w:r>
        <w:rPr>
          <w:rFonts w:ascii="宋体" w:hAnsi="宋体"/>
          <w:sz w:val="24"/>
        </w:rPr>
        <w:t>（5）技术标准和要求；</w:t>
      </w:r>
    </w:p>
    <w:p>
      <w:pPr>
        <w:spacing w:line="312" w:lineRule="auto"/>
        <w:ind w:firstLine="424" w:firstLineChars="177"/>
        <w:rPr>
          <w:rFonts w:ascii="宋体" w:hAnsi="宋体"/>
          <w:sz w:val="24"/>
        </w:rPr>
      </w:pPr>
      <w:r>
        <w:rPr>
          <w:rFonts w:ascii="宋体" w:hAnsi="宋体"/>
          <w:sz w:val="24"/>
        </w:rPr>
        <w:t>（6）图纸；</w:t>
      </w:r>
    </w:p>
    <w:p>
      <w:pPr>
        <w:spacing w:line="312" w:lineRule="auto"/>
        <w:ind w:firstLine="424" w:firstLineChars="177"/>
        <w:rPr>
          <w:rFonts w:ascii="宋体" w:hAnsi="宋体"/>
          <w:sz w:val="24"/>
        </w:rPr>
      </w:pPr>
      <w:r>
        <w:rPr>
          <w:rFonts w:ascii="宋体" w:hAnsi="宋体"/>
          <w:sz w:val="24"/>
        </w:rPr>
        <w:t>（7）已标价工程量清单；</w:t>
      </w:r>
    </w:p>
    <w:p>
      <w:pPr>
        <w:spacing w:line="312" w:lineRule="auto"/>
        <w:ind w:firstLine="424" w:firstLineChars="177"/>
        <w:rPr>
          <w:rFonts w:ascii="宋体" w:hAnsi="宋体"/>
          <w:sz w:val="24"/>
        </w:rPr>
      </w:pPr>
      <w:r>
        <w:rPr>
          <w:rFonts w:ascii="宋体" w:hAnsi="宋体"/>
          <w:sz w:val="24"/>
        </w:rPr>
        <w:t>（8）其他合同文件。</w:t>
      </w:r>
    </w:p>
    <w:p>
      <w:pPr>
        <w:spacing w:line="312" w:lineRule="auto"/>
        <w:ind w:firstLine="424" w:firstLineChars="177"/>
        <w:rPr>
          <w:rFonts w:ascii="宋体" w:hAnsi="宋体"/>
          <w:sz w:val="24"/>
        </w:rPr>
      </w:pPr>
      <w:bookmarkStart w:id="359" w:name="_Toc168476289"/>
      <w:bookmarkStart w:id="360" w:name="_Toc168475886"/>
      <w:bookmarkStart w:id="361" w:name="_Toc144974829"/>
      <w:r>
        <w:rPr>
          <w:rFonts w:ascii="宋体" w:hAnsi="宋体"/>
          <w:sz w:val="24"/>
        </w:rPr>
        <w:t>2. 上述文</w:t>
      </w:r>
      <w:r>
        <w:rPr>
          <w:rFonts w:ascii="宋体" w:hAnsi="宋体"/>
          <w:spacing w:val="-4"/>
          <w:sz w:val="24"/>
        </w:rPr>
        <w:t>件互相补充和解释，如有不明确或不一致之处，以合同约定次序在先者为准。</w:t>
      </w:r>
      <w:bookmarkEnd w:id="359"/>
      <w:bookmarkEnd w:id="360"/>
      <w:bookmarkEnd w:id="361"/>
    </w:p>
    <w:p>
      <w:pPr>
        <w:spacing w:line="312" w:lineRule="auto"/>
        <w:ind w:firstLine="424" w:firstLineChars="177"/>
        <w:rPr>
          <w:rFonts w:ascii="宋体" w:hAnsi="宋体"/>
          <w:sz w:val="24"/>
        </w:rPr>
      </w:pPr>
      <w:r>
        <w:rPr>
          <w:rFonts w:ascii="宋体" w:hAnsi="宋体"/>
          <w:sz w:val="24"/>
        </w:rPr>
        <w:t>3. 签约合同价：人民币（大写）元（¥）。</w:t>
      </w:r>
    </w:p>
    <w:p>
      <w:pPr>
        <w:spacing w:line="312" w:lineRule="auto"/>
        <w:ind w:firstLine="424" w:firstLineChars="177"/>
        <w:rPr>
          <w:rFonts w:ascii="宋体" w:hAnsi="宋体"/>
          <w:sz w:val="24"/>
          <w:u w:val="single"/>
        </w:rPr>
      </w:pPr>
      <w:r>
        <w:rPr>
          <w:rFonts w:ascii="宋体" w:hAnsi="宋体"/>
          <w:sz w:val="24"/>
        </w:rPr>
        <w:t>4. 承包人项目经理：。</w:t>
      </w:r>
    </w:p>
    <w:p>
      <w:pPr>
        <w:spacing w:line="312" w:lineRule="auto"/>
        <w:ind w:firstLine="424" w:firstLineChars="177"/>
        <w:rPr>
          <w:rFonts w:ascii="宋体" w:hAnsi="宋体"/>
          <w:sz w:val="24"/>
        </w:rPr>
      </w:pPr>
      <w:r>
        <w:rPr>
          <w:rFonts w:ascii="宋体" w:hAnsi="宋体"/>
          <w:sz w:val="24"/>
        </w:rPr>
        <w:t>5. 工程质量符合标准。</w:t>
      </w:r>
    </w:p>
    <w:p>
      <w:pPr>
        <w:spacing w:line="312" w:lineRule="auto"/>
        <w:ind w:firstLine="424" w:firstLineChars="177"/>
        <w:rPr>
          <w:rFonts w:ascii="宋体" w:hAnsi="宋体"/>
          <w:sz w:val="24"/>
        </w:rPr>
      </w:pPr>
      <w:r>
        <w:rPr>
          <w:rFonts w:ascii="宋体" w:hAnsi="宋体"/>
          <w:sz w:val="24"/>
        </w:rPr>
        <w:t>6. 承包人承诺按合同约定承担工程的实施、完成及缺陷修复。</w:t>
      </w:r>
    </w:p>
    <w:p>
      <w:pPr>
        <w:spacing w:line="312" w:lineRule="auto"/>
        <w:ind w:firstLine="424" w:firstLineChars="177"/>
        <w:rPr>
          <w:rFonts w:ascii="宋体" w:hAnsi="宋体"/>
          <w:sz w:val="24"/>
        </w:rPr>
      </w:pPr>
      <w:r>
        <w:rPr>
          <w:rFonts w:ascii="宋体" w:hAnsi="宋体"/>
          <w:sz w:val="24"/>
        </w:rPr>
        <w:t>7. 发包人承诺按合同约定的条件、时间和方式向承包人支付合同价款。</w:t>
      </w:r>
    </w:p>
    <w:p>
      <w:pPr>
        <w:spacing w:line="312" w:lineRule="auto"/>
        <w:ind w:firstLine="424" w:firstLineChars="177"/>
        <w:rPr>
          <w:rFonts w:ascii="宋体" w:hAnsi="宋体"/>
          <w:sz w:val="24"/>
        </w:rPr>
      </w:pPr>
      <w:r>
        <w:rPr>
          <w:rFonts w:ascii="宋体" w:hAnsi="宋体"/>
          <w:sz w:val="24"/>
        </w:rPr>
        <w:t>8. 承包人应按照监理人指示开工，工期为天。</w:t>
      </w:r>
    </w:p>
    <w:p>
      <w:pPr>
        <w:spacing w:line="312" w:lineRule="auto"/>
        <w:ind w:firstLine="424" w:firstLineChars="177"/>
        <w:rPr>
          <w:rFonts w:ascii="宋体" w:hAnsi="宋体"/>
          <w:sz w:val="24"/>
        </w:rPr>
      </w:pPr>
      <w:r>
        <w:rPr>
          <w:rFonts w:ascii="宋体" w:hAnsi="宋体"/>
          <w:sz w:val="24"/>
        </w:rPr>
        <w:t>9. 本协议一式份。双方各执份。</w:t>
      </w:r>
    </w:p>
    <w:p>
      <w:pPr>
        <w:spacing w:line="312" w:lineRule="auto"/>
        <w:ind w:firstLine="424" w:firstLineChars="177"/>
        <w:rPr>
          <w:rFonts w:ascii="宋体" w:hAnsi="宋体"/>
          <w:sz w:val="24"/>
        </w:rPr>
      </w:pPr>
      <w:bookmarkStart w:id="362" w:name="_Toc144974830"/>
      <w:bookmarkStart w:id="363" w:name="_Toc168476290"/>
      <w:bookmarkStart w:id="364" w:name="_Toc168475887"/>
      <w:r>
        <w:rPr>
          <w:rFonts w:ascii="宋体" w:hAnsi="宋体"/>
          <w:sz w:val="24"/>
        </w:rPr>
        <w:t>10. 合同未尽事宜，双方另行签订补充协议。补充协议是合同的组成部分。</w:t>
      </w:r>
      <w:bookmarkEnd w:id="362"/>
      <w:bookmarkEnd w:id="363"/>
      <w:bookmarkEnd w:id="364"/>
    </w:p>
    <w:p>
      <w:pPr>
        <w:spacing w:line="312" w:lineRule="auto"/>
        <w:ind w:firstLine="424" w:firstLineChars="177"/>
        <w:rPr>
          <w:rFonts w:ascii="宋体" w:hAnsi="宋体"/>
          <w:sz w:val="24"/>
        </w:rPr>
      </w:pPr>
    </w:p>
    <w:p>
      <w:pPr>
        <w:spacing w:line="312" w:lineRule="auto"/>
        <w:rPr>
          <w:rFonts w:ascii="宋体" w:hAnsi="宋体"/>
          <w:sz w:val="24"/>
        </w:rPr>
      </w:pPr>
      <w:r>
        <w:rPr>
          <w:rFonts w:ascii="宋体" w:hAnsi="宋体"/>
          <w:sz w:val="24"/>
        </w:rPr>
        <w:t>发包人：（盖单位章）      承包人：（盖单位章）</w:t>
      </w:r>
    </w:p>
    <w:p>
      <w:pPr>
        <w:spacing w:line="312" w:lineRule="auto"/>
        <w:rPr>
          <w:rFonts w:ascii="宋体" w:hAnsi="宋体"/>
          <w:sz w:val="24"/>
        </w:rPr>
      </w:pPr>
      <w:r>
        <w:rPr>
          <w:rFonts w:ascii="宋体" w:hAnsi="宋体"/>
          <w:sz w:val="24"/>
        </w:rPr>
        <w:t>法定代表人或其委托代理人：（签字）  法定代表人或其委托代理人：（签字）</w:t>
      </w:r>
    </w:p>
    <w:p>
      <w:pPr>
        <w:spacing w:line="312" w:lineRule="auto"/>
        <w:ind w:firstLine="360" w:firstLineChars="150"/>
        <w:rPr>
          <w:rFonts w:ascii="宋体" w:hAnsi="宋体"/>
          <w:sz w:val="24"/>
        </w:rPr>
      </w:pPr>
      <w:r>
        <w:rPr>
          <w:rFonts w:ascii="宋体" w:hAnsi="宋体"/>
          <w:sz w:val="24"/>
        </w:rPr>
        <w:t>年月  日                  年月 日</w:t>
      </w:r>
      <w:bookmarkStart w:id="365" w:name="_Toc266885983"/>
      <w:bookmarkStart w:id="366" w:name="_Toc266859679"/>
      <w:bookmarkStart w:id="367" w:name="_Toc257988090"/>
    </w:p>
    <w:p>
      <w:pPr>
        <w:spacing w:before="120" w:line="312" w:lineRule="auto"/>
        <w:rPr>
          <w:rFonts w:ascii="宋体" w:hAnsi="宋体"/>
          <w:szCs w:val="21"/>
        </w:rPr>
      </w:pPr>
      <w:r>
        <w:rPr>
          <w:rFonts w:ascii="宋体" w:hAnsi="宋体"/>
          <w:szCs w:val="21"/>
        </w:rPr>
        <w:br w:type="page"/>
      </w:r>
      <w:bookmarkStart w:id="368" w:name="_Toc279701708"/>
      <w:bookmarkStart w:id="369" w:name="_Toc277250439"/>
      <w:bookmarkStart w:id="370" w:name="_Toc277253914"/>
      <w:bookmarkStart w:id="371" w:name="_Toc276296578"/>
      <w:bookmarkStart w:id="372" w:name="_Toc279698663"/>
      <w:r>
        <w:rPr>
          <w:rFonts w:ascii="宋体" w:hAnsi="宋体"/>
          <w:szCs w:val="21"/>
        </w:rPr>
        <w:t>附件二：</w:t>
      </w:r>
      <w:bookmarkEnd w:id="365"/>
      <w:bookmarkEnd w:id="366"/>
      <w:bookmarkEnd w:id="367"/>
      <w:bookmarkEnd w:id="368"/>
      <w:bookmarkEnd w:id="369"/>
      <w:bookmarkEnd w:id="370"/>
      <w:bookmarkEnd w:id="371"/>
      <w:bookmarkEnd w:id="372"/>
    </w:p>
    <w:p>
      <w:pPr>
        <w:tabs>
          <w:tab w:val="center" w:pos="4320"/>
          <w:tab w:val="left" w:pos="7815"/>
        </w:tabs>
        <w:autoSpaceDE w:val="0"/>
        <w:autoSpaceDN w:val="0"/>
        <w:adjustRightInd w:val="0"/>
        <w:snapToGrid w:val="0"/>
        <w:spacing w:before="238" w:line="312" w:lineRule="auto"/>
        <w:rPr>
          <w:rFonts w:ascii="宋体" w:hAnsi="宋体"/>
          <w:b/>
          <w:szCs w:val="21"/>
        </w:rPr>
      </w:pPr>
      <w:r>
        <w:rPr>
          <w:rFonts w:ascii="宋体" w:hAnsi="宋体"/>
          <w:szCs w:val="21"/>
        </w:rPr>
        <w:tab/>
      </w:r>
      <w:r>
        <w:rPr>
          <w:rFonts w:ascii="宋体" w:hAnsi="宋体"/>
          <w:b/>
          <w:sz w:val="28"/>
          <w:szCs w:val="28"/>
        </w:rPr>
        <w:t>建设项目廉政责任书</w:t>
      </w:r>
      <w:r>
        <w:rPr>
          <w:rFonts w:ascii="宋体" w:hAnsi="宋体"/>
          <w:b/>
          <w:szCs w:val="21"/>
        </w:rPr>
        <w:tab/>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建设单位（甲方）：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承建单位（乙方）：</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为确保水利工程建设质量，预防和制止水利工程建设中发生违规违纪违法和腐败行为，根据《中国共产党党员领导干部廉洁从政若干准则（试行）》、《关于实行党风廉政建设责任制的规定》等有关规定，特制定廉政责任书，双方共同遵守执行。</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一、甲、乙双方要严格遵守国家的法律法规和党风廉政建设的各项规定。乙方不得将本合同转让和违法分包，否则一旦发现甲方立即终止合同，并报请有关部门，将其列入黑名单。</w:t>
      </w:r>
    </w:p>
    <w:p>
      <w:pPr>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二、甲方领导及其工作人员保持与乙方的正常业务交往。不得以任何形式向乙方索要和收受回扣等好处费；不得接受乙方的礼金、有价证券和贵重物品；不得在乙方报销任何应由个人支付的费用；不得要求或接受乙方为其购买商品房、房屋装修及出国出境、“参观”旅游等提供方便和资助；不得参加乙方安排的宴请和娱乐健身活动；不得指定招标文件约定外的物资设备生产厂家和供应商；不得要求乙方购买合同规定外的特殊材料和设备。</w:t>
      </w:r>
    </w:p>
    <w:p>
      <w:pPr>
        <w:autoSpaceDE w:val="0"/>
        <w:autoSpaceDN w:val="0"/>
        <w:adjustRightInd w:val="0"/>
        <w:snapToGrid w:val="0"/>
        <w:spacing w:line="312" w:lineRule="auto"/>
        <w:ind w:firstLine="420"/>
        <w:rPr>
          <w:rFonts w:ascii="宋体" w:hAnsi="宋体"/>
          <w:kern w:val="28"/>
          <w:sz w:val="24"/>
          <w:lang w:val="zh-CN"/>
        </w:rPr>
      </w:pPr>
      <w:r>
        <w:rPr>
          <w:rFonts w:ascii="宋体" w:hAnsi="宋体"/>
          <w:kern w:val="28"/>
          <w:sz w:val="24"/>
          <w:lang w:val="zh-CN"/>
        </w:rPr>
        <w:t>三、乙方按照合同约定施工。不得以任何理由向甲方领导及其工作人员馈赠礼金、有价证券等；不得以任何名义为甲方领导及其工作人员报销应由甲方单位或个人支付的任何费用；不得以洽谈业务、签订合同为借口邀请甲方领导及工作人员外出“参观”旅游或高消费娱乐和健身活动；不得为甲方单位或个人购置或提供通讯工具、交通工具和高档办公用品；不得使用甲方指定的未经招投标的分包队伍；不得向甲方领导及工作人员赠送商品房、装修居室或为其子女上学、出国留学提供资助；不得违反规定向甲方领导及工作人员实施与行贿有嫌的一切行为。</w:t>
      </w:r>
    </w:p>
    <w:p>
      <w:pPr>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四、甲、乙双方要互相监督，共同抵制不廉洁行为。乙方如发现甲方领导及工作人员有违反上述规定的索贿受贿等行为，应向甲方上级领导和纪检监察部门举报，甲方不得以任何借口对乙方进行报复。甲方如发现乙方有违反上述规定的贿赂行为，应向乙方上级领导和纪检监察部门举报。</w:t>
      </w:r>
    </w:p>
    <w:p>
      <w:pPr>
        <w:tabs>
          <w:tab w:val="left" w:pos="7260"/>
        </w:tabs>
        <w:autoSpaceDE w:val="0"/>
        <w:autoSpaceDN w:val="0"/>
        <w:adjustRightInd w:val="0"/>
        <w:snapToGrid w:val="0"/>
        <w:spacing w:line="312" w:lineRule="auto"/>
        <w:ind w:firstLine="480"/>
        <w:rPr>
          <w:rFonts w:ascii="宋体" w:hAnsi="宋体"/>
          <w:kern w:val="28"/>
          <w:sz w:val="24"/>
          <w:lang w:val="zh-CN"/>
        </w:rPr>
      </w:pPr>
      <w:r>
        <w:rPr>
          <w:rFonts w:ascii="宋体" w:hAnsi="宋体"/>
          <w:kern w:val="28"/>
          <w:sz w:val="24"/>
          <w:lang w:val="zh-CN"/>
        </w:rPr>
        <w:t>五、本廉政责任书作为工程建设施工合同的必备附件，经双方代表签订后生效。</w:t>
      </w:r>
    </w:p>
    <w:p>
      <w:pPr>
        <w:tabs>
          <w:tab w:val="left" w:pos="7260"/>
        </w:tabs>
        <w:autoSpaceDE w:val="0"/>
        <w:autoSpaceDN w:val="0"/>
        <w:adjustRightInd w:val="0"/>
        <w:snapToGrid w:val="0"/>
        <w:spacing w:line="312" w:lineRule="auto"/>
        <w:ind w:firstLine="560"/>
        <w:rPr>
          <w:rFonts w:ascii="宋体" w:hAnsi="宋体"/>
          <w:kern w:val="28"/>
          <w:sz w:val="24"/>
          <w:lang w:val="zh-CN"/>
        </w:rPr>
      </w:pPr>
      <w:r>
        <w:rPr>
          <w:rFonts w:ascii="宋体" w:hAnsi="宋体"/>
          <w:kern w:val="28"/>
          <w:sz w:val="24"/>
          <w:lang w:val="zh-CN"/>
        </w:rPr>
        <w:t>本廉政责任书一式二份，甲、乙双方各执一份，复印件报双方上级纪检监察部门分别留存备案。</w:t>
      </w:r>
    </w:p>
    <w:p>
      <w:pPr>
        <w:tabs>
          <w:tab w:val="left" w:pos="4470"/>
        </w:tabs>
        <w:autoSpaceDE w:val="0"/>
        <w:autoSpaceDN w:val="0"/>
        <w:adjustRightInd w:val="0"/>
        <w:snapToGrid w:val="0"/>
        <w:spacing w:line="312" w:lineRule="auto"/>
        <w:ind w:left="960" w:hanging="960"/>
        <w:rPr>
          <w:rFonts w:ascii="宋体" w:hAnsi="宋体"/>
          <w:kern w:val="28"/>
          <w:sz w:val="24"/>
          <w:lang w:val="zh-CN"/>
        </w:rPr>
      </w:pPr>
      <w:r>
        <w:rPr>
          <w:rFonts w:ascii="宋体" w:hAnsi="宋体"/>
          <w:kern w:val="28"/>
          <w:sz w:val="24"/>
          <w:lang w:val="zh-CN"/>
        </w:rPr>
        <w:t xml:space="preserve">              甲方：</w:t>
      </w:r>
      <w:r>
        <w:rPr>
          <w:rFonts w:ascii="宋体" w:hAnsi="宋体"/>
          <w:kern w:val="28"/>
          <w:sz w:val="24"/>
          <w:lang w:val="zh-CN"/>
        </w:rPr>
        <w:tab/>
      </w:r>
      <w:r>
        <w:rPr>
          <w:rFonts w:ascii="宋体" w:hAnsi="宋体"/>
          <w:kern w:val="28"/>
          <w:sz w:val="24"/>
          <w:lang w:val="zh-CN"/>
        </w:rPr>
        <w:t xml:space="preserve">           乙方：</w:t>
      </w:r>
    </w:p>
    <w:p>
      <w:pPr>
        <w:tabs>
          <w:tab w:val="left" w:pos="519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签字：</w:t>
      </w:r>
      <w:r>
        <w:rPr>
          <w:rFonts w:ascii="宋体" w:hAnsi="宋体"/>
          <w:kern w:val="28"/>
          <w:sz w:val="24"/>
          <w:lang w:val="zh-CN"/>
        </w:rPr>
        <w:tab/>
      </w:r>
      <w:r>
        <w:rPr>
          <w:rFonts w:ascii="宋体" w:hAnsi="宋体"/>
          <w:kern w:val="28"/>
          <w:sz w:val="24"/>
          <w:lang w:val="zh-CN"/>
        </w:rPr>
        <w:t xml:space="preserve">     签字：</w:t>
      </w:r>
    </w:p>
    <w:p>
      <w:pPr>
        <w:tabs>
          <w:tab w:val="left" w:pos="543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 xml:space="preserve">              盖章</w:t>
      </w:r>
      <w:r>
        <w:rPr>
          <w:rFonts w:ascii="宋体" w:hAnsi="宋体"/>
          <w:kern w:val="28"/>
          <w:sz w:val="24"/>
          <w:lang w:val="zh-CN"/>
        </w:rPr>
        <w:tab/>
      </w:r>
      <w:r>
        <w:rPr>
          <w:rFonts w:ascii="宋体" w:hAnsi="宋体"/>
          <w:kern w:val="28"/>
          <w:sz w:val="24"/>
          <w:lang w:val="zh-CN"/>
        </w:rPr>
        <w:t xml:space="preserve">   盖章</w:t>
      </w:r>
    </w:p>
    <w:p>
      <w:pPr>
        <w:tabs>
          <w:tab w:val="left" w:pos="5810"/>
        </w:tabs>
        <w:autoSpaceDE w:val="0"/>
        <w:autoSpaceDN w:val="0"/>
        <w:adjustRightInd w:val="0"/>
        <w:snapToGrid w:val="0"/>
        <w:spacing w:line="312" w:lineRule="auto"/>
        <w:rPr>
          <w:rFonts w:ascii="宋体" w:hAnsi="宋体"/>
          <w:kern w:val="28"/>
          <w:sz w:val="24"/>
          <w:lang w:val="zh-CN"/>
        </w:rPr>
      </w:pPr>
      <w:r>
        <w:rPr>
          <w:rFonts w:ascii="宋体" w:hAnsi="宋体"/>
          <w:kern w:val="28"/>
          <w:sz w:val="24"/>
          <w:lang w:val="zh-CN"/>
        </w:rPr>
        <w:tab/>
      </w:r>
      <w:r>
        <w:rPr>
          <w:rFonts w:ascii="宋体" w:hAnsi="宋体"/>
          <w:kern w:val="28"/>
          <w:sz w:val="24"/>
          <w:lang w:val="zh-CN"/>
        </w:rPr>
        <w:t>年    月    日</w:t>
      </w:r>
    </w:p>
    <w:p>
      <w:pPr>
        <w:spacing w:line="312" w:lineRule="auto"/>
        <w:jc w:val="center"/>
        <w:rPr>
          <w:b/>
          <w:bCs/>
          <w:sz w:val="32"/>
          <w:szCs w:val="32"/>
        </w:rPr>
      </w:pPr>
      <w:bookmarkStart w:id="373" w:name="_Toc16924"/>
      <w:r>
        <w:rPr>
          <w:rFonts w:hint="eastAsia"/>
          <w:b/>
          <w:bCs/>
          <w:sz w:val="32"/>
          <w:szCs w:val="32"/>
        </w:rPr>
        <w:t>第五章  工程量清单</w:t>
      </w:r>
      <w:bookmarkEnd w:id="373"/>
    </w:p>
    <w:p>
      <w:pPr>
        <w:spacing w:line="360" w:lineRule="auto"/>
        <w:ind w:firstLine="480" w:firstLineChars="200"/>
        <w:rPr>
          <w:rFonts w:asciiTheme="minorEastAsia" w:hAnsiTheme="minorEastAsia" w:eastAsiaTheme="minorEastAsia" w:cstheme="minorEastAsia"/>
          <w:bCs/>
          <w:color w:val="000000"/>
          <w:sz w:val="24"/>
        </w:rPr>
      </w:pPr>
      <w:bookmarkStart w:id="374" w:name="_Toc21351"/>
      <w:r>
        <w:rPr>
          <w:rFonts w:hint="eastAsia" w:asciiTheme="minorEastAsia" w:hAnsiTheme="minorEastAsia" w:eastAsiaTheme="minorEastAsia" w:cstheme="minorEastAsia"/>
          <w:bCs/>
          <w:color w:val="000000"/>
          <w:sz w:val="24"/>
        </w:rPr>
        <w:t>1. 工程量清单说明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1.2 本工程量清单应与招标文件中的投标人须知、通用合同条款、专用合同条款、技术标准和要求及图纸等一起阅读和理解。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1.3 本工程量清单仅是投标报价的共同基础，实际工程计量和工程价款的支付应遵循合同条款的约定和第七章“技术标准和要求”的有关规定。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 投标报价说明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2.1 工程量清单中的每一子目须填入单价或价格，且只允许有一个报价。每一子目须有子目单价分析表。</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2.2 工程量清单中标价的单价或金额，应包括所需人工费、施工机械使用费、材料费、其他（运杂费、质检费、安装费、缺陷修复费、保险费，以及合同明示或暗示的风险、责任和义务等），以及管理费、利润等。</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2.3 工程量清单中投标人没有填入单价或价格的子目，其费用视为已分摊在工程量清单中其他相关子目的单价或价格之中。</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2.4 暂列金额的数量及拟用子目的说明：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 xml:space="preserve">2.5暂估价的数量及拟用子目的说明：    /    </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 其他说明</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3.1工程量清单中有计算或汇总中的算术错误时，应按以下原则改正：</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（1）投标文件中的大写与小写金额不一致的，以大写金额为准；</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（2）工程量清单中任一项目的单价乘其工程量的乘积与该项目的合价不吻合时，应以单价为准，改正合价。但经评标委员会核对后认为单价有明显的小数点错位时，则应以合价为准，改正单价。</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3.2投标人在编制报价时，其定额及费用标准可参考有关规定，并发挥自身的优势，招标人在此不作统一规定。</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3.3进入单价的材料均应以当地实际材料预算价计入单价，不再计取材料价差，投标人的报价在合同实施期间不进行单价调整。</w:t>
      </w:r>
    </w:p>
    <w:p>
      <w:pPr>
        <w:spacing w:line="360" w:lineRule="auto"/>
        <w:ind w:firstLine="480" w:firstLineChars="200"/>
        <w:rPr>
          <w:rFonts w:asciiTheme="minorEastAsia" w:hAnsiTheme="minorEastAsia" w:eastAsiaTheme="minorEastAsia" w:cstheme="minorEastAsia"/>
          <w:bCs/>
          <w:color w:val="000000"/>
          <w:sz w:val="24"/>
        </w:rPr>
      </w:pPr>
      <w:r>
        <w:rPr>
          <w:rFonts w:hint="eastAsia" w:asciiTheme="minorEastAsia" w:hAnsiTheme="minorEastAsia" w:eastAsiaTheme="minorEastAsia" w:cstheme="minorEastAsia"/>
          <w:bCs/>
          <w:color w:val="000000"/>
          <w:sz w:val="24"/>
        </w:rPr>
        <w:t>3.4所列工程量的变化，丝毫不会使合同条件或条款无效或降低，也不免除承包人按要求的标准进行施工和缺陷修复的责任。</w:t>
      </w:r>
    </w:p>
    <w:p>
      <w:pPr>
        <w:spacing w:line="360" w:lineRule="auto"/>
        <w:ind w:firstLine="480" w:firstLineChars="200"/>
        <w:rPr>
          <w:rFonts w:ascii="宋体" w:hAnsi="宋体"/>
          <w:sz w:val="24"/>
        </w:rPr>
      </w:pPr>
      <w:r>
        <w:rPr>
          <w:rFonts w:hint="eastAsia" w:ascii="宋体" w:hAnsi="宋体"/>
          <w:sz w:val="24"/>
        </w:rPr>
        <w:t>4、工程量清单</w:t>
      </w:r>
    </w:p>
    <w:tbl>
      <w:tblPr>
        <w:tblStyle w:val="21"/>
        <w:tblW w:w="9554" w:type="dxa"/>
        <w:tblInd w:w="0" w:type="dxa"/>
        <w:tblLayout w:type="fixed"/>
        <w:tblCellMar>
          <w:top w:w="15" w:type="dxa"/>
          <w:left w:w="15" w:type="dxa"/>
          <w:bottom w:w="15" w:type="dxa"/>
          <w:right w:w="15" w:type="dxa"/>
        </w:tblCellMar>
      </w:tblPr>
      <w:tblGrid>
        <w:gridCol w:w="632"/>
        <w:gridCol w:w="5937"/>
        <w:gridCol w:w="543"/>
        <w:gridCol w:w="725"/>
        <w:gridCol w:w="821"/>
        <w:gridCol w:w="896"/>
      </w:tblGrid>
      <w:tr>
        <w:tblPrEx>
          <w:tblLayout w:type="fixed"/>
          <w:tblCellMar>
            <w:top w:w="15" w:type="dxa"/>
            <w:left w:w="15" w:type="dxa"/>
            <w:bottom w:w="15" w:type="dxa"/>
            <w:right w:w="15" w:type="dxa"/>
          </w:tblCellMar>
        </w:tblPrEx>
        <w:trPr>
          <w:trHeight w:val="375" w:hRule="atLeast"/>
        </w:trPr>
        <w:tc>
          <w:tcPr>
            <w:tcW w:w="9554" w:type="dxa"/>
            <w:gridSpan w:val="6"/>
            <w:tcBorders>
              <w:bottom w:val="single" w:color="000000" w:sz="4" w:space="0"/>
            </w:tcBorders>
            <w:shd w:val="clear" w:color="auto" w:fill="auto"/>
            <w:vAlign w:val="center"/>
          </w:tcPr>
          <w:p>
            <w:pPr>
              <w:widowControl/>
              <w:jc w:val="center"/>
              <w:textAlignment w:val="center"/>
              <w:rPr>
                <w:rFonts w:ascii="黑体" w:hAnsi="宋体" w:eastAsia="黑体" w:cs="黑体"/>
                <w:color w:val="000000"/>
                <w:sz w:val="28"/>
                <w:szCs w:val="28"/>
              </w:rPr>
            </w:pPr>
            <w:r>
              <w:rPr>
                <w:rFonts w:hint="eastAsia" w:ascii="黑体" w:hAnsi="宋体" w:eastAsia="黑体" w:cs="黑体"/>
                <w:color w:val="000000"/>
                <w:kern w:val="0"/>
                <w:sz w:val="28"/>
                <w:szCs w:val="28"/>
              </w:rPr>
              <w:t>鄢陵县2018年农业水价综合改革工程量清单</w:t>
            </w:r>
          </w:p>
        </w:tc>
      </w:tr>
      <w:tr>
        <w:tblPrEx>
          <w:tblLayout w:type="fixed"/>
          <w:tblCellMar>
            <w:top w:w="15" w:type="dxa"/>
            <w:left w:w="15" w:type="dxa"/>
            <w:bottom w:w="15" w:type="dxa"/>
            <w:right w:w="15" w:type="dxa"/>
          </w:tblCellMar>
        </w:tblPrEx>
        <w:trPr>
          <w:trHeight w:val="48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序号</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b/>
                <w:color w:val="000000"/>
                <w:sz w:val="20"/>
                <w:szCs w:val="20"/>
              </w:rPr>
            </w:pPr>
            <w:r>
              <w:rPr>
                <w:rStyle w:val="38"/>
              </w:rPr>
              <w:t>工程或费用名称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单位</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数量</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单价（元）</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合计（元）</w:t>
            </w: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一</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计量设施建设</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r>
      <w:tr>
        <w:tblPrEx>
          <w:tblLayout w:type="fixed"/>
          <w:tblCellMar>
            <w:top w:w="15" w:type="dxa"/>
            <w:left w:w="15" w:type="dxa"/>
            <w:bottom w:w="15" w:type="dxa"/>
            <w:right w:w="15" w:type="dxa"/>
          </w:tblCellMar>
        </w:tblPrEx>
        <w:trPr>
          <w:trHeight w:val="495"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智能测控装置（内含</w:t>
            </w:r>
            <w:r>
              <w:rPr>
                <w:rStyle w:val="40"/>
              </w:rPr>
              <w:t>IC</w:t>
            </w:r>
            <w:r>
              <w:rPr>
                <w:rStyle w:val="39"/>
              </w:rPr>
              <w:t>卡智能测控仪、交流接触器、波浪滤波防雷模块、电动机缺相保护模块、空气开关、后备电源模块、接线端子、三防处理等）</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无线通信模块（含防盗报警模块）</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超声波流量计（插入式）</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一体化玻璃钢柜体（流量计保护罩、含柜体预埋固定架混凝土底座）</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0"/>
              </w:rPr>
              <w:t>IC</w:t>
            </w:r>
            <w:r>
              <w:rPr>
                <w:rStyle w:val="39"/>
              </w:rPr>
              <w:t>卡</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张</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7900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发卡器（每村一台）</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18</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安装费（设备安装及调试）</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b/>
                <w:color w:val="000000"/>
                <w:sz w:val="20"/>
                <w:szCs w:val="20"/>
              </w:rPr>
            </w:pPr>
            <w:r>
              <w:rPr>
                <w:rStyle w:val="38"/>
              </w:rPr>
              <w:t>二</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农业水价改革相关支出</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（一）</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数据中心</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51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管理计算机（台式机；</w:t>
            </w:r>
            <w:r>
              <w:rPr>
                <w:rStyle w:val="40"/>
              </w:rPr>
              <w:t>21.5</w:t>
            </w:r>
            <w:r>
              <w:rPr>
                <w:rStyle w:val="39"/>
              </w:rPr>
              <w:t>英寸；硬盘容量：</w:t>
            </w:r>
            <w:r>
              <w:rPr>
                <w:rStyle w:val="40"/>
              </w:rPr>
              <w:t>1T</w:t>
            </w:r>
            <w:r>
              <w:rPr>
                <w:rStyle w:val="39"/>
              </w:rPr>
              <w:t>；处理器：</w:t>
            </w:r>
            <w:r>
              <w:rPr>
                <w:rStyle w:val="40"/>
              </w:rPr>
              <w:t>Intel i5</w:t>
            </w:r>
            <w:r>
              <w:rPr>
                <w:rStyle w:val="39"/>
              </w:rPr>
              <w:t>，内存</w:t>
            </w:r>
            <w:r>
              <w:rPr>
                <w:rStyle w:val="40"/>
              </w:rPr>
              <w:t>8G</w:t>
            </w:r>
            <w:r>
              <w:rPr>
                <w:rStyle w:val="39"/>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510"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打印复印扫描一体机（技术类型：黑白激光；连接方式：</w:t>
            </w:r>
            <w:r>
              <w:rPr>
                <w:rStyle w:val="40"/>
              </w:rPr>
              <w:t>USB</w:t>
            </w:r>
            <w:r>
              <w:rPr>
                <w:rStyle w:val="39"/>
              </w:rPr>
              <w:t>；幅面：</w:t>
            </w:r>
            <w:r>
              <w:rPr>
                <w:rStyle w:val="40"/>
              </w:rPr>
              <w:t>A3/A4</w:t>
            </w:r>
            <w:r>
              <w:rPr>
                <w:rStyle w:val="39"/>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台</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办公桌（两人位）</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办公椅（金属骨架、</w:t>
            </w:r>
            <w:r>
              <w:rPr>
                <w:rStyle w:val="40"/>
              </w:rPr>
              <w:t>PU</w:t>
            </w:r>
            <w:r>
              <w:rPr>
                <w:rStyle w:val="39"/>
              </w:rPr>
              <w:t>面）</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0"/>
              </w:rPr>
              <w:t>UPS</w:t>
            </w:r>
            <w:r>
              <w:rPr>
                <w:rStyle w:val="39"/>
              </w:rPr>
              <w:t>电源（</w:t>
            </w:r>
            <w:r>
              <w:rPr>
                <w:rStyle w:val="40"/>
              </w:rPr>
              <w:t>2KVA</w:t>
            </w:r>
            <w:r>
              <w:rPr>
                <w:rStyle w:val="39"/>
              </w:rPr>
              <w:t>，</w:t>
            </w:r>
            <w:r>
              <w:rPr>
                <w:rStyle w:val="40"/>
              </w:rPr>
              <w:t>1600w</w:t>
            </w:r>
            <w:r>
              <w:rPr>
                <w:rStyle w:val="39"/>
              </w:rPr>
              <w:t>，</w:t>
            </w:r>
            <w:r>
              <w:rPr>
                <w:rStyle w:val="40"/>
              </w:rPr>
              <w:t>220v</w:t>
            </w:r>
            <w:r>
              <w:rPr>
                <w:rStyle w:val="39"/>
              </w:rPr>
              <w:t>）</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其他配件（八位总控</w:t>
            </w:r>
            <w:r>
              <w:rPr>
                <w:rStyle w:val="40"/>
              </w:rPr>
              <w:t>5m</w:t>
            </w:r>
            <w:r>
              <w:rPr>
                <w:rStyle w:val="39"/>
              </w:rPr>
              <w:t>插排</w:t>
            </w:r>
            <w:r>
              <w:rPr>
                <w:rStyle w:val="40"/>
              </w:rPr>
              <w:t>2</w:t>
            </w:r>
            <w:r>
              <w:rPr>
                <w:rStyle w:val="39"/>
              </w:rPr>
              <w:t>个，无线路由器</w:t>
            </w:r>
            <w:r>
              <w:rPr>
                <w:rStyle w:val="40"/>
              </w:rPr>
              <w:t>1</w:t>
            </w:r>
            <w:r>
              <w:rPr>
                <w:rStyle w:val="39"/>
              </w:rPr>
              <w:t>台等）</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（二）</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宣传培训费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广播电视台宣传</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报纸宣传版面费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标志牌制作费（</w:t>
            </w:r>
            <w:r>
              <w:rPr>
                <w:rStyle w:val="42"/>
              </w:rPr>
              <w:t>1.5×1.0m</w:t>
            </w:r>
            <w:r>
              <w:rPr>
                <w:rStyle w:val="41"/>
              </w:rPr>
              <w:t>，</w:t>
            </w:r>
            <w:r>
              <w:rPr>
                <w:rStyle w:val="42"/>
              </w:rPr>
              <w:t>PVC</w:t>
            </w:r>
            <w:r>
              <w:rPr>
                <w:rStyle w:val="41"/>
              </w:rPr>
              <w:t>塑料板，银色包边）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标志牌安装费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宣传条幅制作费（</w:t>
            </w:r>
            <w:r>
              <w:rPr>
                <w:rStyle w:val="42"/>
              </w:rPr>
              <w:t>10m×0.7m</w:t>
            </w:r>
            <w:r>
              <w:rPr>
                <w:rStyle w:val="41"/>
              </w:rPr>
              <w:t>，红色条幅）</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条幅张拉费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宣传海报制作费（</w:t>
            </w:r>
            <w:r>
              <w:rPr>
                <w:rStyle w:val="42"/>
              </w:rPr>
              <w:t>0.8×0.6m</w:t>
            </w:r>
            <w:r>
              <w:rPr>
                <w:rStyle w:val="41"/>
              </w:rPr>
              <w:t>，单面塑封硬质彩页）</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张</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宣传彩页印制费（</w:t>
            </w:r>
            <w:r>
              <w:rPr>
                <w:rStyle w:val="42"/>
              </w:rPr>
              <w:t>A4</w:t>
            </w:r>
            <w:r>
              <w:rPr>
                <w:rStyle w:val="41"/>
              </w:rPr>
              <w:t>双面硬质彩页，</w:t>
            </w:r>
            <w:r>
              <w:rPr>
                <w:rStyle w:val="42"/>
              </w:rPr>
              <w:t>105g</w:t>
            </w:r>
            <w:r>
              <w:rPr>
                <w:rStyle w:val="41"/>
              </w:rPr>
              <w:t>铜版纸）</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张</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20000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培训会务费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培训材料印制费（</w:t>
            </w:r>
            <w:r>
              <w:rPr>
                <w:rStyle w:val="42"/>
              </w:rPr>
              <w:t>A4</w:t>
            </w:r>
            <w:r>
              <w:rPr>
                <w:rStyle w:val="41"/>
              </w:rPr>
              <w:t>培训手册，</w:t>
            </w:r>
            <w:r>
              <w:rPr>
                <w:rStyle w:val="42"/>
              </w:rPr>
              <w:t>100</w:t>
            </w:r>
            <w:r>
              <w:rPr>
                <w:rStyle w:val="41"/>
              </w:rPr>
              <w:t>份，硬质封面胶装）</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1"/>
              </w:rPr>
              <w:t>培训费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次</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（三）</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40"/>
              </w:rPr>
              <w:t>“</w:t>
            </w:r>
            <w:r>
              <w:rPr>
                <w:rStyle w:val="39"/>
              </w:rPr>
              <w:t>三证一书</w:t>
            </w:r>
            <w:r>
              <w:rPr>
                <w:rStyle w:val="40"/>
              </w:rPr>
              <w:t>”</w:t>
            </w:r>
            <w:r>
              <w:rPr>
                <w:rStyle w:val="39"/>
              </w:rPr>
              <w:t>（水权证、产权证、使用权证及管护协议书）印制费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水权证（彩色硬质外封、黑白双面</w:t>
            </w:r>
            <w:r>
              <w:rPr>
                <w:rStyle w:val="40"/>
              </w:rPr>
              <w:t>10</w:t>
            </w:r>
            <w:r>
              <w:rPr>
                <w:rStyle w:val="39"/>
              </w:rPr>
              <w:t>页，</w:t>
            </w:r>
            <w:r>
              <w:rPr>
                <w:rStyle w:val="40"/>
              </w:rPr>
              <w:t>32</w:t>
            </w:r>
            <w:r>
              <w:rPr>
                <w:rStyle w:val="39"/>
              </w:rPr>
              <w:t>开，分正副本）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15800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使用权证（彩色硬质外封、黑白双面</w:t>
            </w:r>
            <w:r>
              <w:rPr>
                <w:rStyle w:val="40"/>
              </w:rPr>
              <w:t>10</w:t>
            </w:r>
            <w:r>
              <w:rPr>
                <w:rStyle w:val="39"/>
              </w:rPr>
              <w:t>页，</w:t>
            </w:r>
            <w:r>
              <w:rPr>
                <w:rStyle w:val="40"/>
              </w:rPr>
              <w:t>32</w:t>
            </w:r>
            <w:r>
              <w:rPr>
                <w:rStyle w:val="39"/>
              </w:rPr>
              <w:t>开，分正副本）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15800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产权证（彩色硬质外封、黑白双面</w:t>
            </w:r>
            <w:r>
              <w:rPr>
                <w:rStyle w:val="40"/>
              </w:rPr>
              <w:t>20</w:t>
            </w:r>
            <w:r>
              <w:rPr>
                <w:rStyle w:val="39"/>
              </w:rPr>
              <w:t>页，</w:t>
            </w:r>
            <w:r>
              <w:rPr>
                <w:rStyle w:val="40"/>
              </w:rPr>
              <w:t>64</w:t>
            </w:r>
            <w:r>
              <w:rPr>
                <w:rStyle w:val="39"/>
              </w:rPr>
              <w:t>开，分正副本）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管护协议书（硬质外封、黑白双面</w:t>
            </w:r>
            <w:r>
              <w:rPr>
                <w:rStyle w:val="40"/>
              </w:rPr>
              <w:t>30</w:t>
            </w:r>
            <w:r>
              <w:rPr>
                <w:rStyle w:val="39"/>
              </w:rPr>
              <w:t>页，</w:t>
            </w:r>
            <w:r>
              <w:rPr>
                <w:rStyle w:val="40"/>
              </w:rPr>
              <w:t>64</w:t>
            </w:r>
            <w:r>
              <w:rPr>
                <w:rStyle w:val="39"/>
              </w:rPr>
              <w:t>开，分正副本）</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套</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36</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41"/>
              </w:rPr>
              <w:t>（四）</w:t>
            </w: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现状调查费</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color w:val="000000"/>
                <w:sz w:val="20"/>
                <w:szCs w:val="20"/>
              </w:rPr>
            </w:pPr>
            <w:r>
              <w:rPr>
                <w:rStyle w:val="39"/>
              </w:rPr>
              <w:t>机井基础信息普查及定位</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rStyle w:val="39"/>
              </w:rPr>
              <w:t>个</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650</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63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59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数据库建设（基础信息采集、录入、分析及成果汇编等）</w:t>
            </w: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rPr>
              <w:t>项</w:t>
            </w:r>
          </w:p>
        </w:tc>
        <w:tc>
          <w:tcPr>
            <w:tcW w:w="7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color w:val="000000"/>
                <w:sz w:val="20"/>
                <w:szCs w:val="20"/>
              </w:rPr>
            </w:pPr>
            <w:r>
              <w:rPr>
                <w:color w:val="000000"/>
                <w:kern w:val="0"/>
                <w:sz w:val="20"/>
                <w:szCs w:val="20"/>
              </w:rPr>
              <w:t>1</w:t>
            </w: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color w:val="000000"/>
                <w:sz w:val="20"/>
                <w:szCs w:val="20"/>
              </w:rPr>
            </w:pPr>
          </w:p>
        </w:tc>
      </w:tr>
      <w:tr>
        <w:tblPrEx>
          <w:tblLayout w:type="fixed"/>
          <w:tblCellMar>
            <w:top w:w="15" w:type="dxa"/>
            <w:left w:w="15" w:type="dxa"/>
            <w:bottom w:w="15" w:type="dxa"/>
            <w:right w:w="15" w:type="dxa"/>
          </w:tblCellMar>
        </w:tblPrEx>
        <w:trPr>
          <w:trHeight w:val="286" w:hRule="atLeast"/>
        </w:trPr>
        <w:tc>
          <w:tcPr>
            <w:tcW w:w="865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rPr>
              <w:t>合计（元）</w:t>
            </w:r>
          </w:p>
        </w:tc>
        <w:tc>
          <w:tcPr>
            <w:tcW w:w="8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b/>
                <w:color w:val="000000"/>
                <w:sz w:val="20"/>
                <w:szCs w:val="20"/>
              </w:rPr>
            </w:pPr>
          </w:p>
        </w:tc>
      </w:tr>
    </w:tbl>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pStyle w:val="7"/>
        <w:ind w:firstLine="0" w:firstLineChars="0"/>
      </w:pPr>
    </w:p>
    <w:p>
      <w:pPr>
        <w:spacing w:line="312" w:lineRule="auto"/>
        <w:jc w:val="center"/>
        <w:rPr>
          <w:b/>
          <w:bCs/>
          <w:sz w:val="32"/>
          <w:szCs w:val="32"/>
        </w:rPr>
      </w:pPr>
      <w:r>
        <w:rPr>
          <w:rFonts w:hint="eastAsia"/>
          <w:b/>
          <w:bCs/>
          <w:sz w:val="32"/>
          <w:szCs w:val="32"/>
        </w:rPr>
        <w:t>第六章   图  纸</w:t>
      </w:r>
    </w:p>
    <w:bookmarkEnd w:id="374"/>
    <w:p>
      <w:pPr>
        <w:spacing w:line="312" w:lineRule="auto"/>
        <w:jc w:val="center"/>
        <w:rPr>
          <w:b/>
          <w:bCs/>
          <w:sz w:val="32"/>
          <w:szCs w:val="32"/>
        </w:rPr>
      </w:pPr>
      <w:r>
        <w:rPr>
          <w:rFonts w:hint="eastAsia"/>
          <w:b/>
          <w:bCs/>
          <w:sz w:val="32"/>
          <w:szCs w:val="32"/>
        </w:rPr>
        <w:t>无</w:t>
      </w:r>
    </w:p>
    <w:p>
      <w:pPr>
        <w:pStyle w:val="2"/>
      </w:pPr>
    </w:p>
    <w:p/>
    <w:p>
      <w:pPr>
        <w:spacing w:line="312" w:lineRule="auto"/>
        <w:jc w:val="center"/>
        <w:rPr>
          <w:b/>
          <w:sz w:val="32"/>
          <w:szCs w:val="32"/>
        </w:rPr>
      </w:pPr>
      <w:bookmarkStart w:id="375" w:name="_Toc23526"/>
      <w:bookmarkStart w:id="376" w:name="_Toc4592"/>
      <w:bookmarkStart w:id="377" w:name="_Toc24512"/>
      <w:bookmarkStart w:id="378" w:name="_Toc30393"/>
      <w:r>
        <w:rPr>
          <w:rFonts w:hint="eastAsia"/>
          <w:b/>
          <w:sz w:val="32"/>
          <w:szCs w:val="32"/>
        </w:rPr>
        <w:t>第七章  技术标准和要求</w:t>
      </w:r>
      <w:bookmarkEnd w:id="375"/>
      <w:bookmarkEnd w:id="376"/>
      <w:bookmarkEnd w:id="377"/>
      <w:bookmarkEnd w:id="378"/>
    </w:p>
    <w:p>
      <w:pPr>
        <w:spacing w:line="312" w:lineRule="auto"/>
        <w:ind w:left="2700"/>
        <w:rPr>
          <w:rFonts w:ascii="宋体" w:hAnsi="宋体" w:cs="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本工程技术标准和要求以适用的国家、行业以及地方规范、标准和规程为准。</w:t>
      </w:r>
    </w:p>
    <w:p>
      <w:pPr>
        <w:tabs>
          <w:tab w:val="left" w:pos="6510"/>
        </w:tabs>
        <w:spacing w:line="500" w:lineRule="exact"/>
        <w:ind w:firstLine="472" w:firstLineChars="196"/>
        <w:jc w:val="left"/>
        <w:rPr>
          <w:rFonts w:ascii="宋体" w:hAnsi="宋体" w:cs="宋体"/>
          <w:sz w:val="24"/>
        </w:rPr>
      </w:pPr>
      <w:r>
        <w:rPr>
          <w:rFonts w:hint="eastAsia" w:ascii="新宋体" w:hAnsi="新宋体" w:eastAsia="新宋体"/>
          <w:b/>
          <w:bCs/>
          <w:sz w:val="24"/>
        </w:rPr>
        <w:t>除非另有说明，本工程适用所有现行有效的相关国家、行业以及地方规范、规程和标准。上述规范、规程和标准均指它们各自的最新版本。如果上述规范、规程和标准之间出现矛盾或与合同其他内容存在不一致，承包人应书面请求发包人澄清，发包人未予澄清者，按其中最高的要求或最严格的标准执行。适用本工程的上述规范、标准和规程的具体编号和名称则在本文件中有意空缺，由承包人依据上述原则自行收集。</w:t>
      </w:r>
    </w:p>
    <w:p>
      <w:pPr>
        <w:pStyle w:val="7"/>
        <w:ind w:firstLine="240"/>
        <w:rPr>
          <w:rFonts w:ascii="宋体" w:hAnsi="宋体" w:cs="宋体"/>
          <w:sz w:val="24"/>
        </w:rPr>
      </w:pPr>
    </w:p>
    <w:p>
      <w:pPr>
        <w:pStyle w:val="7"/>
        <w:ind w:firstLine="240"/>
        <w:rPr>
          <w:rFonts w:ascii="宋体" w:hAnsi="宋体" w:cs="宋体"/>
          <w:sz w:val="24"/>
        </w:rPr>
      </w:pPr>
    </w:p>
    <w:p>
      <w:pPr>
        <w:spacing w:afterLines="200" w:line="312" w:lineRule="auto"/>
        <w:jc w:val="center"/>
        <w:rPr>
          <w:rFonts w:ascii="宋体" w:hAnsi="宋体" w:cs="宋体"/>
          <w:sz w:val="24"/>
        </w:rPr>
      </w:pPr>
    </w:p>
    <w:p>
      <w:pPr>
        <w:numPr>
          <w:ilvl w:val="0"/>
          <w:numId w:val="5"/>
        </w:numPr>
        <w:spacing w:afterLines="200" w:line="312" w:lineRule="auto"/>
        <w:jc w:val="center"/>
        <w:rPr>
          <w:rStyle w:val="23"/>
          <w:sz w:val="36"/>
          <w:szCs w:val="36"/>
        </w:rPr>
      </w:pPr>
      <w:bookmarkStart w:id="379" w:name="_Toc27217"/>
      <w:r>
        <w:rPr>
          <w:rStyle w:val="23"/>
          <w:rFonts w:hint="eastAsia"/>
          <w:sz w:val="36"/>
          <w:szCs w:val="36"/>
        </w:rPr>
        <w:t xml:space="preserve"> 投标文件格式</w:t>
      </w:r>
      <w:bookmarkEnd w:id="379"/>
    </w:p>
    <w:p>
      <w:pPr>
        <w:pStyle w:val="2"/>
        <w:ind w:left="0" w:leftChars="0" w:firstLine="0" w:firstLineChars="0"/>
        <w:rPr>
          <w:rFonts w:ascii="宋体" w:hAnsi="宋体" w:cs="宋体"/>
          <w:sz w:val="24"/>
        </w:rPr>
      </w:pPr>
      <w:r>
        <w:rPr>
          <w:rFonts w:hint="eastAsia" w:ascii="宋体" w:hAnsi="宋体" w:cs="宋体"/>
          <w:sz w:val="24"/>
        </w:rPr>
        <w:t>投标文件封面</w:t>
      </w:r>
    </w:p>
    <w:p>
      <w:pPr>
        <w:spacing w:beforeLines="100" w:line="312" w:lineRule="auto"/>
        <w:jc w:val="right"/>
        <w:rPr>
          <w:rFonts w:ascii="宋体" w:hAnsi="宋体" w:cs="宋体"/>
          <w:sz w:val="24"/>
          <w:u w:val="single"/>
        </w:rPr>
      </w:pPr>
      <w:r>
        <w:rPr>
          <w:rFonts w:hint="eastAsia"/>
        </w:rPr>
        <w:t xml:space="preserve">   正本/副本</w:t>
      </w:r>
    </w:p>
    <w:p>
      <w:pPr>
        <w:spacing w:beforeLines="100" w:line="312" w:lineRule="auto"/>
        <w:jc w:val="center"/>
        <w:rPr>
          <w:rFonts w:ascii="宋体" w:hAnsi="宋体" w:cs="宋体"/>
          <w:b/>
          <w:sz w:val="28"/>
          <w:szCs w:val="28"/>
          <w:u w:val="single"/>
        </w:rPr>
      </w:pPr>
      <w:r>
        <w:rPr>
          <w:rFonts w:hint="eastAsia" w:ascii="宋体" w:hAnsi="宋体" w:cs="宋体"/>
          <w:b/>
          <w:sz w:val="28"/>
          <w:szCs w:val="28"/>
          <w:u w:val="single"/>
        </w:rPr>
        <w:t>项目名称</w:t>
      </w:r>
    </w:p>
    <w:p>
      <w:pPr>
        <w:spacing w:beforeLines="100" w:line="312" w:lineRule="auto"/>
        <w:jc w:val="center"/>
        <w:rPr>
          <w:rFonts w:ascii="宋体" w:hAnsi="宋体" w:cs="宋体"/>
          <w:sz w:val="52"/>
          <w:szCs w:val="52"/>
        </w:rPr>
      </w:pPr>
    </w:p>
    <w:p>
      <w:pPr>
        <w:spacing w:beforeLines="100" w:line="312" w:lineRule="auto"/>
        <w:jc w:val="center"/>
        <w:rPr>
          <w:rFonts w:ascii="宋体" w:hAnsi="宋体" w:cs="宋体"/>
          <w:b/>
          <w:sz w:val="52"/>
          <w:szCs w:val="52"/>
        </w:rPr>
      </w:pPr>
      <w:r>
        <w:rPr>
          <w:rFonts w:hint="eastAsia" w:ascii="宋体" w:hAnsi="宋体" w:cs="宋体"/>
          <w:b/>
          <w:sz w:val="52"/>
          <w:szCs w:val="52"/>
        </w:rPr>
        <w:t>投标文件</w:t>
      </w:r>
    </w:p>
    <w:p>
      <w:pPr>
        <w:spacing w:line="312" w:lineRule="auto"/>
        <w:jc w:val="center"/>
        <w:rPr>
          <w:rFonts w:ascii="宋体" w:hAnsi="宋体" w:cs="宋体"/>
          <w:b/>
          <w:sz w:val="24"/>
        </w:rPr>
      </w:pPr>
    </w:p>
    <w:p>
      <w:pPr>
        <w:spacing w:line="312" w:lineRule="auto"/>
        <w:rPr>
          <w:rFonts w:ascii="宋体" w:hAnsi="宋体" w:cs="宋体"/>
          <w:b/>
          <w:bCs/>
          <w:sz w:val="24"/>
        </w:rPr>
      </w:pPr>
      <w:r>
        <w:rPr>
          <w:rFonts w:hint="eastAsia" w:ascii="宋体" w:hAnsi="宋体" w:cs="宋体"/>
          <w:b/>
          <w:bCs/>
          <w:sz w:val="24"/>
        </w:rPr>
        <w:t xml:space="preserve">                       项目编号：</w:t>
      </w:r>
    </w:p>
    <w:p>
      <w:pPr>
        <w:spacing w:line="312" w:lineRule="auto"/>
        <w:jc w:val="center"/>
        <w:rPr>
          <w:rFonts w:ascii="宋体" w:hAnsi="宋体" w:cs="宋体"/>
          <w:b/>
          <w:bCs/>
          <w:sz w:val="24"/>
        </w:rPr>
      </w:pPr>
    </w:p>
    <w:p>
      <w:pPr>
        <w:spacing w:line="312" w:lineRule="auto"/>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241" w:firstLineChars="100"/>
        <w:rPr>
          <w:rFonts w:ascii="宋体" w:hAnsi="宋体" w:cs="宋体"/>
          <w:b/>
          <w:sz w:val="24"/>
        </w:rPr>
      </w:pPr>
    </w:p>
    <w:p>
      <w:pPr>
        <w:spacing w:line="312" w:lineRule="auto"/>
        <w:ind w:firstLine="1983" w:firstLineChars="823"/>
        <w:rPr>
          <w:rFonts w:ascii="宋体" w:hAnsi="宋体" w:cs="宋体"/>
          <w:b/>
          <w:sz w:val="24"/>
          <w:u w:val="single"/>
        </w:rPr>
      </w:pPr>
      <w:r>
        <w:rPr>
          <w:rFonts w:hint="eastAsia" w:ascii="宋体" w:hAnsi="宋体" w:cs="宋体"/>
          <w:b/>
          <w:sz w:val="24"/>
        </w:rPr>
        <w:t>投   标   人：</w:t>
      </w:r>
      <w:r>
        <w:rPr>
          <w:rFonts w:hint="eastAsia" w:ascii="宋体" w:hAnsi="宋体" w:cs="宋体"/>
          <w:b/>
          <w:sz w:val="24"/>
          <w:u w:val="single"/>
        </w:rPr>
        <w:t xml:space="preserve">              （盖单位章）</w:t>
      </w:r>
    </w:p>
    <w:p>
      <w:pPr>
        <w:spacing w:line="312" w:lineRule="auto"/>
        <w:ind w:firstLine="1983" w:firstLineChars="823"/>
        <w:rPr>
          <w:rFonts w:ascii="宋体" w:hAnsi="宋体" w:cs="宋体"/>
          <w:b/>
          <w:sz w:val="24"/>
        </w:rPr>
      </w:pPr>
    </w:p>
    <w:p>
      <w:pPr>
        <w:spacing w:line="312" w:lineRule="auto"/>
        <w:ind w:firstLine="1983" w:firstLineChars="823"/>
        <w:rPr>
          <w:rFonts w:ascii="宋体" w:hAnsi="宋体" w:cs="宋体"/>
          <w:b/>
          <w:sz w:val="24"/>
        </w:rPr>
      </w:pPr>
      <w:r>
        <w:rPr>
          <w:rFonts w:hint="eastAsia" w:ascii="宋体" w:hAnsi="宋体" w:cs="宋体"/>
          <w:b/>
          <w:sz w:val="24"/>
        </w:rPr>
        <w:t>法定代表人或其委托代理人：</w:t>
      </w:r>
      <w:r>
        <w:rPr>
          <w:rFonts w:hint="eastAsia" w:ascii="宋体" w:hAnsi="宋体" w:cs="宋体"/>
          <w:b/>
          <w:sz w:val="24"/>
          <w:u w:val="single"/>
        </w:rPr>
        <w:t>（签字或盖章）</w:t>
      </w:r>
    </w:p>
    <w:p>
      <w:pPr>
        <w:spacing w:line="312" w:lineRule="auto"/>
        <w:jc w:val="center"/>
        <w:rPr>
          <w:rFonts w:ascii="宋体" w:hAnsi="宋体" w:cs="宋体"/>
          <w:b/>
          <w:sz w:val="24"/>
        </w:rPr>
      </w:pPr>
    </w:p>
    <w:p>
      <w:pPr>
        <w:spacing w:line="312" w:lineRule="auto"/>
        <w:jc w:val="center"/>
        <w:rPr>
          <w:rFonts w:ascii="宋体" w:hAnsi="宋体" w:cs="宋体"/>
          <w:b/>
          <w:sz w:val="24"/>
        </w:rPr>
      </w:pPr>
    </w:p>
    <w:p>
      <w:pPr>
        <w:spacing w:line="312" w:lineRule="auto"/>
        <w:jc w:val="center"/>
        <w:rPr>
          <w:rFonts w:ascii="宋体" w:hAnsi="宋体" w:cs="宋体"/>
          <w:b/>
          <w:sz w:val="24"/>
        </w:rPr>
      </w:pPr>
      <w:r>
        <w:rPr>
          <w:rFonts w:hint="eastAsia" w:ascii="宋体" w:hAnsi="宋体" w:cs="宋体"/>
          <w:b/>
          <w:sz w:val="24"/>
        </w:rPr>
        <w:t>年月日</w:t>
      </w:r>
    </w:p>
    <w:p>
      <w:pPr>
        <w:widowControl/>
        <w:spacing w:line="312" w:lineRule="auto"/>
        <w:jc w:val="center"/>
        <w:rPr>
          <w:rFonts w:ascii="宋体" w:hAnsi="宋体" w:cs="宋体"/>
          <w:b/>
          <w:sz w:val="24"/>
        </w:rPr>
      </w:pPr>
      <w:r>
        <w:rPr>
          <w:rFonts w:hint="eastAsia" w:ascii="宋体" w:hAnsi="宋体" w:cs="宋体"/>
          <w:b/>
          <w:sz w:val="24"/>
        </w:rPr>
        <w:br w:type="page"/>
      </w:r>
      <w:r>
        <w:rPr>
          <w:rFonts w:hint="eastAsia" w:ascii="宋体" w:hAnsi="宋体" w:cs="宋体"/>
          <w:b/>
          <w:sz w:val="44"/>
          <w:szCs w:val="44"/>
        </w:rPr>
        <w:t>目      录</w:t>
      </w:r>
    </w:p>
    <w:p>
      <w:pPr>
        <w:widowControl/>
        <w:spacing w:line="312" w:lineRule="auto"/>
        <w:jc w:val="left"/>
        <w:rPr>
          <w:rFonts w:ascii="宋体" w:hAnsi="宋体" w:cs="宋体"/>
          <w:b/>
          <w:kern w:val="0"/>
          <w:sz w:val="24"/>
        </w:rPr>
      </w:pPr>
    </w:p>
    <w:p>
      <w:pPr>
        <w:widowControl/>
        <w:spacing w:line="312" w:lineRule="auto"/>
        <w:jc w:val="left"/>
        <w:rPr>
          <w:rFonts w:ascii="宋体" w:hAnsi="宋体" w:cs="宋体"/>
          <w:b/>
          <w:kern w:val="0"/>
          <w:sz w:val="24"/>
        </w:rPr>
      </w:pPr>
    </w:p>
    <w:p>
      <w:pPr>
        <w:autoSpaceDE w:val="0"/>
        <w:autoSpaceDN w:val="0"/>
        <w:adjustRightInd w:val="0"/>
        <w:spacing w:line="312" w:lineRule="auto"/>
        <w:jc w:val="left"/>
        <w:rPr>
          <w:rFonts w:ascii="宋体" w:hAnsi="宋体" w:cs="宋体"/>
          <w:kern w:val="0"/>
          <w:sz w:val="24"/>
        </w:rPr>
      </w:pPr>
      <w:r>
        <w:rPr>
          <w:rFonts w:hint="eastAsia" w:ascii="宋体" w:hAnsi="宋体" w:cs="宋体"/>
          <w:kern w:val="0"/>
          <w:sz w:val="24"/>
        </w:rPr>
        <w:t xml:space="preserve">   一 投标函及投标函附录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 法定代表人身份证明或附有法定代表人身份证明的授权委托书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（一）法定代表人身份证明</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（二）授权委托书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三 投标保证金</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四 已标价工程量清单</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五 技术方案（实施方案）</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1、对工程的理解</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2、工作大纲</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3、总体工作思路</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3.1工作思路</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3.2重、难点剖析及解决方案</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3.3工作开展流程</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4、工作进度计划及保障措施</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5、工作质量保障体系及保障措施</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6、安全生产及保障措施</w:t>
      </w:r>
    </w:p>
    <w:p>
      <w:pPr>
        <w:autoSpaceDE w:val="0"/>
        <w:autoSpaceDN w:val="0"/>
        <w:adjustRightInd w:val="0"/>
        <w:spacing w:line="312" w:lineRule="auto"/>
        <w:ind w:firstLine="360" w:firstLineChars="150"/>
        <w:jc w:val="left"/>
        <w:rPr>
          <w:rFonts w:ascii="宋体" w:hAnsi="宋体" w:cs="宋体"/>
          <w:kern w:val="0"/>
          <w:sz w:val="24"/>
        </w:rPr>
      </w:pPr>
      <w:r>
        <w:rPr>
          <w:rFonts w:hint="eastAsia" w:ascii="宋体" w:hAnsi="宋体" w:cs="宋体"/>
          <w:kern w:val="0"/>
          <w:sz w:val="24"/>
        </w:rPr>
        <w:t>7、合理化建议</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六 项目管理机构配备情况</w:t>
      </w:r>
    </w:p>
    <w:p>
      <w:pPr>
        <w:spacing w:line="312" w:lineRule="auto"/>
        <w:ind w:firstLine="120" w:firstLineChars="50"/>
        <w:rPr>
          <w:rFonts w:ascii="宋体" w:hAnsi="宋体" w:cs="宋体"/>
          <w:kern w:val="0"/>
          <w:sz w:val="24"/>
        </w:rPr>
      </w:pPr>
      <w:r>
        <w:rPr>
          <w:rFonts w:hint="eastAsia" w:ascii="宋体" w:hAnsi="宋体" w:cs="宋体"/>
          <w:kern w:val="0"/>
          <w:sz w:val="24"/>
        </w:rPr>
        <w:t xml:space="preserve">  七 资格证明文件</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八 近年财务状况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九 近年完成的类似项目情况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 正在施工的和新承接的项目情况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十一 近年发生的诉讼及仲裁情况</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十二 承诺书</w:t>
      </w:r>
    </w:p>
    <w:p>
      <w:pPr>
        <w:autoSpaceDE w:val="0"/>
        <w:autoSpaceDN w:val="0"/>
        <w:adjustRightInd w:val="0"/>
        <w:spacing w:line="312" w:lineRule="auto"/>
        <w:ind w:firstLine="120" w:firstLineChars="50"/>
        <w:jc w:val="left"/>
        <w:rPr>
          <w:rFonts w:ascii="宋体" w:hAnsi="宋体" w:cs="宋体"/>
          <w:kern w:val="0"/>
          <w:sz w:val="24"/>
        </w:rPr>
      </w:pPr>
      <w:r>
        <w:rPr>
          <w:rFonts w:hint="eastAsia" w:ascii="宋体" w:hAnsi="宋体" w:cs="宋体"/>
          <w:kern w:val="0"/>
          <w:sz w:val="24"/>
        </w:rPr>
        <w:t xml:space="preserve">  十三 投标人须知前附表规定的其它材料</w:t>
      </w:r>
    </w:p>
    <w:p>
      <w:pPr>
        <w:autoSpaceDE w:val="0"/>
        <w:autoSpaceDN w:val="0"/>
        <w:adjustRightInd w:val="0"/>
        <w:spacing w:line="312" w:lineRule="auto"/>
        <w:ind w:firstLine="120" w:firstLineChars="50"/>
        <w:jc w:val="left"/>
        <w:rPr>
          <w:rFonts w:ascii="宋体" w:hAnsi="宋体" w:cs="宋体"/>
          <w:kern w:val="0"/>
          <w:sz w:val="24"/>
        </w:rPr>
      </w:pPr>
    </w:p>
    <w:p>
      <w:pPr>
        <w:spacing w:line="600" w:lineRule="exact"/>
        <w:ind w:left="850"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autoSpaceDE w:val="0"/>
        <w:autoSpaceDN w:val="0"/>
        <w:adjustRightInd w:val="0"/>
        <w:spacing w:line="312" w:lineRule="auto"/>
        <w:jc w:val="left"/>
        <w:rPr>
          <w:rFonts w:ascii="宋体" w:hAnsi="宋体" w:cs="宋体"/>
          <w:kern w:val="0"/>
          <w:sz w:val="24"/>
        </w:rPr>
      </w:pPr>
      <w:r>
        <w:rPr>
          <w:rFonts w:hint="eastAsia" w:ascii="新宋体" w:hAnsi="新宋体" w:eastAsia="新宋体"/>
          <w:b/>
          <w:sz w:val="24"/>
        </w:rPr>
        <w:t xml:space="preserve">       如有本章未提供的格式，投标人可自行编制。</w:t>
      </w: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autoSpaceDE w:val="0"/>
        <w:autoSpaceDN w:val="0"/>
        <w:adjustRightInd w:val="0"/>
        <w:spacing w:line="312" w:lineRule="auto"/>
        <w:jc w:val="left"/>
        <w:rPr>
          <w:rFonts w:ascii="宋体" w:hAnsi="宋体" w:cs="宋体"/>
          <w:kern w:val="0"/>
          <w:sz w:val="24"/>
        </w:rPr>
      </w:pPr>
    </w:p>
    <w:p>
      <w:pPr>
        <w:spacing w:line="312" w:lineRule="auto"/>
        <w:jc w:val="center"/>
        <w:outlineLvl w:val="1"/>
        <w:rPr>
          <w:rFonts w:ascii="黑体" w:hAnsi="黑体" w:eastAsia="黑体" w:cs="黑体"/>
          <w:kern w:val="0"/>
          <w:sz w:val="28"/>
          <w:szCs w:val="28"/>
        </w:rPr>
      </w:pPr>
      <w:bookmarkStart w:id="380" w:name="_Toc6618"/>
      <w:bookmarkStart w:id="381" w:name="_Toc9303"/>
      <w:bookmarkStart w:id="382" w:name="_Toc11744"/>
      <w:bookmarkStart w:id="383" w:name="_Toc6391"/>
      <w:bookmarkStart w:id="384" w:name="_Toc32211"/>
      <w:r>
        <w:rPr>
          <w:rFonts w:hint="eastAsia" w:ascii="黑体" w:hAnsi="黑体" w:eastAsia="黑体" w:cs="黑体"/>
          <w:kern w:val="0"/>
          <w:sz w:val="28"/>
          <w:szCs w:val="28"/>
        </w:rPr>
        <w:t>一、投标函</w:t>
      </w:r>
      <w:bookmarkEnd w:id="380"/>
      <w:bookmarkEnd w:id="381"/>
      <w:bookmarkEnd w:id="382"/>
      <w:bookmarkEnd w:id="383"/>
      <w:r>
        <w:rPr>
          <w:rFonts w:hint="eastAsia" w:ascii="黑体" w:hAnsi="黑体" w:eastAsia="黑体" w:cs="黑体"/>
          <w:kern w:val="0"/>
          <w:sz w:val="28"/>
          <w:szCs w:val="28"/>
        </w:rPr>
        <w:t>及投标函附录</w:t>
      </w:r>
      <w:bookmarkEnd w:id="384"/>
    </w:p>
    <w:p>
      <w:pPr>
        <w:spacing w:line="312" w:lineRule="auto"/>
      </w:pPr>
    </w:p>
    <w:p>
      <w:pPr>
        <w:spacing w:line="312" w:lineRule="auto"/>
        <w:jc w:val="center"/>
        <w:outlineLvl w:val="2"/>
        <w:rPr>
          <w:rFonts w:ascii="宋体" w:hAnsi="宋体" w:cs="宋体"/>
          <w:sz w:val="24"/>
        </w:rPr>
      </w:pPr>
      <w:bookmarkStart w:id="385" w:name="_Toc296678831"/>
      <w:bookmarkStart w:id="386" w:name="_Toc296676346"/>
      <w:bookmarkStart w:id="387" w:name="_Toc280271191"/>
      <w:bookmarkStart w:id="388" w:name="_Toc280275169"/>
      <w:bookmarkStart w:id="389" w:name="_Toc215282239"/>
      <w:bookmarkStart w:id="390" w:name="_Toc280271338"/>
      <w:r>
        <w:rPr>
          <w:rFonts w:hint="eastAsia" w:ascii="宋体" w:hAnsi="宋体" w:cs="宋体"/>
          <w:sz w:val="24"/>
        </w:rPr>
        <w:t>（一）投标函</w:t>
      </w:r>
      <w:bookmarkEnd w:id="385"/>
      <w:bookmarkEnd w:id="386"/>
    </w:p>
    <w:p>
      <w:pPr>
        <w:tabs>
          <w:tab w:val="left" w:pos="360"/>
          <w:tab w:val="left" w:pos="540"/>
          <w:tab w:val="left" w:pos="900"/>
        </w:tabs>
        <w:spacing w:line="360" w:lineRule="auto"/>
        <w:rPr>
          <w:rFonts w:ascii="宋体" w:hAnsi="宋体" w:cs="宋体"/>
          <w:sz w:val="24"/>
        </w:rPr>
      </w:pPr>
      <w:r>
        <w:rPr>
          <w:rFonts w:hint="eastAsia" w:ascii="宋体" w:hAnsi="宋体" w:cs="宋体"/>
          <w:sz w:val="24"/>
          <w:u w:val="single"/>
        </w:rPr>
        <w:t>（招标人名称）</w:t>
      </w:r>
      <w:r>
        <w:rPr>
          <w:rFonts w:hint="eastAsia" w:ascii="宋体" w:hAnsi="宋体" w:cs="宋体"/>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sz w:val="24"/>
        </w:rPr>
        <w:t>1、我方仔细研究了</w:t>
      </w:r>
      <w:r>
        <w:rPr>
          <w:rFonts w:hint="eastAsia" w:ascii="宋体" w:hAnsi="宋体" w:cs="宋体"/>
          <w:bCs/>
          <w:sz w:val="24"/>
          <w:u w:val="single"/>
        </w:rPr>
        <w:t xml:space="preserve">     （招标工程名称）    </w:t>
      </w:r>
      <w:r>
        <w:rPr>
          <w:rFonts w:hint="eastAsia" w:ascii="宋体" w:hAnsi="宋体" w:cs="宋体"/>
          <w:bCs/>
          <w:sz w:val="24"/>
        </w:rPr>
        <w:t>招标文件（包括补充通知）的全部内容并勘察了现场，愿意以人民币（大写）（￥）的投标总报价，按招标文件规定的条件和要求承包合同规定的全部工作，并承担相关的责任。</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2、我方提交的投标文件（包括投标函附录、已标价工程量清单和其它投标文件）在投标截止时间后60天内有效，在此期间被你方接受的上述文件对我方一直具有约束力。 我方保证在投标文件有效期内不撤回投标文件，除招标文件另有规定外，不修改投标文件。</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3、随同本投标文件附上元投标保证金，作为我方投标的担保。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4、本次投标，我方投标工期：天，质量：</w:t>
      </w:r>
      <w:r>
        <w:rPr>
          <w:rFonts w:hint="eastAsia" w:ascii="宋体" w:hAnsi="宋体" w:cs="宋体"/>
          <w:bCs/>
          <w:sz w:val="24"/>
          <w:u w:val="single"/>
        </w:rPr>
        <w:t>　　　　</w:t>
      </w:r>
      <w:r>
        <w:rPr>
          <w:rFonts w:hint="eastAsia" w:ascii="宋体" w:hAnsi="宋体" w:cs="宋体"/>
          <w:bCs/>
          <w:sz w:val="24"/>
        </w:rPr>
        <w:t>。</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5、若我方中标：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（1）我方保证在收到你方的中标通知书后，按招标文件规定的期限，及时派代表前去签定合同。</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（2）随同本投标文件提交的投标辅助资料中的任何部分，经你方确认后作为合同文件的组成部分。</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（3）我方保证向你方按时提交招标文件规定的履约保证金，作为我方的履约担保。</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（4）我方保证接到开工通知后立即调遣人员和调配施工设备、材料进入工地进行施工准备，并保证在合同规定的期限内完成合同规定的全部工作。</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6、我方完全理解你方不保证投标报价最低的投标人中标。</w:t>
      </w:r>
    </w:p>
    <w:p>
      <w:pPr>
        <w:tabs>
          <w:tab w:val="left" w:pos="360"/>
          <w:tab w:val="left" w:pos="540"/>
          <w:tab w:val="left" w:pos="900"/>
        </w:tabs>
        <w:spacing w:line="360" w:lineRule="auto"/>
        <w:ind w:firstLine="480" w:firstLineChars="200"/>
        <w:rPr>
          <w:rFonts w:ascii="宋体" w:hAnsi="宋体" w:cs="宋体"/>
          <w:bCs/>
          <w:sz w:val="24"/>
        </w:rPr>
      </w:pPr>
      <w:r>
        <w:rPr>
          <w:rFonts w:hint="eastAsia" w:ascii="宋体" w:hAnsi="宋体" w:cs="宋体"/>
          <w:bCs/>
          <w:sz w:val="24"/>
        </w:rPr>
        <w:t>7、我方承诺，若我方中标，愿意按要求交纳代理费等相关费用。</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投标人（盖章）：</w:t>
      </w:r>
    </w:p>
    <w:p>
      <w:pPr>
        <w:spacing w:line="360" w:lineRule="auto"/>
        <w:ind w:firstLine="480" w:firstLineChars="200"/>
        <w:rPr>
          <w:rFonts w:ascii="宋体" w:hAnsi="宋体" w:cs="宋体"/>
          <w:sz w:val="24"/>
        </w:rPr>
      </w:pPr>
      <w:r>
        <w:rPr>
          <w:rFonts w:hint="eastAsia" w:ascii="宋体" w:hAnsi="宋体" w:cs="宋体"/>
          <w:sz w:val="24"/>
        </w:rPr>
        <w:t>法人代表或委托代理人（签字或盖章）：</w:t>
      </w:r>
    </w:p>
    <w:p>
      <w:pPr>
        <w:spacing w:line="360" w:lineRule="auto"/>
        <w:ind w:firstLine="480" w:firstLineChars="200"/>
        <w:rPr>
          <w:rFonts w:ascii="宋体" w:hAnsi="宋体" w:cs="宋体"/>
          <w:sz w:val="24"/>
        </w:rPr>
      </w:pPr>
      <w:r>
        <w:rPr>
          <w:rFonts w:hint="eastAsia" w:ascii="宋体" w:hAnsi="宋体" w:cs="宋体"/>
          <w:sz w:val="24"/>
        </w:rPr>
        <w:t>日期：年月日</w:t>
      </w:r>
    </w:p>
    <w:bookmarkEnd w:id="387"/>
    <w:bookmarkEnd w:id="388"/>
    <w:bookmarkEnd w:id="389"/>
    <w:bookmarkEnd w:id="390"/>
    <w:p>
      <w:pPr>
        <w:spacing w:line="360" w:lineRule="auto"/>
        <w:jc w:val="center"/>
        <w:outlineLvl w:val="2"/>
        <w:rPr>
          <w:rFonts w:ascii="宋体" w:hAnsi="宋体" w:cs="宋体"/>
          <w:b/>
          <w:bCs/>
          <w:sz w:val="32"/>
          <w:szCs w:val="32"/>
        </w:rPr>
      </w:pPr>
      <w:bookmarkStart w:id="391" w:name="_Toc26011"/>
      <w:bookmarkStart w:id="392" w:name="_Toc15432"/>
      <w:bookmarkStart w:id="393" w:name="_Toc6320"/>
      <w:bookmarkStart w:id="394" w:name="_Toc5184"/>
      <w:r>
        <w:rPr>
          <w:rFonts w:hint="eastAsia" w:ascii="宋体" w:hAnsi="宋体" w:cs="宋体"/>
          <w:sz w:val="24"/>
        </w:rPr>
        <w:br w:type="page"/>
      </w:r>
      <w:r>
        <w:rPr>
          <w:rFonts w:hint="eastAsia" w:ascii="宋体" w:hAnsi="宋体" w:cs="宋体"/>
          <w:sz w:val="32"/>
          <w:szCs w:val="32"/>
        </w:rPr>
        <w:t>（二）投标</w:t>
      </w:r>
      <w:bookmarkEnd w:id="391"/>
      <w:bookmarkEnd w:id="392"/>
      <w:bookmarkEnd w:id="393"/>
      <w:bookmarkEnd w:id="394"/>
      <w:r>
        <w:rPr>
          <w:rFonts w:hint="eastAsia" w:ascii="宋体" w:hAnsi="宋体" w:cs="宋体"/>
          <w:sz w:val="32"/>
          <w:szCs w:val="32"/>
        </w:rPr>
        <w:t>函附录</w:t>
      </w:r>
    </w:p>
    <w:tbl>
      <w:tblPr>
        <w:tblStyle w:val="21"/>
        <w:tblW w:w="919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0"/>
        <w:gridCol w:w="2280"/>
        <w:gridCol w:w="1490"/>
        <w:gridCol w:w="29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4"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投标项目</w:t>
            </w:r>
          </w:p>
        </w:tc>
        <w:tc>
          <w:tcPr>
            <w:tcW w:w="6676" w:type="dxa"/>
            <w:gridSpan w:val="3"/>
          </w:tcPr>
          <w:p>
            <w:pPr>
              <w:pStyle w:val="24"/>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71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投标单位</w:t>
            </w:r>
          </w:p>
        </w:tc>
        <w:tc>
          <w:tcPr>
            <w:tcW w:w="6676" w:type="dxa"/>
            <w:gridSpan w:val="3"/>
          </w:tcPr>
          <w:p>
            <w:pPr>
              <w:pStyle w:val="24"/>
              <w:spacing w:line="312" w:lineRule="auto"/>
              <w:textAlignment w:val="top"/>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95" w:hRule="atLeas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投标报价</w:t>
            </w:r>
          </w:p>
        </w:tc>
        <w:tc>
          <w:tcPr>
            <w:tcW w:w="6676" w:type="dxa"/>
            <w:gridSpan w:val="3"/>
            <w:vAlign w:val="center"/>
          </w:tcPr>
          <w:p>
            <w:pPr>
              <w:pStyle w:val="24"/>
              <w:spacing w:line="312" w:lineRule="auto"/>
              <w:ind w:right="210"/>
              <w:jc w:val="both"/>
              <w:textAlignment w:val="top"/>
              <w:rPr>
                <w:rFonts w:ascii="宋体" w:hAnsi="宋体" w:cs="宋体"/>
                <w:sz w:val="24"/>
                <w:szCs w:val="24"/>
              </w:rPr>
            </w:pPr>
            <w:r>
              <w:rPr>
                <w:rFonts w:hint="eastAsia" w:ascii="宋体" w:hAnsi="宋体" w:cs="宋体"/>
                <w:sz w:val="24"/>
                <w:szCs w:val="24"/>
              </w:rPr>
              <w:t>大写：                    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投标工期</w:t>
            </w:r>
          </w:p>
        </w:tc>
        <w:tc>
          <w:tcPr>
            <w:tcW w:w="6676" w:type="dxa"/>
            <w:gridSpan w:val="3"/>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81" w:hRule="exact"/>
        </w:trPr>
        <w:tc>
          <w:tcPr>
            <w:tcW w:w="2520" w:type="dxa"/>
            <w:vAlign w:val="center"/>
          </w:tcPr>
          <w:p>
            <w:pPr>
              <w:pStyle w:val="24"/>
              <w:spacing w:line="312" w:lineRule="auto"/>
              <w:jc w:val="center"/>
              <w:textAlignment w:val="top"/>
              <w:rPr>
                <w:rFonts w:ascii="宋体" w:hAnsi="宋体" w:cs="宋体"/>
                <w:sz w:val="24"/>
                <w:szCs w:val="24"/>
              </w:rPr>
            </w:pPr>
            <w:r>
              <w:rPr>
                <w:rFonts w:hint="eastAsia" w:ascii="宋体" w:hAnsi="宋体" w:cs="宋体"/>
                <w:sz w:val="24"/>
                <w:szCs w:val="24"/>
              </w:rPr>
              <w:t>投标有效期</w:t>
            </w:r>
          </w:p>
        </w:tc>
        <w:tc>
          <w:tcPr>
            <w:tcW w:w="6676" w:type="dxa"/>
            <w:gridSpan w:val="3"/>
            <w:vAlign w:val="center"/>
          </w:tcPr>
          <w:p>
            <w:pPr>
              <w:pStyle w:val="24"/>
              <w:spacing w:line="312" w:lineRule="auto"/>
              <w:textAlignment w:val="top"/>
              <w:rPr>
                <w:rFonts w:ascii="宋体" w:hAnsi="宋体" w:cs="宋体"/>
                <w:sz w:val="24"/>
                <w:szCs w:val="24"/>
              </w:rPr>
            </w:pPr>
            <w:r>
              <w:rPr>
                <w:rFonts w:hint="eastAsia" w:ascii="宋体" w:hAnsi="宋体" w:cs="宋体"/>
                <w:sz w:val="24"/>
                <w:szCs w:val="24"/>
              </w:rPr>
              <w:t xml:space="preserve">                          （日历天）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投标质量等级</w:t>
            </w:r>
          </w:p>
        </w:tc>
        <w:tc>
          <w:tcPr>
            <w:tcW w:w="6676" w:type="dxa"/>
            <w:gridSpan w:val="3"/>
            <w:vAlign w:val="center"/>
          </w:tcPr>
          <w:p>
            <w:pPr>
              <w:pStyle w:val="24"/>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9" w:hRule="exact"/>
        </w:trPr>
        <w:tc>
          <w:tcPr>
            <w:tcW w:w="2520" w:type="dxa"/>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项目负责人</w:t>
            </w:r>
          </w:p>
        </w:tc>
        <w:tc>
          <w:tcPr>
            <w:tcW w:w="2280" w:type="dxa"/>
            <w:tcBorders>
              <w:right w:val="single" w:color="auto" w:sz="4" w:space="0"/>
            </w:tcBorders>
            <w:vAlign w:val="center"/>
          </w:tcPr>
          <w:p>
            <w:pPr>
              <w:pStyle w:val="24"/>
              <w:spacing w:line="312" w:lineRule="auto"/>
              <w:jc w:val="center"/>
              <w:textAlignment w:val="center"/>
              <w:rPr>
                <w:rFonts w:ascii="宋体" w:hAnsi="宋体" w:cs="宋体"/>
                <w:sz w:val="24"/>
                <w:szCs w:val="24"/>
              </w:rPr>
            </w:pPr>
          </w:p>
        </w:tc>
        <w:tc>
          <w:tcPr>
            <w:tcW w:w="1490" w:type="dxa"/>
            <w:tcBorders>
              <w:left w:val="single" w:color="auto" w:sz="4" w:space="0"/>
              <w:right w:val="single" w:color="auto" w:sz="4" w:space="0"/>
            </w:tcBorders>
            <w:vAlign w:val="center"/>
          </w:tcPr>
          <w:p>
            <w:pPr>
              <w:pStyle w:val="24"/>
              <w:spacing w:line="312" w:lineRule="auto"/>
              <w:jc w:val="center"/>
              <w:textAlignment w:val="center"/>
              <w:rPr>
                <w:rFonts w:ascii="宋体" w:hAnsi="宋体" w:cs="宋体"/>
                <w:sz w:val="24"/>
                <w:szCs w:val="24"/>
              </w:rPr>
            </w:pPr>
            <w:r>
              <w:rPr>
                <w:rFonts w:hint="eastAsia" w:ascii="宋体" w:hAnsi="宋体" w:cs="宋体"/>
                <w:sz w:val="24"/>
                <w:szCs w:val="24"/>
              </w:rPr>
              <w:t>资格等级</w:t>
            </w:r>
          </w:p>
          <w:p>
            <w:pPr>
              <w:pStyle w:val="24"/>
              <w:spacing w:line="312" w:lineRule="auto"/>
              <w:jc w:val="center"/>
              <w:textAlignment w:val="center"/>
              <w:rPr>
                <w:rFonts w:ascii="宋体" w:hAnsi="宋体" w:cs="宋体"/>
                <w:sz w:val="24"/>
                <w:szCs w:val="24"/>
              </w:rPr>
            </w:pPr>
            <w:r>
              <w:rPr>
                <w:rFonts w:hint="eastAsia" w:ascii="宋体" w:hAnsi="宋体" w:cs="宋体"/>
                <w:sz w:val="24"/>
                <w:szCs w:val="24"/>
              </w:rPr>
              <w:t>及编号</w:t>
            </w:r>
          </w:p>
        </w:tc>
        <w:tc>
          <w:tcPr>
            <w:tcW w:w="2906" w:type="dxa"/>
            <w:tcBorders>
              <w:left w:val="single" w:color="auto" w:sz="4" w:space="0"/>
            </w:tcBorders>
            <w:vAlign w:val="center"/>
          </w:tcPr>
          <w:p>
            <w:pPr>
              <w:pStyle w:val="24"/>
              <w:spacing w:line="312" w:lineRule="auto"/>
              <w:jc w:val="center"/>
              <w:textAlignment w:val="center"/>
              <w:rPr>
                <w:rFonts w:ascii="宋体" w:hAnsi="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4150" w:hRule="exact"/>
        </w:trPr>
        <w:tc>
          <w:tcPr>
            <w:tcW w:w="4800" w:type="dxa"/>
            <w:gridSpan w:val="2"/>
          </w:tcPr>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投标人：</w:t>
            </w: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（盖章）</w:t>
            </w:r>
          </w:p>
        </w:tc>
        <w:tc>
          <w:tcPr>
            <w:tcW w:w="4396" w:type="dxa"/>
            <w:gridSpan w:val="2"/>
          </w:tcPr>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ind w:firstLine="720" w:firstLineChars="300"/>
              <w:textAlignment w:val="top"/>
              <w:rPr>
                <w:rFonts w:ascii="宋体" w:hAnsi="宋体" w:cs="宋体"/>
                <w:sz w:val="24"/>
                <w:szCs w:val="24"/>
              </w:rPr>
            </w:pPr>
            <w:r>
              <w:rPr>
                <w:rFonts w:hint="eastAsia" w:ascii="宋体" w:hAnsi="宋体" w:cs="宋体"/>
                <w:sz w:val="24"/>
                <w:szCs w:val="24"/>
              </w:rPr>
              <w:t>投标人法人代表或委托代理人：</w:t>
            </w: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p>
          <w:p>
            <w:pPr>
              <w:pStyle w:val="24"/>
              <w:spacing w:line="312" w:lineRule="auto"/>
              <w:textAlignment w:val="top"/>
              <w:rPr>
                <w:rFonts w:ascii="宋体" w:hAnsi="宋体" w:cs="宋体"/>
                <w:sz w:val="24"/>
                <w:szCs w:val="24"/>
              </w:rPr>
            </w:pPr>
            <w:r>
              <w:rPr>
                <w:rFonts w:hint="eastAsia" w:ascii="宋体" w:hAnsi="宋体" w:cs="宋体"/>
                <w:sz w:val="24"/>
                <w:szCs w:val="24"/>
              </w:rPr>
              <w:t xml:space="preserve">            （签字或盖章）</w:t>
            </w:r>
          </w:p>
        </w:tc>
      </w:tr>
    </w:tbl>
    <w:p>
      <w:pPr>
        <w:spacing w:line="312" w:lineRule="auto"/>
        <w:ind w:right="315"/>
        <w:rPr>
          <w:rFonts w:ascii="宋体" w:hAnsi="宋体" w:cs="宋体"/>
          <w:bCs/>
          <w:kern w:val="0"/>
          <w:sz w:val="24"/>
        </w:rPr>
      </w:pPr>
      <w:r>
        <w:rPr>
          <w:rFonts w:hint="eastAsia" w:ascii="宋体" w:hAnsi="宋体" w:cs="宋体"/>
          <w:bCs/>
          <w:kern w:val="0"/>
          <w:sz w:val="24"/>
        </w:rPr>
        <w:t>注：</w:t>
      </w: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ind w:right="315"/>
        <w:rPr>
          <w:rFonts w:ascii="宋体" w:hAnsi="宋体" w:cs="宋体"/>
          <w:bCs/>
          <w:kern w:val="0"/>
          <w:sz w:val="24"/>
        </w:rPr>
      </w:pPr>
    </w:p>
    <w:p>
      <w:pPr>
        <w:spacing w:line="312" w:lineRule="auto"/>
        <w:jc w:val="center"/>
        <w:outlineLvl w:val="1"/>
        <w:rPr>
          <w:rFonts w:ascii="黑体" w:hAnsi="黑体" w:eastAsia="黑体" w:cs="黑体"/>
          <w:kern w:val="0"/>
          <w:sz w:val="28"/>
          <w:szCs w:val="28"/>
        </w:rPr>
      </w:pPr>
      <w:bookmarkStart w:id="395" w:name="_Toc27165"/>
      <w:r>
        <w:rPr>
          <w:rFonts w:hint="eastAsia" w:ascii="黑体" w:hAnsi="黑体" w:eastAsia="黑体" w:cs="黑体"/>
          <w:kern w:val="0"/>
          <w:sz w:val="28"/>
          <w:szCs w:val="28"/>
        </w:rPr>
        <w:t>二、法定代表人身份证明或附有法定代表人身份证明的授权委托书</w:t>
      </w:r>
      <w:bookmarkEnd w:id="395"/>
    </w:p>
    <w:p>
      <w:pPr>
        <w:spacing w:line="312" w:lineRule="auto"/>
        <w:rPr>
          <w:rFonts w:ascii="宋体" w:hAnsi="宋体" w:cs="宋体"/>
          <w:b/>
          <w:bCs/>
          <w:sz w:val="24"/>
        </w:rPr>
      </w:pPr>
      <w:bookmarkStart w:id="396" w:name="_Toc26381"/>
      <w:bookmarkStart w:id="397" w:name="_Toc15089"/>
      <w:bookmarkStart w:id="398" w:name="_Toc26298"/>
      <w:bookmarkStart w:id="399" w:name="_Toc3047"/>
      <w:bookmarkStart w:id="400" w:name="_Toc30421"/>
    </w:p>
    <w:p>
      <w:pPr>
        <w:spacing w:line="312" w:lineRule="auto"/>
        <w:jc w:val="center"/>
        <w:outlineLvl w:val="2"/>
        <w:rPr>
          <w:rFonts w:ascii="宋体" w:hAnsi="宋体" w:cs="宋体"/>
          <w:b/>
          <w:bCs/>
          <w:sz w:val="24"/>
        </w:rPr>
      </w:pPr>
      <w:r>
        <w:rPr>
          <w:rFonts w:hint="eastAsia" w:ascii="宋体" w:hAnsi="宋体" w:cs="宋体"/>
          <w:b/>
          <w:bCs/>
          <w:sz w:val="24"/>
        </w:rPr>
        <w:t>（一）法定代表人身份证明</w:t>
      </w:r>
      <w:bookmarkEnd w:id="396"/>
      <w:bookmarkEnd w:id="397"/>
      <w:bookmarkEnd w:id="398"/>
      <w:bookmarkEnd w:id="399"/>
      <w:bookmarkEnd w:id="400"/>
    </w:p>
    <w:p>
      <w:pPr>
        <w:spacing w:line="312" w:lineRule="auto"/>
      </w:pPr>
    </w:p>
    <w:p>
      <w:pPr>
        <w:spacing w:line="312" w:lineRule="auto"/>
        <w:rPr>
          <w:rFonts w:ascii="宋体" w:hAnsi="宋体" w:cs="宋体"/>
          <w:sz w:val="24"/>
        </w:rPr>
      </w:pPr>
      <w:r>
        <w:rPr>
          <w:rFonts w:hint="eastAsia" w:ascii="宋体" w:hAnsi="宋体" w:cs="宋体"/>
          <w:sz w:val="24"/>
        </w:rPr>
        <w:t>投 标 人：</w:t>
      </w:r>
    </w:p>
    <w:p>
      <w:pPr>
        <w:spacing w:line="312" w:lineRule="auto"/>
        <w:rPr>
          <w:rFonts w:ascii="宋体" w:hAnsi="宋体" w:cs="宋体"/>
          <w:sz w:val="24"/>
        </w:rPr>
      </w:pPr>
      <w:r>
        <w:rPr>
          <w:rFonts w:hint="eastAsia" w:ascii="宋体" w:hAnsi="宋体" w:cs="宋体"/>
          <w:sz w:val="24"/>
        </w:rPr>
        <w:t>单位性质：</w:t>
      </w:r>
    </w:p>
    <w:p>
      <w:pPr>
        <w:spacing w:line="312" w:lineRule="auto"/>
        <w:rPr>
          <w:rFonts w:ascii="宋体" w:hAnsi="宋体" w:cs="宋体"/>
          <w:sz w:val="24"/>
          <w:u w:val="single"/>
        </w:rPr>
      </w:pPr>
      <w:r>
        <w:rPr>
          <w:rFonts w:hint="eastAsia" w:ascii="宋体" w:hAnsi="宋体" w:cs="宋体"/>
          <w:sz w:val="24"/>
        </w:rPr>
        <w:t>地    址：</w:t>
      </w:r>
    </w:p>
    <w:p>
      <w:pPr>
        <w:spacing w:line="312" w:lineRule="auto"/>
        <w:rPr>
          <w:rFonts w:ascii="宋体" w:hAnsi="宋体" w:cs="宋体"/>
          <w:sz w:val="24"/>
        </w:rPr>
      </w:pPr>
      <w:r>
        <w:rPr>
          <w:rFonts w:hint="eastAsia" w:ascii="宋体" w:hAnsi="宋体" w:cs="宋体"/>
          <w:sz w:val="24"/>
        </w:rPr>
        <w:t>成立时间：年月日</w:t>
      </w:r>
    </w:p>
    <w:p>
      <w:pPr>
        <w:spacing w:line="312" w:lineRule="auto"/>
        <w:rPr>
          <w:rFonts w:ascii="宋体" w:hAnsi="宋体" w:cs="宋体"/>
          <w:sz w:val="24"/>
        </w:rPr>
      </w:pPr>
      <w:r>
        <w:rPr>
          <w:rFonts w:hint="eastAsia" w:ascii="宋体" w:hAnsi="宋体" w:cs="宋体"/>
          <w:sz w:val="24"/>
        </w:rPr>
        <w:t>经营期限：</w:t>
      </w:r>
    </w:p>
    <w:p>
      <w:pPr>
        <w:spacing w:line="312" w:lineRule="auto"/>
        <w:rPr>
          <w:rFonts w:ascii="宋体" w:hAnsi="宋体" w:cs="宋体"/>
          <w:sz w:val="24"/>
        </w:rPr>
      </w:pPr>
      <w:r>
        <w:rPr>
          <w:rFonts w:hint="eastAsia" w:ascii="宋体" w:hAnsi="宋体" w:cs="宋体"/>
          <w:sz w:val="24"/>
        </w:rPr>
        <w:t>姓    名：性    别：</w:t>
      </w:r>
    </w:p>
    <w:p>
      <w:pPr>
        <w:spacing w:line="312" w:lineRule="auto"/>
        <w:rPr>
          <w:rFonts w:ascii="宋体" w:hAnsi="宋体" w:cs="宋体"/>
          <w:sz w:val="24"/>
        </w:rPr>
      </w:pPr>
      <w:r>
        <w:rPr>
          <w:rFonts w:hint="eastAsia" w:ascii="宋体" w:hAnsi="宋体" w:cs="宋体"/>
          <w:sz w:val="24"/>
        </w:rPr>
        <w:t>年    龄：职    务：</w:t>
      </w:r>
    </w:p>
    <w:p>
      <w:pPr>
        <w:spacing w:line="312" w:lineRule="auto"/>
        <w:rPr>
          <w:rFonts w:ascii="宋体" w:hAnsi="宋体" w:cs="宋体"/>
          <w:sz w:val="24"/>
        </w:rPr>
      </w:pPr>
      <w:r>
        <w:rPr>
          <w:rFonts w:hint="eastAsia" w:ascii="宋体" w:hAnsi="宋体" w:cs="宋体"/>
          <w:sz w:val="24"/>
        </w:rPr>
        <w:t>系（投标人名称）的法定代表人。</w:t>
      </w:r>
    </w:p>
    <w:p>
      <w:pPr>
        <w:spacing w:line="312" w:lineRule="auto"/>
        <w:rPr>
          <w:rFonts w:ascii="宋体" w:hAnsi="宋体" w:cs="宋体"/>
          <w:sz w:val="24"/>
        </w:rPr>
      </w:pPr>
      <w:r>
        <w:rPr>
          <w:rFonts w:hint="eastAsia" w:ascii="宋体" w:hAnsi="宋体" w:cs="宋体"/>
          <w:sz w:val="24"/>
        </w:rPr>
        <w:t>特此证明。</w:t>
      </w:r>
    </w:p>
    <w:p>
      <w:pPr>
        <w:spacing w:line="312" w:lineRule="auto"/>
        <w:rPr>
          <w:rFonts w:ascii="宋体" w:hAnsi="宋体" w:cs="宋体"/>
          <w:sz w:val="24"/>
        </w:rPr>
      </w:pPr>
    </w:p>
    <w:p>
      <w:pPr>
        <w:spacing w:line="312" w:lineRule="auto"/>
        <w:rPr>
          <w:rFonts w:ascii="宋体" w:hAnsi="宋体" w:cs="宋体"/>
          <w:sz w:val="24"/>
        </w:rPr>
      </w:pPr>
    </w:p>
    <w:p>
      <w:pPr>
        <w:wordWrap w:val="0"/>
        <w:spacing w:line="312" w:lineRule="auto"/>
        <w:jc w:val="right"/>
        <w:rPr>
          <w:rFonts w:ascii="宋体" w:hAnsi="宋体" w:cs="宋体"/>
          <w:sz w:val="24"/>
        </w:rPr>
      </w:pPr>
      <w:r>
        <w:rPr>
          <w:rFonts w:hint="eastAsia" w:ascii="宋体" w:hAnsi="宋体" w:cs="宋体"/>
          <w:sz w:val="24"/>
        </w:rPr>
        <w:t>投标人：（盖单位章）</w:t>
      </w:r>
    </w:p>
    <w:p>
      <w:pPr>
        <w:wordWrap w:val="0"/>
        <w:spacing w:line="312" w:lineRule="auto"/>
        <w:jc w:val="right"/>
        <w:rPr>
          <w:rFonts w:ascii="宋体" w:hAnsi="宋体" w:cs="宋体"/>
          <w:sz w:val="24"/>
        </w:rPr>
      </w:pPr>
      <w:r>
        <w:rPr>
          <w:rFonts w:hint="eastAsia" w:ascii="宋体" w:hAnsi="宋体" w:cs="宋体"/>
          <w:sz w:val="24"/>
        </w:rPr>
        <w:t xml:space="preserve">年月日          </w:t>
      </w:r>
    </w:p>
    <w:p>
      <w:pPr>
        <w:spacing w:line="312" w:lineRule="auto"/>
        <w:jc w:val="center"/>
        <w:outlineLvl w:val="2"/>
        <w:rPr>
          <w:rFonts w:ascii="宋体" w:hAnsi="宋体" w:cs="宋体"/>
          <w:b/>
          <w:bCs/>
          <w:sz w:val="24"/>
        </w:rPr>
      </w:pPr>
      <w:r>
        <w:rPr>
          <w:rFonts w:hint="eastAsia" w:ascii="宋体" w:hAnsi="宋体" w:cs="宋体"/>
          <w:sz w:val="24"/>
        </w:rPr>
        <w:br w:type="page"/>
      </w:r>
      <w:bookmarkStart w:id="401" w:name="_Toc28779"/>
      <w:bookmarkStart w:id="402" w:name="_Toc14115"/>
      <w:bookmarkStart w:id="403" w:name="_Toc7548"/>
      <w:bookmarkStart w:id="404" w:name="_Toc1682"/>
      <w:bookmarkStart w:id="405" w:name="_Toc5932"/>
      <w:r>
        <w:rPr>
          <w:rFonts w:hint="eastAsia" w:ascii="宋体" w:hAnsi="宋体" w:cs="宋体"/>
          <w:b/>
          <w:bCs/>
          <w:sz w:val="24"/>
        </w:rPr>
        <w:t>（二）授权委托书</w:t>
      </w:r>
      <w:bookmarkEnd w:id="401"/>
      <w:bookmarkEnd w:id="402"/>
      <w:bookmarkEnd w:id="403"/>
      <w:bookmarkEnd w:id="404"/>
      <w:bookmarkEnd w:id="405"/>
    </w:p>
    <w:p>
      <w:pPr>
        <w:spacing w:line="312" w:lineRule="auto"/>
      </w:pPr>
    </w:p>
    <w:p>
      <w:pPr>
        <w:spacing w:line="312" w:lineRule="auto"/>
        <w:rPr>
          <w:rFonts w:ascii="宋体" w:hAnsi="宋体" w:cs="宋体"/>
          <w:sz w:val="24"/>
        </w:rPr>
      </w:pPr>
      <w:r>
        <w:rPr>
          <w:rFonts w:hint="eastAsia" w:ascii="宋体" w:hAnsi="宋体" w:cs="宋体"/>
          <w:sz w:val="24"/>
        </w:rPr>
        <w:t xml:space="preserve">     本人（姓名）系 （投标人名称）的法定代表人，现委托（姓名）为我方代理人。代理人根据授权，以我方名义签署、澄清、说明、补正、递交、撤回、修改（项目名称）施工投标文件、签订合同和处理有关事宜，其法律后果由我方承担。</w:t>
      </w:r>
    </w:p>
    <w:p>
      <w:pPr>
        <w:spacing w:line="312" w:lineRule="auto"/>
        <w:rPr>
          <w:rFonts w:ascii="宋体" w:hAnsi="宋体" w:cs="宋体"/>
          <w:sz w:val="24"/>
        </w:rPr>
      </w:pPr>
      <w:r>
        <w:rPr>
          <w:rFonts w:hint="eastAsia" w:ascii="宋体" w:hAnsi="宋体" w:cs="宋体"/>
          <w:sz w:val="24"/>
        </w:rPr>
        <w:t xml:space="preserve">      委托期限：               </w:t>
      </w:r>
    </w:p>
    <w:p>
      <w:pPr>
        <w:spacing w:line="312" w:lineRule="auto"/>
        <w:rPr>
          <w:rFonts w:ascii="宋体" w:hAnsi="宋体" w:cs="宋体"/>
          <w:sz w:val="24"/>
        </w:rPr>
      </w:pPr>
      <w:r>
        <w:rPr>
          <w:rFonts w:hint="eastAsia" w:ascii="宋体" w:hAnsi="宋体" w:cs="宋体"/>
          <w:sz w:val="24"/>
        </w:rPr>
        <w:t xml:space="preserve">      代理人无转委托权。</w:t>
      </w:r>
    </w:p>
    <w:p>
      <w:pPr>
        <w:spacing w:line="312" w:lineRule="auto"/>
        <w:rPr>
          <w:rFonts w:ascii="宋体" w:hAnsi="宋体" w:cs="宋体"/>
          <w:sz w:val="24"/>
        </w:rPr>
      </w:pPr>
      <w:r>
        <w:rPr>
          <w:rFonts w:hint="eastAsia" w:ascii="宋体" w:hAnsi="宋体" w:cs="宋体"/>
          <w:sz w:val="24"/>
        </w:rPr>
        <w:t xml:space="preserve">      附：法定代表人身份证明</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投  标  人：（盖单位章）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法定代表人：（签字或盖章）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委托代理人：（签字或盖章）</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身份证号码：</w:t>
      </w:r>
    </w:p>
    <w:p>
      <w:pPr>
        <w:spacing w:line="312" w:lineRule="auto"/>
        <w:rPr>
          <w:rFonts w:ascii="宋体" w:hAnsi="宋体" w:cs="宋体"/>
          <w:sz w:val="24"/>
        </w:rPr>
      </w:pPr>
    </w:p>
    <w:p>
      <w:pPr>
        <w:spacing w:line="312" w:lineRule="auto"/>
        <w:rPr>
          <w:rFonts w:ascii="宋体" w:hAnsi="宋体" w:cs="宋体"/>
          <w:sz w:val="24"/>
        </w:rPr>
      </w:pPr>
      <w:r>
        <w:rPr>
          <w:rFonts w:hint="eastAsia" w:ascii="宋体" w:hAnsi="宋体" w:cs="宋体"/>
          <w:sz w:val="24"/>
        </w:rPr>
        <w:t xml:space="preserve">        年        月        日</w:t>
      </w: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r>
        <w:rPr>
          <w:rFonts w:hint="eastAsia" w:ascii="宋体" w:hAnsi="宋体" w:cs="宋体"/>
          <w:sz w:val="24"/>
        </w:rPr>
        <w:br w:type="page"/>
      </w:r>
      <w:bookmarkStart w:id="406" w:name="_Toc12158"/>
      <w:r>
        <w:rPr>
          <w:rFonts w:hint="eastAsia" w:ascii="黑体" w:hAnsi="黑体" w:eastAsia="黑体" w:cs="黑体"/>
          <w:kern w:val="0"/>
          <w:sz w:val="28"/>
          <w:szCs w:val="28"/>
        </w:rPr>
        <w:t>三、投标保证金</w:t>
      </w:r>
      <w:bookmarkEnd w:id="406"/>
    </w:p>
    <w:p>
      <w:pPr>
        <w:spacing w:line="312" w:lineRule="auto"/>
        <w:rPr>
          <w:rFonts w:ascii="宋体" w:hAnsi="宋体" w:cs="宋体"/>
          <w:sz w:val="24"/>
        </w:rPr>
      </w:pPr>
    </w:p>
    <w:p>
      <w:pPr>
        <w:spacing w:line="312" w:lineRule="auto"/>
        <w:ind w:firstLine="480" w:firstLineChars="200"/>
        <w:rPr>
          <w:rFonts w:ascii="宋体" w:hAnsi="宋体" w:cs="宋体"/>
          <w:sz w:val="24"/>
        </w:rPr>
      </w:pPr>
      <w:r>
        <w:rPr>
          <w:rFonts w:hint="eastAsia" w:ascii="宋体" w:hAnsi="宋体" w:cs="宋体"/>
          <w:sz w:val="24"/>
        </w:rPr>
        <w:t>投标保证金复印件：</w:t>
      </w:r>
    </w:p>
    <w:p>
      <w:pPr>
        <w:spacing w:line="312" w:lineRule="auto"/>
        <w:ind w:firstLine="480" w:firstLineChars="200"/>
        <w:rPr>
          <w:rFonts w:ascii="宋体" w:hAnsi="宋体" w:cs="宋体"/>
          <w:sz w:val="24"/>
        </w:rPr>
      </w:pPr>
      <w:r>
        <w:rPr>
          <w:rFonts w:ascii="宋体" w:hAnsi="宋体" w:cs="宋体"/>
          <w:sz w:val="24"/>
        </w:rPr>
        <w:pict>
          <v:shape id="_x0000_s1027" o:spid="_x0000_s1027" o:spt="202" type="#_x0000_t202" style="position:absolute;left:0pt;margin-left:24.05pt;margin-top:15.65pt;height:191.55pt;width:437.8pt;z-index:251658240;mso-width-relative:page;mso-height-relative:page;" coordsize="21600,21600" o:gfxdata="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MpxS6LZAAAACQEAAA8AAAAAAAAAAQAgAAAAIgAAAGRycy9kb3ducmV2LnhtbFBLAQIUABQA&#10;AAAIAIdO4kCssQwm7wEAAOkDAAAOAAAAAAAAAAEAIAAAACgBAABkcnMvZTJvRG9jLnhtbFBLBQYA&#10;AAAABgAGAFkBAACJBQAAAAA=&#10;">
            <v:path/>
            <v:fill focussize="0,0"/>
            <v:stroke joinstyle="miter"/>
            <v:imagedata o:title=""/>
            <o:lock v:ext="edit"/>
            <v:textbox>
              <w:txbxContent>
                <w:p>
                  <w:pPr>
                    <w:rPr>
                      <w:rFonts w:ascii="宋体" w:hAnsi="宋体"/>
                      <w:szCs w:val="21"/>
                    </w:rPr>
                  </w:pPr>
                </w:p>
                <w:p>
                  <w:pPr>
                    <w:rPr>
                      <w:rFonts w:ascii="宋体" w:hAnsi="宋体"/>
                      <w:szCs w:val="21"/>
                    </w:rPr>
                  </w:pPr>
                </w:p>
                <w:p>
                  <w:pPr>
                    <w:rPr>
                      <w:rFonts w:ascii="宋体" w:hAnsi="宋体"/>
                      <w:szCs w:val="21"/>
                    </w:rPr>
                  </w:pPr>
                </w:p>
                <w:p>
                  <w:pPr>
                    <w:rPr>
                      <w:rFonts w:ascii="宋体" w:hAnsi="宋体"/>
                      <w:szCs w:val="21"/>
                    </w:rPr>
                  </w:pPr>
                </w:p>
                <w:p>
                  <w:pPr>
                    <w:spacing w:line="440" w:lineRule="exact"/>
                    <w:rPr>
                      <w:rFonts w:eastAsia="黑体"/>
                      <w:color w:val="FF0000"/>
                      <w:szCs w:val="21"/>
                    </w:rPr>
                  </w:pPr>
                  <w:r>
                    <w:rPr>
                      <w:rFonts w:hint="eastAsia"/>
                      <w:b/>
                      <w:szCs w:val="21"/>
                    </w:rPr>
                    <w:t xml:space="preserve">        附有效投标保证金已到账银行转账凭证</w:t>
                  </w:r>
                </w:p>
                <w:p>
                  <w:pPr>
                    <w:ind w:firstLine="525" w:firstLineChars="250"/>
                    <w:jc w:val="center"/>
                  </w:pPr>
                </w:p>
              </w:txbxContent>
            </v:textbox>
          </v:shape>
        </w:pict>
      </w: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480" w:firstLineChars="200"/>
        <w:rPr>
          <w:rFonts w:ascii="宋体" w:hAnsi="宋体" w:cs="宋体"/>
          <w:sz w:val="24"/>
        </w:rPr>
      </w:pPr>
    </w:p>
    <w:p>
      <w:pPr>
        <w:spacing w:line="312" w:lineRule="auto"/>
        <w:ind w:firstLine="5520" w:firstLineChars="2300"/>
        <w:rPr>
          <w:rFonts w:ascii="宋体" w:hAnsi="宋体" w:cs="宋体"/>
          <w:sz w:val="24"/>
        </w:rPr>
      </w:pPr>
    </w:p>
    <w:p>
      <w:pPr>
        <w:spacing w:line="312" w:lineRule="auto"/>
        <w:ind w:firstLine="5520" w:firstLineChars="2300"/>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jc w:val="center"/>
        <w:outlineLvl w:val="1"/>
        <w:rPr>
          <w:rFonts w:ascii="宋体" w:hAnsi="宋体" w:cs="宋体"/>
          <w:sz w:val="24"/>
        </w:rPr>
      </w:pPr>
      <w:bookmarkStart w:id="407" w:name="_Toc1165"/>
      <w:bookmarkStart w:id="408" w:name="_Toc9624"/>
      <w:bookmarkStart w:id="409" w:name="_Toc1827"/>
      <w:bookmarkStart w:id="410" w:name="_Toc7389"/>
      <w:bookmarkStart w:id="411" w:name="_Toc7150"/>
      <w:r>
        <w:rPr>
          <w:rFonts w:hint="eastAsia" w:ascii="黑体" w:hAnsi="黑体" w:eastAsia="黑体" w:cs="黑体"/>
          <w:kern w:val="0"/>
          <w:sz w:val="28"/>
          <w:szCs w:val="28"/>
        </w:rPr>
        <w:t>四、已标价工程量清单</w:t>
      </w:r>
      <w:bookmarkEnd w:id="407"/>
    </w:p>
    <w:p>
      <w:pPr>
        <w:spacing w:line="312" w:lineRule="auto"/>
        <w:jc w:val="center"/>
        <w:outlineLvl w:val="1"/>
        <w:rPr>
          <w:rFonts w:ascii="黑体" w:hAnsi="黑体" w:eastAsia="黑体" w:cs="黑体"/>
          <w:kern w:val="0"/>
          <w:sz w:val="28"/>
          <w:szCs w:val="28"/>
        </w:rPr>
      </w:pPr>
      <w:bookmarkStart w:id="412" w:name="_Toc2561"/>
    </w:p>
    <w:p>
      <w:pPr>
        <w:spacing w:line="312" w:lineRule="auto"/>
        <w:jc w:val="center"/>
        <w:rPr>
          <w:rFonts w:ascii="黑体" w:hAnsi="黑体" w:eastAsia="黑体" w:cs="黑体"/>
          <w:kern w:val="0"/>
          <w:sz w:val="28"/>
          <w:szCs w:val="28"/>
        </w:rPr>
      </w:pPr>
      <w:r>
        <w:rPr>
          <w:rFonts w:hint="eastAsia" w:ascii="黑体" w:hAnsi="黑体" w:eastAsia="黑体" w:cs="黑体"/>
          <w:kern w:val="0"/>
          <w:sz w:val="28"/>
          <w:szCs w:val="28"/>
        </w:rPr>
        <w:t>五、</w:t>
      </w:r>
      <w:bookmarkEnd w:id="412"/>
      <w:r>
        <w:rPr>
          <w:rFonts w:hint="eastAsia" w:ascii="黑体" w:hAnsi="黑体" w:eastAsia="黑体" w:cs="黑体"/>
          <w:kern w:val="0"/>
          <w:sz w:val="28"/>
          <w:szCs w:val="28"/>
        </w:rPr>
        <w:t>技术方案（实施方案）</w:t>
      </w:r>
    </w:p>
    <w:p>
      <w:pPr>
        <w:spacing w:line="312" w:lineRule="auto"/>
        <w:rPr>
          <w:rFonts w:ascii="宋体" w:hAnsi="宋体" w:cs="宋体"/>
          <w:b/>
          <w:bCs/>
          <w:sz w:val="28"/>
          <w:szCs w:val="28"/>
        </w:rPr>
      </w:pPr>
      <w:r>
        <w:rPr>
          <w:rFonts w:hint="eastAsia" w:ascii="宋体" w:hAnsi="宋体" w:cs="宋体"/>
          <w:b/>
          <w:bCs/>
          <w:sz w:val="28"/>
          <w:szCs w:val="28"/>
        </w:rPr>
        <w:t>1、对工程的理解</w:t>
      </w:r>
    </w:p>
    <w:p>
      <w:pPr>
        <w:spacing w:line="312" w:lineRule="auto"/>
        <w:rPr>
          <w:rFonts w:ascii="宋体" w:hAnsi="宋体" w:cs="宋体"/>
          <w:b/>
          <w:bCs/>
          <w:sz w:val="28"/>
          <w:szCs w:val="28"/>
        </w:rPr>
      </w:pPr>
      <w:r>
        <w:rPr>
          <w:rFonts w:hint="eastAsia" w:ascii="宋体" w:hAnsi="宋体" w:cs="宋体"/>
          <w:b/>
          <w:bCs/>
          <w:sz w:val="28"/>
          <w:szCs w:val="28"/>
        </w:rPr>
        <w:t>2、工作大纲</w:t>
      </w:r>
    </w:p>
    <w:p>
      <w:pPr>
        <w:spacing w:line="312" w:lineRule="auto"/>
        <w:rPr>
          <w:rFonts w:ascii="宋体" w:hAnsi="宋体" w:cs="宋体"/>
          <w:b/>
          <w:bCs/>
          <w:sz w:val="28"/>
          <w:szCs w:val="28"/>
        </w:rPr>
      </w:pPr>
      <w:r>
        <w:rPr>
          <w:rFonts w:hint="eastAsia" w:ascii="宋体" w:hAnsi="宋体" w:cs="宋体"/>
          <w:b/>
          <w:bCs/>
          <w:sz w:val="28"/>
          <w:szCs w:val="28"/>
        </w:rPr>
        <w:t>3、总体工作思路</w:t>
      </w:r>
    </w:p>
    <w:p>
      <w:pPr>
        <w:spacing w:line="312" w:lineRule="auto"/>
        <w:rPr>
          <w:rFonts w:ascii="宋体" w:hAnsi="宋体" w:cs="宋体"/>
          <w:b/>
          <w:bCs/>
          <w:sz w:val="28"/>
          <w:szCs w:val="28"/>
        </w:rPr>
      </w:pPr>
      <w:r>
        <w:rPr>
          <w:rFonts w:hint="eastAsia" w:ascii="宋体" w:hAnsi="宋体" w:cs="宋体"/>
          <w:b/>
          <w:bCs/>
          <w:sz w:val="28"/>
          <w:szCs w:val="28"/>
        </w:rPr>
        <w:t>3.1工作思路</w:t>
      </w:r>
    </w:p>
    <w:p>
      <w:pPr>
        <w:spacing w:line="312" w:lineRule="auto"/>
        <w:rPr>
          <w:rFonts w:ascii="宋体" w:hAnsi="宋体" w:cs="宋体"/>
          <w:b/>
          <w:bCs/>
          <w:sz w:val="28"/>
          <w:szCs w:val="28"/>
        </w:rPr>
      </w:pPr>
      <w:r>
        <w:rPr>
          <w:rFonts w:hint="eastAsia" w:ascii="宋体" w:hAnsi="宋体" w:cs="宋体"/>
          <w:b/>
          <w:bCs/>
          <w:sz w:val="28"/>
          <w:szCs w:val="28"/>
        </w:rPr>
        <w:t>3.2重、难点剖析及解决方案</w:t>
      </w:r>
    </w:p>
    <w:p>
      <w:pPr>
        <w:spacing w:line="312" w:lineRule="auto"/>
        <w:rPr>
          <w:rFonts w:ascii="宋体" w:hAnsi="宋体" w:cs="宋体"/>
          <w:b/>
          <w:bCs/>
          <w:sz w:val="28"/>
          <w:szCs w:val="28"/>
        </w:rPr>
      </w:pPr>
      <w:r>
        <w:rPr>
          <w:rFonts w:hint="eastAsia" w:ascii="宋体" w:hAnsi="宋体" w:cs="宋体"/>
          <w:b/>
          <w:bCs/>
          <w:sz w:val="28"/>
          <w:szCs w:val="28"/>
        </w:rPr>
        <w:t>3.3工作开展流程</w:t>
      </w:r>
    </w:p>
    <w:p>
      <w:pPr>
        <w:spacing w:line="312" w:lineRule="auto"/>
        <w:rPr>
          <w:rFonts w:ascii="宋体" w:hAnsi="宋体" w:cs="宋体"/>
          <w:b/>
          <w:bCs/>
          <w:sz w:val="28"/>
          <w:szCs w:val="28"/>
        </w:rPr>
      </w:pPr>
      <w:r>
        <w:rPr>
          <w:rFonts w:hint="eastAsia" w:ascii="宋体" w:hAnsi="宋体" w:cs="宋体"/>
          <w:b/>
          <w:bCs/>
          <w:sz w:val="28"/>
          <w:szCs w:val="28"/>
        </w:rPr>
        <w:t>4、工作进度计划及保障措施</w:t>
      </w:r>
    </w:p>
    <w:p>
      <w:pPr>
        <w:spacing w:line="312" w:lineRule="auto"/>
        <w:rPr>
          <w:rFonts w:ascii="宋体" w:hAnsi="宋体" w:cs="宋体"/>
          <w:b/>
          <w:bCs/>
          <w:sz w:val="28"/>
          <w:szCs w:val="28"/>
        </w:rPr>
      </w:pPr>
      <w:r>
        <w:rPr>
          <w:rFonts w:hint="eastAsia" w:ascii="宋体" w:hAnsi="宋体" w:cs="宋体"/>
          <w:b/>
          <w:bCs/>
          <w:sz w:val="28"/>
          <w:szCs w:val="28"/>
        </w:rPr>
        <w:t>5、工作质量保障体系及保障措施</w:t>
      </w:r>
    </w:p>
    <w:p>
      <w:pPr>
        <w:spacing w:line="312" w:lineRule="auto"/>
        <w:rPr>
          <w:rFonts w:ascii="宋体" w:hAnsi="宋体" w:cs="宋体"/>
          <w:b/>
          <w:bCs/>
          <w:sz w:val="28"/>
          <w:szCs w:val="28"/>
        </w:rPr>
      </w:pPr>
      <w:r>
        <w:rPr>
          <w:rFonts w:hint="eastAsia" w:ascii="宋体" w:hAnsi="宋体" w:cs="宋体"/>
          <w:b/>
          <w:bCs/>
          <w:sz w:val="28"/>
          <w:szCs w:val="28"/>
        </w:rPr>
        <w:t>6、安全生产及保障措施</w:t>
      </w:r>
    </w:p>
    <w:p>
      <w:pPr>
        <w:spacing w:line="312" w:lineRule="auto"/>
        <w:rPr>
          <w:rFonts w:ascii="宋体" w:hAnsi="宋体" w:cs="宋体"/>
          <w:b/>
          <w:bCs/>
          <w:sz w:val="28"/>
          <w:szCs w:val="28"/>
        </w:rPr>
      </w:pPr>
      <w:r>
        <w:rPr>
          <w:rFonts w:hint="eastAsia" w:ascii="宋体" w:hAnsi="宋体" w:cs="宋体"/>
          <w:b/>
          <w:bCs/>
          <w:sz w:val="28"/>
          <w:szCs w:val="28"/>
        </w:rPr>
        <w:t>7、合理化建议</w:t>
      </w:r>
    </w:p>
    <w:p>
      <w:pPr>
        <w:spacing w:line="312" w:lineRule="auto"/>
        <w:jc w:val="center"/>
        <w:outlineLvl w:val="1"/>
        <w:rPr>
          <w:rFonts w:ascii="宋体" w:hAnsi="宋体" w:cs="宋体"/>
          <w:sz w:val="24"/>
        </w:rPr>
      </w:pPr>
      <w:bookmarkStart w:id="413" w:name="_Toc20269"/>
      <w:r>
        <w:rPr>
          <w:rFonts w:hint="eastAsia" w:ascii="黑体" w:hAnsi="黑体" w:eastAsia="黑体" w:cs="黑体"/>
          <w:kern w:val="0"/>
          <w:sz w:val="28"/>
          <w:szCs w:val="28"/>
        </w:rPr>
        <w:t>六、项目管理机构</w:t>
      </w:r>
      <w:bookmarkEnd w:id="408"/>
      <w:bookmarkEnd w:id="409"/>
      <w:bookmarkEnd w:id="410"/>
      <w:bookmarkEnd w:id="411"/>
      <w:bookmarkEnd w:id="413"/>
    </w:p>
    <w:p>
      <w:pPr>
        <w:spacing w:line="312" w:lineRule="auto"/>
        <w:outlineLvl w:val="2"/>
        <w:rPr>
          <w:rFonts w:ascii="宋体" w:hAnsi="宋体" w:cs="宋体"/>
          <w:b/>
          <w:bCs/>
          <w:sz w:val="24"/>
        </w:rPr>
      </w:pPr>
      <w:bookmarkStart w:id="414" w:name="_Toc26208"/>
      <w:bookmarkStart w:id="415" w:name="_Toc8921"/>
      <w:bookmarkStart w:id="416" w:name="_Toc21137"/>
      <w:bookmarkStart w:id="417" w:name="_Toc27720"/>
      <w:bookmarkStart w:id="418" w:name="_Toc25342"/>
      <w:bookmarkStart w:id="419" w:name="_Toc5309"/>
      <w:bookmarkStart w:id="420" w:name="_Toc29679"/>
      <w:bookmarkStart w:id="421" w:name="_Toc17717"/>
      <w:bookmarkStart w:id="422" w:name="_Toc32193"/>
      <w:bookmarkStart w:id="423" w:name="_Toc23329"/>
      <w:r>
        <w:rPr>
          <w:rFonts w:hint="eastAsia" w:ascii="宋体" w:hAnsi="宋体" w:cs="宋体"/>
          <w:b/>
          <w:bCs/>
          <w:sz w:val="24"/>
        </w:rPr>
        <w:t>（一）项目管理机构组成表</w:t>
      </w:r>
      <w:bookmarkEnd w:id="414"/>
      <w:bookmarkEnd w:id="415"/>
      <w:bookmarkEnd w:id="416"/>
      <w:bookmarkEnd w:id="417"/>
      <w:bookmarkEnd w:id="418"/>
    </w:p>
    <w:tbl>
      <w:tblPr>
        <w:tblStyle w:val="21"/>
        <w:tblW w:w="87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709"/>
        <w:gridCol w:w="1356"/>
        <w:gridCol w:w="1059"/>
        <w:gridCol w:w="900"/>
        <w:gridCol w:w="900"/>
        <w:gridCol w:w="1677"/>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职务</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姓名</w:t>
            </w:r>
          </w:p>
        </w:tc>
        <w:tc>
          <w:tcPr>
            <w:tcW w:w="709" w:type="dxa"/>
            <w:vMerge w:val="restart"/>
            <w:vAlign w:val="center"/>
          </w:tcPr>
          <w:p>
            <w:pPr>
              <w:spacing w:line="312" w:lineRule="auto"/>
              <w:jc w:val="center"/>
              <w:rPr>
                <w:rFonts w:ascii="宋体" w:hAnsi="宋体" w:cs="宋体"/>
                <w:sz w:val="24"/>
              </w:rPr>
            </w:pPr>
            <w:r>
              <w:rPr>
                <w:rFonts w:hint="eastAsia" w:ascii="宋体" w:hAnsi="宋体" w:cs="宋体"/>
                <w:sz w:val="24"/>
              </w:rPr>
              <w:t>职称</w:t>
            </w:r>
          </w:p>
        </w:tc>
        <w:tc>
          <w:tcPr>
            <w:tcW w:w="5892" w:type="dxa"/>
            <w:gridSpan w:val="5"/>
            <w:vAlign w:val="center"/>
          </w:tcPr>
          <w:p>
            <w:pPr>
              <w:spacing w:line="312" w:lineRule="auto"/>
              <w:jc w:val="center"/>
              <w:rPr>
                <w:rFonts w:ascii="宋体" w:hAnsi="宋体" w:cs="宋体"/>
                <w:sz w:val="24"/>
              </w:rPr>
            </w:pPr>
            <w:r>
              <w:rPr>
                <w:rFonts w:hint="eastAsia" w:ascii="宋体" w:hAnsi="宋体" w:cs="宋体"/>
                <w:sz w:val="24"/>
              </w:rPr>
              <w:t>执业或职业资格证明</w:t>
            </w:r>
          </w:p>
        </w:tc>
        <w:tc>
          <w:tcPr>
            <w:tcW w:w="708" w:type="dxa"/>
            <w:vMerge w:val="restart"/>
            <w:vAlign w:val="center"/>
          </w:tcPr>
          <w:p>
            <w:pPr>
              <w:spacing w:line="312"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709" w:type="dxa"/>
            <w:vMerge w:val="continue"/>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r>
              <w:rPr>
                <w:rFonts w:hint="eastAsia" w:ascii="宋体" w:hAnsi="宋体" w:cs="宋体"/>
                <w:sz w:val="24"/>
              </w:rPr>
              <w:t>证书名称</w:t>
            </w:r>
          </w:p>
        </w:tc>
        <w:tc>
          <w:tcPr>
            <w:tcW w:w="1059" w:type="dxa"/>
            <w:vAlign w:val="center"/>
          </w:tcPr>
          <w:p>
            <w:pPr>
              <w:spacing w:line="312" w:lineRule="auto"/>
              <w:jc w:val="center"/>
              <w:rPr>
                <w:rFonts w:ascii="宋体" w:hAnsi="宋体" w:cs="宋体"/>
                <w:sz w:val="24"/>
              </w:rPr>
            </w:pPr>
            <w:r>
              <w:rPr>
                <w:rFonts w:hint="eastAsia" w:ascii="宋体" w:hAnsi="宋体" w:cs="宋体"/>
                <w:sz w:val="24"/>
              </w:rPr>
              <w:t>级别</w:t>
            </w:r>
          </w:p>
        </w:tc>
        <w:tc>
          <w:tcPr>
            <w:tcW w:w="900" w:type="dxa"/>
            <w:vAlign w:val="center"/>
          </w:tcPr>
          <w:p>
            <w:pPr>
              <w:spacing w:line="312" w:lineRule="auto"/>
              <w:jc w:val="center"/>
              <w:rPr>
                <w:rFonts w:ascii="宋体" w:hAnsi="宋体" w:cs="宋体"/>
                <w:sz w:val="24"/>
              </w:rPr>
            </w:pPr>
            <w:r>
              <w:rPr>
                <w:rFonts w:hint="eastAsia" w:ascii="宋体" w:hAnsi="宋体" w:cs="宋体"/>
                <w:sz w:val="24"/>
              </w:rPr>
              <w:t>证号</w:t>
            </w:r>
          </w:p>
        </w:tc>
        <w:tc>
          <w:tcPr>
            <w:tcW w:w="900"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1677" w:type="dxa"/>
            <w:vAlign w:val="center"/>
          </w:tcPr>
          <w:p>
            <w:pPr>
              <w:spacing w:line="312" w:lineRule="auto"/>
              <w:jc w:val="center"/>
              <w:rPr>
                <w:rFonts w:ascii="宋体" w:hAnsi="宋体" w:cs="宋体"/>
                <w:sz w:val="24"/>
              </w:rPr>
            </w:pPr>
            <w:r>
              <w:rPr>
                <w:rFonts w:hint="eastAsia" w:ascii="宋体" w:hAnsi="宋体" w:cs="宋体"/>
                <w:sz w:val="24"/>
              </w:rPr>
              <w:t>养老保险</w:t>
            </w:r>
          </w:p>
        </w:tc>
        <w:tc>
          <w:tcPr>
            <w:tcW w:w="708" w:type="dxa"/>
            <w:vMerge w:val="continue"/>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p>
        </w:tc>
        <w:tc>
          <w:tcPr>
            <w:tcW w:w="1356" w:type="dxa"/>
            <w:vAlign w:val="center"/>
          </w:tcPr>
          <w:p>
            <w:pPr>
              <w:spacing w:line="312" w:lineRule="auto"/>
              <w:jc w:val="center"/>
              <w:rPr>
                <w:rFonts w:ascii="宋体" w:hAnsi="宋体" w:cs="宋体"/>
                <w:sz w:val="24"/>
              </w:rPr>
            </w:pPr>
          </w:p>
        </w:tc>
        <w:tc>
          <w:tcPr>
            <w:tcW w:w="1059"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900" w:type="dxa"/>
            <w:vAlign w:val="center"/>
          </w:tcPr>
          <w:p>
            <w:pPr>
              <w:spacing w:line="312" w:lineRule="auto"/>
              <w:jc w:val="center"/>
              <w:rPr>
                <w:rFonts w:ascii="宋体" w:hAnsi="宋体" w:cs="宋体"/>
                <w:sz w:val="24"/>
              </w:rPr>
            </w:pPr>
          </w:p>
        </w:tc>
        <w:tc>
          <w:tcPr>
            <w:tcW w:w="1677" w:type="dxa"/>
            <w:vAlign w:val="center"/>
          </w:tcPr>
          <w:p>
            <w:pPr>
              <w:spacing w:line="312" w:lineRule="auto"/>
              <w:jc w:val="center"/>
              <w:rPr>
                <w:rFonts w:ascii="宋体" w:hAnsi="宋体" w:cs="宋体"/>
                <w:sz w:val="24"/>
              </w:rPr>
            </w:pPr>
          </w:p>
        </w:tc>
        <w:tc>
          <w:tcPr>
            <w:tcW w:w="708"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outlineLvl w:val="2"/>
        <w:rPr>
          <w:rFonts w:ascii="宋体" w:hAnsi="宋体" w:cs="宋体"/>
          <w:sz w:val="24"/>
        </w:rPr>
      </w:pPr>
      <w:bookmarkStart w:id="424" w:name="_Toc590"/>
      <w:bookmarkStart w:id="425" w:name="_Toc3522"/>
      <w:bookmarkStart w:id="426" w:name="_Toc26047"/>
      <w:bookmarkStart w:id="427" w:name="_Toc22776"/>
      <w:bookmarkStart w:id="428" w:name="_Toc27110"/>
      <w:r>
        <w:rPr>
          <w:rFonts w:hint="eastAsia" w:ascii="宋体" w:hAnsi="宋体" w:cs="宋体"/>
          <w:b/>
          <w:bCs/>
          <w:sz w:val="24"/>
        </w:rPr>
        <w:t>（二）主要人员简历表</w:t>
      </w:r>
      <w:bookmarkEnd w:id="424"/>
      <w:bookmarkEnd w:id="425"/>
      <w:bookmarkEnd w:id="426"/>
      <w:bookmarkEnd w:id="427"/>
      <w:bookmarkEnd w:id="428"/>
    </w:p>
    <w:p>
      <w:pPr>
        <w:spacing w:line="312" w:lineRule="auto"/>
        <w:rPr>
          <w:rFonts w:ascii="宋体" w:hAnsi="宋体" w:cs="宋体"/>
          <w:b/>
          <w:sz w:val="24"/>
        </w:rPr>
      </w:pPr>
      <w:bookmarkStart w:id="429" w:name="_Toc9814"/>
      <w:bookmarkStart w:id="430" w:name="_Toc13679"/>
      <w:bookmarkStart w:id="431" w:name="_Toc20036"/>
      <w:bookmarkStart w:id="432" w:name="_Toc20732"/>
      <w:bookmarkStart w:id="433" w:name="_Toc23995"/>
      <w:r>
        <w:rPr>
          <w:rFonts w:hint="eastAsia" w:ascii="宋体" w:hAnsi="宋体" w:cs="宋体"/>
          <w:b/>
          <w:sz w:val="24"/>
        </w:rPr>
        <w:t>附1：技术负责人简历表</w:t>
      </w:r>
      <w:bookmarkEnd w:id="429"/>
      <w:bookmarkEnd w:id="430"/>
      <w:bookmarkEnd w:id="431"/>
      <w:bookmarkEnd w:id="432"/>
      <w:bookmarkEnd w:id="433"/>
    </w:p>
    <w:p>
      <w:pPr>
        <w:spacing w:line="312" w:lineRule="auto"/>
        <w:ind w:firstLine="600" w:firstLineChars="250"/>
        <w:rPr>
          <w:rFonts w:ascii="宋体" w:hAnsi="宋体" w:cs="宋体"/>
          <w:sz w:val="24"/>
        </w:rPr>
      </w:pPr>
      <w:r>
        <w:rPr>
          <w:rFonts w:hint="eastAsia" w:ascii="宋体" w:hAnsi="宋体" w:cs="宋体"/>
          <w:sz w:val="24"/>
        </w:rPr>
        <w:t>技术负责人应附技术负责人身份证、职称证、学历证、劳动合同、养老保险复印件。</w:t>
      </w:r>
    </w:p>
    <w:tbl>
      <w:tblPr>
        <w:tblStyle w:val="21"/>
        <w:tblW w:w="93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4"/>
        <w:gridCol w:w="1132"/>
        <w:gridCol w:w="1240"/>
        <w:gridCol w:w="1394"/>
        <w:gridCol w:w="2015"/>
        <w:gridCol w:w="2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3566"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394"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15"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06"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trPr>
        <w:tc>
          <w:tcPr>
            <w:tcW w:w="93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3" w:hRule="atLeast"/>
        </w:trPr>
        <w:tc>
          <w:tcPr>
            <w:tcW w:w="1194"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76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15"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25"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194" w:type="dxa"/>
            <w:vAlign w:val="center"/>
          </w:tcPr>
          <w:p>
            <w:pPr>
              <w:spacing w:line="312" w:lineRule="auto"/>
              <w:jc w:val="center"/>
              <w:rPr>
                <w:rFonts w:ascii="宋体" w:hAnsi="宋体" w:cs="宋体"/>
                <w:sz w:val="24"/>
              </w:rPr>
            </w:pPr>
          </w:p>
        </w:tc>
        <w:tc>
          <w:tcPr>
            <w:tcW w:w="1132" w:type="dxa"/>
            <w:vAlign w:val="center"/>
          </w:tcPr>
          <w:p>
            <w:pPr>
              <w:spacing w:line="312" w:lineRule="auto"/>
              <w:jc w:val="center"/>
              <w:rPr>
                <w:rFonts w:ascii="宋体" w:hAnsi="宋体" w:cs="宋体"/>
                <w:sz w:val="24"/>
              </w:rPr>
            </w:pPr>
          </w:p>
        </w:tc>
        <w:tc>
          <w:tcPr>
            <w:tcW w:w="1240" w:type="dxa"/>
            <w:vAlign w:val="center"/>
          </w:tcPr>
          <w:p>
            <w:pPr>
              <w:spacing w:line="312" w:lineRule="auto"/>
              <w:jc w:val="center"/>
              <w:rPr>
                <w:rFonts w:ascii="宋体" w:hAnsi="宋体" w:cs="宋体"/>
                <w:sz w:val="24"/>
              </w:rPr>
            </w:pPr>
          </w:p>
        </w:tc>
        <w:tc>
          <w:tcPr>
            <w:tcW w:w="1394" w:type="dxa"/>
            <w:vAlign w:val="center"/>
          </w:tcPr>
          <w:p>
            <w:pPr>
              <w:spacing w:line="312" w:lineRule="auto"/>
              <w:jc w:val="center"/>
              <w:rPr>
                <w:rFonts w:ascii="宋体" w:hAnsi="宋体" w:cs="宋体"/>
                <w:sz w:val="24"/>
              </w:rPr>
            </w:pPr>
          </w:p>
        </w:tc>
        <w:tc>
          <w:tcPr>
            <w:tcW w:w="2015" w:type="dxa"/>
            <w:vAlign w:val="center"/>
          </w:tcPr>
          <w:p>
            <w:pPr>
              <w:spacing w:line="312" w:lineRule="auto"/>
              <w:jc w:val="center"/>
              <w:rPr>
                <w:rFonts w:ascii="宋体" w:hAnsi="宋体" w:cs="宋体"/>
                <w:sz w:val="24"/>
              </w:rPr>
            </w:pPr>
          </w:p>
        </w:tc>
        <w:tc>
          <w:tcPr>
            <w:tcW w:w="232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p>
    <w:p>
      <w:pPr>
        <w:spacing w:line="312" w:lineRule="auto"/>
        <w:jc w:val="center"/>
        <w:outlineLvl w:val="1"/>
        <w:rPr>
          <w:rFonts w:ascii="黑体" w:hAnsi="黑体" w:eastAsia="黑体" w:cs="黑体"/>
          <w:kern w:val="0"/>
          <w:sz w:val="28"/>
          <w:szCs w:val="28"/>
        </w:rPr>
      </w:pPr>
    </w:p>
    <w:p>
      <w:pPr>
        <w:spacing w:line="312" w:lineRule="auto"/>
        <w:rPr>
          <w:rFonts w:ascii="宋体" w:hAnsi="宋体" w:cs="宋体"/>
          <w:b/>
          <w:sz w:val="24"/>
        </w:rPr>
      </w:pPr>
    </w:p>
    <w:p>
      <w:pPr>
        <w:spacing w:line="312" w:lineRule="auto"/>
        <w:rPr>
          <w:rFonts w:ascii="宋体" w:hAnsi="宋体" w:cs="宋体"/>
          <w:b/>
          <w:sz w:val="24"/>
        </w:rPr>
      </w:pPr>
      <w:r>
        <w:rPr>
          <w:rFonts w:hint="eastAsia" w:ascii="宋体" w:hAnsi="宋体" w:cs="宋体"/>
          <w:b/>
          <w:sz w:val="24"/>
        </w:rPr>
        <w:t>附2：项目负责人简历表</w:t>
      </w:r>
    </w:p>
    <w:p>
      <w:pPr>
        <w:spacing w:line="312" w:lineRule="auto"/>
        <w:ind w:firstLine="600" w:firstLineChars="250"/>
        <w:rPr>
          <w:rFonts w:ascii="宋体" w:hAnsi="宋体" w:cs="宋体"/>
          <w:sz w:val="24"/>
        </w:rPr>
      </w:pPr>
      <w:r>
        <w:rPr>
          <w:rFonts w:hint="eastAsia" w:ascii="宋体" w:hAnsi="宋体" w:cs="宋体"/>
          <w:sz w:val="24"/>
        </w:rPr>
        <w:t>项目负责人应附项目负责人身份证、职称证、学历证、劳动合同、养老保险复印件及未担任其他在施建设工程项目负责人的承诺书，管理过的类似项目业绩须附合同协议书和中标通知书（合同协议书和竣工验收备案登记表）复印件。</w:t>
      </w:r>
    </w:p>
    <w:tbl>
      <w:tblPr>
        <w:tblStyle w:val="21"/>
        <w:tblW w:w="94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7"/>
        <w:gridCol w:w="1144"/>
        <w:gridCol w:w="1253"/>
        <w:gridCol w:w="1409"/>
        <w:gridCol w:w="2037"/>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姓  名</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年  龄</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学历</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职  称</w:t>
            </w: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r>
              <w:rPr>
                <w:rFonts w:hint="eastAsia" w:ascii="宋体" w:hAnsi="宋体" w:cs="宋体"/>
                <w:sz w:val="24"/>
              </w:rPr>
              <w:t>职  务</w:t>
            </w: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r>
              <w:rPr>
                <w:rFonts w:hint="eastAsia" w:ascii="宋体" w:hAnsi="宋体" w:cs="宋体"/>
                <w:sz w:val="24"/>
              </w:rPr>
              <w:t>拟在本工程任职</w:t>
            </w:r>
          </w:p>
        </w:tc>
        <w:tc>
          <w:tcPr>
            <w:tcW w:w="2350" w:type="dxa"/>
            <w:vAlign w:val="center"/>
          </w:tcPr>
          <w:p>
            <w:pPr>
              <w:spacing w:line="312" w:lineRule="auto"/>
              <w:jc w:val="center"/>
              <w:rPr>
                <w:rFonts w:ascii="宋体" w:hAnsi="宋体" w:cs="宋体"/>
                <w:sz w:val="24"/>
              </w:rPr>
            </w:pPr>
            <w:r>
              <w:rPr>
                <w:rFonts w:hint="eastAsia" w:ascii="宋体"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3604" w:type="dxa"/>
            <w:gridSpan w:val="3"/>
            <w:vAlign w:val="center"/>
          </w:tcPr>
          <w:p>
            <w:pPr>
              <w:spacing w:line="312" w:lineRule="auto"/>
              <w:jc w:val="center"/>
              <w:rPr>
                <w:rFonts w:ascii="宋体" w:hAnsi="宋体" w:cs="宋体"/>
                <w:sz w:val="24"/>
              </w:rPr>
            </w:pPr>
            <w:r>
              <w:rPr>
                <w:rFonts w:hint="eastAsia" w:ascii="宋体" w:hAnsi="宋体" w:cs="宋体"/>
                <w:sz w:val="24"/>
              </w:rPr>
              <w:t>资格等级</w:t>
            </w:r>
          </w:p>
        </w:tc>
        <w:tc>
          <w:tcPr>
            <w:tcW w:w="1409" w:type="dxa"/>
            <w:vAlign w:val="center"/>
          </w:tcPr>
          <w:p>
            <w:pPr>
              <w:spacing w:line="312" w:lineRule="auto"/>
              <w:jc w:val="center"/>
              <w:rPr>
                <w:rFonts w:ascii="宋体" w:hAnsi="宋体" w:cs="宋体"/>
                <w:sz w:val="24"/>
              </w:rPr>
            </w:pPr>
            <w:r>
              <w:rPr>
                <w:rFonts w:hint="eastAsia" w:ascii="宋体" w:hAnsi="宋体" w:cs="宋体"/>
                <w:sz w:val="24"/>
              </w:rPr>
              <w:t xml:space="preserve">      级</w:t>
            </w:r>
          </w:p>
        </w:tc>
        <w:tc>
          <w:tcPr>
            <w:tcW w:w="2037" w:type="dxa"/>
            <w:vAlign w:val="center"/>
          </w:tcPr>
          <w:p>
            <w:pPr>
              <w:spacing w:line="312" w:lineRule="auto"/>
              <w:jc w:val="center"/>
              <w:rPr>
                <w:rFonts w:ascii="宋体" w:hAnsi="宋体" w:cs="宋体"/>
                <w:sz w:val="24"/>
              </w:rPr>
            </w:pPr>
            <w:r>
              <w:rPr>
                <w:rFonts w:hint="eastAsia" w:ascii="宋体" w:hAnsi="宋体" w:cs="宋体"/>
                <w:sz w:val="24"/>
              </w:rPr>
              <w:t>专业</w:t>
            </w: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毕业学校</w:t>
            </w:r>
          </w:p>
        </w:tc>
        <w:tc>
          <w:tcPr>
            <w:tcW w:w="8193" w:type="dxa"/>
            <w:gridSpan w:val="5"/>
            <w:vAlign w:val="center"/>
          </w:tcPr>
          <w:p>
            <w:pPr>
              <w:spacing w:line="312" w:lineRule="auto"/>
              <w:ind w:firstLine="960" w:firstLineChars="400"/>
              <w:rPr>
                <w:rFonts w:ascii="宋体" w:hAnsi="宋体" w:cs="宋体"/>
                <w:sz w:val="24"/>
              </w:rPr>
            </w:pPr>
            <w:r>
              <w:rPr>
                <w:rFonts w:hint="eastAsia" w:ascii="宋体"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9400" w:type="dxa"/>
            <w:gridSpan w:val="6"/>
            <w:vAlign w:val="center"/>
          </w:tcPr>
          <w:p>
            <w:pPr>
              <w:spacing w:line="312" w:lineRule="auto"/>
              <w:jc w:val="center"/>
              <w:rPr>
                <w:rFonts w:ascii="宋体" w:hAnsi="宋体" w:cs="宋体"/>
                <w:sz w:val="24"/>
              </w:rPr>
            </w:pPr>
            <w:r>
              <w:rPr>
                <w:rFonts w:hint="eastAsia" w:ascii="宋体"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1207" w:type="dxa"/>
            <w:vAlign w:val="center"/>
          </w:tcPr>
          <w:p>
            <w:pPr>
              <w:spacing w:line="312" w:lineRule="auto"/>
              <w:jc w:val="center"/>
              <w:rPr>
                <w:rFonts w:ascii="宋体" w:hAnsi="宋体" w:cs="宋体"/>
                <w:sz w:val="24"/>
              </w:rPr>
            </w:pPr>
            <w:r>
              <w:rPr>
                <w:rFonts w:hint="eastAsia" w:ascii="宋体" w:hAnsi="宋体" w:cs="宋体"/>
                <w:sz w:val="24"/>
              </w:rPr>
              <w:t>时  间</w:t>
            </w:r>
          </w:p>
        </w:tc>
        <w:tc>
          <w:tcPr>
            <w:tcW w:w="3806" w:type="dxa"/>
            <w:gridSpan w:val="3"/>
            <w:vAlign w:val="center"/>
          </w:tcPr>
          <w:p>
            <w:pPr>
              <w:spacing w:line="312" w:lineRule="auto"/>
              <w:jc w:val="center"/>
              <w:rPr>
                <w:rFonts w:ascii="宋体" w:hAnsi="宋体" w:cs="宋体"/>
                <w:sz w:val="24"/>
              </w:rPr>
            </w:pPr>
            <w:r>
              <w:rPr>
                <w:rFonts w:hint="eastAsia" w:ascii="宋体" w:hAnsi="宋体" w:cs="宋体"/>
                <w:sz w:val="24"/>
              </w:rPr>
              <w:t>参加过的类似项目名称</w:t>
            </w:r>
          </w:p>
        </w:tc>
        <w:tc>
          <w:tcPr>
            <w:tcW w:w="2037" w:type="dxa"/>
            <w:vAlign w:val="center"/>
          </w:tcPr>
          <w:p>
            <w:pPr>
              <w:spacing w:line="312" w:lineRule="auto"/>
              <w:jc w:val="center"/>
              <w:rPr>
                <w:rFonts w:ascii="宋体" w:hAnsi="宋体" w:cs="宋体"/>
                <w:sz w:val="24"/>
              </w:rPr>
            </w:pPr>
            <w:r>
              <w:rPr>
                <w:rFonts w:hint="eastAsia" w:ascii="宋体" w:hAnsi="宋体" w:cs="宋体"/>
                <w:sz w:val="24"/>
              </w:rPr>
              <w:t>工程概况说明</w:t>
            </w:r>
          </w:p>
        </w:tc>
        <w:tc>
          <w:tcPr>
            <w:tcW w:w="2350" w:type="dxa"/>
            <w:vAlign w:val="center"/>
          </w:tcPr>
          <w:p>
            <w:pPr>
              <w:spacing w:line="312" w:lineRule="auto"/>
              <w:jc w:val="center"/>
              <w:rPr>
                <w:rFonts w:ascii="宋体" w:hAnsi="宋体" w:cs="宋体"/>
                <w:sz w:val="24"/>
              </w:rPr>
            </w:pPr>
            <w:r>
              <w:rPr>
                <w:rFonts w:hint="eastAsia" w:ascii="宋体"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1207" w:type="dxa"/>
            <w:vAlign w:val="center"/>
          </w:tcPr>
          <w:p>
            <w:pPr>
              <w:spacing w:line="312" w:lineRule="auto"/>
              <w:jc w:val="center"/>
              <w:rPr>
                <w:rFonts w:ascii="宋体" w:hAnsi="宋体" w:cs="宋体"/>
                <w:sz w:val="24"/>
              </w:rPr>
            </w:pPr>
          </w:p>
        </w:tc>
        <w:tc>
          <w:tcPr>
            <w:tcW w:w="1144" w:type="dxa"/>
            <w:vAlign w:val="center"/>
          </w:tcPr>
          <w:p>
            <w:pPr>
              <w:spacing w:line="312" w:lineRule="auto"/>
              <w:jc w:val="center"/>
              <w:rPr>
                <w:rFonts w:ascii="宋体" w:hAnsi="宋体" w:cs="宋体"/>
                <w:sz w:val="24"/>
              </w:rPr>
            </w:pPr>
          </w:p>
        </w:tc>
        <w:tc>
          <w:tcPr>
            <w:tcW w:w="1253" w:type="dxa"/>
            <w:vAlign w:val="center"/>
          </w:tcPr>
          <w:p>
            <w:pPr>
              <w:spacing w:line="312" w:lineRule="auto"/>
              <w:jc w:val="center"/>
              <w:rPr>
                <w:rFonts w:ascii="宋体" w:hAnsi="宋体" w:cs="宋体"/>
                <w:sz w:val="24"/>
              </w:rPr>
            </w:pPr>
          </w:p>
        </w:tc>
        <w:tc>
          <w:tcPr>
            <w:tcW w:w="1409" w:type="dxa"/>
            <w:vAlign w:val="center"/>
          </w:tcPr>
          <w:p>
            <w:pPr>
              <w:spacing w:line="312" w:lineRule="auto"/>
              <w:jc w:val="center"/>
              <w:rPr>
                <w:rFonts w:ascii="宋体" w:hAnsi="宋体" w:cs="宋体"/>
                <w:sz w:val="24"/>
              </w:rPr>
            </w:pPr>
          </w:p>
        </w:tc>
        <w:tc>
          <w:tcPr>
            <w:tcW w:w="2037" w:type="dxa"/>
            <w:vAlign w:val="center"/>
          </w:tcPr>
          <w:p>
            <w:pPr>
              <w:spacing w:line="312" w:lineRule="auto"/>
              <w:jc w:val="center"/>
              <w:rPr>
                <w:rFonts w:ascii="宋体" w:hAnsi="宋体" w:cs="宋体"/>
                <w:sz w:val="24"/>
              </w:rPr>
            </w:pPr>
          </w:p>
        </w:tc>
        <w:tc>
          <w:tcPr>
            <w:tcW w:w="2350" w:type="dxa"/>
            <w:vAlign w:val="center"/>
          </w:tcPr>
          <w:p>
            <w:pPr>
              <w:spacing w:line="312" w:lineRule="auto"/>
              <w:jc w:val="center"/>
              <w:rPr>
                <w:rFonts w:ascii="宋体" w:hAnsi="宋体" w:cs="宋体"/>
                <w:sz w:val="24"/>
              </w:rPr>
            </w:pPr>
          </w:p>
        </w:tc>
      </w:tr>
    </w:tbl>
    <w:p>
      <w:pPr>
        <w:pStyle w:val="7"/>
        <w:ind w:firstLine="280"/>
        <w:rPr>
          <w:rFonts w:ascii="黑体" w:hAnsi="黑体" w:eastAsia="黑体" w:cs="黑体"/>
          <w:kern w:val="0"/>
          <w:sz w:val="28"/>
          <w:szCs w:val="28"/>
        </w:rPr>
      </w:pPr>
    </w:p>
    <w:p>
      <w:pPr>
        <w:pStyle w:val="7"/>
        <w:ind w:firstLine="280"/>
        <w:rPr>
          <w:rFonts w:ascii="黑体" w:hAnsi="黑体" w:eastAsia="黑体" w:cs="黑体"/>
          <w:kern w:val="0"/>
          <w:sz w:val="28"/>
          <w:szCs w:val="28"/>
        </w:rPr>
      </w:pPr>
    </w:p>
    <w:p>
      <w:pPr>
        <w:pStyle w:val="7"/>
        <w:ind w:firstLine="280"/>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黑体" w:hAnsi="黑体" w:eastAsia="黑体" w:cs="黑体"/>
          <w:kern w:val="0"/>
          <w:sz w:val="28"/>
          <w:szCs w:val="28"/>
        </w:rPr>
      </w:pPr>
    </w:p>
    <w:p>
      <w:pPr>
        <w:spacing w:line="312" w:lineRule="auto"/>
        <w:jc w:val="center"/>
        <w:outlineLvl w:val="1"/>
        <w:rPr>
          <w:rFonts w:ascii="宋体" w:hAnsi="宋体" w:cs="宋体"/>
          <w:sz w:val="24"/>
        </w:rPr>
      </w:pPr>
      <w:r>
        <w:rPr>
          <w:rFonts w:hint="eastAsia" w:ascii="黑体" w:hAnsi="黑体" w:eastAsia="黑体" w:cs="黑体"/>
          <w:kern w:val="0"/>
          <w:sz w:val="28"/>
          <w:szCs w:val="28"/>
        </w:rPr>
        <w:t>七、资格证明文件</w:t>
      </w:r>
      <w:bookmarkEnd w:id="419"/>
      <w:bookmarkEnd w:id="420"/>
      <w:bookmarkEnd w:id="421"/>
      <w:bookmarkEnd w:id="422"/>
      <w:bookmarkEnd w:id="423"/>
    </w:p>
    <w:p>
      <w:pPr>
        <w:spacing w:beforeLines="50" w:afterLines="100" w:line="312" w:lineRule="auto"/>
        <w:jc w:val="center"/>
        <w:outlineLvl w:val="2"/>
        <w:rPr>
          <w:rFonts w:ascii="宋体" w:hAnsi="宋体" w:cs="宋体"/>
          <w:b/>
          <w:bCs/>
          <w:sz w:val="24"/>
        </w:rPr>
      </w:pPr>
      <w:bookmarkStart w:id="434" w:name="_Toc28368"/>
      <w:bookmarkStart w:id="435" w:name="_Toc1268"/>
      <w:bookmarkStart w:id="436" w:name="_Toc2951"/>
      <w:bookmarkStart w:id="437" w:name="_Toc15464"/>
      <w:bookmarkStart w:id="438" w:name="_Toc7115"/>
      <w:r>
        <w:rPr>
          <w:rFonts w:hint="eastAsia" w:ascii="宋体" w:hAnsi="宋体" w:cs="宋体"/>
          <w:b/>
          <w:bCs/>
          <w:sz w:val="24"/>
        </w:rPr>
        <w:t>（一）投标人基本情况表</w:t>
      </w:r>
      <w:bookmarkEnd w:id="434"/>
      <w:bookmarkEnd w:id="435"/>
      <w:bookmarkEnd w:id="436"/>
      <w:bookmarkEnd w:id="437"/>
      <w:bookmarkEnd w:id="438"/>
    </w:p>
    <w:tbl>
      <w:tblPr>
        <w:tblStyle w:val="21"/>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1"/>
        <w:gridCol w:w="790"/>
        <w:gridCol w:w="426"/>
        <w:gridCol w:w="702"/>
        <w:gridCol w:w="993"/>
        <w:gridCol w:w="283"/>
        <w:gridCol w:w="195"/>
        <w:gridCol w:w="1246"/>
        <w:gridCol w:w="260"/>
        <w:gridCol w:w="7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投标人名称</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注册地址</w:t>
            </w:r>
          </w:p>
        </w:tc>
        <w:tc>
          <w:tcPr>
            <w:tcW w:w="3389" w:type="dxa"/>
            <w:gridSpan w:val="6"/>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邮政编码</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restart"/>
            <w:vAlign w:val="center"/>
          </w:tcPr>
          <w:p>
            <w:pPr>
              <w:spacing w:line="312" w:lineRule="auto"/>
              <w:jc w:val="left"/>
              <w:rPr>
                <w:rFonts w:ascii="宋体" w:hAnsi="宋体" w:cs="宋体"/>
                <w:sz w:val="24"/>
              </w:rPr>
            </w:pPr>
            <w:r>
              <w:rPr>
                <w:rFonts w:hint="eastAsia" w:ascii="宋体" w:hAnsi="宋体" w:cs="宋体"/>
                <w:sz w:val="24"/>
              </w:rPr>
              <w:t>联系方式</w:t>
            </w: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联系人</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电  话</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Merge w:val="continue"/>
            <w:vAlign w:val="center"/>
          </w:tcPr>
          <w:p>
            <w:pPr>
              <w:spacing w:line="312" w:lineRule="auto"/>
              <w:jc w:val="left"/>
              <w:rPr>
                <w:rFonts w:ascii="宋体" w:hAnsi="宋体" w:cs="宋体"/>
                <w:sz w:val="24"/>
              </w:rPr>
            </w:pPr>
          </w:p>
        </w:tc>
        <w:tc>
          <w:tcPr>
            <w:tcW w:w="1216" w:type="dxa"/>
            <w:gridSpan w:val="2"/>
            <w:vAlign w:val="center"/>
          </w:tcPr>
          <w:p>
            <w:pPr>
              <w:spacing w:line="312" w:lineRule="auto"/>
              <w:jc w:val="center"/>
              <w:rPr>
                <w:rFonts w:ascii="宋体" w:hAnsi="宋体" w:cs="宋体"/>
                <w:sz w:val="24"/>
              </w:rPr>
            </w:pPr>
            <w:r>
              <w:rPr>
                <w:rFonts w:hint="eastAsia" w:ascii="宋体" w:hAnsi="宋体" w:cs="宋体"/>
                <w:sz w:val="24"/>
              </w:rPr>
              <w:t>传  真</w:t>
            </w:r>
          </w:p>
        </w:tc>
        <w:tc>
          <w:tcPr>
            <w:tcW w:w="2173" w:type="dxa"/>
            <w:gridSpan w:val="4"/>
            <w:vAlign w:val="center"/>
          </w:tcPr>
          <w:p>
            <w:pPr>
              <w:spacing w:line="312" w:lineRule="auto"/>
              <w:jc w:val="center"/>
              <w:rPr>
                <w:rFonts w:ascii="宋体" w:hAnsi="宋体" w:cs="宋体"/>
                <w:sz w:val="24"/>
              </w:rPr>
            </w:pPr>
          </w:p>
        </w:tc>
        <w:tc>
          <w:tcPr>
            <w:tcW w:w="1246" w:type="dxa"/>
            <w:vAlign w:val="center"/>
          </w:tcPr>
          <w:p>
            <w:pPr>
              <w:spacing w:line="312" w:lineRule="auto"/>
              <w:jc w:val="center"/>
              <w:rPr>
                <w:rFonts w:ascii="宋体" w:hAnsi="宋体" w:cs="宋体"/>
                <w:sz w:val="24"/>
              </w:rPr>
            </w:pPr>
            <w:r>
              <w:rPr>
                <w:rFonts w:hint="eastAsia" w:ascii="宋体" w:hAnsi="宋体" w:cs="宋体"/>
                <w:sz w:val="24"/>
              </w:rPr>
              <w:t>网  址</w:t>
            </w:r>
          </w:p>
        </w:tc>
        <w:tc>
          <w:tcPr>
            <w:tcW w:w="2385" w:type="dxa"/>
            <w:gridSpan w:val="3"/>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组织结构</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法定代表人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技术负责人</w:t>
            </w:r>
          </w:p>
        </w:tc>
        <w:tc>
          <w:tcPr>
            <w:tcW w:w="790" w:type="dxa"/>
            <w:vAlign w:val="center"/>
          </w:tcPr>
          <w:p>
            <w:pPr>
              <w:spacing w:line="312" w:lineRule="auto"/>
              <w:jc w:val="center"/>
              <w:rPr>
                <w:rFonts w:ascii="宋体" w:hAnsi="宋体" w:cs="宋体"/>
                <w:sz w:val="24"/>
              </w:rPr>
            </w:pPr>
            <w:r>
              <w:rPr>
                <w:rFonts w:hint="eastAsia" w:ascii="宋体" w:hAnsi="宋体" w:cs="宋体"/>
                <w:sz w:val="24"/>
              </w:rPr>
              <w:t>姓名</w:t>
            </w:r>
          </w:p>
        </w:tc>
        <w:tc>
          <w:tcPr>
            <w:tcW w:w="1128" w:type="dxa"/>
            <w:gridSpan w:val="2"/>
            <w:vAlign w:val="center"/>
          </w:tcPr>
          <w:p>
            <w:pPr>
              <w:spacing w:line="312" w:lineRule="auto"/>
              <w:jc w:val="center"/>
              <w:rPr>
                <w:rFonts w:ascii="宋体" w:hAnsi="宋体" w:cs="宋体"/>
                <w:sz w:val="24"/>
              </w:rPr>
            </w:pPr>
          </w:p>
        </w:tc>
        <w:tc>
          <w:tcPr>
            <w:tcW w:w="1276" w:type="dxa"/>
            <w:gridSpan w:val="2"/>
            <w:vAlign w:val="center"/>
          </w:tcPr>
          <w:p>
            <w:pPr>
              <w:spacing w:line="312" w:lineRule="auto"/>
              <w:jc w:val="center"/>
              <w:rPr>
                <w:rFonts w:ascii="宋体" w:hAnsi="宋体" w:cs="宋体"/>
                <w:sz w:val="24"/>
              </w:rPr>
            </w:pPr>
            <w:r>
              <w:rPr>
                <w:rFonts w:hint="eastAsia" w:ascii="宋体" w:hAnsi="宋体" w:cs="宋体"/>
                <w:sz w:val="24"/>
              </w:rPr>
              <w:t>技术职称</w:t>
            </w:r>
          </w:p>
        </w:tc>
        <w:tc>
          <w:tcPr>
            <w:tcW w:w="1701" w:type="dxa"/>
            <w:gridSpan w:val="3"/>
            <w:vAlign w:val="center"/>
          </w:tcPr>
          <w:p>
            <w:pPr>
              <w:spacing w:line="312" w:lineRule="auto"/>
              <w:jc w:val="center"/>
              <w:rPr>
                <w:rFonts w:ascii="宋体" w:hAnsi="宋体" w:cs="宋体"/>
                <w:sz w:val="24"/>
              </w:rPr>
            </w:pPr>
          </w:p>
        </w:tc>
        <w:tc>
          <w:tcPr>
            <w:tcW w:w="709" w:type="dxa"/>
            <w:vAlign w:val="center"/>
          </w:tcPr>
          <w:p>
            <w:pPr>
              <w:spacing w:line="312" w:lineRule="auto"/>
              <w:jc w:val="center"/>
              <w:rPr>
                <w:rFonts w:ascii="宋体" w:hAnsi="宋体" w:cs="宋体"/>
                <w:sz w:val="24"/>
              </w:rPr>
            </w:pPr>
            <w:r>
              <w:rPr>
                <w:rFonts w:hint="eastAsia" w:ascii="宋体" w:hAnsi="宋体" w:cs="宋体"/>
                <w:sz w:val="24"/>
              </w:rPr>
              <w:t>电话</w:t>
            </w:r>
          </w:p>
        </w:tc>
        <w:tc>
          <w:tcPr>
            <w:tcW w:w="1416"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成立时间</w:t>
            </w:r>
          </w:p>
        </w:tc>
        <w:tc>
          <w:tcPr>
            <w:tcW w:w="1918" w:type="dxa"/>
            <w:gridSpan w:val="3"/>
            <w:vAlign w:val="center"/>
          </w:tcPr>
          <w:p>
            <w:pPr>
              <w:spacing w:line="312" w:lineRule="auto"/>
              <w:jc w:val="center"/>
              <w:rPr>
                <w:rFonts w:ascii="宋体" w:hAnsi="宋体" w:cs="宋体"/>
                <w:sz w:val="24"/>
              </w:rPr>
            </w:pPr>
          </w:p>
        </w:tc>
        <w:tc>
          <w:tcPr>
            <w:tcW w:w="5102" w:type="dxa"/>
            <w:gridSpan w:val="7"/>
            <w:vAlign w:val="center"/>
          </w:tcPr>
          <w:p>
            <w:pPr>
              <w:spacing w:line="312" w:lineRule="auto"/>
              <w:rPr>
                <w:rFonts w:ascii="宋体" w:hAnsi="宋体" w:cs="宋体"/>
                <w:sz w:val="24"/>
              </w:rPr>
            </w:pPr>
            <w:r>
              <w:rPr>
                <w:rFonts w:hint="eastAsia" w:ascii="宋体"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企业资质等级</w:t>
            </w:r>
          </w:p>
        </w:tc>
        <w:tc>
          <w:tcPr>
            <w:tcW w:w="1918" w:type="dxa"/>
            <w:gridSpan w:val="3"/>
            <w:vAlign w:val="center"/>
          </w:tcPr>
          <w:p>
            <w:pPr>
              <w:spacing w:line="312" w:lineRule="auto"/>
              <w:jc w:val="center"/>
              <w:rPr>
                <w:rFonts w:ascii="宋体" w:hAnsi="宋体" w:cs="宋体"/>
                <w:sz w:val="24"/>
              </w:rPr>
            </w:pPr>
          </w:p>
        </w:tc>
        <w:tc>
          <w:tcPr>
            <w:tcW w:w="993" w:type="dxa"/>
            <w:vMerge w:val="restart"/>
            <w:vAlign w:val="center"/>
          </w:tcPr>
          <w:p>
            <w:pPr>
              <w:spacing w:line="312" w:lineRule="auto"/>
              <w:jc w:val="center"/>
              <w:rPr>
                <w:rFonts w:ascii="宋体" w:hAnsi="宋体" w:cs="宋体"/>
                <w:sz w:val="24"/>
              </w:rPr>
            </w:pPr>
            <w:r>
              <w:rPr>
                <w:rFonts w:hint="eastAsia" w:ascii="宋体" w:hAnsi="宋体" w:cs="宋体"/>
                <w:sz w:val="24"/>
              </w:rPr>
              <w:t>其中</w:t>
            </w: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项目经理</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营业执照号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高级职称人员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注册资金</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中级职称人员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开户银行</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初级职称人员</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账号</w:t>
            </w:r>
          </w:p>
        </w:tc>
        <w:tc>
          <w:tcPr>
            <w:tcW w:w="1918" w:type="dxa"/>
            <w:gridSpan w:val="3"/>
            <w:vAlign w:val="center"/>
          </w:tcPr>
          <w:p>
            <w:pPr>
              <w:spacing w:line="312" w:lineRule="auto"/>
              <w:jc w:val="center"/>
              <w:rPr>
                <w:rFonts w:ascii="宋体" w:hAnsi="宋体" w:cs="宋体"/>
                <w:sz w:val="24"/>
              </w:rPr>
            </w:pPr>
          </w:p>
        </w:tc>
        <w:tc>
          <w:tcPr>
            <w:tcW w:w="993" w:type="dxa"/>
            <w:vMerge w:val="continue"/>
            <w:vAlign w:val="center"/>
          </w:tcPr>
          <w:p>
            <w:pPr>
              <w:spacing w:line="312" w:lineRule="auto"/>
              <w:jc w:val="center"/>
              <w:rPr>
                <w:rFonts w:ascii="宋体" w:hAnsi="宋体" w:cs="宋体"/>
                <w:sz w:val="24"/>
              </w:rPr>
            </w:pPr>
          </w:p>
        </w:tc>
        <w:tc>
          <w:tcPr>
            <w:tcW w:w="1984" w:type="dxa"/>
            <w:gridSpan w:val="4"/>
            <w:vAlign w:val="center"/>
          </w:tcPr>
          <w:p>
            <w:pPr>
              <w:spacing w:line="312" w:lineRule="auto"/>
              <w:jc w:val="left"/>
              <w:rPr>
                <w:rFonts w:ascii="宋体" w:hAnsi="宋体" w:cs="宋体"/>
                <w:sz w:val="24"/>
              </w:rPr>
            </w:pPr>
            <w:r>
              <w:rPr>
                <w:rFonts w:hint="eastAsia" w:ascii="宋体" w:hAnsi="宋体" w:cs="宋体"/>
                <w:sz w:val="24"/>
              </w:rPr>
              <w:t>技  工</w:t>
            </w:r>
          </w:p>
        </w:tc>
        <w:tc>
          <w:tcPr>
            <w:tcW w:w="2125" w:type="dxa"/>
            <w:gridSpan w:val="2"/>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2"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经营范围</w:t>
            </w:r>
          </w:p>
        </w:tc>
        <w:tc>
          <w:tcPr>
            <w:tcW w:w="7020" w:type="dxa"/>
            <w:gridSpan w:val="10"/>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21" w:type="dxa"/>
            <w:vAlign w:val="center"/>
          </w:tcPr>
          <w:p>
            <w:pPr>
              <w:spacing w:line="312" w:lineRule="auto"/>
              <w:jc w:val="left"/>
              <w:rPr>
                <w:rFonts w:ascii="宋体" w:hAnsi="宋体" w:cs="宋体"/>
                <w:sz w:val="24"/>
              </w:rPr>
            </w:pPr>
            <w:r>
              <w:rPr>
                <w:rFonts w:hint="eastAsia" w:ascii="宋体" w:hAnsi="宋体" w:cs="宋体"/>
                <w:sz w:val="24"/>
              </w:rPr>
              <w:t>备注</w:t>
            </w:r>
          </w:p>
        </w:tc>
        <w:tc>
          <w:tcPr>
            <w:tcW w:w="7020" w:type="dxa"/>
            <w:gridSpan w:val="10"/>
            <w:vAlign w:val="center"/>
          </w:tcPr>
          <w:p>
            <w:pPr>
              <w:spacing w:line="312" w:lineRule="auto"/>
              <w:jc w:val="center"/>
              <w:rPr>
                <w:rFonts w:ascii="宋体" w:hAnsi="宋体" w:cs="宋体"/>
                <w:sz w:val="24"/>
              </w:rPr>
            </w:pPr>
          </w:p>
        </w:tc>
      </w:tr>
    </w:tbl>
    <w:p>
      <w:pPr>
        <w:spacing w:line="312" w:lineRule="auto"/>
        <w:rPr>
          <w:rFonts w:ascii="宋体" w:hAnsi="宋体" w:cs="宋体"/>
          <w:sz w:val="24"/>
        </w:rPr>
      </w:pPr>
      <w:r>
        <w:rPr>
          <w:rFonts w:hint="eastAsia" w:ascii="宋体" w:hAnsi="宋体" w:cs="宋体"/>
          <w:sz w:val="24"/>
        </w:rPr>
        <w:t>备注：本表后应附企业法人营业执照、企业资质证书副本等材料的复印件。</w:t>
      </w:r>
    </w:p>
    <w:p>
      <w:pPr>
        <w:autoSpaceDE w:val="0"/>
        <w:autoSpaceDN w:val="0"/>
        <w:adjustRightInd w:val="0"/>
        <w:spacing w:line="312" w:lineRule="auto"/>
        <w:jc w:val="center"/>
        <w:outlineLvl w:val="2"/>
        <w:rPr>
          <w:rFonts w:ascii="宋体" w:hAnsi="宋体" w:cs="宋体"/>
          <w:kern w:val="0"/>
          <w:sz w:val="24"/>
        </w:rPr>
      </w:pPr>
      <w:bookmarkStart w:id="439" w:name="_Toc6846"/>
      <w:bookmarkStart w:id="440" w:name="_Toc25724"/>
      <w:bookmarkStart w:id="441" w:name="_Toc6643"/>
      <w:bookmarkStart w:id="442" w:name="_Toc2791"/>
      <w:bookmarkStart w:id="443" w:name="_Toc28785"/>
      <w:r>
        <w:rPr>
          <w:rFonts w:hint="eastAsia" w:ascii="宋体" w:hAnsi="宋体" w:cs="宋体"/>
          <w:kern w:val="0"/>
          <w:sz w:val="24"/>
        </w:rPr>
        <w:br w:type="page"/>
      </w:r>
      <w:bookmarkEnd w:id="439"/>
      <w:bookmarkEnd w:id="440"/>
      <w:bookmarkEnd w:id="441"/>
      <w:bookmarkEnd w:id="442"/>
      <w:bookmarkEnd w:id="443"/>
      <w:r>
        <w:rPr>
          <w:rFonts w:hint="eastAsia" w:ascii="宋体" w:hAnsi="宋体" w:cs="宋体"/>
          <w:b/>
          <w:bCs/>
          <w:kern w:val="0"/>
          <w:sz w:val="24"/>
        </w:rPr>
        <w:t>（二）服务承诺书</w:t>
      </w:r>
    </w:p>
    <w:p>
      <w:pPr>
        <w:autoSpaceDE w:val="0"/>
        <w:autoSpaceDN w:val="0"/>
        <w:adjustRightInd w:val="0"/>
        <w:spacing w:line="312" w:lineRule="auto"/>
        <w:jc w:val="left"/>
        <w:rPr>
          <w:rFonts w:ascii="宋体" w:hAnsi="宋体" w:cs="宋体"/>
          <w:kern w:val="0"/>
          <w:sz w:val="24"/>
        </w:rPr>
      </w:pPr>
    </w:p>
    <w:tbl>
      <w:tblPr>
        <w:tblStyle w:val="21"/>
        <w:tblW w:w="91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7"/>
        <w:gridCol w:w="70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jc w:val="center"/>
        </w:trPr>
        <w:tc>
          <w:tcPr>
            <w:tcW w:w="2057" w:type="dxa"/>
            <w:vAlign w:val="center"/>
          </w:tcPr>
          <w:p>
            <w:pPr>
              <w:spacing w:line="312" w:lineRule="auto"/>
              <w:rPr>
                <w:rFonts w:ascii="宋体" w:hAnsi="宋体" w:cs="宋体"/>
                <w:sz w:val="24"/>
              </w:rPr>
            </w:pPr>
            <w:bookmarkStart w:id="444" w:name="_Toc23283"/>
            <w:bookmarkStart w:id="445" w:name="_Toc25113"/>
            <w:bookmarkStart w:id="446" w:name="_Toc28062"/>
            <w:bookmarkStart w:id="447" w:name="_Toc26172"/>
            <w:bookmarkStart w:id="448" w:name="_Toc1890"/>
            <w:r>
              <w:rPr>
                <w:rFonts w:hint="eastAsia" w:ascii="宋体" w:hAnsi="宋体" w:cs="宋体"/>
                <w:sz w:val="24"/>
              </w:rPr>
              <w:t>投  标  单 位</w:t>
            </w:r>
          </w:p>
        </w:tc>
        <w:tc>
          <w:tcPr>
            <w:tcW w:w="7083" w:type="dxa"/>
            <w:vAlign w:val="center"/>
          </w:tcPr>
          <w:p>
            <w:pPr>
              <w:spacing w:line="312" w:lineRule="auto"/>
              <w:jc w:val="center"/>
              <w:rPr>
                <w:rFonts w:ascii="宋体" w:hAnsi="宋体" w:cs="宋体"/>
                <w:sz w:val="24"/>
              </w:rPr>
            </w:pPr>
            <w:r>
              <w:rPr>
                <w:rFonts w:hint="eastAsia" w:ascii="宋体" w:hAnsi="宋体" w:cs="宋体"/>
                <w:sz w:val="24"/>
              </w:rPr>
              <w:t>（盖章）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8" w:hRule="atLeast"/>
          <w:jc w:val="center"/>
        </w:trPr>
        <w:tc>
          <w:tcPr>
            <w:tcW w:w="9140" w:type="dxa"/>
            <w:gridSpan w:val="2"/>
            <w:tcBorders>
              <w:bottom w:val="single" w:color="auto" w:sz="4" w:space="0"/>
            </w:tcBorders>
          </w:tcPr>
          <w:p>
            <w:pPr>
              <w:spacing w:line="312" w:lineRule="auto"/>
              <w:rPr>
                <w:rFonts w:ascii="宋体" w:hAnsi="宋体" w:cs="宋体"/>
                <w:sz w:val="24"/>
              </w:rPr>
            </w:pPr>
            <w:r>
              <w:rPr>
                <w:rFonts w:hint="eastAsia" w:ascii="宋体" w:hAnsi="宋体" w:cs="宋体"/>
                <w:sz w:val="24"/>
              </w:rPr>
              <w:t>承诺内容：</w:t>
            </w: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rPr>
                <w:rFonts w:ascii="宋体" w:hAnsi="宋体" w:cs="宋体"/>
                <w:sz w:val="24"/>
              </w:rPr>
            </w:pPr>
          </w:p>
          <w:p>
            <w:pPr>
              <w:spacing w:line="312" w:lineRule="auto"/>
              <w:ind w:firstLine="2400" w:firstLineChars="1000"/>
              <w:rPr>
                <w:rFonts w:ascii="宋体" w:hAnsi="宋体" w:cs="宋体"/>
                <w:sz w:val="24"/>
              </w:rPr>
            </w:pPr>
          </w:p>
          <w:p>
            <w:pPr>
              <w:spacing w:line="312" w:lineRule="auto"/>
              <w:ind w:firstLine="2400" w:firstLineChars="1000"/>
              <w:jc w:val="right"/>
              <w:rPr>
                <w:rFonts w:ascii="宋体" w:hAnsi="宋体" w:cs="宋体"/>
                <w:sz w:val="24"/>
              </w:rPr>
            </w:pPr>
            <w:r>
              <w:rPr>
                <w:rFonts w:hint="eastAsia" w:ascii="宋体" w:hAnsi="宋体" w:cs="宋体"/>
                <w:sz w:val="24"/>
              </w:rPr>
              <w:t>投标人法定代表人或授权委托人：（签字或盖章）</w:t>
            </w:r>
          </w:p>
          <w:p>
            <w:pPr>
              <w:spacing w:line="312" w:lineRule="auto"/>
              <w:ind w:firstLine="960" w:firstLineChars="400"/>
              <w:jc w:val="right"/>
              <w:rPr>
                <w:rFonts w:ascii="宋体" w:hAnsi="宋体" w:cs="宋体"/>
                <w:sz w:val="24"/>
              </w:rPr>
            </w:pPr>
          </w:p>
          <w:p>
            <w:pPr>
              <w:tabs>
                <w:tab w:val="center" w:pos="4535"/>
              </w:tabs>
              <w:spacing w:line="312" w:lineRule="auto"/>
              <w:ind w:firstLine="3240" w:firstLineChars="1350"/>
              <w:jc w:val="right"/>
              <w:rPr>
                <w:rFonts w:ascii="宋体" w:hAnsi="宋体" w:cs="宋体"/>
                <w:sz w:val="24"/>
              </w:rPr>
            </w:pPr>
            <w:r>
              <w:rPr>
                <w:rFonts w:hint="eastAsia" w:ascii="宋体" w:hAnsi="宋体" w:cs="宋体"/>
                <w:sz w:val="24"/>
              </w:rPr>
              <w:t>日期：   年    月     日</w:t>
            </w:r>
            <w:r>
              <w:rPr>
                <w:rFonts w:hint="eastAsia" w:ascii="宋体" w:hAnsi="宋体" w:cs="宋体"/>
                <w:sz w:val="24"/>
              </w:rPr>
              <w:tab/>
            </w:r>
          </w:p>
        </w:tc>
      </w:tr>
    </w:tbl>
    <w:p>
      <w:pPr>
        <w:spacing w:line="312" w:lineRule="auto"/>
      </w:pPr>
    </w:p>
    <w:bookmarkEnd w:id="444"/>
    <w:bookmarkEnd w:id="445"/>
    <w:bookmarkEnd w:id="446"/>
    <w:bookmarkEnd w:id="447"/>
    <w:bookmarkEnd w:id="448"/>
    <w:p>
      <w:pPr>
        <w:spacing w:line="312" w:lineRule="auto"/>
      </w:pPr>
      <w:bookmarkStart w:id="449" w:name="_Toc18027"/>
      <w:bookmarkStart w:id="450" w:name="_Toc2992"/>
      <w:bookmarkStart w:id="451" w:name="_Toc3076"/>
      <w:bookmarkStart w:id="452" w:name="_Toc8776"/>
      <w:bookmarkStart w:id="453" w:name="_Toc17947"/>
    </w:p>
    <w:bookmarkEnd w:id="449"/>
    <w:bookmarkEnd w:id="450"/>
    <w:bookmarkEnd w:id="451"/>
    <w:bookmarkEnd w:id="452"/>
    <w:bookmarkEnd w:id="453"/>
    <w:p>
      <w:pPr>
        <w:spacing w:line="312" w:lineRule="auto"/>
      </w:pPr>
      <w:bookmarkStart w:id="454" w:name="_Toc30171"/>
      <w:bookmarkStart w:id="455" w:name="_Toc10712"/>
      <w:bookmarkStart w:id="456" w:name="_Toc389"/>
      <w:bookmarkStart w:id="457" w:name="_Toc31783"/>
    </w:p>
    <w:p>
      <w:pPr>
        <w:spacing w:line="312" w:lineRule="auto"/>
      </w:pPr>
    </w:p>
    <w:p>
      <w:pPr>
        <w:spacing w:line="312" w:lineRule="auto"/>
        <w:jc w:val="center"/>
        <w:outlineLvl w:val="1"/>
        <w:rPr>
          <w:rFonts w:ascii="黑体" w:hAnsi="黑体" w:eastAsia="黑体" w:cs="黑体"/>
          <w:kern w:val="0"/>
          <w:sz w:val="28"/>
          <w:szCs w:val="28"/>
        </w:rPr>
      </w:pPr>
      <w:bookmarkStart w:id="458" w:name="_Toc965"/>
      <w:r>
        <w:rPr>
          <w:rFonts w:hint="eastAsia" w:ascii="黑体" w:hAnsi="黑体" w:eastAsia="黑体" w:cs="黑体"/>
          <w:kern w:val="0"/>
          <w:sz w:val="28"/>
          <w:szCs w:val="28"/>
        </w:rPr>
        <w:t>八、近年财务状况表</w:t>
      </w:r>
      <w:bookmarkEnd w:id="454"/>
      <w:bookmarkEnd w:id="455"/>
      <w:bookmarkEnd w:id="456"/>
      <w:bookmarkEnd w:id="457"/>
      <w:bookmarkEnd w:id="458"/>
    </w:p>
    <w:p>
      <w:pPr>
        <w:spacing w:line="312" w:lineRule="auto"/>
        <w:ind w:left="720" w:hanging="720" w:hangingChars="300"/>
        <w:rPr>
          <w:rFonts w:ascii="宋体" w:hAnsi="宋体" w:cs="宋体"/>
          <w:sz w:val="24"/>
        </w:rPr>
      </w:pPr>
      <w:r>
        <w:rPr>
          <w:rFonts w:hint="eastAsia" w:ascii="宋体" w:hAnsi="宋体" w:cs="宋体"/>
          <w:sz w:val="24"/>
        </w:rPr>
        <w:t>备注：在此附经会计师事务所或审计机构审计的财务会计报表，包括资产负债表、损益表、现金流量表、利润表和财务情况说明书的复印件，具体年份要求见第二章“投标人须知”的规定。</w:t>
      </w:r>
    </w:p>
    <w:p>
      <w:pPr>
        <w:spacing w:line="312" w:lineRule="auto"/>
        <w:jc w:val="center"/>
        <w:outlineLvl w:val="1"/>
        <w:rPr>
          <w:rFonts w:ascii="宋体" w:hAnsi="宋体" w:cs="宋体"/>
          <w:sz w:val="28"/>
          <w:szCs w:val="28"/>
        </w:rPr>
      </w:pPr>
      <w:r>
        <w:rPr>
          <w:rFonts w:hint="eastAsia" w:ascii="宋体" w:hAnsi="宋体" w:cs="宋体"/>
          <w:sz w:val="24"/>
        </w:rPr>
        <w:br w:type="page"/>
      </w:r>
      <w:bookmarkStart w:id="459" w:name="_Toc15075"/>
      <w:bookmarkStart w:id="460" w:name="_Toc16611"/>
      <w:bookmarkStart w:id="461" w:name="_Toc15031"/>
      <w:bookmarkStart w:id="462" w:name="_Toc21593"/>
      <w:bookmarkStart w:id="463" w:name="_Toc18551"/>
      <w:r>
        <w:rPr>
          <w:rFonts w:hint="eastAsia" w:ascii="黑体" w:hAnsi="黑体" w:eastAsia="黑体" w:cs="黑体"/>
          <w:kern w:val="0"/>
          <w:sz w:val="28"/>
          <w:szCs w:val="28"/>
        </w:rPr>
        <w:t>九、近年完成的类似项目情况表</w:t>
      </w:r>
      <w:bookmarkEnd w:id="459"/>
      <w:bookmarkEnd w:id="460"/>
      <w:bookmarkEnd w:id="461"/>
      <w:bookmarkEnd w:id="462"/>
      <w:bookmarkEnd w:id="463"/>
    </w:p>
    <w:tbl>
      <w:tblPr>
        <w:tblStyle w:val="2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1"/>
        <w:gridCol w:w="6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发包人联系人及电话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合同价格</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竣工日期</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66"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4"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1"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4" w:type="dxa"/>
            <w:vAlign w:val="center"/>
          </w:tcPr>
          <w:p>
            <w:pPr>
              <w:spacing w:line="312" w:lineRule="auto"/>
              <w:jc w:val="center"/>
              <w:rPr>
                <w:rFonts w:ascii="宋体" w:hAnsi="宋体" w:cs="宋体"/>
                <w:sz w:val="24"/>
              </w:rPr>
            </w:pPr>
          </w:p>
        </w:tc>
      </w:tr>
    </w:tbl>
    <w:p>
      <w:pPr>
        <w:spacing w:line="312" w:lineRule="auto"/>
        <w:ind w:firstLine="480" w:firstLineChars="200"/>
        <w:rPr>
          <w:rFonts w:ascii="宋体" w:hAnsi="宋体" w:cs="宋体"/>
          <w:sz w:val="24"/>
        </w:rPr>
      </w:pPr>
      <w:r>
        <w:rPr>
          <w:rFonts w:hint="eastAsia" w:ascii="宋体" w:hAnsi="宋体" w:cs="宋体"/>
          <w:sz w:val="24"/>
        </w:rPr>
        <w:t>备注：类似项目业绩须附合同协议书和中标通知书或竣工验收备案登记表复印件。</w:t>
      </w:r>
    </w:p>
    <w:p>
      <w:pPr>
        <w:spacing w:line="312" w:lineRule="auto"/>
        <w:jc w:val="center"/>
        <w:outlineLvl w:val="1"/>
        <w:rPr>
          <w:rFonts w:ascii="黑体" w:hAnsi="黑体" w:eastAsia="黑体" w:cs="黑体"/>
          <w:kern w:val="0"/>
          <w:sz w:val="28"/>
          <w:szCs w:val="28"/>
        </w:rPr>
      </w:pPr>
      <w:r>
        <w:rPr>
          <w:rFonts w:hint="eastAsia" w:ascii="宋体" w:hAnsi="宋体" w:cs="宋体"/>
          <w:sz w:val="24"/>
        </w:rPr>
        <w:br w:type="page"/>
      </w:r>
      <w:bookmarkStart w:id="464" w:name="_Toc21600"/>
      <w:bookmarkStart w:id="465" w:name="_Toc49"/>
      <w:bookmarkStart w:id="466" w:name="_Toc18092"/>
      <w:bookmarkStart w:id="467" w:name="_Toc7014"/>
      <w:bookmarkStart w:id="468" w:name="_Toc8051"/>
      <w:r>
        <w:rPr>
          <w:rFonts w:hint="eastAsia" w:ascii="黑体" w:hAnsi="黑体" w:eastAsia="黑体" w:cs="黑体"/>
          <w:kern w:val="0"/>
          <w:sz w:val="28"/>
          <w:szCs w:val="28"/>
        </w:rPr>
        <w:t>十、正在施工的和新承接的项目情况表</w:t>
      </w:r>
      <w:bookmarkEnd w:id="464"/>
      <w:bookmarkEnd w:id="465"/>
      <w:bookmarkEnd w:id="466"/>
      <w:bookmarkEnd w:id="467"/>
      <w:bookmarkEnd w:id="468"/>
    </w:p>
    <w:tbl>
      <w:tblPr>
        <w:tblStyle w:val="21"/>
        <w:tblW w:w="85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项目所在地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发包人名称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发包人地址</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发包人电话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签约合同价</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开工日期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计划竣工日期</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承担的工作</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工程质量</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技术负责人</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总监理工程师及电话</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3"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项目描述</w:t>
            </w:r>
          </w:p>
        </w:tc>
        <w:tc>
          <w:tcPr>
            <w:tcW w:w="6095" w:type="dxa"/>
            <w:vAlign w:val="center"/>
          </w:tcPr>
          <w:p>
            <w:pPr>
              <w:spacing w:line="312"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jc w:val="center"/>
        </w:trPr>
        <w:tc>
          <w:tcPr>
            <w:tcW w:w="2410" w:type="dxa"/>
            <w:vAlign w:val="center"/>
          </w:tcPr>
          <w:p>
            <w:pPr>
              <w:spacing w:line="312" w:lineRule="auto"/>
              <w:jc w:val="center"/>
              <w:rPr>
                <w:rFonts w:ascii="宋体" w:hAnsi="宋体" w:cs="宋体"/>
                <w:sz w:val="24"/>
              </w:rPr>
            </w:pPr>
            <w:r>
              <w:rPr>
                <w:rFonts w:hint="eastAsia" w:ascii="宋体" w:hAnsi="宋体" w:cs="宋体"/>
                <w:sz w:val="24"/>
              </w:rPr>
              <w:t>备注</w:t>
            </w:r>
          </w:p>
        </w:tc>
        <w:tc>
          <w:tcPr>
            <w:tcW w:w="6095" w:type="dxa"/>
            <w:vAlign w:val="center"/>
          </w:tcPr>
          <w:p>
            <w:pPr>
              <w:spacing w:line="312" w:lineRule="auto"/>
              <w:jc w:val="center"/>
              <w:rPr>
                <w:rFonts w:ascii="宋体" w:hAnsi="宋体" w:cs="宋体"/>
                <w:sz w:val="24"/>
              </w:rPr>
            </w:pPr>
          </w:p>
        </w:tc>
      </w:tr>
    </w:tbl>
    <w:p>
      <w:pPr>
        <w:spacing w:line="312" w:lineRule="auto"/>
        <w:rPr>
          <w:rFonts w:ascii="宋体" w:hAnsi="宋体" w:cs="宋体"/>
          <w:sz w:val="24"/>
        </w:rPr>
      </w:pPr>
      <w:r>
        <w:rPr>
          <w:rFonts w:hint="eastAsia" w:ascii="宋体" w:hAnsi="宋体" w:cs="宋体"/>
          <w:sz w:val="24"/>
        </w:rPr>
        <w:t>备注：本表后附中标通知书和合同协议书复印件。每张表格只填写一个项目，并标明序号。</w:t>
      </w:r>
    </w:p>
    <w:p>
      <w:pPr>
        <w:spacing w:line="312" w:lineRule="auto"/>
        <w:jc w:val="center"/>
        <w:outlineLvl w:val="1"/>
        <w:rPr>
          <w:rFonts w:ascii="黑体" w:hAnsi="黑体" w:eastAsia="黑体" w:cs="黑体"/>
          <w:kern w:val="0"/>
          <w:sz w:val="28"/>
          <w:szCs w:val="28"/>
        </w:rPr>
      </w:pPr>
      <w:bookmarkStart w:id="469" w:name="_Toc31962"/>
      <w:bookmarkStart w:id="470" w:name="_Toc25001"/>
      <w:bookmarkStart w:id="471" w:name="_Toc10462"/>
      <w:bookmarkStart w:id="472" w:name="_Toc23559"/>
      <w:r>
        <w:rPr>
          <w:rFonts w:hint="eastAsia" w:ascii="宋体" w:hAnsi="宋体" w:cs="宋体"/>
          <w:sz w:val="24"/>
        </w:rPr>
        <w:br w:type="page"/>
      </w:r>
      <w:bookmarkStart w:id="473" w:name="_Toc19843"/>
      <w:r>
        <w:rPr>
          <w:rFonts w:hint="eastAsia" w:ascii="黑体" w:hAnsi="黑体" w:eastAsia="黑体" w:cs="黑体"/>
          <w:kern w:val="0"/>
          <w:sz w:val="28"/>
          <w:szCs w:val="28"/>
        </w:rPr>
        <w:t>十一、近年发生的诉讼和仲裁情况</w:t>
      </w:r>
      <w:bookmarkEnd w:id="469"/>
      <w:bookmarkEnd w:id="470"/>
      <w:bookmarkEnd w:id="471"/>
      <w:bookmarkEnd w:id="472"/>
      <w:bookmarkEnd w:id="473"/>
    </w:p>
    <w:p>
      <w:pPr>
        <w:spacing w:line="312" w:lineRule="auto"/>
        <w:ind w:left="720" w:hanging="720" w:hangingChars="300"/>
        <w:rPr>
          <w:rFonts w:ascii="宋体" w:hAnsi="宋体" w:cs="宋体"/>
          <w:sz w:val="24"/>
        </w:rPr>
      </w:pPr>
      <w:r>
        <w:rPr>
          <w:rFonts w:hint="eastAsia" w:ascii="宋体" w:hAnsi="宋体" w:cs="宋体"/>
          <w:sz w:val="24"/>
        </w:rPr>
        <w:t>说明：近年发生的诉讼和仲裁情况仅限于投标人败诉的，且与履行施工承包合同有关的案件，不包括调解结案以及未裁决的仲裁或未终审判决的诉讼。</w:t>
      </w:r>
    </w:p>
    <w:p>
      <w:pPr>
        <w:spacing w:line="312" w:lineRule="auto"/>
        <w:rPr>
          <w:rFonts w:ascii="宋体" w:hAnsi="宋体" w:cs="宋体"/>
          <w:sz w:val="24"/>
        </w:rPr>
      </w:pPr>
    </w:p>
    <w:p>
      <w:pPr>
        <w:spacing w:line="312" w:lineRule="auto"/>
        <w:jc w:val="center"/>
        <w:rPr>
          <w:rFonts w:ascii="黑体" w:hAnsi="宋体" w:eastAsia="黑体"/>
          <w:sz w:val="28"/>
          <w:szCs w:val="28"/>
        </w:rPr>
      </w:pPr>
      <w:bookmarkStart w:id="474" w:name="_Toc21067"/>
      <w:bookmarkStart w:id="475" w:name="_Toc2136"/>
      <w:bookmarkStart w:id="476" w:name="_Toc14405"/>
      <w:bookmarkStart w:id="477" w:name="_Toc30480"/>
      <w:r>
        <w:rPr>
          <w:rFonts w:hint="eastAsia" w:ascii="黑体" w:hAnsi="宋体" w:eastAsia="黑体"/>
          <w:sz w:val="28"/>
          <w:szCs w:val="28"/>
        </w:rPr>
        <w:t>十二、 承诺书</w:t>
      </w:r>
    </w:p>
    <w:p>
      <w:pPr>
        <w:spacing w:line="312" w:lineRule="auto"/>
      </w:pPr>
    </w:p>
    <w:p>
      <w:pPr>
        <w:spacing w:line="312" w:lineRule="auto"/>
      </w:pPr>
    </w:p>
    <w:p>
      <w:pPr>
        <w:spacing w:line="312" w:lineRule="auto"/>
        <w:ind w:left="840" w:hanging="840" w:hangingChars="300"/>
        <w:jc w:val="center"/>
        <w:outlineLvl w:val="1"/>
        <w:rPr>
          <w:rFonts w:ascii="黑体" w:hAnsi="黑体" w:eastAsia="黑体" w:cs="黑体"/>
          <w:kern w:val="0"/>
          <w:sz w:val="28"/>
          <w:szCs w:val="28"/>
        </w:rPr>
      </w:pPr>
      <w:bookmarkStart w:id="478" w:name="_Toc19527"/>
      <w:r>
        <w:rPr>
          <w:rFonts w:hint="eastAsia" w:ascii="黑体" w:hAnsi="黑体" w:eastAsia="黑体" w:cs="黑体"/>
          <w:kern w:val="0"/>
          <w:sz w:val="28"/>
          <w:szCs w:val="28"/>
        </w:rPr>
        <w:t>十三、投标人须知前附表规定的其它材料</w:t>
      </w:r>
      <w:bookmarkEnd w:id="474"/>
      <w:bookmarkEnd w:id="475"/>
      <w:bookmarkEnd w:id="476"/>
      <w:bookmarkEnd w:id="477"/>
      <w:bookmarkEnd w:id="478"/>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center"/>
        <w:outlineLvl w:val="1"/>
        <w:rPr>
          <w:rFonts w:ascii="黑体" w:hAnsi="黑体" w:eastAsia="黑体" w:cs="黑体"/>
          <w:kern w:val="0"/>
          <w:sz w:val="28"/>
          <w:szCs w:val="28"/>
        </w:rPr>
      </w:pPr>
    </w:p>
    <w:p>
      <w:pPr>
        <w:spacing w:line="312" w:lineRule="auto"/>
        <w:ind w:left="840" w:hanging="840" w:hangingChars="300"/>
        <w:jc w:val="left"/>
        <w:outlineLvl w:val="1"/>
        <w:rPr>
          <w:rFonts w:ascii="黑体" w:hAnsi="黑体" w:eastAsia="黑体" w:cs="黑体"/>
          <w:kern w:val="0"/>
          <w:sz w:val="28"/>
          <w:szCs w:val="28"/>
        </w:rPr>
      </w:pPr>
    </w:p>
    <w:p>
      <w:pPr>
        <w:spacing w:line="312" w:lineRule="auto"/>
        <w:ind w:left="840" w:hanging="840" w:hangingChars="300"/>
        <w:jc w:val="left"/>
        <w:outlineLvl w:val="1"/>
        <w:rPr>
          <w:rFonts w:ascii="黑体" w:hAnsi="黑体" w:eastAsia="黑体" w:cs="黑体"/>
          <w:kern w:val="0"/>
          <w:sz w:val="28"/>
          <w:szCs w:val="28"/>
        </w:rPr>
      </w:pPr>
      <w:r>
        <w:rPr>
          <w:rFonts w:hint="eastAsia" w:ascii="黑体" w:hAnsi="黑体" w:eastAsia="黑体" w:cs="黑体"/>
          <w:kern w:val="0"/>
          <w:sz w:val="28"/>
          <w:szCs w:val="28"/>
        </w:rPr>
        <w:t>附表：             投标人主要参建人员签字备案表</w:t>
      </w:r>
    </w:p>
    <w:p>
      <w:pPr>
        <w:spacing w:line="312" w:lineRule="auto"/>
        <w:ind w:left="840" w:hanging="840" w:hangingChars="300"/>
        <w:jc w:val="left"/>
        <w:outlineLvl w:val="1"/>
        <w:rPr>
          <w:rFonts w:ascii="黑体" w:hAnsi="黑体" w:eastAsia="黑体" w:cs="黑体"/>
          <w:kern w:val="0"/>
          <w:sz w:val="28"/>
          <w:szCs w:val="28"/>
        </w:rPr>
      </w:pPr>
    </w:p>
    <w:tbl>
      <w:tblPr>
        <w:tblStyle w:val="21"/>
        <w:tblW w:w="8628" w:type="dxa"/>
        <w:tblInd w:w="8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60"/>
        <w:gridCol w:w="1760"/>
        <w:gridCol w:w="1760"/>
        <w:gridCol w:w="1548"/>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3" w:hRule="atLeast"/>
        </w:trPr>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姓名</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拟任职务</w:t>
            </w:r>
          </w:p>
        </w:tc>
        <w:tc>
          <w:tcPr>
            <w:tcW w:w="176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身份证号</w:t>
            </w:r>
          </w:p>
        </w:tc>
        <w:tc>
          <w:tcPr>
            <w:tcW w:w="1548"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联系电话</w:t>
            </w:r>
          </w:p>
        </w:tc>
        <w:tc>
          <w:tcPr>
            <w:tcW w:w="1800" w:type="dxa"/>
            <w:vAlign w:val="center"/>
          </w:tcPr>
          <w:p>
            <w:pPr>
              <w:spacing w:line="312" w:lineRule="auto"/>
              <w:jc w:val="center"/>
              <w:outlineLvl w:val="1"/>
              <w:rPr>
                <w:rFonts w:ascii="宋体" w:hAnsi="宋体" w:cs="黑体"/>
                <w:kern w:val="0"/>
                <w:sz w:val="24"/>
              </w:rPr>
            </w:pPr>
            <w:r>
              <w:rPr>
                <w:rFonts w:hint="eastAsia" w:ascii="宋体" w:hAnsi="宋体" w:cs="黑体"/>
                <w:kern w:val="0"/>
                <w:sz w:val="24"/>
              </w:rPr>
              <w:t>本人亲笔签名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96"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1" w:hRule="atLeast"/>
        </w:trPr>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760" w:type="dxa"/>
            <w:vAlign w:val="center"/>
          </w:tcPr>
          <w:p>
            <w:pPr>
              <w:spacing w:line="312" w:lineRule="auto"/>
              <w:jc w:val="center"/>
              <w:outlineLvl w:val="1"/>
              <w:rPr>
                <w:rFonts w:ascii="宋体" w:hAnsi="宋体" w:cs="黑体"/>
                <w:kern w:val="0"/>
                <w:sz w:val="24"/>
              </w:rPr>
            </w:pPr>
          </w:p>
        </w:tc>
        <w:tc>
          <w:tcPr>
            <w:tcW w:w="1548" w:type="dxa"/>
            <w:vAlign w:val="center"/>
          </w:tcPr>
          <w:p>
            <w:pPr>
              <w:spacing w:line="312" w:lineRule="auto"/>
              <w:jc w:val="center"/>
              <w:outlineLvl w:val="1"/>
              <w:rPr>
                <w:rFonts w:ascii="宋体" w:hAnsi="宋体" w:cs="黑体"/>
                <w:kern w:val="0"/>
                <w:sz w:val="24"/>
              </w:rPr>
            </w:pPr>
          </w:p>
        </w:tc>
        <w:tc>
          <w:tcPr>
            <w:tcW w:w="1800" w:type="dxa"/>
            <w:vAlign w:val="center"/>
          </w:tcPr>
          <w:p>
            <w:pPr>
              <w:spacing w:line="312" w:lineRule="auto"/>
              <w:jc w:val="center"/>
              <w:outlineLvl w:val="1"/>
              <w:rPr>
                <w:rFonts w:ascii="宋体" w:hAnsi="宋体" w:cs="黑体"/>
                <w:kern w:val="0"/>
                <w:sz w:val="24"/>
              </w:rPr>
            </w:pPr>
          </w:p>
        </w:tc>
      </w:tr>
    </w:tbl>
    <w:p>
      <w:pPr>
        <w:spacing w:line="312" w:lineRule="auto"/>
      </w:pPr>
    </w:p>
    <w:p/>
    <w:sectPr>
      <w:headerReference r:id="rId6" w:type="default"/>
      <w:pgSz w:w="11906" w:h="16838"/>
      <w:pgMar w:top="1304" w:right="1304" w:bottom="1304" w:left="1304" w:header="851" w:footer="992"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新宋体">
    <w:panose1 w:val="02010609030101010101"/>
    <w:charset w:val="86"/>
    <w:family w:val="modern"/>
    <w:pitch w:val="default"/>
    <w:sig w:usb0="00000283" w:usb1="288F0000" w:usb2="00000006" w:usb3="00000000" w:csb0="00040001" w:csb1="00000000"/>
  </w:font>
  <w:font w:name="TimesNewRomanPSMT">
    <w:altName w:val="宋体"/>
    <w:panose1 w:val="00000000000000000000"/>
    <w:charset w:val="00"/>
    <w:family w:val="roman"/>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MingLiU_HKSCS-ExtB">
    <w:panose1 w:val="02020500000000000000"/>
    <w:charset w:val="88"/>
    <w:family w:val="auto"/>
    <w:pitch w:val="default"/>
    <w:sig w:usb0="8000002F" w:usb1="02000008" w:usb2="00000000" w:usb3="00000000" w:csb0="00100001" w:csb1="00000000"/>
  </w:font>
  <w:font w:name="Yu Gothic">
    <w:panose1 w:val="020B0400000000000000"/>
    <w:charset w:val="80"/>
    <w:family w:val="auto"/>
    <w:pitch w:val="default"/>
    <w:sig w:usb0="E00002FF" w:usb1="2AC7FDFF" w:usb2="00000016" w:usb3="00000000" w:csb0="2002009F" w:csb1="00000000"/>
  </w:font>
  <w:font w:name="Arial Black">
    <w:panose1 w:val="020B0A04020102020204"/>
    <w:charset w:val="00"/>
    <w:family w:val="auto"/>
    <w:pitch w:val="default"/>
    <w:sig w:usb0="A00002AF" w:usb1="400078FB" w:usb2="00000000" w:usb3="00000000" w:csb0="6000009F" w:csb1="DFD70000"/>
  </w:font>
  <w:font w:name="Bahnschrift SemiBold">
    <w:panose1 w:val="020B0502040204020203"/>
    <w:charset w:val="00"/>
    <w:family w:val="auto"/>
    <w:pitch w:val="default"/>
    <w:sig w:usb0="800002C7" w:usb1="00000002" w:usb2="00000000" w:usb3="00000000" w:csb0="2000019F" w:csb1="00000000"/>
  </w:font>
  <w:font w:name="Book Antiqua">
    <w:panose1 w:val="02040602050305030304"/>
    <w:charset w:val="00"/>
    <w:family w:val="auto"/>
    <w:pitch w:val="default"/>
    <w:sig w:usb0="00000287" w:usb1="00000000" w:usb2="00000000" w:usb3="00000000" w:csb0="2000009F" w:csb1="DFD70000"/>
  </w:font>
  <w:font w:name="Comic Sans MS">
    <w:panose1 w:val="030F0702030302020204"/>
    <w:charset w:val="00"/>
    <w:family w:val="auto"/>
    <w:pitch w:val="default"/>
    <w:sig w:usb0="00000287" w:usb1="00000013" w:usb2="00000000" w:usb3="00000000" w:csb0="2000009F" w:csb1="00000000"/>
  </w:font>
  <w:font w:name="Cooper Black">
    <w:panose1 w:val="0208090404030B020404"/>
    <w:charset w:val="00"/>
    <w:family w:val="auto"/>
    <w:pitch w:val="default"/>
    <w:sig w:usb0="00000003" w:usb1="00000000" w:usb2="00000000" w:usb3="00000000" w:csb0="20000001" w:csb1="00000000"/>
  </w:font>
  <w:font w:name="Felix Titling">
    <w:panose1 w:val="04060505060202020A04"/>
    <w:charset w:val="00"/>
    <w:family w:val="auto"/>
    <w:pitch w:val="default"/>
    <w:sig w:usb0="00000003" w:usb1="00000000" w:usb2="00000000" w:usb3="00000000" w:csb0="20000001" w:csb1="00000000"/>
  </w:font>
  <w:font w:name="Georgia">
    <w:panose1 w:val="02040502050405020303"/>
    <w:charset w:val="00"/>
    <w:family w:val="auto"/>
    <w:pitch w:val="default"/>
    <w:sig w:usb0="00000287" w:usb1="00000000" w:usb2="00000000" w:usb3="00000000" w:csb0="2000009F" w:csb1="00000000"/>
  </w:font>
  <w:font w:name="Gloucester MT Extra Condensed">
    <w:panose1 w:val="02030808020601010101"/>
    <w:charset w:val="00"/>
    <w:family w:val="auto"/>
    <w:pitch w:val="default"/>
    <w:sig w:usb0="00000003" w:usb1="00000000" w:usb2="00000000" w:usb3="00000000" w:csb0="20000001" w:csb1="00000000"/>
  </w:font>
  <w:font w:name="Goudy Old Style">
    <w:panose1 w:val="0202050205030502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1250"/>
      <w:docPartObj>
        <w:docPartGallery w:val="AutoText"/>
      </w:docPartObj>
    </w:sdtPr>
    <w:sdtContent>
      <w:p>
        <w:pPr>
          <w:pStyle w:val="12"/>
          <w:jc w:val="center"/>
        </w:pPr>
        <w:r>
          <w:fldChar w:fldCharType="begin"/>
        </w:r>
        <w:r>
          <w:instrText xml:space="preserve"> PAGE   \* MERGEFORMAT </w:instrText>
        </w:r>
        <w:r>
          <w:fldChar w:fldCharType="separate"/>
        </w:r>
        <w:r>
          <w:rPr>
            <w:lang w:val="zh-CN"/>
          </w:rPr>
          <w:t>1</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right" w:y="1"/>
      <w:rPr>
        <w:rStyle w:val="17"/>
      </w:rPr>
    </w:pPr>
    <w:r>
      <w:fldChar w:fldCharType="begin"/>
    </w:r>
    <w:r>
      <w:rPr>
        <w:rStyle w:val="17"/>
      </w:rPr>
      <w:instrText xml:space="preserve">PAGE  </w:instrText>
    </w:r>
    <w:r>
      <w:fldChar w:fldCharType="separate"/>
    </w:r>
    <w:r>
      <w:rPr>
        <w:rStyle w:val="17"/>
      </w:rPr>
      <w:t>3</w:t>
    </w:r>
    <w:r>
      <w:fldChar w:fldCharType="end"/>
    </w:r>
  </w:p>
  <w:p>
    <w:pPr>
      <w:pStyle w:val="1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tabs>
        <w:tab w:val="right" w:pos="9354"/>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right" w:pos="9354"/>
      </w:tabs>
      <w:ind w:firstLine="3072" w:firstLineChars="1700"/>
      <w:jc w:val="both"/>
      <w:rPr>
        <w:rFonts w:ascii="楷体" w:hAnsi="楷体" w:eastAsia="楷体"/>
        <w:b/>
        <w:i/>
      </w:rPr>
    </w:pPr>
    <w:r>
      <w:rPr>
        <w:rFonts w:hint="eastAsia" w:ascii="楷体" w:hAnsi="楷体" w:eastAsia="楷体"/>
        <w:b/>
        <w:i/>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91B41"/>
    <w:multiLevelType w:val="singleLevel"/>
    <w:tmpl w:val="91491B41"/>
    <w:lvl w:ilvl="0" w:tentative="0">
      <w:start w:val="8"/>
      <w:numFmt w:val="chineseCounting"/>
      <w:suff w:val="space"/>
      <w:lvlText w:val="第%1章"/>
      <w:lvlJc w:val="left"/>
      <w:rPr>
        <w:rFonts w:hint="eastAsia"/>
      </w:rPr>
    </w:lvl>
  </w:abstractNum>
  <w:abstractNum w:abstractNumId="1">
    <w:nsid w:val="EA254172"/>
    <w:multiLevelType w:val="singleLevel"/>
    <w:tmpl w:val="EA254172"/>
    <w:lvl w:ilvl="0" w:tentative="0">
      <w:start w:val="3"/>
      <w:numFmt w:val="decimal"/>
      <w:suff w:val="nothing"/>
      <w:lvlText w:val="%1、"/>
      <w:lvlJc w:val="left"/>
    </w:lvl>
  </w:abstractNum>
  <w:abstractNum w:abstractNumId="2">
    <w:nsid w:val="5278B250"/>
    <w:multiLevelType w:val="singleLevel"/>
    <w:tmpl w:val="5278B250"/>
    <w:lvl w:ilvl="0" w:tentative="0">
      <w:start w:val="1"/>
      <w:numFmt w:val="decimal"/>
      <w:suff w:val="nothing"/>
      <w:lvlText w:val="（%1）"/>
      <w:lvlJc w:val="left"/>
    </w:lvl>
  </w:abstractNum>
  <w:abstractNum w:abstractNumId="3">
    <w:nsid w:val="549E7598"/>
    <w:multiLevelType w:val="multilevel"/>
    <w:tmpl w:val="549E7598"/>
    <w:lvl w:ilvl="0" w:tentative="0">
      <w:start w:val="1"/>
      <w:numFmt w:val="japaneseCounting"/>
      <w:lvlText w:val="第%1章"/>
      <w:lvlJc w:val="left"/>
      <w:pPr>
        <w:ind w:left="1515" w:hanging="151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9B20290"/>
    <w:multiLevelType w:val="singleLevel"/>
    <w:tmpl w:val="59B20290"/>
    <w:lvl w:ilvl="0" w:tentative="0">
      <w:start w:val="1"/>
      <w:numFmt w:val="decimal"/>
      <w:suff w:val="nothing"/>
      <w:lvlText w:val="%1、"/>
      <w:lvlJc w:val="left"/>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5F12039"/>
    <w:rsid w:val="00061D45"/>
    <w:rsid w:val="00062517"/>
    <w:rsid w:val="000B1AA8"/>
    <w:rsid w:val="000D3C14"/>
    <w:rsid w:val="000E0547"/>
    <w:rsid w:val="000F1AAB"/>
    <w:rsid w:val="00115C0C"/>
    <w:rsid w:val="00126F82"/>
    <w:rsid w:val="001620B4"/>
    <w:rsid w:val="00184154"/>
    <w:rsid w:val="00185951"/>
    <w:rsid w:val="00192E64"/>
    <w:rsid w:val="001B4C4C"/>
    <w:rsid w:val="001B7F36"/>
    <w:rsid w:val="001E55A2"/>
    <w:rsid w:val="001F2959"/>
    <w:rsid w:val="002022F5"/>
    <w:rsid w:val="002150A8"/>
    <w:rsid w:val="00220DC2"/>
    <w:rsid w:val="00250DB6"/>
    <w:rsid w:val="002A0AF3"/>
    <w:rsid w:val="002B3BE6"/>
    <w:rsid w:val="002D0D28"/>
    <w:rsid w:val="002D6FDB"/>
    <w:rsid w:val="002E37FD"/>
    <w:rsid w:val="002E6B80"/>
    <w:rsid w:val="00310127"/>
    <w:rsid w:val="00314969"/>
    <w:rsid w:val="0034090F"/>
    <w:rsid w:val="003E20CB"/>
    <w:rsid w:val="0045230D"/>
    <w:rsid w:val="00464936"/>
    <w:rsid w:val="0046649C"/>
    <w:rsid w:val="00490F8B"/>
    <w:rsid w:val="004B52F5"/>
    <w:rsid w:val="004B73C6"/>
    <w:rsid w:val="005274D9"/>
    <w:rsid w:val="00540010"/>
    <w:rsid w:val="0056773B"/>
    <w:rsid w:val="00570E25"/>
    <w:rsid w:val="005B54CD"/>
    <w:rsid w:val="005B6EE5"/>
    <w:rsid w:val="005F22B0"/>
    <w:rsid w:val="0062621B"/>
    <w:rsid w:val="00654C9D"/>
    <w:rsid w:val="00656706"/>
    <w:rsid w:val="00671401"/>
    <w:rsid w:val="00686902"/>
    <w:rsid w:val="0068793C"/>
    <w:rsid w:val="006A26B3"/>
    <w:rsid w:val="00712FCA"/>
    <w:rsid w:val="0071340A"/>
    <w:rsid w:val="0076298B"/>
    <w:rsid w:val="007C2FC7"/>
    <w:rsid w:val="007F329E"/>
    <w:rsid w:val="008024DF"/>
    <w:rsid w:val="0083039A"/>
    <w:rsid w:val="0084592B"/>
    <w:rsid w:val="0089046F"/>
    <w:rsid w:val="008A2A82"/>
    <w:rsid w:val="008F22CC"/>
    <w:rsid w:val="008F3EC3"/>
    <w:rsid w:val="00924C9A"/>
    <w:rsid w:val="0097301B"/>
    <w:rsid w:val="00995016"/>
    <w:rsid w:val="009D7278"/>
    <w:rsid w:val="00A40218"/>
    <w:rsid w:val="00A422AA"/>
    <w:rsid w:val="00A52B32"/>
    <w:rsid w:val="00A62E69"/>
    <w:rsid w:val="00A728A9"/>
    <w:rsid w:val="00A7418A"/>
    <w:rsid w:val="00A760CC"/>
    <w:rsid w:val="00AA34D7"/>
    <w:rsid w:val="00AC13D4"/>
    <w:rsid w:val="00AF7A0D"/>
    <w:rsid w:val="00B17A72"/>
    <w:rsid w:val="00B53E2C"/>
    <w:rsid w:val="00BA1F10"/>
    <w:rsid w:val="00BD2082"/>
    <w:rsid w:val="00BD3B5F"/>
    <w:rsid w:val="00C15D10"/>
    <w:rsid w:val="00C16522"/>
    <w:rsid w:val="00C26E5F"/>
    <w:rsid w:val="00C26F07"/>
    <w:rsid w:val="00C306BB"/>
    <w:rsid w:val="00C94F87"/>
    <w:rsid w:val="00CB7985"/>
    <w:rsid w:val="00CE7A87"/>
    <w:rsid w:val="00D143DD"/>
    <w:rsid w:val="00DF5752"/>
    <w:rsid w:val="00E44143"/>
    <w:rsid w:val="00EC64FF"/>
    <w:rsid w:val="00EF6D4E"/>
    <w:rsid w:val="00F4353B"/>
    <w:rsid w:val="00F67DDA"/>
    <w:rsid w:val="00F842B8"/>
    <w:rsid w:val="00F95DE4"/>
    <w:rsid w:val="00FB0D76"/>
    <w:rsid w:val="00FB2306"/>
    <w:rsid w:val="00FB7D7A"/>
    <w:rsid w:val="014324C7"/>
    <w:rsid w:val="014F3554"/>
    <w:rsid w:val="02BC1550"/>
    <w:rsid w:val="037E6517"/>
    <w:rsid w:val="041D0B75"/>
    <w:rsid w:val="04A23997"/>
    <w:rsid w:val="050C7465"/>
    <w:rsid w:val="05501AA5"/>
    <w:rsid w:val="05F12039"/>
    <w:rsid w:val="06B20BB5"/>
    <w:rsid w:val="08163BED"/>
    <w:rsid w:val="0BA65F97"/>
    <w:rsid w:val="0F8769DA"/>
    <w:rsid w:val="126D3AD4"/>
    <w:rsid w:val="12894BA6"/>
    <w:rsid w:val="157924CD"/>
    <w:rsid w:val="16A01021"/>
    <w:rsid w:val="1712496C"/>
    <w:rsid w:val="17633E43"/>
    <w:rsid w:val="178D2C46"/>
    <w:rsid w:val="17F31B96"/>
    <w:rsid w:val="18185845"/>
    <w:rsid w:val="18C744D9"/>
    <w:rsid w:val="191171E7"/>
    <w:rsid w:val="195820A8"/>
    <w:rsid w:val="1B1028AF"/>
    <w:rsid w:val="1B7F5DD5"/>
    <w:rsid w:val="1CFC304A"/>
    <w:rsid w:val="20CF3BE5"/>
    <w:rsid w:val="21532C29"/>
    <w:rsid w:val="217A13E3"/>
    <w:rsid w:val="22132385"/>
    <w:rsid w:val="22154A8F"/>
    <w:rsid w:val="24C5652C"/>
    <w:rsid w:val="25684E99"/>
    <w:rsid w:val="25E954F3"/>
    <w:rsid w:val="263D3F8C"/>
    <w:rsid w:val="268E772E"/>
    <w:rsid w:val="26B81164"/>
    <w:rsid w:val="26D73A57"/>
    <w:rsid w:val="26DF07F6"/>
    <w:rsid w:val="26FF40E4"/>
    <w:rsid w:val="289A593C"/>
    <w:rsid w:val="2AEC466A"/>
    <w:rsid w:val="2C4F07B1"/>
    <w:rsid w:val="2DAE25BD"/>
    <w:rsid w:val="2ED328DE"/>
    <w:rsid w:val="2F4A73D3"/>
    <w:rsid w:val="30623D5B"/>
    <w:rsid w:val="307C5DD6"/>
    <w:rsid w:val="30FB3E10"/>
    <w:rsid w:val="31F55BC1"/>
    <w:rsid w:val="33AD6D7C"/>
    <w:rsid w:val="340931AE"/>
    <w:rsid w:val="356E6C77"/>
    <w:rsid w:val="362D7E57"/>
    <w:rsid w:val="36FB46A3"/>
    <w:rsid w:val="36FE1C0A"/>
    <w:rsid w:val="3A51132D"/>
    <w:rsid w:val="3AF16FF3"/>
    <w:rsid w:val="3EF06E34"/>
    <w:rsid w:val="3F9D0666"/>
    <w:rsid w:val="43D80EB8"/>
    <w:rsid w:val="45B346CF"/>
    <w:rsid w:val="460D1E59"/>
    <w:rsid w:val="462F0151"/>
    <w:rsid w:val="48684613"/>
    <w:rsid w:val="4A2F7D68"/>
    <w:rsid w:val="4BDE0C83"/>
    <w:rsid w:val="4D6D785A"/>
    <w:rsid w:val="4DF145A1"/>
    <w:rsid w:val="4E466EFC"/>
    <w:rsid w:val="4F1450BF"/>
    <w:rsid w:val="4FE00202"/>
    <w:rsid w:val="51075023"/>
    <w:rsid w:val="51215380"/>
    <w:rsid w:val="51C63B78"/>
    <w:rsid w:val="52BE336C"/>
    <w:rsid w:val="535822D9"/>
    <w:rsid w:val="55D709CA"/>
    <w:rsid w:val="5646168F"/>
    <w:rsid w:val="567C627A"/>
    <w:rsid w:val="579C290B"/>
    <w:rsid w:val="5C262E3D"/>
    <w:rsid w:val="5D240C39"/>
    <w:rsid w:val="5D2F533D"/>
    <w:rsid w:val="5F3D397E"/>
    <w:rsid w:val="622B56D5"/>
    <w:rsid w:val="622B6CF4"/>
    <w:rsid w:val="62BC3D0B"/>
    <w:rsid w:val="64BF1D3E"/>
    <w:rsid w:val="65F61622"/>
    <w:rsid w:val="66CA0282"/>
    <w:rsid w:val="67F37477"/>
    <w:rsid w:val="6A510432"/>
    <w:rsid w:val="6A577EDB"/>
    <w:rsid w:val="6AA018B9"/>
    <w:rsid w:val="6B0C2659"/>
    <w:rsid w:val="6BB8631A"/>
    <w:rsid w:val="6BF60B6B"/>
    <w:rsid w:val="6D535020"/>
    <w:rsid w:val="6DFB35D0"/>
    <w:rsid w:val="6E6C36D5"/>
    <w:rsid w:val="702B5E88"/>
    <w:rsid w:val="723C7A5B"/>
    <w:rsid w:val="7257792E"/>
    <w:rsid w:val="726A4B65"/>
    <w:rsid w:val="726F56F6"/>
    <w:rsid w:val="73BE7469"/>
    <w:rsid w:val="73C36553"/>
    <w:rsid w:val="745F142E"/>
    <w:rsid w:val="747A4322"/>
    <w:rsid w:val="76196391"/>
    <w:rsid w:val="773E67F8"/>
    <w:rsid w:val="78622B14"/>
    <w:rsid w:val="787844CE"/>
    <w:rsid w:val="79242FA6"/>
    <w:rsid w:val="79A11AF0"/>
    <w:rsid w:val="7AAA32F5"/>
    <w:rsid w:val="7B7B55E2"/>
    <w:rsid w:val="7C627C2C"/>
    <w:rsid w:val="7C8333C7"/>
    <w:rsid w:val="7CF52AAF"/>
    <w:rsid w:val="7F7B3A85"/>
    <w:rsid w:val="7F970F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23"/>
    <w:qFormat/>
    <w:uiPriority w:val="0"/>
    <w:pPr>
      <w:keepNext/>
      <w:keepLines/>
      <w:spacing w:before="260" w:after="260" w:line="413" w:lineRule="auto"/>
      <w:outlineLvl w:val="1"/>
    </w:pPr>
    <w:rPr>
      <w:rFonts w:ascii="Arial" w:hAnsi="Arial" w:eastAsia="黑体"/>
      <w:b/>
      <w:bCs/>
      <w:kern w:val="0"/>
      <w:sz w:val="32"/>
      <w:szCs w:val="32"/>
    </w:rPr>
  </w:style>
  <w:style w:type="paragraph" w:styleId="6">
    <w:name w:val="heading 3"/>
    <w:basedOn w:val="1"/>
    <w:next w:val="1"/>
    <w:qFormat/>
    <w:uiPriority w:val="0"/>
    <w:pPr>
      <w:keepNext/>
      <w:keepLines/>
      <w:spacing w:before="260" w:after="260" w:line="413" w:lineRule="auto"/>
      <w:outlineLvl w:val="2"/>
    </w:pPr>
    <w:rPr>
      <w:b/>
      <w:bCs/>
      <w:kern w:val="0"/>
      <w:sz w:val="32"/>
      <w:szCs w:val="32"/>
    </w:rPr>
  </w:style>
  <w:style w:type="character" w:default="1" w:styleId="16">
    <w:name w:val="Default Paragraph Font"/>
    <w:semiHidden/>
    <w:unhideWhenUsed/>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unhideWhenUsed/>
    <w:qFormat/>
    <w:uiPriority w:val="99"/>
    <w:pPr>
      <w:spacing w:after="120"/>
      <w:ind w:left="420" w:leftChars="200"/>
    </w:pPr>
  </w:style>
  <w:style w:type="paragraph" w:styleId="7">
    <w:name w:val="Body Text First Indent"/>
    <w:basedOn w:val="8"/>
    <w:qFormat/>
    <w:uiPriority w:val="0"/>
    <w:pPr>
      <w:ind w:firstLine="420" w:firstLineChars="100"/>
    </w:pPr>
  </w:style>
  <w:style w:type="paragraph" w:styleId="8">
    <w:name w:val="Body Text"/>
    <w:basedOn w:val="1"/>
    <w:qFormat/>
    <w:uiPriority w:val="0"/>
    <w:pPr>
      <w:spacing w:after="120"/>
    </w:pPr>
  </w:style>
  <w:style w:type="paragraph" w:styleId="9">
    <w:name w:val="Plain Text"/>
    <w:basedOn w:val="1"/>
    <w:uiPriority w:val="0"/>
    <w:rPr>
      <w:rFonts w:ascii="宋体" w:hAnsi="Courier New"/>
    </w:rPr>
  </w:style>
  <w:style w:type="paragraph" w:styleId="10">
    <w:name w:val="Body Text Indent 2"/>
    <w:basedOn w:val="1"/>
    <w:qFormat/>
    <w:uiPriority w:val="0"/>
    <w:pPr>
      <w:spacing w:after="120" w:line="480" w:lineRule="auto"/>
      <w:ind w:left="420" w:leftChars="200"/>
    </w:pPr>
  </w:style>
  <w:style w:type="paragraph" w:styleId="11">
    <w:name w:val="Balloon Text"/>
    <w:basedOn w:val="1"/>
    <w:link w:val="36"/>
    <w:qFormat/>
    <w:uiPriority w:val="0"/>
    <w:rPr>
      <w:sz w:val="18"/>
      <w:szCs w:val="18"/>
    </w:rPr>
  </w:style>
  <w:style w:type="paragraph" w:styleId="12">
    <w:name w:val="footer"/>
    <w:basedOn w:val="1"/>
    <w:link w:val="45"/>
    <w:qFormat/>
    <w:uiPriority w:val="99"/>
    <w:pPr>
      <w:tabs>
        <w:tab w:val="center" w:pos="4153"/>
        <w:tab w:val="right" w:pos="8306"/>
      </w:tabs>
      <w:snapToGrid w:val="0"/>
      <w:jc w:val="left"/>
    </w:pPr>
    <w:rPr>
      <w:sz w:val="18"/>
      <w:szCs w:val="18"/>
    </w:rPr>
  </w:style>
  <w:style w:type="paragraph" w:styleId="13">
    <w:name w:val="header"/>
    <w:basedOn w:val="1"/>
    <w:link w:val="35"/>
    <w:qFormat/>
    <w:uiPriority w:val="99"/>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100" w:beforeAutospacing="1" w:after="100" w:afterAutospacing="1"/>
      <w:jc w:val="left"/>
    </w:pPr>
    <w:rPr>
      <w:kern w:val="0"/>
      <w:sz w:val="24"/>
      <w:szCs w:val="20"/>
    </w:r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Emphasis"/>
    <w:basedOn w:val="16"/>
    <w:qFormat/>
    <w:uiPriority w:val="0"/>
  </w:style>
  <w:style w:type="character" w:styleId="20">
    <w:name w:val="Hyperlink"/>
    <w:basedOn w:val="16"/>
    <w:qFormat/>
    <w:uiPriority w:val="0"/>
    <w:rPr>
      <w:color w:val="000000"/>
      <w:u w:val="none"/>
    </w:rPr>
  </w:style>
  <w:style w:type="paragraph" w:customStyle="1" w:styleId="22">
    <w:name w:val="p0"/>
    <w:basedOn w:val="1"/>
    <w:qFormat/>
    <w:uiPriority w:val="0"/>
    <w:pPr>
      <w:widowControl/>
      <w:jc w:val="left"/>
    </w:pPr>
    <w:rPr>
      <w:kern w:val="0"/>
      <w:szCs w:val="21"/>
    </w:rPr>
  </w:style>
  <w:style w:type="character" w:customStyle="1" w:styleId="23">
    <w:name w:val="标题 2 Char"/>
    <w:link w:val="5"/>
    <w:qFormat/>
    <w:uiPriority w:val="0"/>
    <w:rPr>
      <w:rFonts w:ascii="Arial" w:hAnsi="Arial" w:eastAsia="黑体"/>
      <w:b/>
      <w:bCs/>
      <w:kern w:val="0"/>
      <w:sz w:val="32"/>
      <w:szCs w:val="32"/>
    </w:rPr>
  </w:style>
  <w:style w:type="paragraph" w:customStyle="1" w:styleId="24">
    <w:name w:val="WPS Plain"/>
    <w:qFormat/>
    <w:uiPriority w:val="0"/>
    <w:rPr>
      <w:rFonts w:ascii="Times New Roman" w:hAnsi="Times New Roman" w:eastAsia="宋体" w:cs="Times New Roman"/>
      <w:lang w:val="en-US" w:eastAsia="zh-CN" w:bidi="ar-SA"/>
    </w:rPr>
  </w:style>
  <w:style w:type="character" w:customStyle="1" w:styleId="25">
    <w:name w:val="hover"/>
    <w:basedOn w:val="16"/>
    <w:qFormat/>
    <w:uiPriority w:val="0"/>
  </w:style>
  <w:style w:type="character" w:customStyle="1" w:styleId="26">
    <w:name w:val="green"/>
    <w:basedOn w:val="16"/>
    <w:qFormat/>
    <w:uiPriority w:val="0"/>
    <w:rPr>
      <w:color w:val="66AE00"/>
      <w:sz w:val="18"/>
      <w:szCs w:val="18"/>
    </w:rPr>
  </w:style>
  <w:style w:type="character" w:customStyle="1" w:styleId="27">
    <w:name w:val="green1"/>
    <w:basedOn w:val="16"/>
    <w:qFormat/>
    <w:uiPriority w:val="0"/>
    <w:rPr>
      <w:color w:val="66AE00"/>
      <w:sz w:val="18"/>
      <w:szCs w:val="18"/>
    </w:rPr>
  </w:style>
  <w:style w:type="character" w:customStyle="1" w:styleId="28">
    <w:name w:val="red"/>
    <w:basedOn w:val="16"/>
    <w:qFormat/>
    <w:uiPriority w:val="0"/>
    <w:rPr>
      <w:color w:val="FF0000"/>
      <w:sz w:val="18"/>
      <w:szCs w:val="18"/>
    </w:rPr>
  </w:style>
  <w:style w:type="character" w:customStyle="1" w:styleId="29">
    <w:name w:val="red1"/>
    <w:basedOn w:val="16"/>
    <w:qFormat/>
    <w:uiPriority w:val="0"/>
    <w:rPr>
      <w:color w:val="FF0000"/>
      <w:sz w:val="18"/>
      <w:szCs w:val="18"/>
    </w:rPr>
  </w:style>
  <w:style w:type="character" w:customStyle="1" w:styleId="30">
    <w:name w:val="red2"/>
    <w:basedOn w:val="16"/>
    <w:qFormat/>
    <w:uiPriority w:val="0"/>
    <w:rPr>
      <w:color w:val="CC0000"/>
    </w:rPr>
  </w:style>
  <w:style w:type="character" w:customStyle="1" w:styleId="31">
    <w:name w:val="red3"/>
    <w:basedOn w:val="16"/>
    <w:qFormat/>
    <w:uiPriority w:val="0"/>
    <w:rPr>
      <w:color w:val="FF0000"/>
    </w:rPr>
  </w:style>
  <w:style w:type="character" w:customStyle="1" w:styleId="32">
    <w:name w:val="gb-jt"/>
    <w:basedOn w:val="16"/>
    <w:qFormat/>
    <w:uiPriority w:val="0"/>
  </w:style>
  <w:style w:type="character" w:customStyle="1" w:styleId="33">
    <w:name w:val="right"/>
    <w:basedOn w:val="16"/>
    <w:qFormat/>
    <w:uiPriority w:val="0"/>
    <w:rPr>
      <w:color w:val="999999"/>
      <w:sz w:val="18"/>
      <w:szCs w:val="18"/>
    </w:rPr>
  </w:style>
  <w:style w:type="character" w:customStyle="1" w:styleId="34">
    <w:name w:val="blue"/>
    <w:basedOn w:val="16"/>
    <w:qFormat/>
    <w:uiPriority w:val="0"/>
    <w:rPr>
      <w:color w:val="0371C6"/>
      <w:sz w:val="21"/>
      <w:szCs w:val="21"/>
    </w:rPr>
  </w:style>
  <w:style w:type="character" w:customStyle="1" w:styleId="35">
    <w:name w:val="页眉 Char"/>
    <w:basedOn w:val="16"/>
    <w:link w:val="13"/>
    <w:qFormat/>
    <w:uiPriority w:val="99"/>
    <w:rPr>
      <w:kern w:val="2"/>
      <w:sz w:val="18"/>
      <w:szCs w:val="18"/>
    </w:rPr>
  </w:style>
  <w:style w:type="character" w:customStyle="1" w:styleId="36">
    <w:name w:val="批注框文本 Char"/>
    <w:basedOn w:val="16"/>
    <w:link w:val="11"/>
    <w:qFormat/>
    <w:uiPriority w:val="0"/>
    <w:rPr>
      <w:kern w:val="2"/>
      <w:sz w:val="18"/>
      <w:szCs w:val="18"/>
    </w:rPr>
  </w:style>
  <w:style w:type="character" w:customStyle="1" w:styleId="37">
    <w:name w:val="hover24"/>
    <w:basedOn w:val="16"/>
    <w:qFormat/>
    <w:uiPriority w:val="0"/>
  </w:style>
  <w:style w:type="character" w:customStyle="1" w:styleId="38">
    <w:name w:val="font31"/>
    <w:basedOn w:val="16"/>
    <w:qFormat/>
    <w:uiPriority w:val="0"/>
    <w:rPr>
      <w:rFonts w:ascii="仿宋_GB2312" w:eastAsia="仿宋_GB2312" w:cs="仿宋_GB2312"/>
      <w:b/>
      <w:color w:val="000000"/>
      <w:sz w:val="20"/>
      <w:szCs w:val="20"/>
      <w:u w:val="none"/>
    </w:rPr>
  </w:style>
  <w:style w:type="character" w:customStyle="1" w:styleId="39">
    <w:name w:val="font51"/>
    <w:basedOn w:val="16"/>
    <w:qFormat/>
    <w:uiPriority w:val="0"/>
    <w:rPr>
      <w:rFonts w:hint="default" w:ascii="仿宋_GB2312" w:eastAsia="仿宋_GB2312" w:cs="仿宋_GB2312"/>
      <w:color w:val="000000"/>
      <w:sz w:val="20"/>
      <w:szCs w:val="20"/>
      <w:u w:val="none"/>
    </w:rPr>
  </w:style>
  <w:style w:type="character" w:customStyle="1" w:styleId="40">
    <w:name w:val="font81"/>
    <w:basedOn w:val="16"/>
    <w:qFormat/>
    <w:uiPriority w:val="0"/>
    <w:rPr>
      <w:rFonts w:hint="default" w:ascii="Times New Roman" w:hAnsi="Times New Roman" w:cs="Times New Roman"/>
      <w:color w:val="000000"/>
      <w:sz w:val="20"/>
      <w:szCs w:val="20"/>
      <w:u w:val="none"/>
    </w:rPr>
  </w:style>
  <w:style w:type="character" w:customStyle="1" w:styleId="41">
    <w:name w:val="font41"/>
    <w:basedOn w:val="16"/>
    <w:qFormat/>
    <w:uiPriority w:val="0"/>
    <w:rPr>
      <w:rFonts w:hint="default" w:ascii="仿宋_GB2312" w:eastAsia="仿宋_GB2312" w:cs="仿宋_GB2312"/>
      <w:color w:val="000000"/>
      <w:sz w:val="20"/>
      <w:szCs w:val="20"/>
      <w:u w:val="none"/>
    </w:rPr>
  </w:style>
  <w:style w:type="character" w:customStyle="1" w:styleId="42">
    <w:name w:val="font91"/>
    <w:basedOn w:val="16"/>
    <w:qFormat/>
    <w:uiPriority w:val="0"/>
    <w:rPr>
      <w:rFonts w:hint="default" w:ascii="Times New Roman" w:hAnsi="Times New Roman" w:cs="Times New Roman"/>
      <w:color w:val="000000"/>
      <w:sz w:val="20"/>
      <w:szCs w:val="20"/>
      <w:u w:val="none"/>
    </w:rPr>
  </w:style>
  <w:style w:type="paragraph" w:customStyle="1" w:styleId="4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44">
    <w:name w:val="List Paragraph"/>
    <w:basedOn w:val="1"/>
    <w:qFormat/>
    <w:uiPriority w:val="34"/>
    <w:pPr>
      <w:ind w:firstLine="420" w:firstLineChars="200"/>
    </w:pPr>
  </w:style>
  <w:style w:type="character" w:customStyle="1" w:styleId="45">
    <w:name w:val="页脚 Char"/>
    <w:basedOn w:val="16"/>
    <w:link w:val="12"/>
    <w:uiPriority w:val="99"/>
    <w:rPr>
      <w:kern w:val="2"/>
      <w:sz w:val="18"/>
      <w:szCs w:val="18"/>
    </w:rPr>
  </w:style>
  <w:style w:type="character" w:customStyle="1" w:styleId="46">
    <w:name w:val="bsharetext"/>
    <w:basedOn w:val="16"/>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wmf"/><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7A774EA-2D46-494E-8548-12120EAB7B55}">
  <ds:schemaRefs/>
</ds:datastoreItem>
</file>

<file path=docProps/app.xml><?xml version="1.0" encoding="utf-8"?>
<Properties xmlns="http://schemas.openxmlformats.org/officeDocument/2006/extended-properties" xmlns:vt="http://schemas.openxmlformats.org/officeDocument/2006/docPropsVTypes">
  <Template>0</Template>
  <Company>许昌市公共资源</Company>
  <Pages>63</Pages>
  <Words>27954</Words>
  <Characters>8443</Characters>
  <Lines>70</Lines>
  <Paragraphs>72</Paragraphs>
  <TotalTime>45</TotalTime>
  <ScaleCrop>false</ScaleCrop>
  <LinksUpToDate>false</LinksUpToDate>
  <CharactersWithSpaces>36325</CharactersWithSpaces>
  <Application>WPS Office_11.1.0.8013_F1E327BC-269C-435d-A152-05C5408002CA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2018-10-19T00:56:00Z</dcterms:created>
  <dc:creator>莫。。</dc:creator>
  <cp:lastModifiedBy>莫。。</cp:lastModifiedBy>
  <cp:lastPrinted>2018-12-14T00:45:56Z</cp:lastPrinted>
  <dcterms:modified xsi:type="dcterms:W3CDTF">2018-12-14T01:23:16Z</dcterms:modified>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