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227" w:line="360" w:lineRule="auto"/>
        <w:jc w:val="center"/>
        <w:rPr>
          <w:rFonts w:hint="eastAsia" w:ascii="宋体" w:hAnsi="宋体" w:eastAsia="宋体" w:cs="Arial"/>
          <w:b/>
          <w:bCs/>
          <w:color w:val="000000"/>
          <w:kern w:val="0"/>
          <w:sz w:val="44"/>
          <w:szCs w:val="44"/>
          <w:lang w:eastAsia="zh-CN"/>
        </w:rPr>
      </w:pPr>
      <w:r>
        <w:rPr>
          <w:rFonts w:hint="eastAsia" w:ascii="宋体" w:hAnsi="宋体" w:eastAsia="宋体" w:cs="Arial"/>
          <w:b/>
          <w:bCs/>
          <w:color w:val="000000"/>
          <w:kern w:val="0"/>
          <w:sz w:val="44"/>
          <w:szCs w:val="44"/>
          <w:lang w:eastAsia="zh-CN"/>
        </w:rPr>
        <w:t>长招采公字[201</w:t>
      </w:r>
      <w:r>
        <w:rPr>
          <w:rFonts w:hint="eastAsia" w:ascii="宋体" w:hAnsi="宋体" w:cs="Arial"/>
          <w:b/>
          <w:bCs/>
          <w:color w:val="000000"/>
          <w:kern w:val="0"/>
          <w:sz w:val="44"/>
          <w:szCs w:val="44"/>
          <w:lang w:val="en-US" w:eastAsia="zh-CN"/>
        </w:rPr>
        <w:t>8</w:t>
      </w:r>
      <w:r>
        <w:rPr>
          <w:rFonts w:hint="eastAsia" w:ascii="宋体" w:hAnsi="宋体" w:eastAsia="宋体" w:cs="Arial"/>
          <w:b/>
          <w:bCs/>
          <w:color w:val="000000"/>
          <w:kern w:val="0"/>
          <w:sz w:val="44"/>
          <w:szCs w:val="44"/>
          <w:lang w:eastAsia="zh-CN"/>
        </w:rPr>
        <w:t>]</w:t>
      </w:r>
      <w:r>
        <w:rPr>
          <w:rFonts w:hint="eastAsia" w:ascii="宋体" w:hAnsi="宋体" w:cs="Arial"/>
          <w:b/>
          <w:bCs/>
          <w:color w:val="000000"/>
          <w:kern w:val="0"/>
          <w:sz w:val="44"/>
          <w:szCs w:val="44"/>
          <w:lang w:val="en-US" w:eastAsia="zh-CN"/>
        </w:rPr>
        <w:t>144</w:t>
      </w:r>
      <w:r>
        <w:rPr>
          <w:rFonts w:hint="eastAsia" w:ascii="宋体" w:hAnsi="宋体" w:eastAsia="宋体" w:cs="Arial"/>
          <w:b/>
          <w:bCs/>
          <w:color w:val="000000"/>
          <w:kern w:val="0"/>
          <w:sz w:val="44"/>
          <w:szCs w:val="44"/>
          <w:lang w:eastAsia="zh-CN"/>
        </w:rPr>
        <w:t>号</w:t>
      </w:r>
    </w:p>
    <w:p>
      <w:pPr>
        <w:widowControl/>
        <w:shd w:val="clear" w:color="auto" w:fill="FFFFFF"/>
        <w:spacing w:before="227" w:line="360" w:lineRule="auto"/>
        <w:jc w:val="center"/>
        <w:rPr>
          <w:rFonts w:hint="eastAsia" w:ascii="宋体" w:hAnsi="宋体" w:eastAsia="宋体" w:cs="Arial"/>
          <w:b/>
          <w:bCs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Arial"/>
          <w:b/>
          <w:bCs/>
          <w:color w:val="000000"/>
          <w:kern w:val="0"/>
          <w:sz w:val="44"/>
          <w:szCs w:val="44"/>
          <w:lang w:val="en-US" w:eastAsia="zh-CN"/>
        </w:rPr>
        <w:t>长葛市国土资源局职工餐厅采购项目</w:t>
      </w:r>
    </w:p>
    <w:p>
      <w:pPr>
        <w:widowControl/>
        <w:shd w:val="clear" w:color="auto" w:fill="FFFFFF"/>
        <w:spacing w:before="227" w:line="360" w:lineRule="auto"/>
        <w:jc w:val="center"/>
        <w:rPr>
          <w:rFonts w:hint="eastAsia" w:ascii="宋体" w:hAnsi="宋体" w:eastAsia="宋体" w:cs="Arial"/>
          <w:b/>
          <w:bCs/>
          <w:color w:val="000000"/>
          <w:kern w:val="0"/>
          <w:sz w:val="44"/>
          <w:szCs w:val="44"/>
          <w:lang w:eastAsia="zh-CN"/>
        </w:rPr>
      </w:pPr>
      <w:r>
        <w:rPr>
          <w:rFonts w:hint="eastAsia" w:ascii="宋体" w:hAnsi="宋体" w:eastAsia="宋体" w:cs="Arial"/>
          <w:b/>
          <w:bCs/>
          <w:color w:val="000000"/>
          <w:kern w:val="0"/>
          <w:sz w:val="44"/>
          <w:szCs w:val="44"/>
          <w:lang w:eastAsia="zh-CN"/>
        </w:rPr>
        <w:t>评审结果公告</w:t>
      </w:r>
    </w:p>
    <w:p>
      <w:pPr>
        <w:widowControl/>
        <w:shd w:val="clear" w:color="auto" w:fill="FFFFFF"/>
        <w:spacing w:before="227" w:line="360" w:lineRule="auto"/>
        <w:ind w:firstLine="640" w:firstLineChars="200"/>
        <w:contextualSpacing/>
        <w:jc w:val="left"/>
        <w:rPr>
          <w:rFonts w:ascii="黑体" w:hAnsi="黑体" w:eastAsia="黑体" w:cs="Arial"/>
          <w:color w:val="000000"/>
          <w:kern w:val="0"/>
          <w:sz w:val="32"/>
          <w:szCs w:val="32"/>
        </w:rPr>
      </w:pPr>
      <w:r>
        <w:rPr>
          <w:rFonts w:ascii="黑体" w:hAnsi="黑体" w:eastAsia="黑体" w:cs="Arial"/>
          <w:color w:val="000000"/>
          <w:kern w:val="0"/>
          <w:sz w:val="32"/>
          <w:szCs w:val="32"/>
        </w:rPr>
        <w:t>一、项目概况</w:t>
      </w:r>
    </w:p>
    <w:p>
      <w:pPr>
        <w:adjustRightInd w:val="0"/>
        <w:snapToGrid w:val="0"/>
        <w:spacing w:line="300" w:lineRule="auto"/>
        <w:ind w:firstLine="640" w:firstLineChars="200"/>
        <w:rPr>
          <w:rFonts w:hint="eastAsia" w:ascii="仿宋" w:hAnsi="仿宋" w:eastAsia="仿宋" w:cs="Arial"/>
          <w:color w:val="000000"/>
          <w:kern w:val="0"/>
          <w:sz w:val="32"/>
          <w:szCs w:val="32"/>
          <w:lang w:val="en-US" w:eastAsia="zh-CN"/>
        </w:rPr>
      </w:pPr>
      <w:r>
        <w:rPr>
          <w:rFonts w:ascii="仿宋" w:hAnsi="仿宋" w:eastAsia="仿宋" w:cs="Arial"/>
          <w:color w:val="000000"/>
          <w:kern w:val="0"/>
          <w:sz w:val="32"/>
          <w:szCs w:val="32"/>
        </w:rPr>
        <w:t>（一）项目名称：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  <w:lang w:val="en-US" w:eastAsia="zh-CN"/>
        </w:rPr>
        <w:t>长葛市国土资源局职工餐</w:t>
      </w:r>
      <w:bookmarkStart w:id="0" w:name="_GoBack"/>
      <w:bookmarkEnd w:id="0"/>
      <w:r>
        <w:rPr>
          <w:rFonts w:hint="eastAsia" w:ascii="仿宋" w:hAnsi="仿宋" w:eastAsia="仿宋" w:cs="Arial"/>
          <w:color w:val="000000"/>
          <w:kern w:val="0"/>
          <w:sz w:val="32"/>
          <w:szCs w:val="32"/>
          <w:lang w:val="en-US" w:eastAsia="zh-CN"/>
        </w:rPr>
        <w:t>厅采购项目</w:t>
      </w:r>
    </w:p>
    <w:p>
      <w:pPr>
        <w:widowControl/>
        <w:shd w:val="clear" w:color="auto" w:fill="FFFFFF"/>
        <w:spacing w:before="227" w:line="360" w:lineRule="auto"/>
        <w:ind w:firstLine="420"/>
        <w:contextualSpacing/>
        <w:jc w:val="left"/>
        <w:rPr>
          <w:rFonts w:ascii="仿宋" w:hAnsi="仿宋" w:eastAsia="仿宋" w:cs="Arial"/>
          <w:color w:val="000000"/>
          <w:kern w:val="0"/>
          <w:sz w:val="32"/>
          <w:szCs w:val="32"/>
        </w:rPr>
      </w:pPr>
      <w:r>
        <w:rPr>
          <w:rFonts w:ascii="仿宋" w:hAnsi="仿宋" w:eastAsia="仿宋" w:cs="Arial"/>
          <w:color w:val="000000"/>
          <w:kern w:val="0"/>
          <w:sz w:val="32"/>
          <w:szCs w:val="32"/>
        </w:rPr>
        <w:t>（二）项目编号：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  <w:lang w:eastAsia="zh-CN"/>
        </w:rPr>
        <w:t>长招采竞字[201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  <w:lang w:eastAsia="zh-CN"/>
        </w:rPr>
        <w:t>]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  <w:lang w:val="en-US" w:eastAsia="zh-CN"/>
        </w:rPr>
        <w:t>144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  <w:lang w:eastAsia="zh-CN"/>
        </w:rPr>
        <w:t>号</w:t>
      </w:r>
    </w:p>
    <w:p>
      <w:pPr>
        <w:widowControl/>
        <w:shd w:val="clear" w:color="auto" w:fill="FFFFFF"/>
        <w:spacing w:before="227" w:line="360" w:lineRule="auto"/>
        <w:ind w:firstLine="420"/>
        <w:contextualSpacing/>
        <w:jc w:val="left"/>
        <w:rPr>
          <w:rFonts w:ascii="仿宋" w:hAnsi="仿宋" w:eastAsia="仿宋" w:cs="Arial"/>
          <w:color w:val="000000"/>
          <w:kern w:val="0"/>
          <w:sz w:val="32"/>
          <w:szCs w:val="32"/>
        </w:rPr>
      </w:pPr>
      <w:r>
        <w:rPr>
          <w:rFonts w:ascii="仿宋" w:hAnsi="仿宋" w:eastAsia="仿宋" w:cs="Arial"/>
          <w:color w:val="000000"/>
          <w:kern w:val="0"/>
          <w:sz w:val="32"/>
          <w:szCs w:val="32"/>
        </w:rPr>
        <w:t>（三）招标公告发布日期：201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  <w:lang w:val="en-US" w:eastAsia="zh-CN"/>
        </w:rPr>
        <w:t>8</w:t>
      </w:r>
      <w:r>
        <w:rPr>
          <w:rFonts w:ascii="仿宋" w:hAnsi="仿宋" w:eastAsia="仿宋" w:cs="Arial"/>
          <w:color w:val="000000"/>
          <w:kern w:val="0"/>
          <w:sz w:val="32"/>
          <w:szCs w:val="32"/>
        </w:rPr>
        <w:t>年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  <w:lang w:val="en-US" w:eastAsia="zh-CN"/>
        </w:rPr>
        <w:t>11</w:t>
      </w:r>
      <w:r>
        <w:rPr>
          <w:rFonts w:ascii="仿宋" w:hAnsi="仿宋" w:eastAsia="仿宋" w:cs="Arial"/>
          <w:color w:val="000000"/>
          <w:kern w:val="0"/>
          <w:sz w:val="32"/>
          <w:szCs w:val="32"/>
        </w:rPr>
        <w:t>月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  <w:lang w:val="en-US" w:eastAsia="zh-CN"/>
        </w:rPr>
        <w:t>21</w:t>
      </w:r>
      <w:r>
        <w:rPr>
          <w:rFonts w:ascii="仿宋" w:hAnsi="仿宋" w:eastAsia="仿宋" w:cs="Arial"/>
          <w:color w:val="000000"/>
          <w:kern w:val="0"/>
          <w:sz w:val="32"/>
          <w:szCs w:val="32"/>
        </w:rPr>
        <w:t>日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至2018年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月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日</w:t>
      </w:r>
    </w:p>
    <w:p>
      <w:pPr>
        <w:widowControl/>
        <w:shd w:val="clear" w:color="auto" w:fill="FFFFFF"/>
        <w:spacing w:before="227" w:line="360" w:lineRule="auto"/>
        <w:ind w:firstLine="420"/>
        <w:contextualSpacing/>
        <w:jc w:val="left"/>
        <w:rPr>
          <w:rFonts w:ascii="仿宋" w:hAnsi="仿宋" w:eastAsia="仿宋" w:cs="Arial"/>
          <w:color w:val="000000"/>
          <w:kern w:val="0"/>
          <w:sz w:val="32"/>
          <w:szCs w:val="32"/>
        </w:rPr>
      </w:pPr>
      <w:r>
        <w:rPr>
          <w:rFonts w:ascii="仿宋" w:hAnsi="仿宋" w:eastAsia="仿宋" w:cs="Arial"/>
          <w:color w:val="000000"/>
          <w:kern w:val="0"/>
          <w:sz w:val="32"/>
          <w:szCs w:val="32"/>
        </w:rPr>
        <w:t>（四）变更公告发布日期：无</w:t>
      </w:r>
    </w:p>
    <w:p>
      <w:pPr>
        <w:widowControl/>
        <w:shd w:val="clear" w:color="auto" w:fill="FFFFFF"/>
        <w:spacing w:before="227" w:line="360" w:lineRule="auto"/>
        <w:ind w:firstLine="420"/>
        <w:contextualSpacing/>
        <w:jc w:val="left"/>
        <w:rPr>
          <w:rFonts w:ascii="仿宋" w:hAnsi="仿宋" w:eastAsia="仿宋" w:cs="Arial"/>
          <w:color w:val="000000"/>
          <w:kern w:val="0"/>
          <w:sz w:val="32"/>
          <w:szCs w:val="32"/>
        </w:rPr>
      </w:pPr>
      <w:r>
        <w:rPr>
          <w:rFonts w:ascii="仿宋" w:hAnsi="仿宋" w:eastAsia="仿宋" w:cs="Arial"/>
          <w:color w:val="000000"/>
          <w:kern w:val="0"/>
          <w:sz w:val="32"/>
          <w:szCs w:val="32"/>
        </w:rPr>
        <w:t>（五）开标日期：201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  <w:lang w:val="en-US" w:eastAsia="zh-CN"/>
        </w:rPr>
        <w:t>8</w:t>
      </w:r>
      <w:r>
        <w:rPr>
          <w:rFonts w:ascii="仿宋" w:hAnsi="仿宋" w:eastAsia="仿宋" w:cs="Arial"/>
          <w:color w:val="000000"/>
          <w:kern w:val="0"/>
          <w:sz w:val="32"/>
          <w:szCs w:val="32"/>
        </w:rPr>
        <w:t>年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  <w:lang w:val="en-US" w:eastAsia="zh-CN"/>
        </w:rPr>
        <w:t>11</w:t>
      </w:r>
      <w:r>
        <w:rPr>
          <w:rFonts w:ascii="仿宋" w:hAnsi="仿宋" w:eastAsia="仿宋" w:cs="Arial"/>
          <w:color w:val="000000"/>
          <w:kern w:val="0"/>
          <w:sz w:val="32"/>
          <w:szCs w:val="32"/>
        </w:rPr>
        <w:t>月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  <w:lang w:val="en-US" w:eastAsia="zh-CN"/>
        </w:rPr>
        <w:t>29</w:t>
      </w:r>
      <w:r>
        <w:rPr>
          <w:rFonts w:ascii="仿宋" w:hAnsi="仿宋" w:eastAsia="仿宋" w:cs="Arial"/>
          <w:color w:val="000000"/>
          <w:kern w:val="0"/>
          <w:sz w:val="32"/>
          <w:szCs w:val="32"/>
        </w:rPr>
        <w:t>日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  <w:lang w:val="en-US" w:eastAsia="zh-CN"/>
        </w:rPr>
        <w:t>10</w:t>
      </w:r>
      <w:r>
        <w:rPr>
          <w:rFonts w:ascii="仿宋" w:hAnsi="仿宋" w:eastAsia="仿宋" w:cs="Arial"/>
          <w:color w:val="000000"/>
          <w:kern w:val="0"/>
          <w:sz w:val="32"/>
          <w:szCs w:val="32"/>
        </w:rPr>
        <w:t>时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  <w:lang w:val="en-US" w:eastAsia="zh-CN"/>
        </w:rPr>
        <w:t>00分</w:t>
      </w:r>
    </w:p>
    <w:p>
      <w:pPr>
        <w:widowControl/>
        <w:shd w:val="clear" w:color="auto" w:fill="FFFFFF"/>
        <w:spacing w:before="227" w:line="360" w:lineRule="auto"/>
        <w:ind w:firstLine="420"/>
        <w:contextualSpacing/>
        <w:jc w:val="left"/>
        <w:rPr>
          <w:rFonts w:hint="eastAsia" w:ascii="仿宋" w:hAnsi="仿宋" w:eastAsia="仿宋" w:cs="Arial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（六）采购方式：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  <w:lang w:eastAsia="zh-CN"/>
        </w:rPr>
        <w:t>竞争性谈判</w:t>
      </w:r>
    </w:p>
    <w:p>
      <w:pPr>
        <w:snapToGrid w:val="0"/>
        <w:spacing w:line="360" w:lineRule="auto"/>
        <w:ind w:firstLine="320" w:firstLineChars="100"/>
        <w:rPr>
          <w:rFonts w:hint="eastAsia" w:ascii="仿宋" w:hAnsi="仿宋" w:eastAsia="仿宋" w:cs="Arial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（七）最高限价：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  <w:lang w:val="en-US" w:eastAsia="zh-CN"/>
        </w:rPr>
        <w:t>34.7760万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  <w:lang w:val="en-US" w:eastAsia="zh-CN"/>
        </w:rPr>
        <w:t>元</w:t>
      </w:r>
    </w:p>
    <w:p>
      <w:pPr>
        <w:widowControl/>
        <w:shd w:val="clear" w:color="auto" w:fill="FFFFFF"/>
        <w:spacing w:before="227" w:line="360" w:lineRule="auto"/>
        <w:ind w:firstLine="420"/>
        <w:contextualSpacing/>
        <w:jc w:val="left"/>
        <w:rPr>
          <w:rFonts w:ascii="仿宋" w:hAnsi="仿宋" w:eastAsia="仿宋" w:cs="Arial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（八）评标办法：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  <w:lang w:eastAsia="zh-CN"/>
        </w:rPr>
        <w:t>最低评标价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法</w:t>
      </w:r>
    </w:p>
    <w:p>
      <w:pPr>
        <w:widowControl/>
        <w:shd w:val="clear" w:color="auto" w:fill="FFFFFF"/>
        <w:spacing w:before="227" w:line="360" w:lineRule="auto"/>
        <w:ind w:firstLine="420"/>
        <w:contextualSpacing/>
        <w:jc w:val="left"/>
        <w:rPr>
          <w:rFonts w:hint="eastAsia" w:ascii="仿宋" w:hAnsi="仿宋" w:eastAsia="仿宋" w:cs="Arial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（九）资格审查方式：资格后审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  <w:lang w:val="en-US" w:eastAsia="zh-CN"/>
        </w:rPr>
        <w:t xml:space="preserve">  </w:t>
      </w:r>
    </w:p>
    <w:p>
      <w:pPr>
        <w:widowControl/>
        <w:shd w:val="clear" w:color="auto" w:fill="FFFFFF"/>
        <w:spacing w:before="227" w:beforeLines="0" w:line="360" w:lineRule="auto"/>
        <w:ind w:firstLine="320" w:firstLineChars="100"/>
        <w:contextualSpacing/>
        <w:jc w:val="left"/>
        <w:rPr>
          <w:rFonts w:hint="eastAsia" w:ascii="黑体" w:hAnsi="黑体" w:eastAsia="黑体" w:cs="Arial"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Arial"/>
          <w:color w:val="000000"/>
          <w:kern w:val="0"/>
          <w:sz w:val="32"/>
          <w:szCs w:val="32"/>
          <w:lang w:eastAsia="zh-CN"/>
        </w:rPr>
        <w:t>二</w:t>
      </w:r>
      <w:r>
        <w:rPr>
          <w:rFonts w:ascii="黑体" w:hAnsi="黑体" w:eastAsia="黑体" w:cs="Arial"/>
          <w:color w:val="000000"/>
          <w:kern w:val="0"/>
          <w:sz w:val="32"/>
          <w:szCs w:val="32"/>
        </w:rPr>
        <w:t>、</w:t>
      </w:r>
      <w:r>
        <w:rPr>
          <w:rFonts w:hint="eastAsia" w:ascii="黑体" w:hAnsi="黑体" w:eastAsia="黑体" w:cs="Arial"/>
          <w:color w:val="000000"/>
          <w:kern w:val="0"/>
          <w:sz w:val="32"/>
          <w:szCs w:val="32"/>
        </w:rPr>
        <w:t>资格审查</w:t>
      </w:r>
      <w:r>
        <w:rPr>
          <w:rFonts w:ascii="黑体" w:hAnsi="黑体" w:eastAsia="黑体" w:cs="Arial"/>
          <w:color w:val="000000"/>
          <w:kern w:val="0"/>
          <w:sz w:val="32"/>
          <w:szCs w:val="32"/>
        </w:rPr>
        <w:t>情况</w:t>
      </w:r>
    </w:p>
    <w:tbl>
      <w:tblPr>
        <w:tblStyle w:val="15"/>
        <w:tblW w:w="91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0"/>
        <w:gridCol w:w="85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63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contextualSpacing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851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contextualSpacing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通过资格审查的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供应商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63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contextualSpacing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51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河南和盛浦环保科技有限公司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63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contextualSpacing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851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bCs/>
                <w:sz w:val="21"/>
                <w:szCs w:val="21"/>
                <w:lang w:val="en-US" w:eastAsia="zh-CN"/>
              </w:rPr>
              <w:t>河南宝能实业有限公司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63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contextualSpacing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851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bCs/>
                <w:sz w:val="21"/>
                <w:szCs w:val="21"/>
                <w:lang w:val="en-US" w:eastAsia="zh-CN"/>
              </w:rPr>
              <w:t>山东京都厨业有限公司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63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contextualSpacing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851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bCs/>
                <w:sz w:val="21"/>
                <w:szCs w:val="21"/>
                <w:lang w:val="en-US" w:eastAsia="zh-CN"/>
              </w:rPr>
              <w:t>山东东方永兴厨业有限公司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63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contextualSpacing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851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bCs/>
                <w:sz w:val="21"/>
                <w:szCs w:val="21"/>
                <w:lang w:val="en-US" w:eastAsia="zh-CN"/>
              </w:rPr>
              <w:t>郑州格利达厨房设备有限公司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63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contextualSpacing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851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bCs/>
                <w:sz w:val="21"/>
                <w:szCs w:val="21"/>
                <w:lang w:val="en-US" w:eastAsia="zh-CN"/>
              </w:rPr>
              <w:t>河南鑫达宾馆酒店设备有限公司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63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contextualSpacing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851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bCs/>
                <w:sz w:val="21"/>
                <w:szCs w:val="21"/>
                <w:lang w:val="en-US" w:eastAsia="zh-CN"/>
              </w:rPr>
              <w:t>河南浩萍实业有限公司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63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contextualSpacing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851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bCs/>
                <w:sz w:val="21"/>
                <w:szCs w:val="21"/>
                <w:lang w:val="en-US" w:eastAsia="zh-CN"/>
              </w:rPr>
              <w:t>河南万博厨具有限公司</w:t>
            </w:r>
          </w:p>
        </w:tc>
      </w:tr>
    </w:tbl>
    <w:p>
      <w:pPr>
        <w:spacing w:line="360" w:lineRule="auto"/>
        <w:ind w:firstLine="643" w:firstLineChars="200"/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color="auto" w:fill="FFFFFF"/>
        </w:rPr>
      </w:pPr>
      <w:r>
        <w:rPr>
          <w:rFonts w:hint="eastAsia" w:ascii="仿宋" w:hAnsi="仿宋" w:eastAsia="仿宋" w:cs="Arial"/>
          <w:b/>
          <w:bCs/>
          <w:color w:val="000000"/>
          <w:kern w:val="0"/>
          <w:sz w:val="32"/>
          <w:szCs w:val="32"/>
          <w:lang w:eastAsia="zh-CN"/>
        </w:rPr>
        <w:t>未通过资格性审查情况：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color="auto" w:fill="FFFFFF"/>
          <w:lang w:val="en-US" w:eastAsia="zh-CN"/>
        </w:rPr>
        <w:t>山东省博兴县亿美嘉厨业有限公司（原因：缴纳社会保障金证明材料不足三个月）、郑州深兆联厨房设备有限公司（原因：投标文件中“信用中国”网站“失信被执行人”、“重大税收税收违法案件当事人”查询对象中无法定代表人和授权委托人查询页）。</w:t>
      </w:r>
    </w:p>
    <w:p>
      <w:pPr>
        <w:widowControl/>
        <w:numPr>
          <w:ilvl w:val="0"/>
          <w:numId w:val="0"/>
        </w:numPr>
        <w:shd w:val="clear" w:color="auto" w:fill="FFFFFF"/>
        <w:spacing w:before="227" w:beforeLines="0" w:line="360" w:lineRule="auto"/>
        <w:ind w:firstLine="320" w:firstLineChars="100"/>
        <w:contextualSpacing/>
        <w:jc w:val="left"/>
        <w:rPr>
          <w:rFonts w:hint="eastAsia" w:ascii="黑体" w:hAnsi="黑体" w:eastAsia="黑体" w:cs="Arial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Arial"/>
          <w:color w:val="000000"/>
          <w:kern w:val="0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Arial"/>
          <w:color w:val="000000"/>
          <w:kern w:val="0"/>
          <w:sz w:val="32"/>
          <w:szCs w:val="32"/>
        </w:rPr>
        <w:t>评审情况</w:t>
      </w:r>
    </w:p>
    <w:p>
      <w:pPr>
        <w:pStyle w:val="2"/>
        <w:numPr>
          <w:ilvl w:val="0"/>
          <w:numId w:val="0"/>
        </w:numPr>
        <w:outlineLvl w:val="0"/>
        <w:rPr>
          <w:rFonts w:hint="eastAsia" w:ascii="仿宋" w:hAnsi="仿宋" w:eastAsia="仿宋" w:cs="Arial"/>
          <w:color w:val="000000"/>
          <w:kern w:val="0"/>
          <w:sz w:val="32"/>
          <w:szCs w:val="32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（一）符合性审查</w:t>
      </w:r>
    </w:p>
    <w:p>
      <w:pPr>
        <w:widowControl/>
        <w:shd w:val="clear" w:color="auto" w:fill="FFFFFF"/>
        <w:spacing w:before="227" w:beforeLines="0" w:line="360" w:lineRule="auto"/>
        <w:ind w:firstLine="420"/>
        <w:contextualSpacing/>
        <w:jc w:val="left"/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color="auto" w:fill="FFFFFF"/>
          <w:lang w:eastAsia="zh-CN"/>
        </w:rPr>
      </w:pPr>
      <w:r>
        <w:rPr>
          <w:rFonts w:hint="eastAsia" w:ascii="仿宋" w:hAnsi="仿宋" w:eastAsia="仿宋" w:cs="Arial"/>
          <w:b/>
          <w:bCs/>
          <w:color w:val="000000"/>
          <w:kern w:val="0"/>
          <w:sz w:val="32"/>
          <w:szCs w:val="32"/>
          <w:lang w:eastAsia="zh-CN"/>
        </w:rPr>
        <w:t>未通过符合性审查情况：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color="auto" w:fill="FFFFFF"/>
          <w:lang w:val="en-US" w:eastAsia="zh-CN"/>
        </w:rPr>
        <w:t>郑州格利达厨房设备有限公司（原因：投标分项报价明细表中7节能电磁大锅灶技术参数不满足招标文件要求）、河南浩萍实业有限公司（原因：投标分项报价明细表中7节能电磁大锅灶技术参数不满足招标文件要求）。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color="auto" w:fill="FFFFFF"/>
          <w:lang w:eastAsia="zh-CN"/>
        </w:rPr>
        <w:t>其他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color="auto" w:fill="FFFFFF"/>
          <w:lang w:val="en-US" w:eastAsia="zh-CN"/>
        </w:rPr>
        <w:t>6家供应商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color="auto" w:fill="FFFFFF"/>
          <w:lang w:eastAsia="zh-CN"/>
        </w:rPr>
        <w:t>均通过符合性审查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color="auto" w:fill="FFFFFF"/>
        </w:rPr>
        <w:t>。</w:t>
      </w:r>
    </w:p>
    <w:p>
      <w:pPr>
        <w:widowControl/>
        <w:shd w:val="clear" w:color="auto" w:fill="FFFFFF"/>
        <w:spacing w:before="227" w:beforeLines="0" w:line="360" w:lineRule="auto"/>
        <w:ind w:firstLine="420"/>
        <w:contextualSpacing/>
        <w:jc w:val="left"/>
      </w:pP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（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  <w:lang w:eastAsia="zh-CN"/>
        </w:rPr>
        <w:t>二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）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  <w:lang w:eastAsia="zh-CN"/>
        </w:rPr>
        <w:t>比较与评审结果</w:t>
      </w:r>
    </w:p>
    <w:tbl>
      <w:tblPr>
        <w:tblStyle w:val="15"/>
        <w:tblW w:w="9031" w:type="dxa"/>
        <w:jc w:val="center"/>
        <w:tblInd w:w="6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21"/>
        <w:gridCol w:w="1241"/>
        <w:gridCol w:w="1500"/>
        <w:gridCol w:w="1732"/>
        <w:gridCol w:w="11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34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contextualSpacing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供应商名称</w:t>
            </w:r>
          </w:p>
        </w:tc>
        <w:tc>
          <w:tcPr>
            <w:tcW w:w="1241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contextualSpacing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投标报价（元）</w:t>
            </w:r>
          </w:p>
        </w:tc>
        <w:tc>
          <w:tcPr>
            <w:tcW w:w="150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contextualSpacing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二次报价（元）</w:t>
            </w:r>
          </w:p>
        </w:tc>
        <w:tc>
          <w:tcPr>
            <w:tcW w:w="1732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contextualSpacing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中小企业优惠后报价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contextualSpacing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3421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bCs/>
                <w:sz w:val="21"/>
                <w:szCs w:val="21"/>
                <w:lang w:val="en-US" w:eastAsia="zh-CN"/>
              </w:rPr>
              <w:t>山东东方永兴厨业有限公司</w:t>
            </w:r>
          </w:p>
        </w:tc>
        <w:tc>
          <w:tcPr>
            <w:tcW w:w="1241" w:type="dxa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510"/>
              </w:tabs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347090</w:t>
            </w:r>
          </w:p>
        </w:tc>
        <w:tc>
          <w:tcPr>
            <w:tcW w:w="1500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510"/>
              </w:tabs>
              <w:spacing w:line="40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216000</w:t>
            </w:r>
          </w:p>
        </w:tc>
        <w:tc>
          <w:tcPr>
            <w:tcW w:w="1732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510"/>
              </w:tabs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203040（中小企业优惠后报价）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3421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bCs/>
                <w:sz w:val="21"/>
                <w:szCs w:val="21"/>
                <w:lang w:val="en-US" w:eastAsia="zh-CN"/>
              </w:rPr>
              <w:t>河南万博厨具有限公司</w:t>
            </w:r>
          </w:p>
        </w:tc>
        <w:tc>
          <w:tcPr>
            <w:tcW w:w="1241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339600</w:t>
            </w:r>
          </w:p>
        </w:tc>
        <w:tc>
          <w:tcPr>
            <w:tcW w:w="1500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220000</w:t>
            </w:r>
          </w:p>
        </w:tc>
        <w:tc>
          <w:tcPr>
            <w:tcW w:w="1732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510"/>
              </w:tabs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220000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3421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bCs/>
                <w:sz w:val="21"/>
                <w:szCs w:val="21"/>
                <w:lang w:val="en-US" w:eastAsia="zh-CN"/>
              </w:rPr>
              <w:t>河南宝能实业有限公司</w:t>
            </w:r>
          </w:p>
        </w:tc>
        <w:tc>
          <w:tcPr>
            <w:tcW w:w="1241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342000</w:t>
            </w:r>
          </w:p>
        </w:tc>
        <w:tc>
          <w:tcPr>
            <w:tcW w:w="1500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258800</w:t>
            </w:r>
          </w:p>
        </w:tc>
        <w:tc>
          <w:tcPr>
            <w:tcW w:w="1732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510"/>
              </w:tabs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243272（微型企业优惠后报价）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</w:t>
            </w:r>
          </w:p>
        </w:tc>
      </w:tr>
    </w:tbl>
    <w:p>
      <w:pPr>
        <w:widowControl/>
        <w:numPr>
          <w:ilvl w:val="0"/>
          <w:numId w:val="0"/>
        </w:numPr>
        <w:shd w:val="clear" w:color="auto" w:fill="FFFFFF"/>
        <w:spacing w:before="227" w:beforeLines="0" w:line="360" w:lineRule="auto"/>
        <w:ind w:firstLine="320" w:firstLineChars="100"/>
        <w:contextualSpacing/>
        <w:jc w:val="left"/>
        <w:rPr>
          <w:rFonts w:hint="eastAsia" w:ascii="黑体" w:hAnsi="黑体" w:eastAsia="黑体" w:cs="Arial"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Arial"/>
          <w:color w:val="000000"/>
          <w:kern w:val="0"/>
          <w:sz w:val="32"/>
          <w:szCs w:val="32"/>
          <w:lang w:eastAsia="zh-CN"/>
        </w:rPr>
        <w:t>五、谈判小组推荐成交候选人（或采购人授权确定成交供应商）情况</w:t>
      </w:r>
    </w:p>
    <w:p>
      <w:pPr>
        <w:pStyle w:val="2"/>
        <w:numPr>
          <w:ilvl w:val="0"/>
          <w:numId w:val="0"/>
        </w:numPr>
        <w:outlineLvl w:val="0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</w:p>
    <w:p>
      <w:pPr>
        <w:numPr>
          <w:ilvl w:val="0"/>
          <w:numId w:val="1"/>
        </w:numPr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成交候选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人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（成交供应商）名称：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山东东方永兴厨业有限公司</w:t>
      </w:r>
    </w:p>
    <w:p>
      <w:pPr>
        <w:numPr>
          <w:numId w:val="0"/>
        </w:numPr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（二）地址：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山东省博兴县王镇曹营经济开发区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 </w:t>
      </w:r>
    </w:p>
    <w:p>
      <w:pPr>
        <w:numPr>
          <w:numId w:val="0"/>
        </w:numPr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（三）联系方式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：0543-2859719</w:t>
      </w:r>
    </w:p>
    <w:p>
      <w:pPr>
        <w:numPr>
          <w:numId w:val="0"/>
        </w:numPr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（四）成交金额：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216000.00</w:t>
      </w:r>
    </w:p>
    <w:p>
      <w:pPr>
        <w:widowControl/>
        <w:shd w:val="clear" w:color="auto" w:fill="FFFFFF"/>
        <w:spacing w:before="227" w:beforeLines="0" w:line="360" w:lineRule="auto"/>
        <w:ind w:firstLine="640" w:firstLineChars="200"/>
        <w:contextualSpacing/>
        <w:jc w:val="left"/>
        <w:rPr>
          <w:rFonts w:hint="eastAsia" w:ascii="仿宋" w:hAnsi="仿宋" w:eastAsia="仿宋" w:cs="Arial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Arial"/>
          <w:color w:val="000000"/>
          <w:kern w:val="0"/>
          <w:sz w:val="32"/>
          <w:szCs w:val="32"/>
          <w:lang w:eastAsia="zh-CN"/>
        </w:rPr>
        <w:t>六</w:t>
      </w:r>
      <w:r>
        <w:rPr>
          <w:rFonts w:ascii="黑体" w:hAnsi="黑体" w:eastAsia="黑体" w:cs="Arial"/>
          <w:color w:val="000000"/>
          <w:kern w:val="0"/>
          <w:sz w:val="32"/>
          <w:szCs w:val="32"/>
        </w:rPr>
        <w:t>、评标委员会成员名单</w:t>
      </w:r>
      <w:r>
        <w:rPr>
          <w:rFonts w:ascii="仿宋" w:hAnsi="仿宋" w:eastAsia="仿宋" w:cs="Arial"/>
          <w:color w:val="000000"/>
          <w:kern w:val="0"/>
          <w:sz w:val="32"/>
          <w:szCs w:val="32"/>
        </w:rPr>
        <w:t>：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  <w:lang w:val="en-US" w:eastAsia="zh-CN"/>
        </w:rPr>
        <w:t>李晓松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  <w:lang w:eastAsia="zh-CN"/>
        </w:rPr>
        <w:t>（采购人代表）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  <w:lang w:val="en-US" w:eastAsia="zh-CN"/>
        </w:rPr>
        <w:t>房艳丽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  <w:lang w:val="en-US" w:eastAsia="zh-CN"/>
        </w:rPr>
        <w:t>（谈判小组组长）钦小瑞</w:t>
      </w:r>
    </w:p>
    <w:p>
      <w:pPr>
        <w:widowControl/>
        <w:shd w:val="clear" w:color="auto" w:fill="FFFFFF"/>
        <w:spacing w:before="227" w:beforeLines="0" w:line="360" w:lineRule="auto"/>
        <w:ind w:firstLine="629"/>
        <w:contextualSpacing/>
        <w:jc w:val="left"/>
        <w:rPr>
          <w:rFonts w:ascii="Arial" w:hAnsi="Arial" w:eastAsia="宋体" w:cs="Arial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Arial"/>
          <w:color w:val="000000"/>
          <w:kern w:val="0"/>
          <w:sz w:val="32"/>
          <w:szCs w:val="32"/>
          <w:lang w:eastAsia="zh-CN"/>
        </w:rPr>
        <w:t>七</w:t>
      </w:r>
      <w:r>
        <w:rPr>
          <w:rFonts w:ascii="黑体" w:hAnsi="黑体" w:eastAsia="黑体" w:cs="Arial"/>
          <w:color w:val="000000"/>
          <w:kern w:val="0"/>
          <w:sz w:val="32"/>
          <w:szCs w:val="32"/>
        </w:rPr>
        <w:t>、公告期限</w:t>
      </w:r>
    </w:p>
    <w:p>
      <w:pPr>
        <w:widowControl/>
        <w:shd w:val="clear" w:color="auto" w:fill="FFFFFF"/>
        <w:spacing w:before="227" w:beforeLines="0" w:line="360" w:lineRule="auto"/>
        <w:ind w:firstLine="629"/>
        <w:contextualSpacing/>
        <w:jc w:val="left"/>
        <w:rPr>
          <w:rFonts w:ascii="Arial" w:hAnsi="Arial" w:eastAsia="宋体" w:cs="Arial"/>
          <w:color w:val="000000"/>
          <w:kern w:val="0"/>
          <w:sz w:val="32"/>
          <w:szCs w:val="32"/>
        </w:rPr>
      </w:pPr>
      <w:r>
        <w:rPr>
          <w:rFonts w:ascii="仿宋" w:hAnsi="仿宋" w:eastAsia="仿宋" w:cs="Arial"/>
          <w:color w:val="000000"/>
          <w:kern w:val="0"/>
          <w:sz w:val="32"/>
          <w:szCs w:val="32"/>
        </w:rPr>
        <w:t>本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  <w:lang w:eastAsia="zh-CN"/>
        </w:rPr>
        <w:t>结果</w:t>
      </w:r>
      <w:r>
        <w:rPr>
          <w:rFonts w:ascii="仿宋" w:hAnsi="仿宋" w:eastAsia="仿宋" w:cs="Arial"/>
          <w:color w:val="000000"/>
          <w:kern w:val="0"/>
          <w:sz w:val="32"/>
          <w:szCs w:val="32"/>
        </w:rPr>
        <w:t>公告自发布之日起公告期限为1个工作日。</w:t>
      </w:r>
    </w:p>
    <w:p>
      <w:pPr>
        <w:widowControl/>
        <w:shd w:val="clear" w:color="auto" w:fill="FFFFFF"/>
        <w:spacing w:before="227" w:beforeLines="0" w:line="360" w:lineRule="auto"/>
        <w:ind w:firstLine="641"/>
        <w:contextualSpacing/>
        <w:jc w:val="left"/>
        <w:rPr>
          <w:rFonts w:ascii="Arial" w:hAnsi="Arial" w:eastAsia="宋体" w:cs="Arial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Arial"/>
          <w:color w:val="000000"/>
          <w:kern w:val="0"/>
          <w:sz w:val="32"/>
          <w:szCs w:val="32"/>
          <w:lang w:eastAsia="zh-CN"/>
        </w:rPr>
        <w:t>八</w:t>
      </w:r>
      <w:r>
        <w:rPr>
          <w:rFonts w:ascii="黑体" w:hAnsi="黑体" w:eastAsia="黑体" w:cs="Arial"/>
          <w:color w:val="000000"/>
          <w:kern w:val="0"/>
          <w:sz w:val="32"/>
          <w:szCs w:val="32"/>
        </w:rPr>
        <w:t>、</w:t>
      </w:r>
      <w:r>
        <w:rPr>
          <w:rFonts w:hint="eastAsia" w:ascii="黑体" w:hAnsi="黑体" w:eastAsia="黑体" w:cs="Arial"/>
          <w:color w:val="000000"/>
          <w:kern w:val="0"/>
          <w:sz w:val="32"/>
          <w:szCs w:val="32"/>
        </w:rPr>
        <w:t>联系方式</w:t>
      </w:r>
    </w:p>
    <w:p>
      <w:pPr>
        <w:widowControl/>
        <w:shd w:val="clear" w:color="auto" w:fill="FFFFFF"/>
        <w:spacing w:before="227" w:beforeLines="0" w:line="360" w:lineRule="auto"/>
        <w:ind w:firstLine="641"/>
        <w:contextualSpacing/>
        <w:jc w:val="left"/>
        <w:rPr>
          <w:rFonts w:hint="eastAsia" w:ascii="仿宋" w:hAnsi="仿宋" w:eastAsia="仿宋" w:cs="Arial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采购人：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  <w:lang w:val="en-US" w:eastAsia="zh-CN"/>
        </w:rPr>
        <w:t>长葛市国土资源局</w:t>
      </w:r>
    </w:p>
    <w:p>
      <w:pPr>
        <w:widowControl/>
        <w:shd w:val="clear" w:color="auto" w:fill="FFFFFF"/>
        <w:spacing w:before="227" w:beforeLines="0" w:line="360" w:lineRule="auto"/>
        <w:ind w:firstLine="641"/>
        <w:contextualSpacing/>
        <w:jc w:val="left"/>
        <w:rPr>
          <w:rFonts w:hint="eastAsia" w:ascii="仿宋" w:hAnsi="仿宋" w:eastAsia="仿宋" w:cs="Arial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地址：长葛市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  <w:lang w:eastAsia="zh-CN"/>
        </w:rPr>
        <w:t xml:space="preserve">葛天大道 </w:t>
      </w:r>
    </w:p>
    <w:p>
      <w:pPr>
        <w:widowControl/>
        <w:ind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Arial"/>
          <w:color w:val="000000"/>
          <w:kern w:val="0"/>
          <w:sz w:val="32"/>
          <w:szCs w:val="32"/>
          <w:lang w:eastAsia="zh-CN"/>
        </w:rPr>
        <w:t>联系人及联系电话：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  <w:lang w:val="en-US" w:eastAsia="zh-CN"/>
        </w:rPr>
        <w:t>桑女士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 w:bidi="ar"/>
        </w:rPr>
        <w:t>13462130666</w:t>
      </w:r>
    </w:p>
    <w:p>
      <w:pPr>
        <w:widowControl/>
        <w:shd w:val="clear" w:color="auto" w:fill="FFFFFF"/>
        <w:spacing w:before="227" w:beforeLines="0" w:line="360" w:lineRule="auto"/>
        <w:ind w:firstLine="641"/>
        <w:contextualSpacing/>
        <w:jc w:val="left"/>
        <w:rPr>
          <w:rFonts w:hint="eastAsia" w:ascii="仿宋" w:hAnsi="仿宋" w:eastAsia="仿宋" w:cs="Arial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Arial"/>
          <w:color w:val="000000"/>
          <w:kern w:val="0"/>
          <w:sz w:val="32"/>
          <w:szCs w:val="32"/>
          <w:lang w:eastAsia="zh-CN"/>
        </w:rPr>
        <w:t>集中采购机构：长葛市公共资源交易中心</w:t>
      </w:r>
    </w:p>
    <w:p>
      <w:pPr>
        <w:widowControl/>
        <w:shd w:val="clear" w:color="auto" w:fill="FFFFFF"/>
        <w:spacing w:before="227" w:beforeLines="0" w:line="360" w:lineRule="auto"/>
        <w:ind w:firstLine="641"/>
        <w:contextualSpacing/>
        <w:jc w:val="left"/>
        <w:rPr>
          <w:rFonts w:hint="eastAsia" w:ascii="仿宋" w:hAnsi="仿宋" w:eastAsia="仿宋" w:cs="Arial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地址：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  <w:lang w:eastAsia="zh-CN"/>
        </w:rPr>
        <w:t>长葛市葛天大道东段商务区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  <w:lang w:val="en-US" w:eastAsia="zh-CN"/>
        </w:rPr>
        <w:t>6号楼</w:t>
      </w:r>
    </w:p>
    <w:p>
      <w:pPr>
        <w:widowControl/>
        <w:shd w:val="clear" w:color="auto" w:fill="FFFFFF"/>
        <w:spacing w:before="227" w:beforeLines="0" w:line="360" w:lineRule="auto"/>
        <w:ind w:firstLine="641"/>
        <w:contextualSpacing/>
        <w:jc w:val="left"/>
        <w:rPr>
          <w:rFonts w:hint="eastAsia" w:ascii="仿宋" w:hAnsi="仿宋" w:eastAsia="仿宋" w:cs="Arial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联系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  <w:lang w:eastAsia="zh-CN"/>
        </w:rPr>
        <w:t>电话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：  0374-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  <w:lang w:val="en-US" w:eastAsia="zh-CN"/>
        </w:rPr>
        <w:t>6189667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  <w:lang w:val="en-US" w:eastAsia="zh-CN"/>
        </w:rPr>
        <w:t xml:space="preserve">        </w:t>
      </w:r>
    </w:p>
    <w:p>
      <w:pPr>
        <w:widowControl/>
        <w:shd w:val="clear" w:color="auto" w:fill="FFFFFF"/>
        <w:spacing w:before="227" w:line="360" w:lineRule="auto"/>
        <w:ind w:firstLine="3520" w:firstLineChars="1100"/>
        <w:contextualSpacing/>
        <w:jc w:val="left"/>
        <w:rPr>
          <w:rFonts w:hint="eastAsia" w:ascii="仿宋" w:hAnsi="仿宋" w:eastAsia="仿宋" w:cs="Arial"/>
          <w:color w:val="000000"/>
          <w:kern w:val="0"/>
          <w:sz w:val="32"/>
          <w:szCs w:val="32"/>
        </w:rPr>
      </w:pPr>
    </w:p>
    <w:p>
      <w:pPr>
        <w:pStyle w:val="3"/>
        <w:rPr>
          <w:rFonts w:ascii="仿宋" w:hAnsi="仿宋" w:eastAsia="仿宋" w:cs="Arial"/>
          <w:color w:val="000000"/>
          <w:kern w:val="0"/>
          <w:sz w:val="32"/>
          <w:szCs w:val="32"/>
        </w:rPr>
      </w:pPr>
    </w:p>
    <w:p>
      <w:pPr>
        <w:pStyle w:val="3"/>
        <w:rPr>
          <w:rFonts w:ascii="仿宋" w:hAnsi="仿宋" w:eastAsia="仿宋" w:cs="Arial"/>
          <w:color w:val="000000"/>
          <w:kern w:val="0"/>
          <w:sz w:val="32"/>
          <w:szCs w:val="32"/>
        </w:rPr>
      </w:pPr>
    </w:p>
    <w:p>
      <w:pPr>
        <w:pStyle w:val="3"/>
        <w:rPr>
          <w:rFonts w:ascii="仿宋" w:hAnsi="仿宋" w:eastAsia="仿宋" w:cs="Arial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before="227" w:line="360" w:lineRule="auto"/>
        <w:contextualSpacing/>
        <w:jc w:val="left"/>
      </w:pPr>
    </w:p>
    <w:sectPr>
      <w:pgSz w:w="11906" w:h="16838"/>
      <w:pgMar w:top="2098" w:right="1474" w:bottom="1928" w:left="158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C67D69B"/>
    <w:multiLevelType w:val="singleLevel"/>
    <w:tmpl w:val="AC67D69B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361ABD"/>
    <w:rsid w:val="0ABA32CA"/>
    <w:rsid w:val="19827C99"/>
    <w:rsid w:val="1EB974C7"/>
    <w:rsid w:val="254E0337"/>
    <w:rsid w:val="25BF6B5D"/>
    <w:rsid w:val="2F3E0AD2"/>
    <w:rsid w:val="3D374F22"/>
    <w:rsid w:val="4EA71193"/>
    <w:rsid w:val="56FE5181"/>
    <w:rsid w:val="676F1C8A"/>
    <w:rsid w:val="7024644F"/>
    <w:rsid w:val="72014DB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qFormat="1" w:uiPriority="99" w:semiHidden="0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ordWrap w:val="0"/>
      <w:spacing w:before="0" w:after="160" w:line="240" w:lineRule="auto"/>
      <w:ind w:left="0"/>
      <w:jc w:val="both"/>
    </w:pPr>
    <w:rPr>
      <w:sz w:val="28"/>
    </w:rPr>
  </w:style>
  <w:style w:type="character" w:default="1" w:styleId="10">
    <w:name w:val="Default Paragraph Font"/>
    <w:unhideWhenUsed/>
    <w:uiPriority w:val="1"/>
  </w:style>
  <w:style w:type="table" w:default="1" w:styleId="1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First Indent"/>
    <w:basedOn w:val="4"/>
    <w:unhideWhenUsed/>
    <w:qFormat/>
    <w:uiPriority w:val="99"/>
    <w:pPr>
      <w:ind w:firstLine="420" w:firstLineChars="100"/>
    </w:pPr>
  </w:style>
  <w:style w:type="paragraph" w:styleId="4">
    <w:name w:val="Body Text"/>
    <w:basedOn w:val="1"/>
    <w:unhideWhenUsed/>
    <w:qFormat/>
    <w:uiPriority w:val="99"/>
    <w:pPr>
      <w:adjustRightInd w:val="0"/>
      <w:spacing w:after="120" w:line="360" w:lineRule="atLeast"/>
      <w:jc w:val="left"/>
      <w:textAlignment w:val="baseline"/>
    </w:pPr>
    <w:rPr>
      <w:rFonts w:ascii="Times New Roman" w:hAnsi="Times New Roman" w:cs="Times New Roman"/>
      <w:kern w:val="0"/>
      <w:sz w:val="24"/>
      <w:szCs w:val="20"/>
    </w:rPr>
  </w:style>
  <w:style w:type="paragraph" w:styleId="5">
    <w:name w:val="Balloon Text"/>
    <w:basedOn w:val="1"/>
    <w:link w:val="20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Message Header"/>
    <w:basedOn w:val="1"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/>
      <w:sz w:val="24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FollowedHyperlink"/>
    <w:basedOn w:val="10"/>
    <w:unhideWhenUsed/>
    <w:qFormat/>
    <w:uiPriority w:val="99"/>
    <w:rPr>
      <w:color w:val="000000"/>
      <w:u w:val="none"/>
    </w:rPr>
  </w:style>
  <w:style w:type="character" w:styleId="13">
    <w:name w:val="Emphasis"/>
    <w:basedOn w:val="10"/>
    <w:qFormat/>
    <w:uiPriority w:val="20"/>
    <w:rPr>
      <w:i/>
      <w:iCs/>
    </w:rPr>
  </w:style>
  <w:style w:type="character" w:styleId="14">
    <w:name w:val="Hyperlink"/>
    <w:basedOn w:val="10"/>
    <w:unhideWhenUsed/>
    <w:qFormat/>
    <w:uiPriority w:val="99"/>
    <w:rPr>
      <w:color w:val="000000"/>
      <w:u w:val="none"/>
    </w:rPr>
  </w:style>
  <w:style w:type="paragraph" w:customStyle="1" w:styleId="16">
    <w:name w:val="List Paragraph"/>
    <w:basedOn w:val="1"/>
    <w:qFormat/>
    <w:uiPriority w:val="34"/>
    <w:pPr>
      <w:ind w:firstLine="420" w:firstLineChars="200"/>
    </w:pPr>
  </w:style>
  <w:style w:type="paragraph" w:customStyle="1" w:styleId="17">
    <w:name w:val="paragraphindent"/>
    <w:basedOn w:val="1"/>
    <w:qFormat/>
    <w:uiPriority w:val="0"/>
    <w:pPr>
      <w:widowControl/>
      <w:spacing w:before="75" w:after="75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8">
    <w:name w:val="页眉 Char Char"/>
    <w:basedOn w:val="10"/>
    <w:link w:val="7"/>
    <w:qFormat/>
    <w:uiPriority w:val="99"/>
    <w:rPr>
      <w:sz w:val="18"/>
      <w:szCs w:val="18"/>
    </w:rPr>
  </w:style>
  <w:style w:type="character" w:customStyle="1" w:styleId="19">
    <w:name w:val="页脚 Char Char"/>
    <w:basedOn w:val="10"/>
    <w:link w:val="6"/>
    <w:qFormat/>
    <w:uiPriority w:val="99"/>
    <w:rPr>
      <w:sz w:val="18"/>
      <w:szCs w:val="18"/>
    </w:rPr>
  </w:style>
  <w:style w:type="character" w:customStyle="1" w:styleId="20">
    <w:name w:val="批注框文本 Char Char"/>
    <w:basedOn w:val="10"/>
    <w:link w:val="5"/>
    <w:qFormat/>
    <w:uiPriority w:val="99"/>
    <w:rPr>
      <w:sz w:val="18"/>
      <w:szCs w:val="18"/>
    </w:rPr>
  </w:style>
  <w:style w:type="character" w:customStyle="1" w:styleId="21">
    <w:name w:val="green"/>
    <w:basedOn w:val="10"/>
    <w:qFormat/>
    <w:uiPriority w:val="0"/>
    <w:rPr>
      <w:color w:val="66AE00"/>
      <w:sz w:val="18"/>
      <w:szCs w:val="18"/>
    </w:rPr>
  </w:style>
  <w:style w:type="character" w:customStyle="1" w:styleId="22">
    <w:name w:val="green1"/>
    <w:basedOn w:val="10"/>
    <w:qFormat/>
    <w:uiPriority w:val="0"/>
    <w:rPr>
      <w:color w:val="66AE00"/>
      <w:sz w:val="18"/>
      <w:szCs w:val="18"/>
    </w:rPr>
  </w:style>
  <w:style w:type="character" w:customStyle="1" w:styleId="23">
    <w:name w:val="red"/>
    <w:basedOn w:val="10"/>
    <w:qFormat/>
    <w:uiPriority w:val="0"/>
    <w:rPr>
      <w:color w:val="FF0000"/>
      <w:sz w:val="18"/>
      <w:szCs w:val="18"/>
    </w:rPr>
  </w:style>
  <w:style w:type="character" w:customStyle="1" w:styleId="24">
    <w:name w:val="red1"/>
    <w:basedOn w:val="10"/>
    <w:qFormat/>
    <w:uiPriority w:val="0"/>
    <w:rPr>
      <w:color w:val="FF0000"/>
      <w:sz w:val="18"/>
      <w:szCs w:val="18"/>
    </w:rPr>
  </w:style>
  <w:style w:type="character" w:customStyle="1" w:styleId="25">
    <w:name w:val="red2"/>
    <w:basedOn w:val="10"/>
    <w:qFormat/>
    <w:uiPriority w:val="0"/>
    <w:rPr>
      <w:color w:val="FF0000"/>
    </w:rPr>
  </w:style>
  <w:style w:type="character" w:customStyle="1" w:styleId="26">
    <w:name w:val="hover25"/>
    <w:basedOn w:val="10"/>
    <w:qFormat/>
    <w:uiPriority w:val="0"/>
  </w:style>
  <w:style w:type="character" w:customStyle="1" w:styleId="27">
    <w:name w:val="gb-jt"/>
    <w:basedOn w:val="10"/>
    <w:qFormat/>
    <w:uiPriority w:val="0"/>
  </w:style>
  <w:style w:type="character" w:customStyle="1" w:styleId="28">
    <w:name w:val="blue"/>
    <w:basedOn w:val="10"/>
    <w:qFormat/>
    <w:uiPriority w:val="0"/>
    <w:rPr>
      <w:color w:val="0371C6"/>
      <w:sz w:val="21"/>
      <w:szCs w:val="21"/>
    </w:rPr>
  </w:style>
  <w:style w:type="character" w:customStyle="1" w:styleId="29">
    <w:name w:val="right"/>
    <w:basedOn w:val="10"/>
    <w:qFormat/>
    <w:uiPriority w:val="0"/>
    <w:rPr>
      <w:color w:val="999999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331</Words>
  <Characters>1893</Characters>
  <Lines>15</Lines>
  <Paragraphs>4</Paragraphs>
  <TotalTime>1</TotalTime>
  <ScaleCrop>false</ScaleCrop>
  <LinksUpToDate>false</LinksUpToDate>
  <CharactersWithSpaces>0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2017-10-12T03:31:00Z</dcterms:created>
  <dc:creator>许昌市公共资源交易中心:孟莉</dc:creator>
  <cp:lastModifiedBy>长葛市公共资源交易中心:周幸</cp:lastModifiedBy>
  <cp:lastPrinted>2017-11-21T03:09:00Z</cp:lastPrinted>
  <dcterms:modified xsi:type="dcterms:W3CDTF">2018-11-30T00:49:37Z</dcterms:modified>
  <dc:title>长招采公字[2017]xx号长葛市xxxxxxxx项目评审结果公告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