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ind w:firstLine="440" w:firstLineChars="100"/>
        <w:rPr>
          <w:rFonts w:ascii="微软简隶书" w:eastAsia="微软简隶书"/>
          <w:color w:val="000000"/>
          <w:u w:val="single"/>
        </w:rPr>
      </w:pPr>
      <w:r>
        <w:rPr>
          <w:rFonts w:hint="eastAsia" w:ascii="黑体" w:hAnsi="黑体" w:eastAsia="黑体" w:cs="黑体"/>
          <w:color w:val="000000"/>
          <w:sz w:val="44"/>
          <w:szCs w:val="44"/>
        </w:rPr>
        <w:t xml:space="preserve"> 禹州市民政局2018年冬春物资采购项目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禹州市民政局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：YZCG-G2018349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二〇一八年十一月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kern w:val="2"/>
          <w:sz w:val="44"/>
          <w:szCs w:val="44"/>
          <w:lang w:val="en-US" w:eastAsia="zh-CN" w:bidi="ar"/>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禹州市民政局2018年冬春物资采购项目</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招  标  公  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禹州市政府采购中心受禹州市民政局的委托，就“2018年冬春物资采购项目”进行公开招标，欢迎合格的投标人前来投标。</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firstLine="0"/>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采购人：禹州市民政局</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firstLine="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项目名称：禹州市民政局2018年冬春物资采购项目</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YZCG-G2018349</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4、项目需求：米面油等（详见招标文件）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5、采购预算：105</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6、采购限价：105万元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三、供应商资格要求：</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1、符合《政府采购法》第二十二条之规定，具有独立法人资格及相应的经营范围（以营业执照）；</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4、招标文件每份售价人民币200元，于递交投标文件时缴纳给采购代理机构，售后不退。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2018</w:t>
      </w:r>
      <w:r>
        <w:rPr>
          <w:rFonts w:hint="eastAsia" w:ascii="仿宋" w:hAnsi="仿宋" w:eastAsia="仿宋" w:cs="Arial"/>
          <w:color w:val="000000"/>
          <w:kern w:val="0"/>
          <w:sz w:val="32"/>
          <w:szCs w:val="32"/>
          <w:shd w:val="clear" w:color="auto" w:fill="FFFFFF"/>
          <w:lang w:val="en-US" w:eastAsia="zh-CN" w:bidi="ar"/>
        </w:rPr>
        <w:t>年12月20日9:00（北京时间），逾期送达或不符合规定的投标文件不予接受。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numPr>
          <w:ilvl w:val="0"/>
          <w:numId w:val="7"/>
        </w:numPr>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采购单位：</w:t>
      </w:r>
      <w:r>
        <w:rPr>
          <w:rFonts w:hint="eastAsia" w:ascii="仿宋" w:hAnsi="仿宋" w:eastAsia="仿宋" w:cs="仿宋_GB2312"/>
          <w:kern w:val="2"/>
          <w:sz w:val="32"/>
          <w:szCs w:val="32"/>
          <w:shd w:val="clear" w:color="auto" w:fill="FFFFFF"/>
          <w:lang w:val="en-US" w:eastAsia="zh-CN" w:bidi="ar"/>
        </w:rPr>
        <w:t>禹州市民政局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地址：禹州市钧台路</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联系人：魏女士   联系电话：13598993113</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int="eastAsia" w:ascii="仿宋" w:hAnsi="仿宋" w:eastAsia="仿宋" w:cs="仿宋_GB2312"/>
          <w:sz w:val="32"/>
          <w:szCs w:val="32"/>
        </w:rPr>
      </w:pPr>
      <w:r>
        <w:rPr>
          <w:rFonts w:hint="eastAsia" w:ascii="仿宋" w:hAnsi="仿宋" w:eastAsia="仿宋" w:cs="仿宋_GB2312"/>
          <w:kern w:val="2"/>
          <w:sz w:val="32"/>
          <w:szCs w:val="32"/>
          <w:lang w:val="en-US" w:eastAsia="zh-CN" w:bidi="ar"/>
        </w:rPr>
        <w:t>2018年11月30日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9"/>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tbl>
      <w:tblPr>
        <w:tblStyle w:val="26"/>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54"/>
        <w:gridCol w:w="4394"/>
        <w:gridCol w:w="101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both"/>
              <w:rPr>
                <w:rFonts w:ascii="仿宋" w:hAnsi="仿宋" w:eastAsia="仿宋" w:cs="仿宋"/>
                <w:sz w:val="24"/>
                <w:szCs w:val="24"/>
              </w:rPr>
            </w:pPr>
            <w:r>
              <w:rPr>
                <w:rFonts w:hint="eastAsia" w:ascii="仿宋" w:hAnsi="仿宋" w:eastAsia="仿宋" w:cs="仿宋"/>
                <w:sz w:val="24"/>
                <w:szCs w:val="24"/>
              </w:rPr>
              <w:t>序号</w:t>
            </w:r>
          </w:p>
        </w:tc>
        <w:tc>
          <w:tcPr>
            <w:tcW w:w="1254"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4394" w:type="dxa"/>
          </w:tcPr>
          <w:p>
            <w:pPr>
              <w:spacing w:line="360" w:lineRule="auto"/>
              <w:ind w:firstLine="321"/>
              <w:jc w:val="center"/>
              <w:rPr>
                <w:rFonts w:ascii="仿宋" w:hAnsi="仿宋" w:eastAsia="仿宋" w:cs="仿宋"/>
                <w:sz w:val="24"/>
                <w:szCs w:val="24"/>
              </w:rPr>
            </w:pPr>
            <w:r>
              <w:rPr>
                <w:rFonts w:hint="eastAsia" w:ascii="仿宋" w:hAnsi="仿宋" w:eastAsia="仿宋" w:cs="仿宋"/>
                <w:sz w:val="24"/>
                <w:szCs w:val="24"/>
                <w:lang w:eastAsia="zh-CN"/>
              </w:rPr>
              <w:t>规格及主要</w:t>
            </w:r>
            <w:r>
              <w:rPr>
                <w:rFonts w:hint="eastAsia" w:ascii="仿宋" w:hAnsi="仿宋" w:eastAsia="仿宋" w:cs="仿宋"/>
                <w:sz w:val="24"/>
                <w:szCs w:val="24"/>
              </w:rPr>
              <w:t>参数</w:t>
            </w:r>
          </w:p>
        </w:tc>
        <w:tc>
          <w:tcPr>
            <w:tcW w:w="1013" w:type="dxa"/>
          </w:tcPr>
          <w:p>
            <w:pPr>
              <w:spacing w:line="360" w:lineRule="auto"/>
              <w:ind w:firstLine="240" w:firstLineChars="100"/>
              <w:jc w:val="both"/>
              <w:rPr>
                <w:rFonts w:ascii="仿宋" w:hAnsi="仿宋" w:eastAsia="仿宋" w:cs="仿宋"/>
                <w:sz w:val="24"/>
                <w:szCs w:val="24"/>
              </w:rPr>
            </w:pPr>
            <w:r>
              <w:rPr>
                <w:rFonts w:hint="eastAsia" w:ascii="仿宋" w:hAnsi="仿宋" w:eastAsia="仿宋" w:cs="仿宋"/>
                <w:sz w:val="24"/>
                <w:szCs w:val="24"/>
              </w:rPr>
              <w:t>单位</w:t>
            </w:r>
          </w:p>
        </w:tc>
        <w:tc>
          <w:tcPr>
            <w:tcW w:w="1107" w:type="dxa"/>
          </w:tcPr>
          <w:p>
            <w:pPr>
              <w:spacing w:line="360" w:lineRule="auto"/>
              <w:ind w:firstLine="321"/>
              <w:jc w:val="center"/>
              <w:rPr>
                <w:rFonts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54" w:type="dxa"/>
          </w:tcPr>
          <w:p>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面粉</w:t>
            </w:r>
          </w:p>
        </w:tc>
        <w:tc>
          <w:tcPr>
            <w:tcW w:w="4394"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10公斤每袋 家庭使用粉</w:t>
            </w:r>
          </w:p>
        </w:tc>
        <w:tc>
          <w:tcPr>
            <w:tcW w:w="1013" w:type="dxa"/>
          </w:tcPr>
          <w:p>
            <w:pPr>
              <w:spacing w:line="360" w:lineRule="auto"/>
              <w:ind w:firstLine="32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袋</w:t>
            </w:r>
          </w:p>
        </w:tc>
        <w:tc>
          <w:tcPr>
            <w:tcW w:w="1107"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54" w:type="dxa"/>
          </w:tcPr>
          <w:p>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大米</w:t>
            </w:r>
          </w:p>
        </w:tc>
        <w:tc>
          <w:tcPr>
            <w:tcW w:w="4394"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10公斤每袋  二级及以上</w:t>
            </w:r>
          </w:p>
        </w:tc>
        <w:tc>
          <w:tcPr>
            <w:tcW w:w="1013" w:type="dxa"/>
          </w:tcPr>
          <w:p>
            <w:pPr>
              <w:spacing w:line="360" w:lineRule="auto"/>
              <w:ind w:firstLine="32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袋</w:t>
            </w:r>
          </w:p>
        </w:tc>
        <w:tc>
          <w:tcPr>
            <w:tcW w:w="1107"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54" w:type="dxa"/>
          </w:tcPr>
          <w:p>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食用油</w:t>
            </w:r>
          </w:p>
        </w:tc>
        <w:tc>
          <w:tcPr>
            <w:tcW w:w="4394"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5升每桶  一级大豆油</w:t>
            </w:r>
          </w:p>
        </w:tc>
        <w:tc>
          <w:tcPr>
            <w:tcW w:w="1013" w:type="dxa"/>
          </w:tcPr>
          <w:p>
            <w:pPr>
              <w:spacing w:line="360" w:lineRule="auto"/>
              <w:ind w:firstLine="32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桶</w:t>
            </w:r>
          </w:p>
        </w:tc>
        <w:tc>
          <w:tcPr>
            <w:tcW w:w="1107" w:type="dxa"/>
          </w:tcPr>
          <w:p>
            <w:pPr>
              <w:spacing w:line="360" w:lineRule="auto"/>
              <w:ind w:firstLine="3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7000</w:t>
            </w:r>
          </w:p>
        </w:tc>
      </w:tr>
    </w:tbl>
    <w:p>
      <w:pPr>
        <w:tabs>
          <w:tab w:val="left" w:pos="5963"/>
        </w:tabs>
        <w:spacing w:line="42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备注：</w:t>
      </w:r>
    </w:p>
    <w:p>
      <w:pPr>
        <w:numPr>
          <w:ilvl w:val="0"/>
          <w:numId w:val="10"/>
        </w:numPr>
        <w:tabs>
          <w:tab w:val="left" w:pos="5963"/>
        </w:tabs>
        <w:spacing w:line="42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投标商所投产品须符合国家相应标准，并具备“</w:t>
      </w:r>
      <w:r>
        <w:rPr>
          <w:rFonts w:hint="eastAsia" w:ascii="仿宋" w:hAnsi="仿宋" w:eastAsia="仿宋" w:cs="仿宋"/>
          <w:b/>
          <w:sz w:val="24"/>
          <w:szCs w:val="24"/>
          <w:lang w:val="en-US" w:eastAsia="zh-CN"/>
        </w:rPr>
        <w:t>QS</w:t>
      </w:r>
      <w:r>
        <w:rPr>
          <w:rFonts w:hint="eastAsia" w:ascii="仿宋" w:hAnsi="仿宋" w:eastAsia="仿宋" w:cs="仿宋"/>
          <w:b/>
          <w:sz w:val="24"/>
          <w:szCs w:val="24"/>
          <w:lang w:eastAsia="zh-CN"/>
        </w:rPr>
        <w:t>”食品质量安全</w:t>
      </w:r>
      <w:r>
        <w:rPr>
          <w:rFonts w:hint="eastAsia" w:ascii="仿宋" w:hAnsi="仿宋" w:eastAsia="仿宋" w:cs="仿宋"/>
          <w:b/>
          <w:sz w:val="24"/>
          <w:szCs w:val="24"/>
          <w:lang w:val="en-US" w:eastAsia="zh-CN"/>
        </w:rPr>
        <w:t>认证；</w:t>
      </w:r>
    </w:p>
    <w:p>
      <w:pPr>
        <w:numPr>
          <w:ilvl w:val="0"/>
          <w:numId w:val="10"/>
        </w:numPr>
        <w:tabs>
          <w:tab w:val="left" w:pos="5963"/>
        </w:tabs>
        <w:spacing w:line="42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拟中标单位须在公示期内向采购单位提交样品各一件，采购单位验收确认后即为供货标准，样品封样留存；</w:t>
      </w:r>
    </w:p>
    <w:p>
      <w:pPr>
        <w:tabs>
          <w:tab w:val="left" w:pos="5963"/>
        </w:tabs>
        <w:spacing w:line="42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3、中标单位须在2019年1月10日前供货到位，并按照采购单位要求送货至26个乡镇办。</w:t>
      </w:r>
      <w:bookmarkStart w:id="9" w:name="_GoBack"/>
      <w:bookmarkEnd w:id="9"/>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项目名称：禹州市民政局2018年冬春物资采购项目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项目编号：YZCG-G2018349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项目内容：米面油等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：禹州市民政局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地址：禹州市钧台路</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联系人：魏女士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联系电话：13598993113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1"/>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105</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2018</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20</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 ：</w:t>
            </w:r>
            <w:r>
              <w:rPr>
                <w:rFonts w:hint="eastAsia" w:cs="仿宋_GB2312" w:asciiTheme="minorEastAsia" w:hAnsiTheme="minorEastAsia"/>
                <w:color w:val="FF0000"/>
                <w:sz w:val="24"/>
                <w:szCs w:val="24"/>
                <w:lang w:val="en-US" w:eastAsia="zh-CN"/>
              </w:rPr>
              <w:t>2</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E8CA820"/>
    <w:multiLevelType w:val="singleLevel"/>
    <w:tmpl w:val="1E8CA820"/>
    <w:lvl w:ilvl="0" w:tentative="0">
      <w:start w:val="1"/>
      <w:numFmt w:val="decimal"/>
      <w:suff w:val="nothing"/>
      <w:lvlText w:val="%1、"/>
      <w:lvlJc w:val="left"/>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49"/>
      <w:suff w:val="nothing"/>
      <w:lvlText w:val="%1、"/>
      <w:lvlJc w:val="left"/>
    </w:lvl>
  </w:abstractNum>
  <w:abstractNum w:abstractNumId="11">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0"/>
  </w:num>
  <w:num w:numId="4">
    <w:abstractNumId w:val="8"/>
  </w:num>
  <w:num w:numId="5">
    <w:abstractNumId w:val="0"/>
  </w:num>
  <w:num w:numId="6">
    <w:abstractNumId w:val="5"/>
  </w:num>
  <w:num w:numId="7">
    <w:abstractNumId w:val="2"/>
  </w:num>
  <w:num w:numId="8">
    <w:abstractNumId w:val="9"/>
  </w:num>
  <w:num w:numId="9">
    <w:abstractNumId w:val="11"/>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46642E5"/>
    <w:rsid w:val="155F2638"/>
    <w:rsid w:val="16B47E06"/>
    <w:rsid w:val="17CE6051"/>
    <w:rsid w:val="189035FD"/>
    <w:rsid w:val="18D55096"/>
    <w:rsid w:val="18D87F10"/>
    <w:rsid w:val="197F5DF8"/>
    <w:rsid w:val="1A08396D"/>
    <w:rsid w:val="1C2D1536"/>
    <w:rsid w:val="1CCF2F1D"/>
    <w:rsid w:val="1EBA7A7F"/>
    <w:rsid w:val="1ECE4957"/>
    <w:rsid w:val="1F7208EE"/>
    <w:rsid w:val="1FE15514"/>
    <w:rsid w:val="2157706F"/>
    <w:rsid w:val="21DD4A96"/>
    <w:rsid w:val="22151D9F"/>
    <w:rsid w:val="24274B97"/>
    <w:rsid w:val="25D431AD"/>
    <w:rsid w:val="271F4B16"/>
    <w:rsid w:val="28AB7259"/>
    <w:rsid w:val="2A553543"/>
    <w:rsid w:val="2D976D16"/>
    <w:rsid w:val="2FDB6ADB"/>
    <w:rsid w:val="32EA70CF"/>
    <w:rsid w:val="33563CED"/>
    <w:rsid w:val="34B644B7"/>
    <w:rsid w:val="35641360"/>
    <w:rsid w:val="37844818"/>
    <w:rsid w:val="3AAA79CB"/>
    <w:rsid w:val="3ADD0A2E"/>
    <w:rsid w:val="3BB96859"/>
    <w:rsid w:val="3F263B0E"/>
    <w:rsid w:val="4214049D"/>
    <w:rsid w:val="429A1E61"/>
    <w:rsid w:val="42FB76AE"/>
    <w:rsid w:val="43AF27C5"/>
    <w:rsid w:val="49FD6D8B"/>
    <w:rsid w:val="4A0F5E0D"/>
    <w:rsid w:val="4AE22F4C"/>
    <w:rsid w:val="4B7069AF"/>
    <w:rsid w:val="4B84675A"/>
    <w:rsid w:val="4CE51226"/>
    <w:rsid w:val="4D0F0AAF"/>
    <w:rsid w:val="4EB72836"/>
    <w:rsid w:val="4ECE6EDA"/>
    <w:rsid w:val="50594C1B"/>
    <w:rsid w:val="51B331C2"/>
    <w:rsid w:val="53EF42DA"/>
    <w:rsid w:val="555A0AC0"/>
    <w:rsid w:val="5622683A"/>
    <w:rsid w:val="56234D4A"/>
    <w:rsid w:val="56B753BE"/>
    <w:rsid w:val="57481F16"/>
    <w:rsid w:val="58077CBD"/>
    <w:rsid w:val="58FD658D"/>
    <w:rsid w:val="590053AA"/>
    <w:rsid w:val="59AD4BF8"/>
    <w:rsid w:val="5BB63045"/>
    <w:rsid w:val="5CB15BE4"/>
    <w:rsid w:val="5E2C7B65"/>
    <w:rsid w:val="5E8D7C1D"/>
    <w:rsid w:val="5EB84AC3"/>
    <w:rsid w:val="5FD472DE"/>
    <w:rsid w:val="622A1A1E"/>
    <w:rsid w:val="62601735"/>
    <w:rsid w:val="633270C2"/>
    <w:rsid w:val="652001B4"/>
    <w:rsid w:val="65970713"/>
    <w:rsid w:val="65BD6DDA"/>
    <w:rsid w:val="65E1731F"/>
    <w:rsid w:val="67E96092"/>
    <w:rsid w:val="68427219"/>
    <w:rsid w:val="68741D48"/>
    <w:rsid w:val="6DFC3DF2"/>
    <w:rsid w:val="6E275931"/>
    <w:rsid w:val="6E9D2198"/>
    <w:rsid w:val="6EE066C7"/>
    <w:rsid w:val="6F272507"/>
    <w:rsid w:val="71E53350"/>
    <w:rsid w:val="71FE4216"/>
    <w:rsid w:val="721F1724"/>
    <w:rsid w:val="72F404E5"/>
    <w:rsid w:val="73D40348"/>
    <w:rsid w:val="75C55A4B"/>
    <w:rsid w:val="772A49DE"/>
    <w:rsid w:val="792A5DD1"/>
    <w:rsid w:val="7A77760E"/>
    <w:rsid w:val="7AFD3E45"/>
    <w:rsid w:val="7E964655"/>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103</TotalTime>
  <ScaleCrop>false</ScaleCrop>
  <LinksUpToDate>false</LinksUpToDate>
  <CharactersWithSpaces>38749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2018-11-30T04:12:01Z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