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b/>
          <w:sz w:val="28"/>
          <w:szCs w:val="28"/>
        </w:rPr>
      </w:pPr>
      <w:r>
        <w:rPr>
          <w:rFonts w:hint="eastAsia" w:ascii="仿宋" w:hAnsi="仿宋" w:eastAsia="仿宋"/>
          <w:b/>
          <w:sz w:val="28"/>
          <w:szCs w:val="28"/>
        </w:rPr>
        <w:t>禹州市农业林业局采购办公设备一批项目（二次）</w:t>
      </w:r>
      <w:bookmarkStart w:id="0" w:name="_GoBack"/>
      <w:bookmarkEnd w:id="0"/>
    </w:p>
    <w:p>
      <w:pPr>
        <w:jc w:val="center"/>
        <w:rPr>
          <w:rFonts w:ascii="仿宋" w:hAnsi="仿宋" w:eastAsia="仿宋"/>
          <w:b/>
          <w:sz w:val="28"/>
          <w:szCs w:val="28"/>
        </w:rPr>
      </w:pPr>
      <w:r>
        <w:rPr>
          <w:rFonts w:hint="eastAsia" w:ascii="仿宋" w:hAnsi="仿宋" w:eastAsia="仿宋"/>
          <w:b/>
          <w:sz w:val="28"/>
          <w:szCs w:val="28"/>
        </w:rPr>
        <w:t>分项报价表</w:t>
      </w:r>
    </w:p>
    <w:tbl>
      <w:tblPr>
        <w:tblStyle w:val="4"/>
        <w:tblW w:w="8330" w:type="dxa"/>
        <w:tblInd w:w="0" w:type="dxa"/>
        <w:tblLayout w:type="fixed"/>
        <w:tblCellMar>
          <w:top w:w="0" w:type="dxa"/>
          <w:left w:w="108" w:type="dxa"/>
          <w:bottom w:w="0" w:type="dxa"/>
          <w:right w:w="108" w:type="dxa"/>
        </w:tblCellMar>
      </w:tblPr>
      <w:tblGrid>
        <w:gridCol w:w="534"/>
        <w:gridCol w:w="1134"/>
        <w:gridCol w:w="2693"/>
        <w:gridCol w:w="567"/>
        <w:gridCol w:w="567"/>
        <w:gridCol w:w="850"/>
        <w:gridCol w:w="851"/>
        <w:gridCol w:w="1134"/>
      </w:tblGrid>
      <w:tr>
        <w:tblPrEx>
          <w:tblLayout w:type="fixed"/>
          <w:tblCellMar>
            <w:top w:w="0" w:type="dxa"/>
            <w:left w:w="108" w:type="dxa"/>
            <w:bottom w:w="0" w:type="dxa"/>
            <w:right w:w="108" w:type="dxa"/>
          </w:tblCellMar>
        </w:tblPrEx>
        <w:trPr>
          <w:trHeight w:val="272" w:hRule="atLeast"/>
        </w:trPr>
        <w:tc>
          <w:tcPr>
            <w:tcW w:w="534" w:type="dxa"/>
            <w:tcBorders>
              <w:top w:val="single" w:color="auto" w:sz="4" w:space="0"/>
              <w:left w:val="single" w:color="auto" w:sz="4" w:space="0"/>
              <w:bottom w:val="single" w:color="auto" w:sz="4" w:space="0"/>
              <w:right w:val="single" w:color="auto" w:sz="4" w:space="0"/>
            </w:tcBorders>
          </w:tcPr>
          <w:p>
            <w:pPr>
              <w:widowControl/>
              <w:autoSpaceDE w:val="0"/>
              <w:spacing w:line="300" w:lineRule="exact"/>
              <w:rPr>
                <w:rFonts w:ascii="楷体" w:hAnsi="楷体" w:eastAsia="楷体"/>
                <w:bCs/>
                <w:szCs w:val="21"/>
              </w:rPr>
            </w:pPr>
            <w:r>
              <w:rPr>
                <w:rFonts w:hint="eastAsia" w:ascii="楷体" w:hAnsi="楷体" w:eastAsia="楷体"/>
                <w:bCs/>
                <w:szCs w:val="21"/>
              </w:rPr>
              <w:t>序号</w:t>
            </w:r>
          </w:p>
        </w:tc>
        <w:tc>
          <w:tcPr>
            <w:tcW w:w="1134" w:type="dxa"/>
            <w:tcBorders>
              <w:top w:val="single" w:color="auto" w:sz="4" w:space="0"/>
              <w:left w:val="nil"/>
              <w:bottom w:val="single" w:color="auto" w:sz="4" w:space="0"/>
              <w:right w:val="single" w:color="auto" w:sz="4" w:space="0"/>
            </w:tcBorders>
          </w:tcPr>
          <w:p>
            <w:pPr>
              <w:widowControl/>
              <w:autoSpaceDE w:val="0"/>
              <w:spacing w:line="300" w:lineRule="exact"/>
              <w:rPr>
                <w:rFonts w:ascii="楷体" w:hAnsi="楷体" w:eastAsia="楷体"/>
                <w:bCs/>
                <w:szCs w:val="21"/>
              </w:rPr>
            </w:pPr>
            <w:r>
              <w:rPr>
                <w:rFonts w:hint="eastAsia" w:ascii="楷体" w:hAnsi="楷体" w:eastAsia="楷体"/>
                <w:bCs/>
                <w:szCs w:val="21"/>
              </w:rPr>
              <w:t>名称</w:t>
            </w:r>
          </w:p>
        </w:tc>
        <w:tc>
          <w:tcPr>
            <w:tcW w:w="2693" w:type="dxa"/>
            <w:tcBorders>
              <w:top w:val="single" w:color="auto" w:sz="4" w:space="0"/>
              <w:left w:val="nil"/>
              <w:bottom w:val="single" w:color="auto" w:sz="4" w:space="0"/>
              <w:right w:val="single" w:color="auto" w:sz="4" w:space="0"/>
            </w:tcBorders>
          </w:tcPr>
          <w:p>
            <w:pPr>
              <w:autoSpaceDE w:val="0"/>
              <w:autoSpaceDN w:val="0"/>
              <w:adjustRightInd w:val="0"/>
              <w:spacing w:line="280" w:lineRule="exact"/>
              <w:rPr>
                <w:rFonts w:ascii="楷体" w:hAnsi="楷体" w:eastAsia="楷体"/>
                <w:bCs/>
                <w:szCs w:val="21"/>
              </w:rPr>
            </w:pPr>
            <w:r>
              <w:rPr>
                <w:rFonts w:hint="eastAsia" w:ascii="楷体" w:hAnsi="楷体" w:eastAsia="楷体"/>
                <w:bCs/>
                <w:szCs w:val="21"/>
              </w:rPr>
              <w:t>品牌型号</w:t>
            </w:r>
          </w:p>
        </w:tc>
        <w:tc>
          <w:tcPr>
            <w:tcW w:w="567" w:type="dxa"/>
            <w:tcBorders>
              <w:top w:val="single" w:color="auto" w:sz="4" w:space="0"/>
              <w:left w:val="nil"/>
              <w:bottom w:val="single" w:color="auto" w:sz="4" w:space="0"/>
              <w:right w:val="single" w:color="auto" w:sz="4" w:space="0"/>
            </w:tcBorders>
          </w:tcPr>
          <w:p>
            <w:pPr>
              <w:widowControl/>
              <w:autoSpaceDE w:val="0"/>
              <w:spacing w:line="300" w:lineRule="exact"/>
              <w:rPr>
                <w:rFonts w:ascii="楷体" w:hAnsi="楷体" w:eastAsia="楷体"/>
                <w:bCs/>
                <w:szCs w:val="21"/>
              </w:rPr>
            </w:pPr>
            <w:r>
              <w:rPr>
                <w:rFonts w:hint="eastAsia" w:ascii="楷体" w:hAnsi="楷体" w:eastAsia="楷体"/>
                <w:bCs/>
                <w:szCs w:val="21"/>
              </w:rPr>
              <w:t>数量</w:t>
            </w:r>
          </w:p>
        </w:tc>
        <w:tc>
          <w:tcPr>
            <w:tcW w:w="567" w:type="dxa"/>
            <w:tcBorders>
              <w:top w:val="single" w:color="auto" w:sz="4" w:space="0"/>
              <w:left w:val="nil"/>
              <w:bottom w:val="single" w:color="auto" w:sz="4" w:space="0"/>
              <w:right w:val="single" w:color="auto" w:sz="4" w:space="0"/>
            </w:tcBorders>
          </w:tcPr>
          <w:p>
            <w:pPr>
              <w:widowControl/>
              <w:autoSpaceDE w:val="0"/>
              <w:spacing w:line="300" w:lineRule="exact"/>
              <w:rPr>
                <w:rFonts w:ascii="楷体" w:hAnsi="楷体" w:eastAsia="楷体"/>
                <w:bCs/>
                <w:szCs w:val="21"/>
              </w:rPr>
            </w:pPr>
            <w:r>
              <w:rPr>
                <w:rFonts w:hint="eastAsia" w:ascii="楷体" w:hAnsi="楷体" w:eastAsia="楷体"/>
                <w:bCs/>
                <w:szCs w:val="21"/>
              </w:rPr>
              <w:t>单位</w:t>
            </w:r>
          </w:p>
        </w:tc>
        <w:tc>
          <w:tcPr>
            <w:tcW w:w="850" w:type="dxa"/>
            <w:tcBorders>
              <w:top w:val="single" w:color="auto" w:sz="4" w:space="0"/>
              <w:left w:val="nil"/>
              <w:bottom w:val="single" w:color="auto" w:sz="4" w:space="0"/>
              <w:right w:val="single" w:color="auto" w:sz="4" w:space="0"/>
            </w:tcBorders>
          </w:tcPr>
          <w:p>
            <w:pPr>
              <w:widowControl/>
              <w:autoSpaceDE w:val="0"/>
              <w:spacing w:line="300" w:lineRule="exact"/>
              <w:rPr>
                <w:rFonts w:ascii="楷体" w:hAnsi="楷体" w:eastAsia="楷体"/>
                <w:bCs/>
                <w:szCs w:val="21"/>
              </w:rPr>
            </w:pPr>
            <w:r>
              <w:rPr>
                <w:rFonts w:hint="eastAsia" w:ascii="楷体" w:hAnsi="楷体" w:eastAsia="楷体"/>
                <w:bCs/>
                <w:szCs w:val="21"/>
              </w:rPr>
              <w:t>单价</w:t>
            </w:r>
          </w:p>
        </w:tc>
        <w:tc>
          <w:tcPr>
            <w:tcW w:w="851" w:type="dxa"/>
            <w:tcBorders>
              <w:top w:val="single" w:color="auto" w:sz="4" w:space="0"/>
              <w:left w:val="nil"/>
              <w:bottom w:val="single" w:color="auto" w:sz="4" w:space="0"/>
              <w:right w:val="single" w:color="auto" w:sz="4" w:space="0"/>
            </w:tcBorders>
          </w:tcPr>
          <w:p>
            <w:pPr>
              <w:widowControl/>
              <w:autoSpaceDE w:val="0"/>
              <w:spacing w:line="300" w:lineRule="exact"/>
              <w:rPr>
                <w:rFonts w:ascii="楷体" w:hAnsi="楷体" w:eastAsia="楷体"/>
                <w:bCs/>
                <w:szCs w:val="21"/>
              </w:rPr>
            </w:pPr>
            <w:r>
              <w:rPr>
                <w:rFonts w:hint="eastAsia" w:ascii="楷体" w:hAnsi="楷体" w:eastAsia="楷体"/>
                <w:bCs/>
                <w:szCs w:val="21"/>
              </w:rPr>
              <w:t>总价</w:t>
            </w:r>
          </w:p>
        </w:tc>
        <w:tc>
          <w:tcPr>
            <w:tcW w:w="1134" w:type="dxa"/>
            <w:tcBorders>
              <w:top w:val="single" w:color="auto" w:sz="4" w:space="0"/>
              <w:left w:val="nil"/>
              <w:bottom w:val="single" w:color="auto" w:sz="4" w:space="0"/>
              <w:right w:val="single" w:color="auto" w:sz="4" w:space="0"/>
            </w:tcBorders>
          </w:tcPr>
          <w:p>
            <w:pPr>
              <w:widowControl/>
              <w:autoSpaceDE w:val="0"/>
              <w:spacing w:line="300" w:lineRule="exact"/>
              <w:rPr>
                <w:rFonts w:ascii="楷体" w:hAnsi="楷体" w:eastAsia="楷体"/>
                <w:bCs/>
                <w:szCs w:val="21"/>
              </w:rPr>
            </w:pPr>
            <w:r>
              <w:rPr>
                <w:rFonts w:hint="eastAsia" w:ascii="楷体" w:hAnsi="楷体" w:eastAsia="楷体"/>
                <w:bCs/>
                <w:szCs w:val="21"/>
              </w:rPr>
              <w:t>厂家及产地</w:t>
            </w:r>
          </w:p>
        </w:tc>
      </w:tr>
      <w:tr>
        <w:tblPrEx>
          <w:tblLayout w:type="fixed"/>
          <w:tblCellMar>
            <w:top w:w="0" w:type="dxa"/>
            <w:left w:w="108" w:type="dxa"/>
            <w:bottom w:w="0" w:type="dxa"/>
            <w:right w:w="108" w:type="dxa"/>
          </w:tblCellMar>
        </w:tblPrEx>
        <w:trPr>
          <w:trHeight w:val="65" w:hRule="atLeast"/>
        </w:trPr>
        <w:tc>
          <w:tcPr>
            <w:tcW w:w="534" w:type="dxa"/>
            <w:tcBorders>
              <w:top w:val="single" w:color="auto" w:sz="4" w:space="0"/>
              <w:left w:val="single" w:color="auto" w:sz="4" w:space="0"/>
              <w:bottom w:val="single" w:color="auto" w:sz="4" w:space="0"/>
              <w:right w:val="single" w:color="auto" w:sz="4" w:space="0"/>
            </w:tcBorders>
          </w:tcPr>
          <w:p>
            <w:pPr>
              <w:widowControl/>
              <w:autoSpaceDE w:val="0"/>
              <w:spacing w:line="300" w:lineRule="exact"/>
              <w:rPr>
                <w:rFonts w:ascii="楷体" w:hAnsi="楷体" w:eastAsia="楷体"/>
                <w:bCs/>
                <w:szCs w:val="21"/>
              </w:rPr>
            </w:pPr>
            <w:r>
              <w:rPr>
                <w:rFonts w:hint="eastAsia" w:ascii="楷体" w:hAnsi="楷体" w:eastAsia="楷体"/>
                <w:bCs/>
                <w:szCs w:val="21"/>
              </w:rPr>
              <w:t>1</w:t>
            </w:r>
          </w:p>
        </w:tc>
        <w:tc>
          <w:tcPr>
            <w:tcW w:w="1134" w:type="dxa"/>
            <w:tcBorders>
              <w:top w:val="single" w:color="auto" w:sz="4" w:space="0"/>
              <w:left w:val="nil"/>
              <w:bottom w:val="single" w:color="auto" w:sz="4" w:space="0"/>
              <w:right w:val="single" w:color="auto" w:sz="4" w:space="0"/>
            </w:tcBorders>
          </w:tcPr>
          <w:p>
            <w:pPr>
              <w:widowControl/>
              <w:autoSpaceDE w:val="0"/>
              <w:spacing w:line="300" w:lineRule="exact"/>
              <w:rPr>
                <w:rFonts w:ascii="楷体" w:hAnsi="楷体" w:eastAsia="楷体"/>
                <w:bCs/>
                <w:szCs w:val="21"/>
              </w:rPr>
            </w:pPr>
            <w:r>
              <w:rPr>
                <w:rFonts w:hint="eastAsia" w:ascii="新宋体" w:hAnsi="新宋体" w:eastAsia="新宋体" w:cs="新宋体"/>
                <w:i w:val="0"/>
                <w:color w:val="000000"/>
                <w:kern w:val="0"/>
                <w:sz w:val="24"/>
                <w:szCs w:val="24"/>
                <w:u w:val="none"/>
                <w:lang w:val="en-US" w:eastAsia="zh-CN" w:bidi="ar"/>
              </w:rPr>
              <w:t>台式电脑</w:t>
            </w:r>
          </w:p>
        </w:tc>
        <w:tc>
          <w:tcPr>
            <w:tcW w:w="2693" w:type="dxa"/>
            <w:tcBorders>
              <w:top w:val="single" w:color="auto" w:sz="4" w:space="0"/>
              <w:left w:val="nil"/>
              <w:bottom w:val="single" w:color="auto" w:sz="4" w:space="0"/>
              <w:right w:val="single" w:color="auto" w:sz="4" w:space="0"/>
            </w:tcBorders>
            <w:shd w:val="clear" w:color="auto" w:fill="FFFFFF"/>
          </w:tcPr>
          <w:p>
            <w:pPr>
              <w:autoSpaceDE w:val="0"/>
              <w:autoSpaceDN w:val="0"/>
              <w:adjustRightInd w:val="0"/>
              <w:spacing w:line="480" w:lineRule="exact"/>
              <w:rPr>
                <w:rFonts w:hint="eastAsia"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惠普</w:t>
            </w:r>
          </w:p>
          <w:p>
            <w:pPr>
              <w:widowControl/>
              <w:autoSpaceDE w:val="0"/>
              <w:spacing w:line="300" w:lineRule="exact"/>
              <w:rPr>
                <w:rFonts w:ascii="楷体" w:hAnsi="楷体" w:eastAsia="楷体"/>
                <w:bCs/>
                <w:szCs w:val="21"/>
              </w:rPr>
            </w:pPr>
            <w:r>
              <w:rPr>
                <w:rFonts w:hint="eastAsia" w:ascii="新宋体" w:hAnsi="新宋体" w:eastAsia="新宋体" w:cs="新宋体"/>
                <w:sz w:val="24"/>
                <w:szCs w:val="24"/>
                <w:lang w:val="en-US" w:eastAsia="zh-CN"/>
              </w:rPr>
              <w:t>288 Pro G4 MT</w:t>
            </w:r>
          </w:p>
        </w:tc>
        <w:tc>
          <w:tcPr>
            <w:tcW w:w="567" w:type="dxa"/>
            <w:tcBorders>
              <w:top w:val="single" w:color="auto" w:sz="4" w:space="0"/>
              <w:left w:val="nil"/>
              <w:bottom w:val="single" w:color="auto" w:sz="4" w:space="0"/>
              <w:right w:val="single" w:color="auto" w:sz="4" w:space="0"/>
            </w:tcBorders>
          </w:tcPr>
          <w:p>
            <w:pPr>
              <w:widowControl/>
              <w:autoSpaceDE w:val="0"/>
              <w:spacing w:line="300" w:lineRule="exact"/>
              <w:rPr>
                <w:rFonts w:ascii="楷体" w:hAnsi="楷体" w:eastAsia="楷体"/>
                <w:bCs/>
                <w:szCs w:val="21"/>
              </w:rPr>
            </w:pPr>
            <w:r>
              <w:rPr>
                <w:rFonts w:hint="eastAsia" w:ascii="新宋体" w:hAnsi="新宋体" w:eastAsia="新宋体" w:cs="新宋体"/>
                <w:sz w:val="24"/>
                <w:szCs w:val="24"/>
                <w:lang w:val="en-US" w:eastAsia="zh-CN"/>
              </w:rPr>
              <w:t>32</w:t>
            </w:r>
          </w:p>
        </w:tc>
        <w:tc>
          <w:tcPr>
            <w:tcW w:w="567" w:type="dxa"/>
            <w:tcBorders>
              <w:top w:val="single" w:color="auto" w:sz="4" w:space="0"/>
              <w:left w:val="nil"/>
              <w:bottom w:val="single" w:color="auto" w:sz="4" w:space="0"/>
              <w:right w:val="single" w:color="auto" w:sz="4" w:space="0"/>
            </w:tcBorders>
          </w:tcPr>
          <w:p>
            <w:pPr>
              <w:widowControl/>
              <w:autoSpaceDE w:val="0"/>
              <w:spacing w:line="300" w:lineRule="exact"/>
              <w:rPr>
                <w:rFonts w:hint="eastAsia" w:ascii="楷体" w:hAnsi="楷体" w:eastAsia="楷体"/>
                <w:bCs/>
                <w:szCs w:val="21"/>
                <w:lang w:val="en-US" w:eastAsia="zh-CN"/>
              </w:rPr>
            </w:pPr>
            <w:r>
              <w:rPr>
                <w:rFonts w:hint="eastAsia" w:ascii="楷体" w:hAnsi="楷体" w:eastAsia="楷体"/>
                <w:bCs/>
                <w:szCs w:val="21"/>
                <w:lang w:val="en-US" w:eastAsia="zh-CN"/>
              </w:rPr>
              <w:t>台</w:t>
            </w:r>
          </w:p>
        </w:tc>
        <w:tc>
          <w:tcPr>
            <w:tcW w:w="850" w:type="dxa"/>
            <w:tcBorders>
              <w:top w:val="single" w:color="auto" w:sz="4" w:space="0"/>
              <w:left w:val="nil"/>
              <w:bottom w:val="single" w:color="auto" w:sz="4" w:space="0"/>
              <w:right w:val="single" w:color="auto" w:sz="4" w:space="0"/>
            </w:tcBorders>
          </w:tcPr>
          <w:p>
            <w:pPr>
              <w:widowControl/>
              <w:autoSpaceDE w:val="0"/>
              <w:spacing w:line="300" w:lineRule="exact"/>
              <w:rPr>
                <w:rFonts w:ascii="楷体" w:hAnsi="楷体" w:eastAsia="楷体"/>
                <w:bCs/>
                <w:szCs w:val="21"/>
              </w:rPr>
            </w:pPr>
            <w:r>
              <w:rPr>
                <w:rFonts w:hint="eastAsia" w:ascii="新宋体" w:hAnsi="新宋体" w:eastAsia="新宋体" w:cs="新宋体"/>
                <w:sz w:val="24"/>
                <w:szCs w:val="24"/>
                <w:lang w:val="en-US" w:eastAsia="zh-CN"/>
              </w:rPr>
              <w:t>4510</w:t>
            </w:r>
          </w:p>
        </w:tc>
        <w:tc>
          <w:tcPr>
            <w:tcW w:w="851" w:type="dxa"/>
            <w:tcBorders>
              <w:top w:val="single" w:color="auto" w:sz="4" w:space="0"/>
              <w:left w:val="nil"/>
              <w:bottom w:val="single" w:color="auto" w:sz="4" w:space="0"/>
              <w:right w:val="single" w:color="auto" w:sz="4" w:space="0"/>
            </w:tcBorders>
          </w:tcPr>
          <w:p>
            <w:pPr>
              <w:widowControl/>
              <w:autoSpaceDE w:val="0"/>
              <w:spacing w:line="300" w:lineRule="exact"/>
              <w:rPr>
                <w:rFonts w:ascii="楷体" w:hAnsi="楷体" w:eastAsia="楷体"/>
                <w:bCs/>
                <w:szCs w:val="21"/>
              </w:rPr>
            </w:pPr>
            <w:r>
              <w:rPr>
                <w:rFonts w:hint="eastAsia" w:ascii="新宋体" w:hAnsi="新宋体" w:eastAsia="新宋体" w:cs="新宋体"/>
                <w:sz w:val="24"/>
                <w:szCs w:val="24"/>
                <w:lang w:val="en-US" w:eastAsia="zh-CN"/>
              </w:rPr>
              <w:t>144320</w:t>
            </w:r>
          </w:p>
        </w:tc>
        <w:tc>
          <w:tcPr>
            <w:tcW w:w="1134" w:type="dxa"/>
            <w:tcBorders>
              <w:top w:val="single" w:color="auto" w:sz="4" w:space="0"/>
              <w:left w:val="nil"/>
              <w:bottom w:val="single" w:color="auto" w:sz="4" w:space="0"/>
              <w:right w:val="single" w:color="auto" w:sz="4" w:space="0"/>
            </w:tcBorders>
          </w:tcPr>
          <w:p>
            <w:pPr>
              <w:pStyle w:val="5"/>
              <w:rPr>
                <w:rFonts w:ascii="楷体" w:hAnsi="楷体" w:eastAsia="楷体"/>
                <w:sz w:val="21"/>
                <w:szCs w:val="21"/>
              </w:rPr>
            </w:pPr>
          </w:p>
        </w:tc>
      </w:tr>
      <w:tr>
        <w:tblPrEx>
          <w:tblLayout w:type="fixed"/>
          <w:tblCellMar>
            <w:top w:w="0" w:type="dxa"/>
            <w:left w:w="108" w:type="dxa"/>
            <w:bottom w:w="0" w:type="dxa"/>
            <w:right w:w="108" w:type="dxa"/>
          </w:tblCellMar>
        </w:tblPrEx>
        <w:trPr>
          <w:trHeight w:val="291" w:hRule="atLeast"/>
        </w:trPr>
        <w:tc>
          <w:tcPr>
            <w:tcW w:w="534" w:type="dxa"/>
            <w:tcBorders>
              <w:top w:val="single" w:color="auto" w:sz="4" w:space="0"/>
              <w:left w:val="single" w:color="auto" w:sz="4" w:space="0"/>
              <w:bottom w:val="single" w:color="auto" w:sz="4" w:space="0"/>
              <w:right w:val="single" w:color="auto" w:sz="4" w:space="0"/>
            </w:tcBorders>
          </w:tcPr>
          <w:p>
            <w:pPr>
              <w:widowControl/>
              <w:autoSpaceDE w:val="0"/>
              <w:spacing w:line="300" w:lineRule="exact"/>
              <w:rPr>
                <w:rFonts w:ascii="楷体" w:hAnsi="楷体" w:eastAsia="楷体"/>
                <w:bCs/>
                <w:szCs w:val="21"/>
              </w:rPr>
            </w:pPr>
            <w:r>
              <w:rPr>
                <w:rFonts w:hint="eastAsia" w:ascii="楷体" w:hAnsi="楷体" w:eastAsia="楷体"/>
                <w:bCs/>
                <w:szCs w:val="21"/>
              </w:rPr>
              <w:t>2</w:t>
            </w:r>
          </w:p>
        </w:tc>
        <w:tc>
          <w:tcPr>
            <w:tcW w:w="1134" w:type="dxa"/>
            <w:tcBorders>
              <w:top w:val="single" w:color="auto" w:sz="4" w:space="0"/>
              <w:left w:val="nil"/>
              <w:bottom w:val="single" w:color="auto" w:sz="4" w:space="0"/>
              <w:right w:val="single" w:color="auto" w:sz="4" w:space="0"/>
            </w:tcBorders>
          </w:tcPr>
          <w:p>
            <w:pPr>
              <w:widowControl/>
              <w:autoSpaceDE w:val="0"/>
              <w:spacing w:line="300" w:lineRule="exact"/>
              <w:rPr>
                <w:rFonts w:ascii="楷体" w:hAnsi="楷体" w:eastAsia="楷体"/>
                <w:bCs/>
                <w:szCs w:val="21"/>
              </w:rPr>
            </w:pPr>
            <w:r>
              <w:rPr>
                <w:rFonts w:hint="eastAsia" w:ascii="新宋体" w:hAnsi="新宋体" w:eastAsia="新宋体" w:cs="新宋体"/>
                <w:i w:val="0"/>
                <w:color w:val="000000"/>
                <w:kern w:val="0"/>
                <w:sz w:val="24"/>
                <w:szCs w:val="24"/>
                <w:u w:val="none"/>
                <w:lang w:val="en-US" w:eastAsia="zh-CN" w:bidi="ar"/>
              </w:rPr>
              <w:t>复印机</w:t>
            </w:r>
          </w:p>
        </w:tc>
        <w:tc>
          <w:tcPr>
            <w:tcW w:w="2693" w:type="dxa"/>
            <w:tcBorders>
              <w:top w:val="single" w:color="auto" w:sz="4" w:space="0"/>
              <w:left w:val="nil"/>
              <w:bottom w:val="single" w:color="auto" w:sz="4" w:space="0"/>
              <w:right w:val="single" w:color="auto" w:sz="4" w:space="0"/>
            </w:tcBorders>
          </w:tcPr>
          <w:p>
            <w:pPr>
              <w:autoSpaceDE w:val="0"/>
              <w:autoSpaceDN w:val="0"/>
              <w:adjustRightInd w:val="0"/>
              <w:spacing w:line="480" w:lineRule="exact"/>
              <w:rPr>
                <w:rFonts w:hint="eastAsia" w:ascii="新宋体" w:hAnsi="新宋体" w:eastAsia="新宋体" w:cs="新宋体"/>
                <w:sz w:val="24"/>
                <w:szCs w:val="24"/>
                <w:lang w:eastAsia="zh-CN"/>
              </w:rPr>
            </w:pPr>
            <w:r>
              <w:rPr>
                <w:rFonts w:hint="eastAsia" w:ascii="新宋体" w:hAnsi="新宋体" w:eastAsia="新宋体" w:cs="新宋体"/>
                <w:sz w:val="24"/>
                <w:szCs w:val="24"/>
                <w:lang w:eastAsia="zh-CN"/>
              </w:rPr>
              <w:t>新都</w:t>
            </w:r>
          </w:p>
          <w:p>
            <w:pPr>
              <w:widowControl/>
              <w:autoSpaceDE w:val="0"/>
              <w:spacing w:line="300" w:lineRule="exact"/>
              <w:rPr>
                <w:rFonts w:ascii="楷体" w:hAnsi="楷体" w:eastAsia="楷体"/>
                <w:bCs/>
                <w:szCs w:val="21"/>
              </w:rPr>
            </w:pPr>
            <w:r>
              <w:rPr>
                <w:rFonts w:hint="eastAsia" w:ascii="新宋体" w:hAnsi="新宋体" w:eastAsia="新宋体" w:cs="新宋体"/>
                <w:sz w:val="24"/>
                <w:szCs w:val="24"/>
                <w:lang w:val="en-US" w:eastAsia="zh-CN"/>
              </w:rPr>
              <w:t>N415</w:t>
            </w:r>
          </w:p>
        </w:tc>
        <w:tc>
          <w:tcPr>
            <w:tcW w:w="567" w:type="dxa"/>
            <w:tcBorders>
              <w:top w:val="single" w:color="auto" w:sz="4" w:space="0"/>
              <w:left w:val="nil"/>
              <w:bottom w:val="single" w:color="auto" w:sz="4" w:space="0"/>
              <w:right w:val="single" w:color="auto" w:sz="4" w:space="0"/>
            </w:tcBorders>
          </w:tcPr>
          <w:p>
            <w:pPr>
              <w:widowControl/>
              <w:autoSpaceDE w:val="0"/>
              <w:spacing w:line="300" w:lineRule="exact"/>
              <w:rPr>
                <w:rFonts w:hint="eastAsia" w:ascii="楷体" w:hAnsi="楷体" w:eastAsia="楷体"/>
                <w:bCs/>
                <w:szCs w:val="21"/>
                <w:lang w:val="en-US" w:eastAsia="zh-CN"/>
              </w:rPr>
            </w:pPr>
            <w:r>
              <w:rPr>
                <w:rFonts w:hint="eastAsia" w:ascii="楷体" w:hAnsi="楷体" w:eastAsia="楷体"/>
                <w:bCs/>
                <w:szCs w:val="21"/>
                <w:lang w:val="en-US" w:eastAsia="zh-CN"/>
              </w:rPr>
              <w:t>1</w:t>
            </w:r>
          </w:p>
        </w:tc>
        <w:tc>
          <w:tcPr>
            <w:tcW w:w="567" w:type="dxa"/>
            <w:tcBorders>
              <w:top w:val="single" w:color="auto" w:sz="4" w:space="0"/>
              <w:left w:val="nil"/>
              <w:bottom w:val="single" w:color="auto" w:sz="4" w:space="0"/>
              <w:right w:val="single" w:color="auto" w:sz="4" w:space="0"/>
            </w:tcBorders>
          </w:tcPr>
          <w:p>
            <w:pPr>
              <w:widowControl/>
              <w:autoSpaceDE w:val="0"/>
              <w:spacing w:line="300" w:lineRule="exact"/>
              <w:rPr>
                <w:rFonts w:ascii="楷体" w:hAnsi="楷体" w:eastAsia="楷体"/>
                <w:bCs/>
                <w:szCs w:val="21"/>
              </w:rPr>
            </w:pPr>
            <w:r>
              <w:rPr>
                <w:rFonts w:hint="eastAsia" w:ascii="新宋体" w:hAnsi="新宋体" w:eastAsia="新宋体" w:cs="新宋体"/>
                <w:sz w:val="24"/>
                <w:szCs w:val="24"/>
                <w:lang w:eastAsia="zh-CN"/>
              </w:rPr>
              <w:t>台</w:t>
            </w:r>
          </w:p>
        </w:tc>
        <w:tc>
          <w:tcPr>
            <w:tcW w:w="850" w:type="dxa"/>
            <w:tcBorders>
              <w:top w:val="single" w:color="auto" w:sz="4" w:space="0"/>
              <w:left w:val="nil"/>
              <w:bottom w:val="single" w:color="auto" w:sz="4" w:space="0"/>
              <w:right w:val="single" w:color="auto" w:sz="4" w:space="0"/>
            </w:tcBorders>
          </w:tcPr>
          <w:p>
            <w:pPr>
              <w:widowControl/>
              <w:autoSpaceDE w:val="0"/>
              <w:spacing w:line="300" w:lineRule="exact"/>
              <w:rPr>
                <w:rFonts w:hint="eastAsia" w:ascii="楷体" w:hAnsi="楷体" w:eastAsia="楷体"/>
                <w:bCs/>
                <w:szCs w:val="21"/>
                <w:lang w:val="en-US" w:eastAsia="zh-CN"/>
              </w:rPr>
            </w:pPr>
            <w:r>
              <w:rPr>
                <w:rFonts w:hint="eastAsia" w:ascii="楷体" w:hAnsi="楷体" w:eastAsia="楷体"/>
                <w:bCs/>
                <w:szCs w:val="21"/>
                <w:lang w:val="en-US" w:eastAsia="zh-CN"/>
              </w:rPr>
              <w:t>12000</w:t>
            </w:r>
          </w:p>
        </w:tc>
        <w:tc>
          <w:tcPr>
            <w:tcW w:w="851" w:type="dxa"/>
            <w:tcBorders>
              <w:top w:val="single" w:color="auto" w:sz="4" w:space="0"/>
              <w:left w:val="nil"/>
              <w:bottom w:val="single" w:color="auto" w:sz="4" w:space="0"/>
              <w:right w:val="single" w:color="auto" w:sz="4" w:space="0"/>
            </w:tcBorders>
          </w:tcPr>
          <w:p>
            <w:pPr>
              <w:widowControl/>
              <w:autoSpaceDE w:val="0"/>
              <w:spacing w:line="300" w:lineRule="exact"/>
              <w:rPr>
                <w:rFonts w:hint="eastAsia" w:ascii="楷体" w:hAnsi="楷体" w:eastAsia="楷体"/>
                <w:bCs/>
                <w:szCs w:val="21"/>
                <w:lang w:val="en-US" w:eastAsia="zh-CN"/>
              </w:rPr>
            </w:pPr>
            <w:r>
              <w:rPr>
                <w:rFonts w:hint="eastAsia" w:ascii="楷体" w:hAnsi="楷体" w:eastAsia="楷体"/>
                <w:bCs/>
                <w:szCs w:val="21"/>
                <w:lang w:val="en-US" w:eastAsia="zh-CN"/>
              </w:rPr>
              <w:t>12000</w:t>
            </w:r>
          </w:p>
        </w:tc>
        <w:tc>
          <w:tcPr>
            <w:tcW w:w="1134" w:type="dxa"/>
            <w:tcBorders>
              <w:top w:val="single" w:color="auto" w:sz="4" w:space="0"/>
              <w:left w:val="nil"/>
              <w:bottom w:val="single" w:color="auto" w:sz="4" w:space="0"/>
              <w:right w:val="single" w:color="auto" w:sz="4" w:space="0"/>
            </w:tcBorders>
          </w:tcPr>
          <w:p>
            <w:pPr>
              <w:pStyle w:val="5"/>
              <w:rPr>
                <w:rFonts w:ascii="楷体" w:hAnsi="楷体" w:eastAsia="楷体"/>
                <w:sz w:val="21"/>
                <w:szCs w:val="21"/>
              </w:rPr>
            </w:pPr>
          </w:p>
        </w:tc>
      </w:tr>
      <w:tr>
        <w:tblPrEx>
          <w:tblLayout w:type="fixed"/>
          <w:tblCellMar>
            <w:top w:w="0" w:type="dxa"/>
            <w:left w:w="108" w:type="dxa"/>
            <w:bottom w:w="0" w:type="dxa"/>
            <w:right w:w="108" w:type="dxa"/>
          </w:tblCellMar>
        </w:tblPrEx>
        <w:trPr>
          <w:trHeight w:val="291" w:hRule="atLeast"/>
        </w:trPr>
        <w:tc>
          <w:tcPr>
            <w:tcW w:w="534" w:type="dxa"/>
            <w:tcBorders>
              <w:top w:val="single" w:color="auto" w:sz="4" w:space="0"/>
              <w:left w:val="single" w:color="auto" w:sz="4" w:space="0"/>
              <w:bottom w:val="single" w:color="auto" w:sz="4" w:space="0"/>
              <w:right w:val="single" w:color="auto" w:sz="4" w:space="0"/>
            </w:tcBorders>
          </w:tcPr>
          <w:p>
            <w:pPr>
              <w:widowControl/>
              <w:autoSpaceDE w:val="0"/>
              <w:spacing w:line="300" w:lineRule="exact"/>
              <w:rPr>
                <w:rFonts w:ascii="楷体" w:hAnsi="楷体" w:eastAsia="楷体"/>
                <w:bCs/>
                <w:szCs w:val="21"/>
              </w:rPr>
            </w:pPr>
            <w:r>
              <w:rPr>
                <w:rFonts w:hint="eastAsia" w:ascii="楷体" w:hAnsi="楷体" w:eastAsia="楷体"/>
                <w:bCs/>
                <w:szCs w:val="21"/>
              </w:rPr>
              <w:t>3</w:t>
            </w:r>
          </w:p>
        </w:tc>
        <w:tc>
          <w:tcPr>
            <w:tcW w:w="1134" w:type="dxa"/>
            <w:tcBorders>
              <w:top w:val="single" w:color="auto" w:sz="4" w:space="0"/>
              <w:left w:val="nil"/>
              <w:bottom w:val="single" w:color="auto" w:sz="4" w:space="0"/>
              <w:right w:val="single" w:color="auto" w:sz="4" w:space="0"/>
            </w:tcBorders>
          </w:tcPr>
          <w:p>
            <w:pPr>
              <w:widowControl/>
              <w:autoSpaceDE w:val="0"/>
              <w:spacing w:line="300" w:lineRule="exact"/>
              <w:rPr>
                <w:rFonts w:ascii="楷体" w:hAnsi="楷体" w:eastAsia="楷体"/>
                <w:bCs/>
                <w:szCs w:val="21"/>
              </w:rPr>
            </w:pPr>
            <w:r>
              <w:rPr>
                <w:rFonts w:hint="eastAsia" w:ascii="新宋体" w:hAnsi="新宋体" w:eastAsia="新宋体" w:cs="新宋体"/>
                <w:i w:val="0"/>
                <w:color w:val="000000"/>
                <w:kern w:val="0"/>
                <w:sz w:val="24"/>
                <w:szCs w:val="24"/>
                <w:u w:val="none"/>
                <w:lang w:val="en-US" w:eastAsia="zh-CN" w:bidi="ar"/>
              </w:rPr>
              <w:t>数码相机</w:t>
            </w:r>
          </w:p>
        </w:tc>
        <w:tc>
          <w:tcPr>
            <w:tcW w:w="2693" w:type="dxa"/>
            <w:tcBorders>
              <w:top w:val="single" w:color="auto" w:sz="4" w:space="0"/>
              <w:left w:val="nil"/>
              <w:bottom w:val="single" w:color="auto" w:sz="4" w:space="0"/>
              <w:right w:val="single" w:color="auto" w:sz="4" w:space="0"/>
            </w:tcBorders>
          </w:tcPr>
          <w:p>
            <w:pPr>
              <w:autoSpaceDE w:val="0"/>
              <w:autoSpaceDN w:val="0"/>
              <w:adjustRightInd w:val="0"/>
              <w:spacing w:line="480" w:lineRule="exact"/>
              <w:rPr>
                <w:rFonts w:hint="eastAsia" w:ascii="新宋体" w:hAnsi="新宋体" w:eastAsia="新宋体" w:cs="新宋体"/>
                <w:sz w:val="24"/>
                <w:szCs w:val="24"/>
                <w:lang w:eastAsia="zh-CN"/>
              </w:rPr>
            </w:pPr>
            <w:r>
              <w:rPr>
                <w:rFonts w:hint="eastAsia" w:ascii="新宋体" w:hAnsi="新宋体" w:eastAsia="新宋体" w:cs="新宋体"/>
                <w:sz w:val="24"/>
                <w:szCs w:val="24"/>
                <w:lang w:eastAsia="zh-CN"/>
              </w:rPr>
              <w:t>索尼</w:t>
            </w:r>
          </w:p>
          <w:p>
            <w:pPr>
              <w:widowControl/>
              <w:autoSpaceDE w:val="0"/>
              <w:spacing w:line="300" w:lineRule="exact"/>
              <w:rPr>
                <w:rFonts w:ascii="楷体" w:hAnsi="楷体" w:eastAsia="楷体"/>
                <w:bCs/>
                <w:szCs w:val="21"/>
              </w:rPr>
            </w:pPr>
            <w:r>
              <w:rPr>
                <w:rFonts w:hint="eastAsia" w:ascii="新宋体" w:hAnsi="新宋体" w:eastAsia="新宋体" w:cs="新宋体"/>
                <w:sz w:val="24"/>
                <w:szCs w:val="24"/>
                <w:lang w:val="en-US" w:eastAsia="zh-CN"/>
              </w:rPr>
              <w:t>A7（FE28-70mm )套机</w:t>
            </w:r>
          </w:p>
        </w:tc>
        <w:tc>
          <w:tcPr>
            <w:tcW w:w="567" w:type="dxa"/>
            <w:tcBorders>
              <w:top w:val="single" w:color="auto" w:sz="4" w:space="0"/>
              <w:left w:val="nil"/>
              <w:bottom w:val="single" w:color="auto" w:sz="4" w:space="0"/>
              <w:right w:val="single" w:color="auto" w:sz="4" w:space="0"/>
            </w:tcBorders>
          </w:tcPr>
          <w:p>
            <w:pPr>
              <w:widowControl/>
              <w:autoSpaceDE w:val="0"/>
              <w:spacing w:line="300" w:lineRule="exact"/>
              <w:rPr>
                <w:rFonts w:hint="eastAsia" w:ascii="楷体" w:hAnsi="楷体" w:eastAsia="楷体"/>
                <w:bCs/>
                <w:szCs w:val="21"/>
                <w:lang w:val="en-US" w:eastAsia="zh-CN"/>
              </w:rPr>
            </w:pPr>
            <w:r>
              <w:rPr>
                <w:rFonts w:hint="eastAsia" w:ascii="楷体" w:hAnsi="楷体" w:eastAsia="楷体"/>
                <w:bCs/>
                <w:szCs w:val="21"/>
                <w:lang w:val="en-US" w:eastAsia="zh-CN"/>
              </w:rPr>
              <w:t>1</w:t>
            </w:r>
          </w:p>
        </w:tc>
        <w:tc>
          <w:tcPr>
            <w:tcW w:w="567" w:type="dxa"/>
            <w:tcBorders>
              <w:top w:val="single" w:color="auto" w:sz="4" w:space="0"/>
              <w:left w:val="nil"/>
              <w:bottom w:val="single" w:color="auto" w:sz="4" w:space="0"/>
              <w:right w:val="single" w:color="auto" w:sz="4" w:space="0"/>
            </w:tcBorders>
          </w:tcPr>
          <w:p>
            <w:pPr>
              <w:widowControl/>
              <w:autoSpaceDE w:val="0"/>
              <w:spacing w:line="300" w:lineRule="exact"/>
              <w:rPr>
                <w:rFonts w:hint="eastAsia" w:ascii="楷体" w:hAnsi="楷体" w:eastAsia="楷体"/>
                <w:bCs/>
                <w:szCs w:val="21"/>
                <w:lang w:eastAsia="zh-CN"/>
              </w:rPr>
            </w:pPr>
            <w:r>
              <w:rPr>
                <w:rFonts w:hint="eastAsia" w:ascii="楷体" w:hAnsi="楷体" w:eastAsia="楷体"/>
                <w:bCs/>
                <w:szCs w:val="21"/>
                <w:lang w:eastAsia="zh-CN"/>
              </w:rPr>
              <w:t>台</w:t>
            </w:r>
          </w:p>
        </w:tc>
        <w:tc>
          <w:tcPr>
            <w:tcW w:w="850" w:type="dxa"/>
            <w:tcBorders>
              <w:top w:val="single" w:color="auto" w:sz="4" w:space="0"/>
              <w:left w:val="nil"/>
              <w:bottom w:val="single" w:color="auto" w:sz="4" w:space="0"/>
              <w:right w:val="single" w:color="auto" w:sz="4" w:space="0"/>
            </w:tcBorders>
          </w:tcPr>
          <w:p>
            <w:pPr>
              <w:widowControl/>
              <w:autoSpaceDE w:val="0"/>
              <w:spacing w:line="300" w:lineRule="exact"/>
              <w:rPr>
                <w:rFonts w:hint="eastAsia" w:ascii="楷体" w:hAnsi="楷体" w:eastAsia="楷体"/>
                <w:bCs/>
                <w:szCs w:val="21"/>
                <w:lang w:val="en-US" w:eastAsia="zh-CN"/>
              </w:rPr>
            </w:pPr>
            <w:r>
              <w:rPr>
                <w:rFonts w:hint="eastAsia" w:ascii="楷体" w:hAnsi="楷体" w:eastAsia="楷体"/>
                <w:bCs/>
                <w:szCs w:val="21"/>
                <w:lang w:val="en-US" w:eastAsia="zh-CN"/>
              </w:rPr>
              <w:t>26000</w:t>
            </w:r>
          </w:p>
        </w:tc>
        <w:tc>
          <w:tcPr>
            <w:tcW w:w="851" w:type="dxa"/>
            <w:tcBorders>
              <w:top w:val="single" w:color="auto" w:sz="4" w:space="0"/>
              <w:left w:val="nil"/>
              <w:bottom w:val="single" w:color="auto" w:sz="4" w:space="0"/>
              <w:right w:val="single" w:color="auto" w:sz="4" w:space="0"/>
            </w:tcBorders>
          </w:tcPr>
          <w:p>
            <w:pPr>
              <w:widowControl/>
              <w:autoSpaceDE w:val="0"/>
              <w:spacing w:line="300" w:lineRule="exact"/>
              <w:rPr>
                <w:rFonts w:hint="eastAsia" w:ascii="楷体" w:hAnsi="楷体" w:eastAsia="楷体"/>
                <w:bCs/>
                <w:szCs w:val="21"/>
                <w:lang w:val="en-US" w:eastAsia="zh-CN"/>
              </w:rPr>
            </w:pPr>
            <w:r>
              <w:rPr>
                <w:rFonts w:hint="eastAsia" w:ascii="楷体" w:hAnsi="楷体" w:eastAsia="楷体"/>
                <w:bCs/>
                <w:szCs w:val="21"/>
                <w:lang w:val="en-US" w:eastAsia="zh-CN"/>
              </w:rPr>
              <w:t>26000</w:t>
            </w:r>
          </w:p>
        </w:tc>
        <w:tc>
          <w:tcPr>
            <w:tcW w:w="1134" w:type="dxa"/>
            <w:tcBorders>
              <w:top w:val="single" w:color="auto" w:sz="4" w:space="0"/>
              <w:left w:val="nil"/>
              <w:bottom w:val="single" w:color="auto" w:sz="4" w:space="0"/>
              <w:right w:val="single" w:color="auto" w:sz="4" w:space="0"/>
            </w:tcBorders>
          </w:tcPr>
          <w:p>
            <w:pPr>
              <w:widowControl/>
              <w:autoSpaceDE w:val="0"/>
              <w:spacing w:line="300" w:lineRule="exact"/>
              <w:rPr>
                <w:rFonts w:ascii="楷体" w:hAnsi="楷体" w:eastAsia="楷体"/>
                <w:bCs/>
                <w:szCs w:val="21"/>
              </w:rPr>
            </w:pPr>
          </w:p>
        </w:tc>
      </w:tr>
      <w:tr>
        <w:tblPrEx>
          <w:tblLayout w:type="fixed"/>
          <w:tblCellMar>
            <w:top w:w="0" w:type="dxa"/>
            <w:left w:w="108" w:type="dxa"/>
            <w:bottom w:w="0" w:type="dxa"/>
            <w:right w:w="108" w:type="dxa"/>
          </w:tblCellMar>
        </w:tblPrEx>
        <w:trPr>
          <w:trHeight w:val="291" w:hRule="atLeast"/>
        </w:trPr>
        <w:tc>
          <w:tcPr>
            <w:tcW w:w="534" w:type="dxa"/>
            <w:tcBorders>
              <w:top w:val="single" w:color="auto" w:sz="4" w:space="0"/>
              <w:left w:val="single" w:color="auto" w:sz="4" w:space="0"/>
              <w:bottom w:val="single" w:color="auto" w:sz="4" w:space="0"/>
              <w:right w:val="single" w:color="auto" w:sz="4" w:space="0"/>
            </w:tcBorders>
          </w:tcPr>
          <w:p>
            <w:pPr>
              <w:widowControl/>
              <w:autoSpaceDE w:val="0"/>
              <w:spacing w:line="300" w:lineRule="exact"/>
              <w:rPr>
                <w:rFonts w:ascii="楷体" w:hAnsi="楷体" w:eastAsia="楷体"/>
                <w:bCs/>
                <w:szCs w:val="21"/>
              </w:rPr>
            </w:pPr>
            <w:r>
              <w:rPr>
                <w:rFonts w:hint="eastAsia" w:ascii="楷体" w:hAnsi="楷体" w:eastAsia="楷体"/>
                <w:bCs/>
                <w:szCs w:val="21"/>
              </w:rPr>
              <w:t>4</w:t>
            </w:r>
          </w:p>
        </w:tc>
        <w:tc>
          <w:tcPr>
            <w:tcW w:w="1134" w:type="dxa"/>
            <w:tcBorders>
              <w:top w:val="single" w:color="auto" w:sz="4" w:space="0"/>
              <w:left w:val="nil"/>
              <w:bottom w:val="single" w:color="auto" w:sz="4" w:space="0"/>
              <w:right w:val="single" w:color="auto" w:sz="4" w:space="0"/>
            </w:tcBorders>
          </w:tcPr>
          <w:p>
            <w:pPr>
              <w:widowControl/>
              <w:autoSpaceDE w:val="0"/>
              <w:spacing w:line="300" w:lineRule="exact"/>
              <w:rPr>
                <w:rFonts w:ascii="楷体" w:hAnsi="楷体" w:eastAsia="楷体"/>
                <w:bCs/>
                <w:szCs w:val="21"/>
              </w:rPr>
            </w:pPr>
            <w:r>
              <w:rPr>
                <w:rFonts w:hint="eastAsia" w:ascii="新宋体" w:hAnsi="新宋体" w:eastAsia="新宋体" w:cs="新宋体"/>
                <w:i w:val="0"/>
                <w:color w:val="000000"/>
                <w:kern w:val="0"/>
                <w:sz w:val="24"/>
                <w:szCs w:val="24"/>
                <w:u w:val="none"/>
                <w:lang w:val="en-US" w:eastAsia="zh-CN" w:bidi="ar"/>
              </w:rPr>
              <w:t>打印、复印一体机</w:t>
            </w:r>
          </w:p>
        </w:tc>
        <w:tc>
          <w:tcPr>
            <w:tcW w:w="2693" w:type="dxa"/>
            <w:tcBorders>
              <w:top w:val="single" w:color="auto" w:sz="4" w:space="0"/>
              <w:left w:val="nil"/>
              <w:bottom w:val="single" w:color="auto" w:sz="4" w:space="0"/>
              <w:right w:val="single" w:color="auto" w:sz="4" w:space="0"/>
            </w:tcBorders>
          </w:tcPr>
          <w:p>
            <w:pPr>
              <w:autoSpaceDE w:val="0"/>
              <w:autoSpaceDN w:val="0"/>
              <w:adjustRightInd w:val="0"/>
              <w:spacing w:line="480" w:lineRule="exact"/>
              <w:rPr>
                <w:rFonts w:hint="eastAsia"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兄弟</w:t>
            </w:r>
          </w:p>
          <w:p>
            <w:pPr>
              <w:autoSpaceDE w:val="0"/>
              <w:autoSpaceDN w:val="0"/>
              <w:adjustRightInd w:val="0"/>
              <w:spacing w:line="480" w:lineRule="exact"/>
              <w:rPr>
                <w:rFonts w:hint="eastAsia"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B7530DN</w:t>
            </w:r>
          </w:p>
          <w:p>
            <w:pPr>
              <w:widowControl/>
              <w:autoSpaceDE w:val="0"/>
              <w:spacing w:line="300" w:lineRule="exact"/>
              <w:rPr>
                <w:rFonts w:ascii="楷体" w:hAnsi="楷体" w:eastAsia="楷体"/>
                <w:bCs/>
                <w:szCs w:val="21"/>
              </w:rPr>
            </w:pPr>
          </w:p>
        </w:tc>
        <w:tc>
          <w:tcPr>
            <w:tcW w:w="567" w:type="dxa"/>
            <w:tcBorders>
              <w:top w:val="single" w:color="auto" w:sz="4" w:space="0"/>
              <w:left w:val="nil"/>
              <w:bottom w:val="single" w:color="auto" w:sz="4" w:space="0"/>
              <w:right w:val="single" w:color="auto" w:sz="4" w:space="0"/>
            </w:tcBorders>
          </w:tcPr>
          <w:p>
            <w:pPr>
              <w:widowControl/>
              <w:autoSpaceDE w:val="0"/>
              <w:spacing w:line="300" w:lineRule="exact"/>
              <w:rPr>
                <w:rFonts w:ascii="楷体" w:hAnsi="楷体" w:eastAsia="楷体"/>
                <w:bCs/>
                <w:szCs w:val="21"/>
              </w:rPr>
            </w:pPr>
            <w:r>
              <w:rPr>
                <w:rFonts w:hint="eastAsia" w:ascii="新宋体" w:hAnsi="新宋体" w:eastAsia="新宋体" w:cs="新宋体"/>
                <w:sz w:val="24"/>
                <w:szCs w:val="24"/>
                <w:lang w:val="en-US" w:eastAsia="zh-CN"/>
              </w:rPr>
              <w:t>26</w:t>
            </w:r>
          </w:p>
        </w:tc>
        <w:tc>
          <w:tcPr>
            <w:tcW w:w="567" w:type="dxa"/>
            <w:tcBorders>
              <w:top w:val="single" w:color="auto" w:sz="4" w:space="0"/>
              <w:left w:val="nil"/>
              <w:bottom w:val="single" w:color="auto" w:sz="4" w:space="0"/>
              <w:right w:val="single" w:color="auto" w:sz="4" w:space="0"/>
            </w:tcBorders>
          </w:tcPr>
          <w:p>
            <w:pPr>
              <w:widowControl/>
              <w:autoSpaceDE w:val="0"/>
              <w:spacing w:line="300" w:lineRule="exact"/>
              <w:rPr>
                <w:rFonts w:hint="eastAsia" w:ascii="楷体" w:hAnsi="楷体" w:eastAsia="楷体"/>
                <w:bCs/>
                <w:szCs w:val="21"/>
                <w:lang w:eastAsia="zh-CN"/>
              </w:rPr>
            </w:pPr>
            <w:r>
              <w:rPr>
                <w:rFonts w:hint="eastAsia" w:ascii="楷体" w:hAnsi="楷体" w:eastAsia="楷体"/>
                <w:bCs/>
                <w:szCs w:val="21"/>
                <w:lang w:eastAsia="zh-CN"/>
              </w:rPr>
              <w:t>台</w:t>
            </w:r>
          </w:p>
        </w:tc>
        <w:tc>
          <w:tcPr>
            <w:tcW w:w="850" w:type="dxa"/>
            <w:tcBorders>
              <w:top w:val="single" w:color="auto" w:sz="4" w:space="0"/>
              <w:left w:val="nil"/>
              <w:bottom w:val="single" w:color="auto" w:sz="4" w:space="0"/>
              <w:right w:val="single" w:color="auto" w:sz="4" w:space="0"/>
            </w:tcBorders>
          </w:tcPr>
          <w:p>
            <w:pPr>
              <w:widowControl/>
              <w:autoSpaceDE w:val="0"/>
              <w:spacing w:line="300" w:lineRule="exact"/>
              <w:rPr>
                <w:rFonts w:hint="eastAsia" w:ascii="楷体" w:hAnsi="楷体" w:eastAsia="楷体"/>
                <w:bCs/>
                <w:szCs w:val="21"/>
                <w:lang w:val="en-US" w:eastAsia="zh-CN"/>
              </w:rPr>
            </w:pPr>
            <w:r>
              <w:rPr>
                <w:rFonts w:hint="eastAsia" w:ascii="楷体" w:hAnsi="楷体" w:eastAsia="楷体"/>
                <w:bCs/>
                <w:szCs w:val="21"/>
                <w:lang w:val="en-US" w:eastAsia="zh-CN"/>
              </w:rPr>
              <w:t>2100</w:t>
            </w:r>
          </w:p>
        </w:tc>
        <w:tc>
          <w:tcPr>
            <w:tcW w:w="851" w:type="dxa"/>
            <w:tcBorders>
              <w:top w:val="single" w:color="auto" w:sz="4" w:space="0"/>
              <w:left w:val="nil"/>
              <w:bottom w:val="single" w:color="auto" w:sz="4" w:space="0"/>
              <w:right w:val="single" w:color="auto" w:sz="4" w:space="0"/>
            </w:tcBorders>
          </w:tcPr>
          <w:p>
            <w:pPr>
              <w:widowControl/>
              <w:autoSpaceDE w:val="0"/>
              <w:spacing w:line="300" w:lineRule="exact"/>
              <w:rPr>
                <w:rFonts w:ascii="楷体" w:hAnsi="楷体" w:eastAsia="楷体"/>
                <w:bCs/>
                <w:szCs w:val="21"/>
              </w:rPr>
            </w:pPr>
            <w:r>
              <w:rPr>
                <w:rFonts w:hint="eastAsia" w:ascii="新宋体" w:hAnsi="新宋体" w:eastAsia="新宋体" w:cs="新宋体"/>
                <w:sz w:val="24"/>
                <w:szCs w:val="24"/>
                <w:lang w:val="en-US" w:eastAsia="zh-CN"/>
              </w:rPr>
              <w:t>54600</w:t>
            </w:r>
          </w:p>
        </w:tc>
        <w:tc>
          <w:tcPr>
            <w:tcW w:w="1134" w:type="dxa"/>
            <w:tcBorders>
              <w:top w:val="single" w:color="auto" w:sz="4" w:space="0"/>
              <w:left w:val="nil"/>
              <w:bottom w:val="single" w:color="auto" w:sz="4" w:space="0"/>
              <w:right w:val="single" w:color="auto" w:sz="4" w:space="0"/>
            </w:tcBorders>
          </w:tcPr>
          <w:p>
            <w:pPr>
              <w:pStyle w:val="5"/>
              <w:rPr>
                <w:rFonts w:ascii="楷体" w:hAnsi="楷体" w:eastAsia="楷体"/>
                <w:sz w:val="21"/>
                <w:szCs w:val="21"/>
              </w:rPr>
            </w:pPr>
          </w:p>
        </w:tc>
      </w:tr>
      <w:tr>
        <w:tblPrEx>
          <w:tblLayout w:type="fixed"/>
          <w:tblCellMar>
            <w:top w:w="0" w:type="dxa"/>
            <w:left w:w="108" w:type="dxa"/>
            <w:bottom w:w="0" w:type="dxa"/>
            <w:right w:w="108" w:type="dxa"/>
          </w:tblCellMar>
        </w:tblPrEx>
        <w:trPr>
          <w:trHeight w:val="58" w:hRule="atLeast"/>
        </w:trPr>
        <w:tc>
          <w:tcPr>
            <w:tcW w:w="8330" w:type="dxa"/>
            <w:gridSpan w:val="8"/>
            <w:tcBorders>
              <w:top w:val="single" w:color="auto" w:sz="4" w:space="0"/>
              <w:left w:val="single" w:color="auto" w:sz="4" w:space="0"/>
              <w:bottom w:val="single" w:color="auto" w:sz="4" w:space="0"/>
              <w:right w:val="single" w:color="auto" w:sz="4" w:space="0"/>
            </w:tcBorders>
          </w:tcPr>
          <w:p>
            <w:pPr>
              <w:widowControl/>
              <w:autoSpaceDE w:val="0"/>
              <w:spacing w:line="300" w:lineRule="exact"/>
              <w:rPr>
                <w:rFonts w:ascii="楷体" w:hAnsi="楷体" w:eastAsia="楷体"/>
                <w:bCs/>
                <w:szCs w:val="21"/>
              </w:rPr>
            </w:pPr>
            <w:r>
              <w:rPr>
                <w:rFonts w:hint="eastAsia" w:ascii="楷体" w:hAnsi="楷体" w:eastAsia="楷体"/>
                <w:bCs/>
                <w:szCs w:val="21"/>
              </w:rPr>
              <w:t>合计：</w:t>
            </w:r>
            <w:r>
              <w:rPr>
                <w:rFonts w:hint="eastAsia" w:ascii="新宋体" w:hAnsi="新宋体" w:eastAsia="新宋体" w:cs="新宋体"/>
                <w:sz w:val="24"/>
                <w:szCs w:val="24"/>
                <w:lang w:val="zh-CN"/>
              </w:rPr>
              <w:t>大写：贰拾叁万陆仟玖佰贰拾元整</w:t>
            </w:r>
            <w:r>
              <w:rPr>
                <w:rFonts w:hint="eastAsia" w:ascii="新宋体" w:hAnsi="新宋体" w:eastAsia="新宋体" w:cs="新宋体"/>
                <w:sz w:val="24"/>
                <w:szCs w:val="24"/>
                <w:lang w:val="en-US" w:eastAsia="zh-CN"/>
              </w:rPr>
              <w:t xml:space="preserve"> </w:t>
            </w:r>
            <w:r>
              <w:rPr>
                <w:rFonts w:hint="eastAsia" w:ascii="楷体" w:hAnsi="楷体" w:eastAsia="楷体"/>
                <w:bCs/>
                <w:szCs w:val="21"/>
              </w:rPr>
              <w:t xml:space="preserve">  </w:t>
            </w:r>
            <w:r>
              <w:rPr>
                <w:rFonts w:hint="eastAsia" w:ascii="新宋体" w:hAnsi="新宋体" w:eastAsia="新宋体" w:cs="新宋体"/>
                <w:sz w:val="24"/>
                <w:szCs w:val="24"/>
              </w:rPr>
              <w:t xml:space="preserve"> </w:t>
            </w:r>
            <w:r>
              <w:rPr>
                <w:rFonts w:hint="eastAsia" w:ascii="新宋体" w:hAnsi="新宋体" w:eastAsia="新宋体" w:cs="新宋体"/>
                <w:sz w:val="24"/>
                <w:szCs w:val="24"/>
                <w:lang w:val="zh-CN"/>
              </w:rPr>
              <w:t>小写：</w:t>
            </w:r>
            <w:r>
              <w:rPr>
                <w:rFonts w:hint="eastAsia" w:ascii="新宋体" w:hAnsi="新宋体" w:eastAsia="新宋体" w:cs="新宋体"/>
                <w:sz w:val="24"/>
                <w:szCs w:val="24"/>
                <w:lang w:val="en-US" w:eastAsia="zh-CN"/>
              </w:rPr>
              <w:t>236920.00</w:t>
            </w:r>
          </w:p>
        </w:tc>
      </w:tr>
    </w:tbl>
    <w:p>
      <w:pPr>
        <w:rPr>
          <w:rFonts w:hint="eastAsia" w:ascii="仿宋" w:hAnsi="仿宋" w:eastAsia="仿宋"/>
          <w:b/>
          <w:sz w:val="28"/>
          <w:szCs w:val="28"/>
        </w:rPr>
      </w:pPr>
      <w:r>
        <w:rPr>
          <w:rFonts w:hint="eastAsia" w:ascii="仿宋" w:hAnsi="仿宋" w:eastAsia="仿宋"/>
          <w:b/>
          <w:sz w:val="28"/>
          <w:szCs w:val="28"/>
        </w:rPr>
        <w:t xml:space="preserve"> 报价单位：禹州市</w:t>
      </w:r>
      <w:r>
        <w:rPr>
          <w:rFonts w:hint="eastAsia" w:ascii="仿宋" w:hAnsi="仿宋" w:eastAsia="仿宋"/>
          <w:b/>
          <w:sz w:val="28"/>
          <w:szCs w:val="28"/>
          <w:lang w:eastAsia="zh-CN"/>
        </w:rPr>
        <w:t>开创电子</w:t>
      </w:r>
      <w:r>
        <w:rPr>
          <w:rFonts w:hint="eastAsia" w:ascii="仿宋" w:hAnsi="仿宋" w:eastAsia="仿宋"/>
          <w:b/>
          <w:sz w:val="28"/>
          <w:szCs w:val="28"/>
        </w:rPr>
        <w:t>有限公司</w:t>
      </w:r>
    </w:p>
    <w:p>
      <w:pPr>
        <w:ind w:firstLine="280" w:firstLineChars="100"/>
        <w:rPr>
          <w:rFonts w:hint="eastAsia" w:ascii="仿宋" w:hAnsi="仿宋" w:eastAsia="仿宋"/>
          <w:b/>
          <w:sz w:val="28"/>
          <w:szCs w:val="28"/>
          <w:lang w:val="en-US" w:eastAsia="zh-CN"/>
        </w:rPr>
      </w:pPr>
      <w:r>
        <w:rPr>
          <w:rFonts w:hint="eastAsia" w:ascii="仿宋" w:hAnsi="仿宋" w:eastAsia="仿宋"/>
          <w:b/>
          <w:sz w:val="28"/>
          <w:szCs w:val="28"/>
          <w:lang w:eastAsia="zh-CN"/>
        </w:rPr>
        <w:t>日</w:t>
      </w:r>
      <w:r>
        <w:rPr>
          <w:rFonts w:hint="eastAsia" w:ascii="仿宋" w:hAnsi="仿宋" w:eastAsia="仿宋"/>
          <w:b/>
          <w:sz w:val="28"/>
          <w:szCs w:val="28"/>
          <w:lang w:val="en-US" w:eastAsia="zh-CN"/>
        </w:rPr>
        <w:t xml:space="preserve">   </w:t>
      </w:r>
      <w:r>
        <w:rPr>
          <w:rFonts w:hint="eastAsia" w:ascii="仿宋" w:hAnsi="仿宋" w:eastAsia="仿宋"/>
          <w:b/>
          <w:sz w:val="28"/>
          <w:szCs w:val="28"/>
          <w:lang w:eastAsia="zh-CN"/>
        </w:rPr>
        <w:t>期：</w:t>
      </w:r>
      <w:r>
        <w:rPr>
          <w:rFonts w:hint="eastAsia" w:ascii="仿宋" w:hAnsi="仿宋" w:eastAsia="仿宋"/>
          <w:b/>
          <w:sz w:val="28"/>
          <w:szCs w:val="28"/>
          <w:lang w:val="en-US" w:eastAsia="zh-CN"/>
        </w:rPr>
        <w:t>2018年11月27日</w:t>
      </w:r>
    </w:p>
    <w:p>
      <w:pPr>
        <w:ind w:firstLine="280" w:firstLineChars="100"/>
        <w:rPr>
          <w:rFonts w:hint="eastAsia" w:ascii="仿宋" w:hAnsi="仿宋" w:eastAsia="仿宋"/>
          <w:b/>
          <w:sz w:val="28"/>
          <w:szCs w:val="28"/>
          <w:lang w:val="en-US" w:eastAsia="zh-CN"/>
        </w:rPr>
      </w:pPr>
    </w:p>
    <w:p>
      <w:pPr>
        <w:ind w:firstLine="280" w:firstLineChars="100"/>
        <w:rPr>
          <w:rFonts w:hint="eastAsia" w:ascii="仿宋" w:hAnsi="仿宋" w:eastAsia="仿宋"/>
          <w:b/>
          <w:sz w:val="28"/>
          <w:szCs w:val="28"/>
          <w:lang w:val="en-US" w:eastAsia="zh-CN"/>
        </w:rPr>
      </w:pPr>
    </w:p>
    <w:p>
      <w:pPr>
        <w:ind w:firstLine="280" w:firstLineChars="100"/>
        <w:rPr>
          <w:rFonts w:hint="eastAsia" w:ascii="仿宋" w:hAnsi="仿宋" w:eastAsia="仿宋"/>
          <w:b/>
          <w:sz w:val="28"/>
          <w:szCs w:val="28"/>
          <w:lang w:val="en-US" w:eastAsia="zh-CN"/>
        </w:rPr>
      </w:pPr>
    </w:p>
    <w:p>
      <w:pPr>
        <w:ind w:firstLine="280" w:firstLineChars="100"/>
        <w:rPr>
          <w:rFonts w:hint="eastAsia" w:ascii="仿宋" w:hAnsi="仿宋" w:eastAsia="仿宋"/>
          <w:b/>
          <w:sz w:val="28"/>
          <w:szCs w:val="28"/>
          <w:lang w:val="en-US" w:eastAsia="zh-CN"/>
        </w:rPr>
      </w:pPr>
    </w:p>
    <w:p>
      <w:pPr>
        <w:ind w:firstLine="280" w:firstLineChars="100"/>
        <w:rPr>
          <w:rFonts w:hint="eastAsia" w:ascii="仿宋" w:hAnsi="仿宋" w:eastAsia="仿宋"/>
          <w:b/>
          <w:sz w:val="28"/>
          <w:szCs w:val="28"/>
          <w:lang w:val="en-US" w:eastAsia="zh-CN"/>
        </w:rPr>
      </w:pPr>
    </w:p>
    <w:p>
      <w:pPr>
        <w:ind w:firstLine="280" w:firstLineChars="100"/>
        <w:rPr>
          <w:rFonts w:hint="eastAsia" w:ascii="仿宋" w:hAnsi="仿宋" w:eastAsia="仿宋"/>
          <w:b/>
          <w:sz w:val="28"/>
          <w:szCs w:val="28"/>
          <w:lang w:val="en-US" w:eastAsia="zh-CN"/>
        </w:rPr>
      </w:pPr>
    </w:p>
    <w:p>
      <w:pPr>
        <w:ind w:firstLine="280" w:firstLineChars="100"/>
        <w:rPr>
          <w:rFonts w:hint="eastAsia" w:ascii="仿宋" w:hAnsi="仿宋" w:eastAsia="仿宋"/>
          <w:b/>
          <w:sz w:val="28"/>
          <w:szCs w:val="28"/>
          <w:lang w:val="en-US" w:eastAsia="zh-CN"/>
        </w:rPr>
      </w:pPr>
    </w:p>
    <w:p>
      <w:pPr>
        <w:ind w:firstLine="280" w:firstLineChars="100"/>
        <w:rPr>
          <w:rFonts w:hint="eastAsia" w:ascii="仿宋" w:hAnsi="仿宋" w:eastAsia="仿宋"/>
          <w:b/>
          <w:sz w:val="28"/>
          <w:szCs w:val="28"/>
          <w:lang w:val="en-US" w:eastAsia="zh-CN"/>
        </w:rPr>
      </w:pPr>
    </w:p>
    <w:p>
      <w:pPr>
        <w:ind w:firstLine="280" w:firstLineChars="100"/>
        <w:rPr>
          <w:rFonts w:hint="eastAsia" w:ascii="仿宋" w:hAnsi="仿宋" w:eastAsia="仿宋"/>
          <w:b/>
          <w:sz w:val="28"/>
          <w:szCs w:val="28"/>
          <w:lang w:val="en-US" w:eastAsia="zh-CN"/>
        </w:rPr>
      </w:pPr>
    </w:p>
    <w:p>
      <w:pPr>
        <w:ind w:firstLine="280" w:firstLineChars="100"/>
        <w:rPr>
          <w:rFonts w:hint="eastAsia" w:ascii="仿宋" w:hAnsi="仿宋" w:eastAsia="仿宋"/>
          <w:b/>
          <w:sz w:val="28"/>
          <w:szCs w:val="28"/>
          <w:lang w:val="en-US" w:eastAsia="zh-CN"/>
        </w:rPr>
      </w:pPr>
    </w:p>
    <w:p>
      <w:pPr>
        <w:ind w:firstLine="280" w:firstLineChars="100"/>
        <w:rPr>
          <w:rFonts w:hint="eastAsia" w:ascii="仿宋" w:hAnsi="仿宋" w:eastAsia="仿宋"/>
          <w:b/>
          <w:sz w:val="28"/>
          <w:szCs w:val="28"/>
          <w:lang w:val="en-US" w:eastAsia="zh-CN"/>
        </w:rPr>
      </w:pPr>
    </w:p>
    <w:p>
      <w:pPr>
        <w:pStyle w:val="2"/>
        <w:widowControl w:val="0"/>
        <w:wordWrap/>
        <w:adjustRightInd/>
        <w:snapToGrid/>
        <w:spacing w:before="0" w:after="0" w:line="240" w:lineRule="auto"/>
        <w:ind w:left="0" w:leftChars="0" w:right="0" w:firstLine="0" w:firstLineChars="0"/>
        <w:jc w:val="center"/>
        <w:textAlignment w:val="auto"/>
        <w:outlineLvl w:val="0"/>
        <w:rPr>
          <w:rFonts w:hint="eastAsia" w:ascii="宋体" w:hAnsi="宋体" w:eastAsia="宋体" w:cs="宋体"/>
          <w:b/>
          <w:sz w:val="48"/>
          <w:szCs w:val="48"/>
          <w:lang w:val="en-US" w:eastAsia="zh-CN" w:bidi="ar-SA"/>
        </w:rPr>
      </w:pPr>
      <w:r>
        <w:rPr>
          <w:rFonts w:hint="eastAsia" w:ascii="宋体" w:hAnsi="宋体" w:cs="宋体"/>
          <w:b/>
          <w:sz w:val="48"/>
          <w:szCs w:val="48"/>
          <w:lang w:val="en-US" w:eastAsia="zh-CN" w:bidi="ar-SA"/>
        </w:rPr>
        <w:t>售后</w:t>
      </w:r>
      <w:r>
        <w:rPr>
          <w:rFonts w:hint="eastAsia" w:ascii="宋体" w:hAnsi="宋体" w:eastAsia="宋体" w:cs="宋体"/>
          <w:b/>
          <w:sz w:val="48"/>
          <w:szCs w:val="48"/>
          <w:lang w:val="en-US" w:eastAsia="zh-CN" w:bidi="ar-SA"/>
        </w:rPr>
        <w:t>服务承诺</w:t>
      </w:r>
    </w:p>
    <w:p>
      <w:pPr>
        <w:shd w:val="clear" w:color="auto" w:fill="FFFFFF"/>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我公司本着为项目服务，并以本项目利益就是公司利益的指导思想原则，响应一切以本项目为出发点，满足系统的技术要求、方便运行管理。公司以“客户满意不低于99%”为质量目标，严把售后服务质量关，竭诚为客户朋友提供优质服务。</w:t>
      </w:r>
    </w:p>
    <w:p>
      <w:pPr>
        <w:shd w:val="clear" w:color="auto" w:fill="FFFFFF"/>
        <w:spacing w:line="360" w:lineRule="auto"/>
        <w:jc w:val="left"/>
        <w:rPr>
          <w:rFonts w:hint="eastAsia" w:ascii="仿宋" w:hAnsi="仿宋" w:eastAsia="仿宋"/>
          <w:bCs/>
          <w:sz w:val="24"/>
          <w:szCs w:val="24"/>
        </w:rPr>
      </w:pPr>
      <w:r>
        <w:rPr>
          <w:rFonts w:hint="eastAsia" w:ascii="仿宋" w:hAnsi="仿宋" w:eastAsia="仿宋"/>
          <w:bCs/>
          <w:sz w:val="24"/>
          <w:szCs w:val="24"/>
        </w:rPr>
        <w:t>通过厂家、代理商、设计、施工、验收、维护和项目共同努力，进行全方位的、统一的、科学的、规范化的管理和我公司的及时、高效的技术支持服务。</w:t>
      </w:r>
    </w:p>
    <w:p>
      <w:pPr>
        <w:shd w:val="clear" w:color="auto" w:fill="FFFFFF"/>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公司拥有一支高素质的员工队伍，技术力量雄厚，工程技术人员、质检员、维修人员均接受过专用厂家培训，在信息服务系统方面有丰富的技术经验，以保证员工队伍的高素质、高技能。</w:t>
      </w:r>
    </w:p>
    <w:p>
      <w:pPr>
        <w:shd w:val="clear" w:color="auto" w:fill="FFFFFF"/>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公司坚持“顾客至上、不断创新”为宗旨，配合稳健经营的的方针，事事以客户先，透过超卓的服务水平和先进可靠的技术性能，为社会各界和广大客户提供全面、优质、高效益的售后服务。</w:t>
      </w:r>
    </w:p>
    <w:p>
      <w:pPr>
        <w:shd w:val="clear" w:color="auto" w:fill="FFFFFF"/>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1、我方承诺向使用单位提供的产品，保证符合国家颁发的相应行业标准、条例及规范。</w:t>
      </w:r>
    </w:p>
    <w:p>
      <w:pPr>
        <w:shd w:val="clear" w:color="auto" w:fill="FFFFFF"/>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为保护业主的合法权益，明确货物修理、更换、退货（即三包）的责任和义务，我公司严格遵守《中华人民共和国产品质量法》、《中华人民共和国消费者权益保护法》等法律的有关规定，提供货物时，我公司将做到以下几点要求：</w:t>
      </w:r>
    </w:p>
    <w:p>
      <w:pPr>
        <w:shd w:val="clear" w:color="auto" w:fill="FFFFFF"/>
        <w:spacing w:line="360" w:lineRule="auto"/>
        <w:ind w:firstLine="960" w:firstLineChars="400"/>
        <w:jc w:val="left"/>
        <w:rPr>
          <w:rFonts w:hint="eastAsia" w:ascii="仿宋" w:hAnsi="仿宋" w:eastAsia="仿宋"/>
          <w:bCs/>
          <w:sz w:val="24"/>
          <w:szCs w:val="24"/>
        </w:rPr>
      </w:pPr>
      <w:r>
        <w:rPr>
          <w:rFonts w:hint="eastAsia" w:ascii="仿宋" w:hAnsi="仿宋" w:eastAsia="仿宋"/>
          <w:bCs/>
          <w:sz w:val="24"/>
          <w:szCs w:val="24"/>
        </w:rPr>
        <w:t>1)说明货物的配置，开箱检验，正确调试，保证货物符合产品使用说明明示的配置和产品质量状况，当面向业主交验商品；</w:t>
      </w:r>
    </w:p>
    <w:p>
      <w:pPr>
        <w:shd w:val="clear" w:color="auto" w:fill="FFFFFF"/>
        <w:spacing w:line="360" w:lineRule="auto"/>
        <w:ind w:firstLine="960" w:firstLineChars="400"/>
        <w:jc w:val="left"/>
        <w:rPr>
          <w:rFonts w:hint="eastAsia" w:ascii="仿宋" w:hAnsi="仿宋" w:eastAsia="仿宋"/>
          <w:bCs/>
          <w:sz w:val="24"/>
          <w:szCs w:val="24"/>
        </w:rPr>
      </w:pPr>
      <w:r>
        <w:rPr>
          <w:rFonts w:hint="eastAsia" w:ascii="仿宋" w:hAnsi="仿宋" w:eastAsia="仿宋"/>
          <w:bCs/>
          <w:sz w:val="24"/>
          <w:szCs w:val="24"/>
        </w:rPr>
        <w:t xml:space="preserve">2)提供对货物商标、型号和出厂编号或批号；货物商产地。 </w:t>
      </w:r>
    </w:p>
    <w:p>
      <w:pPr>
        <w:spacing w:line="420" w:lineRule="exact"/>
        <w:ind w:firstLine="960" w:firstLineChars="400"/>
        <w:rPr>
          <w:rFonts w:hint="eastAsia" w:ascii="仿宋" w:hAnsi="仿宋" w:eastAsia="仿宋"/>
          <w:b/>
          <w:bCs/>
          <w:sz w:val="24"/>
          <w:szCs w:val="24"/>
        </w:rPr>
      </w:pPr>
      <w:r>
        <w:rPr>
          <w:rFonts w:hint="eastAsia" w:ascii="仿宋" w:hAnsi="仿宋" w:eastAsia="仿宋"/>
          <w:bCs/>
          <w:sz w:val="24"/>
          <w:szCs w:val="24"/>
          <w:lang w:val="en-US" w:eastAsia="zh-CN"/>
        </w:rPr>
        <w:t>3)</w:t>
      </w:r>
      <w:r>
        <w:rPr>
          <w:rFonts w:hint="eastAsia" w:ascii="仿宋" w:hAnsi="仿宋" w:eastAsia="仿宋"/>
          <w:b/>
          <w:bCs/>
          <w:sz w:val="24"/>
          <w:szCs w:val="24"/>
        </w:rPr>
        <w:t>在免费包修期内，同一质量问题连续两次维修仍无法正常使用，</w:t>
      </w:r>
      <w:r>
        <w:rPr>
          <w:rFonts w:hint="eastAsia" w:ascii="仿宋" w:hAnsi="仿宋" w:eastAsia="仿宋"/>
          <w:b/>
          <w:bCs/>
          <w:sz w:val="24"/>
          <w:szCs w:val="24"/>
          <w:lang w:eastAsia="zh-CN"/>
        </w:rPr>
        <w:t>我公司</w:t>
      </w:r>
      <w:r>
        <w:rPr>
          <w:rFonts w:hint="eastAsia" w:ascii="仿宋" w:hAnsi="仿宋" w:eastAsia="仿宋"/>
          <w:b/>
          <w:bCs/>
          <w:sz w:val="24"/>
          <w:szCs w:val="24"/>
        </w:rPr>
        <w:t>予以更换同品牌、同型号的全新产品，超过保修期发生故障，用户可自由选择维修单位，如委托给</w:t>
      </w:r>
      <w:r>
        <w:rPr>
          <w:rFonts w:hint="eastAsia" w:ascii="仿宋" w:hAnsi="仿宋" w:eastAsia="仿宋"/>
          <w:b/>
          <w:bCs/>
          <w:sz w:val="24"/>
          <w:szCs w:val="24"/>
          <w:lang w:eastAsia="zh-CN"/>
        </w:rPr>
        <w:t>我公司</w:t>
      </w:r>
      <w:r>
        <w:rPr>
          <w:rFonts w:hint="eastAsia" w:ascii="仿宋" w:hAnsi="仿宋" w:eastAsia="仿宋"/>
          <w:b/>
          <w:bCs/>
          <w:sz w:val="24"/>
          <w:szCs w:val="24"/>
        </w:rPr>
        <w:t>，</w:t>
      </w:r>
      <w:r>
        <w:rPr>
          <w:rFonts w:hint="eastAsia" w:ascii="仿宋" w:hAnsi="仿宋" w:eastAsia="仿宋"/>
          <w:b/>
          <w:bCs/>
          <w:sz w:val="24"/>
          <w:szCs w:val="24"/>
          <w:lang w:eastAsia="zh-CN"/>
        </w:rPr>
        <w:t>我公司保证</w:t>
      </w:r>
      <w:r>
        <w:rPr>
          <w:rFonts w:hint="eastAsia" w:ascii="仿宋" w:hAnsi="仿宋" w:eastAsia="仿宋"/>
          <w:b/>
          <w:bCs/>
          <w:sz w:val="24"/>
          <w:szCs w:val="24"/>
        </w:rPr>
        <w:t>维修费不能超过市场平均价格。</w:t>
      </w:r>
    </w:p>
    <w:p>
      <w:pPr>
        <w:shd w:val="clear" w:color="auto" w:fill="FFFFFF"/>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2、我方提供的产品，保证符合招标文件及合同的要求，如有不符，使用单位可以无条件退货，所造成的损失由我方承担。</w:t>
      </w:r>
    </w:p>
    <w:p>
      <w:pPr>
        <w:shd w:val="clear" w:color="auto" w:fill="FFFFFF"/>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3、我方中标，保证不会转包或擅自改变设计方案，不会降低质量要求。实际施工中，确需对方案作进一步调整的，保证经由使用单位书面确认后才作调整，中标价格不作改变。</w:t>
      </w:r>
    </w:p>
    <w:p>
      <w:pPr>
        <w:shd w:val="clear" w:color="auto" w:fill="FFFFFF"/>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4、我方承诺就本次项目的供货时间、施工进度、施工质量在招标文件和合同规定的范围内，按业主的要求，做好项目的总体施工进度。</w:t>
      </w:r>
    </w:p>
    <w:p>
      <w:pPr>
        <w:shd w:val="clear" w:color="auto" w:fill="FFFFFF"/>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5、我方承诺：本项目</w:t>
      </w:r>
      <w:r>
        <w:rPr>
          <w:rFonts w:hint="eastAsia" w:ascii="仿宋" w:hAnsi="仿宋" w:eastAsia="仿宋"/>
          <w:bCs/>
          <w:sz w:val="24"/>
          <w:szCs w:val="24"/>
          <w:lang w:eastAsia="zh-CN"/>
        </w:rPr>
        <w:t>所投全部产品</w:t>
      </w:r>
      <w:r>
        <w:rPr>
          <w:rFonts w:hint="eastAsia" w:ascii="仿宋" w:hAnsi="仿宋" w:eastAsia="仿宋"/>
          <w:bCs/>
          <w:sz w:val="24"/>
          <w:szCs w:val="24"/>
        </w:rPr>
        <w:t>免费质保</w:t>
      </w:r>
      <w:r>
        <w:rPr>
          <w:rFonts w:hint="eastAsia" w:ascii="仿宋" w:hAnsi="仿宋" w:eastAsia="仿宋"/>
          <w:bCs/>
          <w:sz w:val="24"/>
          <w:szCs w:val="24"/>
          <w:lang w:eastAsia="zh-CN"/>
        </w:rPr>
        <w:t>一年</w:t>
      </w:r>
      <w:r>
        <w:rPr>
          <w:rFonts w:hint="eastAsia" w:ascii="仿宋" w:hAnsi="仿宋" w:eastAsia="仿宋"/>
          <w:bCs/>
          <w:sz w:val="24"/>
          <w:szCs w:val="24"/>
        </w:rPr>
        <w:t>，终身维修</w:t>
      </w:r>
      <w:r>
        <w:rPr>
          <w:rFonts w:hint="eastAsia" w:ascii="仿宋" w:hAnsi="仿宋" w:eastAsia="仿宋"/>
          <w:bCs/>
          <w:sz w:val="24"/>
          <w:szCs w:val="24"/>
          <w:lang w:eastAsia="zh-CN"/>
        </w:rPr>
        <w:t>承诺</w:t>
      </w:r>
      <w:r>
        <w:rPr>
          <w:rFonts w:hint="eastAsia" w:ascii="仿宋" w:hAnsi="仿宋" w:eastAsia="仿宋"/>
          <w:bCs/>
          <w:sz w:val="24"/>
          <w:szCs w:val="24"/>
        </w:rPr>
        <w:t>。质保期内软件系统提供免费升级服务。</w:t>
      </w:r>
    </w:p>
    <w:p>
      <w:pPr>
        <w:shd w:val="clear" w:color="auto" w:fill="FFFFFF"/>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6、技术服务承诺</w:t>
      </w:r>
    </w:p>
    <w:p>
      <w:pPr>
        <w:shd w:val="clear" w:color="auto" w:fill="FFFFFF"/>
        <w:spacing w:line="360" w:lineRule="auto"/>
        <w:ind w:firstLine="960" w:firstLineChars="400"/>
        <w:jc w:val="left"/>
        <w:rPr>
          <w:rFonts w:hint="eastAsia" w:ascii="仿宋" w:hAnsi="仿宋" w:eastAsia="仿宋"/>
          <w:bCs/>
          <w:sz w:val="24"/>
          <w:szCs w:val="24"/>
        </w:rPr>
      </w:pPr>
      <w:r>
        <w:rPr>
          <w:rFonts w:hint="eastAsia" w:ascii="仿宋" w:hAnsi="仿宋" w:eastAsia="仿宋"/>
          <w:bCs/>
          <w:sz w:val="24"/>
          <w:szCs w:val="24"/>
        </w:rPr>
        <w:t>(1)提供永久技术支持，免费提供技术咨询服务。同一质量问题连续两次维修仍无法正常使用，</w:t>
      </w:r>
      <w:r>
        <w:rPr>
          <w:rFonts w:hint="eastAsia" w:ascii="仿宋" w:hAnsi="仿宋" w:eastAsia="仿宋"/>
          <w:bCs/>
          <w:sz w:val="24"/>
          <w:szCs w:val="24"/>
          <w:lang w:eastAsia="zh-CN"/>
        </w:rPr>
        <w:t>我公司免费</w:t>
      </w:r>
      <w:r>
        <w:rPr>
          <w:rFonts w:hint="eastAsia" w:ascii="仿宋" w:hAnsi="仿宋" w:eastAsia="仿宋"/>
          <w:bCs/>
          <w:sz w:val="24"/>
          <w:szCs w:val="24"/>
        </w:rPr>
        <w:t>予以更换同品牌、同型号的全新产品。</w:t>
      </w:r>
    </w:p>
    <w:p>
      <w:pPr>
        <w:shd w:val="clear" w:color="auto" w:fill="FFFFFF"/>
        <w:spacing w:line="360" w:lineRule="auto"/>
        <w:ind w:firstLine="960" w:firstLineChars="400"/>
        <w:jc w:val="left"/>
        <w:rPr>
          <w:rFonts w:hint="eastAsia" w:ascii="仿宋" w:hAnsi="仿宋" w:eastAsia="仿宋"/>
          <w:bCs/>
          <w:sz w:val="24"/>
          <w:szCs w:val="24"/>
        </w:rPr>
      </w:pPr>
      <w:r>
        <w:rPr>
          <w:rFonts w:hint="eastAsia" w:ascii="仿宋" w:hAnsi="仿宋" w:eastAsia="仿宋"/>
          <w:bCs/>
          <w:sz w:val="24"/>
          <w:szCs w:val="24"/>
        </w:rPr>
        <w:t>(2)提供7*24服务，在得到用户电话的服务响应需求后，应于1小时内进行响应，紧急情况维修人员在2小时内必须赶到现场。</w:t>
      </w:r>
    </w:p>
    <w:p>
      <w:pPr>
        <w:shd w:val="clear" w:color="auto" w:fill="FFFFFF"/>
        <w:spacing w:line="360" w:lineRule="auto"/>
        <w:ind w:firstLine="960" w:firstLineChars="400"/>
        <w:jc w:val="left"/>
        <w:rPr>
          <w:rFonts w:hint="eastAsia" w:ascii="仿宋" w:hAnsi="仿宋" w:eastAsia="仿宋"/>
          <w:bCs/>
          <w:sz w:val="24"/>
          <w:szCs w:val="24"/>
        </w:rPr>
      </w:pPr>
      <w:r>
        <w:rPr>
          <w:rFonts w:hint="eastAsia" w:ascii="仿宋" w:hAnsi="仿宋" w:eastAsia="仿宋"/>
          <w:bCs/>
          <w:sz w:val="24"/>
          <w:szCs w:val="24"/>
        </w:rPr>
        <w:t>(3)所投产品必须均为原厂原装产品（包括软硬件系统和在标配基础上增加的配件也必须为原厂原配），产品要符合国家质量检测标准。随机配件、资料以及软件齐全。服务或其任何一部分不受第三方提出侵犯其专利权、商标权、版权和工业设计权的指控。</w:t>
      </w:r>
    </w:p>
    <w:p>
      <w:pPr>
        <w:shd w:val="clear" w:color="auto" w:fill="FFFFFF"/>
        <w:spacing w:line="360" w:lineRule="auto"/>
        <w:ind w:firstLine="960" w:firstLineChars="400"/>
        <w:jc w:val="left"/>
        <w:rPr>
          <w:rFonts w:hint="eastAsia" w:ascii="仿宋" w:hAnsi="仿宋" w:eastAsia="仿宋"/>
          <w:bCs/>
          <w:sz w:val="24"/>
          <w:szCs w:val="24"/>
        </w:rPr>
      </w:pPr>
      <w:r>
        <w:rPr>
          <w:rFonts w:hint="eastAsia" w:ascii="仿宋" w:hAnsi="仿宋" w:eastAsia="仿宋"/>
          <w:bCs/>
          <w:sz w:val="24"/>
          <w:szCs w:val="24"/>
        </w:rPr>
        <w:t>(4)系统要求24*365运行，必须安全可靠，运行稳定。项目完成后保证一年不得低于2次的上门跟踪服务。</w:t>
      </w:r>
    </w:p>
    <w:p>
      <w:pPr>
        <w:shd w:val="clear" w:color="auto" w:fill="FFFFFF"/>
        <w:spacing w:line="360" w:lineRule="auto"/>
        <w:ind w:firstLine="960" w:firstLineChars="400"/>
        <w:jc w:val="left"/>
        <w:rPr>
          <w:rFonts w:hint="eastAsia" w:ascii="仿宋" w:hAnsi="仿宋" w:eastAsia="仿宋"/>
          <w:bCs/>
          <w:sz w:val="24"/>
          <w:szCs w:val="24"/>
        </w:rPr>
      </w:pPr>
      <w:r>
        <w:rPr>
          <w:rFonts w:hint="eastAsia" w:ascii="仿宋" w:hAnsi="仿宋" w:eastAsia="仿宋"/>
          <w:bCs/>
          <w:sz w:val="24"/>
          <w:szCs w:val="24"/>
        </w:rPr>
        <w:t>(5)提供完备的技术文档（包括设计手册、施工手册、测试报告、竣工图（如需）、巡检计划、使用及保养手册、软硬件产品手册）的电子稿和印刷稿各一套。</w:t>
      </w:r>
    </w:p>
    <w:p>
      <w:pPr>
        <w:shd w:val="clear" w:color="auto" w:fill="FFFFFF"/>
        <w:spacing w:line="360" w:lineRule="auto"/>
        <w:ind w:firstLine="960" w:firstLineChars="400"/>
        <w:jc w:val="left"/>
        <w:rPr>
          <w:rFonts w:hint="eastAsia" w:ascii="仿宋" w:hAnsi="仿宋" w:eastAsia="仿宋"/>
          <w:bCs/>
          <w:sz w:val="24"/>
          <w:szCs w:val="24"/>
        </w:rPr>
      </w:pPr>
      <w:r>
        <w:rPr>
          <w:rFonts w:hint="eastAsia" w:ascii="仿宋" w:hAnsi="仿宋" w:eastAsia="仿宋"/>
          <w:bCs/>
          <w:sz w:val="24"/>
          <w:szCs w:val="24"/>
        </w:rPr>
        <w:t>(6)提供操作及维护人员免费培训服务，列出详细的培训计划，免费提供使用和维修中文手册。</w:t>
      </w:r>
    </w:p>
    <w:p>
      <w:pPr>
        <w:shd w:val="clear" w:color="auto" w:fill="FFFFFF"/>
        <w:spacing w:line="360" w:lineRule="auto"/>
        <w:ind w:firstLine="960" w:firstLineChars="400"/>
        <w:jc w:val="left"/>
        <w:rPr>
          <w:rFonts w:hint="eastAsia" w:ascii="仿宋" w:hAnsi="仿宋" w:eastAsia="仿宋"/>
          <w:bCs/>
          <w:sz w:val="24"/>
          <w:szCs w:val="24"/>
        </w:rPr>
      </w:pPr>
      <w:r>
        <w:rPr>
          <w:rFonts w:hint="eastAsia" w:ascii="仿宋" w:hAnsi="仿宋" w:eastAsia="仿宋"/>
          <w:bCs/>
          <w:sz w:val="24"/>
          <w:szCs w:val="24"/>
        </w:rPr>
        <w:t>(7)现场服务：本工程特别委派一名参与本工程的工程师在保修期内进行驻地售后服务。一方面及时解决现场出现的故障，同时根据客户的维护需求向公司和厂家寻求更多的服务来完成维护工作。</w:t>
      </w:r>
    </w:p>
    <w:p>
      <w:pPr>
        <w:shd w:val="clear" w:color="auto" w:fill="FFFFFF"/>
        <w:spacing w:line="360" w:lineRule="auto"/>
        <w:ind w:firstLine="720" w:firstLineChars="300"/>
        <w:jc w:val="left"/>
        <w:rPr>
          <w:rFonts w:hint="eastAsia" w:ascii="仿宋" w:hAnsi="仿宋" w:eastAsia="仿宋"/>
          <w:bCs/>
          <w:sz w:val="24"/>
          <w:szCs w:val="24"/>
        </w:rPr>
      </w:pPr>
      <w:r>
        <w:rPr>
          <w:rFonts w:hint="eastAsia" w:ascii="仿宋" w:hAnsi="仿宋" w:eastAsia="仿宋"/>
          <w:bCs/>
          <w:sz w:val="24"/>
          <w:szCs w:val="24"/>
        </w:rPr>
        <w:t>本公司素以提供完善的售前售后服务及优良技术为宗旨。为客户解除后顾之忧，在服务保障体系方面，我们坚持如下几点：</w:t>
      </w:r>
    </w:p>
    <w:p>
      <w:pPr>
        <w:shd w:val="clear" w:color="auto" w:fill="FFFFFF"/>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1.凡本公司承接的所有项目工程（包括主设备及其预先确认保修的外围设备以及线路工程）的用户，可享有叁年的全免费上门服务。即工程验收日或开始投入使用时如设备发生任何非人为及自然灾害的损坏故障，本公司将以最快速度派员上门（市内2小时，市外8小时；紧急情况2小时），视其具体损坏配件，作即时处理措施，而用户不需要付任何费用。（附注：无约定的外围设备、消耗品，人为及非产品质量故障不列入保用范围）；</w:t>
      </w:r>
    </w:p>
    <w:p>
      <w:pPr>
        <w:shd w:val="clear" w:color="auto" w:fill="FFFFFF"/>
        <w:spacing w:line="360" w:lineRule="auto"/>
        <w:ind w:firstLine="480" w:firstLineChars="200"/>
        <w:jc w:val="left"/>
        <w:rPr>
          <w:rFonts w:hint="eastAsia" w:ascii="仿宋" w:hAnsi="仿宋" w:eastAsia="仿宋"/>
          <w:b/>
          <w:bCs w:val="0"/>
          <w:sz w:val="24"/>
          <w:szCs w:val="24"/>
          <w:lang w:eastAsia="zh-CN"/>
        </w:rPr>
      </w:pPr>
      <w:r>
        <w:rPr>
          <w:rFonts w:hint="eastAsia" w:ascii="仿宋" w:hAnsi="仿宋" w:eastAsia="仿宋"/>
          <w:b/>
          <w:bCs w:val="0"/>
          <w:sz w:val="24"/>
          <w:szCs w:val="24"/>
        </w:rPr>
        <w:t>公司维修地址：</w:t>
      </w:r>
      <w:r>
        <w:rPr>
          <w:rFonts w:hint="eastAsia" w:ascii="仿宋" w:hAnsi="仿宋" w:eastAsia="仿宋"/>
          <w:b/>
          <w:bCs w:val="0"/>
          <w:sz w:val="24"/>
          <w:szCs w:val="24"/>
          <w:lang w:eastAsia="zh-CN"/>
        </w:rPr>
        <w:t>禹州市药城路中段</w:t>
      </w:r>
      <w:r>
        <w:rPr>
          <w:rFonts w:hint="eastAsia" w:ascii="仿宋" w:hAnsi="仿宋" w:eastAsia="仿宋"/>
          <w:b/>
          <w:bCs w:val="0"/>
          <w:sz w:val="24"/>
          <w:szCs w:val="24"/>
          <w:lang w:val="en-US" w:eastAsia="zh-CN"/>
        </w:rPr>
        <w:t>506号</w:t>
      </w:r>
    </w:p>
    <w:p>
      <w:pPr>
        <w:shd w:val="clear" w:color="auto" w:fill="FFFFFF"/>
        <w:spacing w:line="360" w:lineRule="auto"/>
        <w:ind w:firstLine="480" w:firstLineChars="200"/>
        <w:jc w:val="left"/>
        <w:rPr>
          <w:rFonts w:ascii="仿宋" w:hAnsi="仿宋" w:eastAsia="仿宋"/>
          <w:b/>
          <w:bCs w:val="0"/>
          <w:sz w:val="24"/>
          <w:szCs w:val="24"/>
        </w:rPr>
      </w:pPr>
      <w:r>
        <w:rPr>
          <w:rFonts w:hint="eastAsia" w:ascii="仿宋" w:hAnsi="仿宋" w:eastAsia="仿宋"/>
          <w:b/>
          <w:bCs w:val="0"/>
          <w:sz w:val="24"/>
          <w:szCs w:val="24"/>
        </w:rPr>
        <w:t>负责人：</w:t>
      </w:r>
      <w:r>
        <w:rPr>
          <w:rFonts w:hint="eastAsia" w:ascii="仿宋" w:hAnsi="仿宋" w:eastAsia="仿宋"/>
          <w:b/>
          <w:bCs w:val="0"/>
          <w:sz w:val="24"/>
          <w:szCs w:val="24"/>
          <w:lang w:eastAsia="zh-CN"/>
        </w:rPr>
        <w:t>赵鹏</w:t>
      </w:r>
    </w:p>
    <w:p>
      <w:pPr>
        <w:shd w:val="clear" w:color="auto" w:fill="FFFFFF"/>
        <w:spacing w:line="360" w:lineRule="auto"/>
        <w:ind w:firstLine="480" w:firstLineChars="200"/>
        <w:jc w:val="left"/>
        <w:rPr>
          <w:rFonts w:ascii="仿宋" w:hAnsi="仿宋" w:eastAsia="仿宋"/>
          <w:b/>
          <w:bCs w:val="0"/>
          <w:sz w:val="24"/>
          <w:szCs w:val="24"/>
        </w:rPr>
      </w:pPr>
      <w:r>
        <w:rPr>
          <w:rFonts w:hint="eastAsia" w:ascii="仿宋" w:hAnsi="仿宋" w:eastAsia="仿宋"/>
          <w:b/>
          <w:bCs w:val="0"/>
          <w:sz w:val="24"/>
          <w:szCs w:val="24"/>
        </w:rPr>
        <w:t>联系人：</w:t>
      </w:r>
      <w:r>
        <w:rPr>
          <w:rFonts w:hint="eastAsia" w:ascii="仿宋" w:hAnsi="仿宋" w:eastAsia="仿宋"/>
          <w:b/>
          <w:bCs w:val="0"/>
          <w:sz w:val="24"/>
          <w:szCs w:val="24"/>
          <w:lang w:eastAsia="zh-CN"/>
        </w:rPr>
        <w:t>王新凯</w:t>
      </w:r>
    </w:p>
    <w:p>
      <w:pPr>
        <w:shd w:val="clear" w:color="auto" w:fill="FFFFFF"/>
        <w:spacing w:line="360" w:lineRule="auto"/>
        <w:ind w:firstLine="480" w:firstLineChars="200"/>
        <w:jc w:val="left"/>
        <w:rPr>
          <w:rFonts w:hint="eastAsia" w:ascii="仿宋" w:hAnsi="仿宋" w:eastAsia="仿宋"/>
          <w:b/>
          <w:bCs w:val="0"/>
          <w:sz w:val="24"/>
          <w:szCs w:val="24"/>
          <w:lang w:val="en-US" w:eastAsia="zh-CN"/>
        </w:rPr>
      </w:pPr>
      <w:r>
        <w:rPr>
          <w:rFonts w:hint="eastAsia" w:ascii="仿宋" w:hAnsi="仿宋" w:eastAsia="仿宋"/>
          <w:b/>
          <w:bCs w:val="0"/>
          <w:sz w:val="24"/>
          <w:szCs w:val="24"/>
        </w:rPr>
        <w:t>联系人电话：</w:t>
      </w:r>
      <w:r>
        <w:rPr>
          <w:rFonts w:hint="eastAsia" w:ascii="仿宋" w:hAnsi="仿宋" w:eastAsia="仿宋"/>
          <w:b/>
          <w:bCs w:val="0"/>
          <w:sz w:val="24"/>
          <w:szCs w:val="24"/>
          <w:lang w:val="en-US" w:eastAsia="zh-CN"/>
        </w:rPr>
        <w:t>13839015905</w:t>
      </w:r>
    </w:p>
    <w:p>
      <w:pPr>
        <w:shd w:val="clear" w:color="auto" w:fill="FFFFFF"/>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2.保修期内，前三个月每月至少安排一次例行上门维护，以后则第季度上门一次例行维护；（其中包括线路的日常检测，主设备的整机除尘，其它设备的清洁保养）。</w:t>
      </w:r>
    </w:p>
    <w:p>
      <w:pPr>
        <w:shd w:val="clear" w:color="auto" w:fill="FFFFFF"/>
        <w:spacing w:line="360" w:lineRule="auto"/>
        <w:ind w:firstLine="480" w:firstLineChars="200"/>
        <w:jc w:val="left"/>
        <w:rPr>
          <w:rFonts w:hint="eastAsia" w:ascii="仿宋" w:hAnsi="仿宋" w:eastAsia="仿宋"/>
          <w:bCs/>
          <w:sz w:val="24"/>
          <w:szCs w:val="24"/>
        </w:rPr>
      </w:pPr>
    </w:p>
    <w:p>
      <w:pPr>
        <w:shd w:val="clear" w:color="auto" w:fill="FFFFFF"/>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3.我公司提供专区专人售后服务.</w:t>
      </w:r>
    </w:p>
    <w:p>
      <w:pPr>
        <w:shd w:val="clear" w:color="auto" w:fill="FFFFFF"/>
        <w:spacing w:line="360" w:lineRule="auto"/>
        <w:ind w:firstLine="960" w:firstLineChars="400"/>
        <w:jc w:val="left"/>
        <w:rPr>
          <w:rFonts w:hint="eastAsia" w:ascii="仿宋" w:hAnsi="仿宋" w:eastAsia="仿宋"/>
          <w:bCs/>
          <w:sz w:val="24"/>
          <w:szCs w:val="24"/>
        </w:rPr>
      </w:pPr>
      <w:r>
        <w:rPr>
          <w:rFonts w:hint="eastAsia" w:ascii="仿宋" w:hAnsi="仿宋" w:eastAsia="仿宋"/>
          <w:bCs/>
          <w:sz w:val="24"/>
          <w:szCs w:val="24"/>
        </w:rPr>
        <w:t>a)</w:t>
      </w:r>
      <w:r>
        <w:rPr>
          <w:rFonts w:hint="eastAsia" w:ascii="仿宋" w:hAnsi="仿宋" w:eastAsia="仿宋"/>
          <w:bCs/>
          <w:sz w:val="24"/>
          <w:szCs w:val="24"/>
        </w:rPr>
        <w:tab/>
      </w:r>
      <w:r>
        <w:rPr>
          <w:rFonts w:hint="eastAsia" w:ascii="仿宋" w:hAnsi="仿宋" w:eastAsia="仿宋"/>
          <w:bCs/>
          <w:sz w:val="24"/>
          <w:szCs w:val="24"/>
        </w:rPr>
        <w:t>终身免费保养服务：保修期满后，设备享有终身免费保养服务。用户不需付检测费、维修费。把设备送至本公司技术维修部即可免费维修。只有在需要换零配件时才收回零配件成本，否则不需付任何费用。</w:t>
      </w:r>
    </w:p>
    <w:p>
      <w:pPr>
        <w:shd w:val="clear" w:color="auto" w:fill="FFFFFF"/>
        <w:spacing w:line="360" w:lineRule="auto"/>
        <w:ind w:firstLine="960" w:firstLineChars="400"/>
        <w:jc w:val="left"/>
        <w:rPr>
          <w:rFonts w:hint="eastAsia" w:ascii="仿宋" w:hAnsi="仿宋" w:eastAsia="仿宋"/>
          <w:bCs/>
          <w:sz w:val="24"/>
          <w:szCs w:val="24"/>
        </w:rPr>
      </w:pPr>
      <w:r>
        <w:rPr>
          <w:rFonts w:hint="eastAsia" w:ascii="仿宋" w:hAnsi="仿宋" w:eastAsia="仿宋"/>
          <w:bCs/>
          <w:sz w:val="24"/>
          <w:szCs w:val="24"/>
        </w:rPr>
        <w:t>b)</w:t>
      </w:r>
      <w:r>
        <w:rPr>
          <w:rFonts w:hint="eastAsia" w:ascii="仿宋" w:hAnsi="仿宋" w:eastAsia="仿宋"/>
          <w:bCs/>
          <w:sz w:val="24"/>
          <w:szCs w:val="24"/>
        </w:rPr>
        <w:tab/>
      </w:r>
      <w:r>
        <w:rPr>
          <w:rFonts w:hint="eastAsia" w:ascii="仿宋" w:hAnsi="仿宋" w:eastAsia="仿宋"/>
          <w:bCs/>
          <w:sz w:val="24"/>
          <w:szCs w:val="24"/>
        </w:rPr>
        <w:t>保修期后，我司收取适当代维费，依旧实行上门维护。</w:t>
      </w:r>
    </w:p>
    <w:p>
      <w:pPr>
        <w:shd w:val="clear" w:color="auto" w:fill="FFFFFF"/>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4.我司提供免费培训、咨询服务：凡我司客户，免费提供专人培训，率先实行先培训后购设备的优惠措施，给用户提供一个良好的售后服务。用户在使用过程中遇有任何疑难问题，可随时来电咨询或我司技术员上门服务。</w:t>
      </w:r>
    </w:p>
    <w:p>
      <w:pPr>
        <w:shd w:val="clear" w:color="auto" w:fill="FFFFFF"/>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5.我公司常年备有工程中常用设备，如现场无法处理的，我司及时免费提供备用设备，保证系统的正常工作（保修期内或已签代维合同的客户）。</w:t>
      </w:r>
    </w:p>
    <w:p>
      <w:pPr>
        <w:shd w:val="clear" w:color="auto" w:fill="FFFFFF"/>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6.免费上门保修期满后，如不与我司签订代维保修合同的用户，而又有需要公司派员上门解决的，可按每次收取若干上门费用，实行有偿上门服务。</w:t>
      </w:r>
    </w:p>
    <w:p>
      <w:pPr>
        <w:shd w:val="clear" w:color="auto" w:fill="FFFFFF"/>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7.我公司随时为用户提供相关设备资料及咨询，反馈客户意见。</w:t>
      </w:r>
    </w:p>
    <w:p>
      <w:pPr>
        <w:shd w:val="clear" w:color="auto" w:fill="FFFFFF"/>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8.</w:t>
      </w:r>
      <w:r>
        <w:rPr>
          <w:rFonts w:hint="eastAsia" w:ascii="仿宋" w:hAnsi="仿宋" w:eastAsia="仿宋"/>
          <w:bCs/>
          <w:sz w:val="24"/>
          <w:szCs w:val="24"/>
        </w:rPr>
        <w:tab/>
      </w:r>
      <w:r>
        <w:rPr>
          <w:rFonts w:hint="eastAsia" w:ascii="仿宋" w:hAnsi="仿宋" w:eastAsia="仿宋"/>
          <w:bCs/>
          <w:sz w:val="24"/>
          <w:szCs w:val="24"/>
        </w:rPr>
        <w:t>工程完工验收完毕当日开始计算保修期，用户在保修期内必须依照设备的操作说明书使用，清洁和保养。</w:t>
      </w:r>
    </w:p>
    <w:p>
      <w:pPr>
        <w:shd w:val="clear" w:color="auto" w:fill="FFFFFF"/>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9.</w:t>
      </w:r>
      <w:r>
        <w:rPr>
          <w:rFonts w:hint="eastAsia" w:ascii="仿宋" w:hAnsi="仿宋" w:eastAsia="仿宋"/>
          <w:bCs/>
          <w:sz w:val="24"/>
          <w:szCs w:val="24"/>
        </w:rPr>
        <w:tab/>
      </w:r>
      <w:r>
        <w:rPr>
          <w:rFonts w:hint="eastAsia" w:ascii="仿宋" w:hAnsi="仿宋" w:eastAsia="仿宋"/>
          <w:bCs/>
          <w:sz w:val="24"/>
          <w:szCs w:val="24"/>
        </w:rPr>
        <w:t>免费保修期内，我司将定期派人对系统检查，反馈客户意见。</w:t>
      </w:r>
    </w:p>
    <w:p>
      <w:pPr>
        <w:shd w:val="clear" w:color="auto" w:fill="FFFFFF"/>
        <w:spacing w:line="360" w:lineRule="auto"/>
        <w:jc w:val="left"/>
        <w:rPr>
          <w:rFonts w:hint="eastAsia" w:ascii="仿宋" w:hAnsi="仿宋" w:eastAsia="仿宋"/>
          <w:bCs/>
          <w:sz w:val="24"/>
          <w:szCs w:val="24"/>
        </w:rPr>
      </w:pPr>
      <w:r>
        <w:rPr>
          <w:rFonts w:hint="eastAsia" w:ascii="仿宋" w:hAnsi="仿宋" w:eastAsia="仿宋"/>
          <w:bCs/>
          <w:sz w:val="24"/>
          <w:szCs w:val="24"/>
        </w:rPr>
        <w:t>为了确保系统的施工、验收顺利，给业主提供必要的协助是我公司的一贯原则。我公司将会在系统施工报建、报验的经验及资源，协助业主完成由相关部门报建、报验。</w:t>
      </w:r>
    </w:p>
    <w:p>
      <w:pPr>
        <w:shd w:val="clear" w:color="auto" w:fill="FFFFFF"/>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我们承诺长期随时提供免费的最新的产品技术资料。</w:t>
      </w:r>
    </w:p>
    <w:p>
      <w:pPr>
        <w:shd w:val="clear" w:color="auto" w:fill="FFFFFF"/>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本公司维修点对每次项目工程做到预留备品备件，在厂家维修支持下，快速为客户提供优质服务。</w:t>
      </w:r>
    </w:p>
    <w:p>
      <w:pPr>
        <w:shd w:val="clear" w:color="auto" w:fill="FFFFFF"/>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本公司将根据业主的运行管理模式，结合本工程系统需要进行维护保养的内容，为业主量身定做一套切实可行的维护保养表，对业主的使用和管理人员进行保养指导，并将业主反馈的维护保养记录进行详细的分析，及时发现问题，做到防患于未然，保证系统能安全正常地运行。</w:t>
      </w:r>
    </w:p>
    <w:p>
      <w:pPr>
        <w:shd w:val="clear" w:color="auto" w:fill="FFFFFF"/>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我公司将针对本系统项目的应用情况，提出先进、合理的系统应用优化方案，确保工程的技术先进性、使用合理性、运行经济性等各项指标良好，确保工程技术与时代同步。对于软件的升级，我公司将免费提供，硬件系统的升级也采取成本式服务。</w:t>
      </w:r>
    </w:p>
    <w:p>
      <w:pPr>
        <w:shd w:val="clear" w:color="auto" w:fill="FFFFFF"/>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由于本系统工程设计时考虑到了系统正常运行的不可间断性，将本系统工程列为本公司的应急处理项目，在本公司的仓库考虑配备系统所有应急使用的原设计应用产品或更高性能的应急产品。在工程施工完毕，验收合格后，我公司将同业主建立定期的联络，协商定期巡检制度。</w:t>
      </w:r>
    </w:p>
    <w:p>
      <w:pPr>
        <w:shd w:val="clear" w:color="auto" w:fill="FFFFFF"/>
        <w:jc w:val="left"/>
        <w:rPr>
          <w:rFonts w:ascii="仿宋" w:hAnsi="仿宋" w:eastAsia="仿宋"/>
          <w:bCs/>
          <w:sz w:val="28"/>
          <w:szCs w:val="28"/>
        </w:rPr>
      </w:pPr>
    </w:p>
    <w:p>
      <w:pPr>
        <w:shd w:val="clear" w:color="auto" w:fill="FFFFFF"/>
        <w:jc w:val="left"/>
        <w:rPr>
          <w:rFonts w:ascii="仿宋" w:hAnsi="仿宋" w:eastAsia="仿宋"/>
          <w:bCs/>
          <w:sz w:val="28"/>
          <w:szCs w:val="28"/>
        </w:rPr>
      </w:pPr>
    </w:p>
    <w:p>
      <w:pPr>
        <w:shd w:val="clear" w:color="auto" w:fill="FFFFFF"/>
        <w:ind w:firstLine="1820" w:firstLineChars="650"/>
        <w:jc w:val="left"/>
        <w:rPr>
          <w:rFonts w:hint="eastAsia" w:ascii="仿宋" w:hAnsi="仿宋" w:eastAsia="仿宋"/>
          <w:bCs/>
          <w:sz w:val="28"/>
          <w:szCs w:val="28"/>
        </w:rPr>
      </w:pPr>
      <w:r>
        <w:rPr>
          <w:rFonts w:hint="eastAsia" w:ascii="仿宋" w:hAnsi="仿宋" w:eastAsia="仿宋"/>
          <w:bCs/>
          <w:sz w:val="28"/>
          <w:szCs w:val="28"/>
          <w:lang w:eastAsia="zh-CN"/>
        </w:rPr>
        <w:t>供应商</w:t>
      </w:r>
      <w:r>
        <w:rPr>
          <w:rFonts w:hint="eastAsia" w:ascii="仿宋" w:hAnsi="仿宋" w:eastAsia="仿宋"/>
          <w:bCs/>
          <w:sz w:val="28"/>
          <w:szCs w:val="28"/>
        </w:rPr>
        <w:t>名称(盖章)：</w:t>
      </w:r>
      <w:r>
        <w:rPr>
          <w:rFonts w:hint="eastAsia" w:ascii="仿宋" w:hAnsi="仿宋" w:eastAsia="仿宋"/>
          <w:bCs/>
          <w:sz w:val="28"/>
          <w:szCs w:val="28"/>
          <w:u w:val="single"/>
          <w:lang w:eastAsia="zh-CN"/>
        </w:rPr>
        <w:t>禹州市开创电子</w:t>
      </w:r>
      <w:r>
        <w:rPr>
          <w:rFonts w:hint="eastAsia" w:ascii="仿宋" w:hAnsi="仿宋" w:eastAsia="仿宋"/>
          <w:bCs/>
          <w:sz w:val="28"/>
          <w:szCs w:val="28"/>
          <w:u w:val="single"/>
        </w:rPr>
        <w:t>有限公司</w:t>
      </w:r>
    </w:p>
    <w:p>
      <w:pPr>
        <w:shd w:val="clear" w:color="auto" w:fill="FFFFFF"/>
        <w:ind w:firstLine="1820" w:firstLineChars="650"/>
        <w:jc w:val="left"/>
        <w:rPr>
          <w:rFonts w:ascii="仿宋" w:hAnsi="仿宋" w:eastAsia="仿宋"/>
          <w:bCs/>
          <w:sz w:val="28"/>
          <w:szCs w:val="28"/>
        </w:rPr>
      </w:pPr>
      <w:r>
        <w:rPr>
          <w:rFonts w:hint="eastAsia" w:ascii="仿宋" w:hAnsi="仿宋" w:eastAsia="仿宋"/>
          <w:bCs/>
          <w:sz w:val="28"/>
          <w:szCs w:val="28"/>
        </w:rPr>
        <w:t>法定代表人（授权代表）签字：</w:t>
      </w:r>
      <w:r>
        <w:rPr>
          <w:rFonts w:hint="eastAsia" w:ascii="仿宋" w:hAnsi="仿宋" w:eastAsia="仿宋"/>
          <w:bCs/>
          <w:sz w:val="28"/>
          <w:szCs w:val="28"/>
          <w:u w:val="single"/>
        </w:rPr>
        <w:t xml:space="preserve">       </w:t>
      </w:r>
      <w:r>
        <w:rPr>
          <w:rFonts w:ascii="仿宋" w:hAnsi="仿宋" w:eastAsia="仿宋"/>
          <w:bCs/>
          <w:sz w:val="28"/>
          <w:szCs w:val="28"/>
          <w:u w:val="single"/>
        </w:rPr>
        <w:t xml:space="preserve">   </w:t>
      </w:r>
      <w:r>
        <w:rPr>
          <w:rFonts w:hint="eastAsia" w:ascii="仿宋" w:hAnsi="仿宋" w:eastAsia="仿宋"/>
          <w:bCs/>
          <w:sz w:val="28"/>
          <w:szCs w:val="28"/>
          <w:u w:val="single"/>
        </w:rPr>
        <w:t xml:space="preserve">  </w:t>
      </w:r>
      <w:r>
        <w:rPr>
          <w:rFonts w:hint="eastAsia" w:ascii="仿宋" w:hAnsi="仿宋" w:eastAsia="仿宋"/>
          <w:bCs/>
          <w:sz w:val="28"/>
          <w:szCs w:val="28"/>
        </w:rPr>
        <w:t xml:space="preserve"> </w:t>
      </w:r>
    </w:p>
    <w:p>
      <w:pPr>
        <w:shd w:val="clear" w:color="auto" w:fill="FFFFFF"/>
        <w:ind w:firstLine="1820" w:firstLineChars="650"/>
        <w:jc w:val="left"/>
        <w:rPr>
          <w:rFonts w:ascii="仿宋" w:hAnsi="仿宋" w:eastAsia="仿宋"/>
          <w:bCs/>
          <w:sz w:val="28"/>
          <w:szCs w:val="28"/>
          <w:u w:val="single"/>
        </w:rPr>
      </w:pPr>
      <w:r>
        <w:rPr>
          <w:rFonts w:hint="eastAsia" w:ascii="仿宋" w:hAnsi="仿宋" w:eastAsia="仿宋"/>
          <w:bCs/>
          <w:sz w:val="28"/>
          <w:szCs w:val="28"/>
          <w:lang w:eastAsia="zh-CN"/>
        </w:rPr>
        <w:t>询价</w:t>
      </w:r>
      <w:r>
        <w:rPr>
          <w:rFonts w:hint="eastAsia" w:ascii="仿宋" w:hAnsi="仿宋" w:eastAsia="仿宋"/>
          <w:bCs/>
          <w:sz w:val="28"/>
          <w:szCs w:val="28"/>
        </w:rPr>
        <w:t>日期：</w:t>
      </w:r>
      <w:r>
        <w:rPr>
          <w:rFonts w:hint="eastAsia" w:ascii="仿宋" w:hAnsi="仿宋" w:eastAsia="仿宋"/>
          <w:bCs/>
          <w:sz w:val="28"/>
          <w:szCs w:val="28"/>
          <w:u w:val="single"/>
          <w:lang w:eastAsia="zh-CN"/>
        </w:rPr>
        <w:t>2018年</w:t>
      </w:r>
      <w:r>
        <w:rPr>
          <w:rFonts w:hint="eastAsia" w:ascii="仿宋" w:hAnsi="仿宋" w:eastAsia="仿宋"/>
          <w:bCs/>
          <w:sz w:val="28"/>
          <w:szCs w:val="28"/>
          <w:u w:val="single"/>
          <w:lang w:val="en-US" w:eastAsia="zh-CN"/>
        </w:rPr>
        <w:t>11</w:t>
      </w:r>
      <w:r>
        <w:rPr>
          <w:rFonts w:hint="eastAsia" w:ascii="仿宋" w:hAnsi="仿宋" w:eastAsia="仿宋"/>
          <w:bCs/>
          <w:sz w:val="28"/>
          <w:szCs w:val="28"/>
          <w:u w:val="single"/>
          <w:lang w:eastAsia="zh-CN"/>
        </w:rPr>
        <w:t>月</w:t>
      </w:r>
      <w:r>
        <w:rPr>
          <w:rFonts w:hint="eastAsia" w:ascii="仿宋" w:hAnsi="仿宋" w:eastAsia="仿宋"/>
          <w:bCs/>
          <w:sz w:val="28"/>
          <w:szCs w:val="28"/>
          <w:u w:val="single"/>
          <w:lang w:val="en-US" w:eastAsia="zh-CN"/>
        </w:rPr>
        <w:t>27</w:t>
      </w:r>
      <w:r>
        <w:rPr>
          <w:rFonts w:hint="eastAsia" w:ascii="仿宋" w:hAnsi="仿宋" w:eastAsia="仿宋"/>
          <w:bCs/>
          <w:sz w:val="28"/>
          <w:szCs w:val="28"/>
          <w:u w:val="single"/>
          <w:lang w:eastAsia="zh-CN"/>
        </w:rPr>
        <w:t>日</w:t>
      </w:r>
    </w:p>
    <w:p>
      <w:pPr>
        <w:ind w:firstLine="280" w:firstLineChars="100"/>
        <w:rPr>
          <w:rFonts w:hint="eastAsia" w:ascii="仿宋" w:hAnsi="仿宋" w:eastAsia="仿宋"/>
          <w:b/>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altName w:val="微软雅黑"/>
    <w:panose1 w:val="02010609060101010101"/>
    <w:charset w:val="86"/>
    <w:family w:val="modern"/>
    <w:pitch w:val="default"/>
    <w:sig w:usb0="00000000" w:usb1="00000000" w:usb2="00000016" w:usb3="00000000" w:csb0="00040001" w:csb1="00000000"/>
  </w:font>
  <w:font w:name="楷体">
    <w:altName w:val="宋体"/>
    <w:panose1 w:val="02010609060101010101"/>
    <w:charset w:val="86"/>
    <w:family w:val="modern"/>
    <w:pitch w:val="default"/>
    <w:sig w:usb0="00000000" w:usb1="00000000" w:usb2="00000016" w:usb3="00000000" w:csb0="00040001"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79BC"/>
    <w:rsid w:val="00030B88"/>
    <w:rsid w:val="004579BC"/>
    <w:rsid w:val="00646D2D"/>
    <w:rsid w:val="006F1F9C"/>
    <w:rsid w:val="00903199"/>
    <w:rsid w:val="00B375FD"/>
    <w:rsid w:val="00DB4E3B"/>
    <w:rsid w:val="17837E59"/>
    <w:rsid w:val="281D52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widowControl w:val="0"/>
      <w:spacing w:before="340" w:after="330" w:line="578" w:lineRule="auto"/>
      <w:ind w:left="0" w:firstLine="0"/>
      <w:jc w:val="both"/>
      <w:outlineLvl w:val="0"/>
    </w:pPr>
    <w:rPr>
      <w:b/>
      <w:sz w:val="44"/>
    </w:rPr>
  </w:style>
  <w:style w:type="character" w:default="1" w:styleId="3">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customStyle="1" w:styleId="5">
    <w:name w:val="无间隔1"/>
    <w:basedOn w:val="1"/>
    <w:qFormat/>
    <w:uiPriority w:val="0"/>
    <w:pPr>
      <w:spacing w:line="400" w:lineRule="exact"/>
    </w:pPr>
    <w:rPr>
      <w:rFonts w:ascii="Times New Roman" w:hAnsi="Times New Roman" w:eastAsia="宋体" w:cs="Times New Roman"/>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124</Words>
  <Characters>712</Characters>
  <Lines>5</Lines>
  <Paragraphs>1</Paragraphs>
  <TotalTime>1</TotalTime>
  <ScaleCrop>false</ScaleCrop>
  <LinksUpToDate>false</LinksUpToDate>
  <CharactersWithSpaces>835</CharactersWithSpaces>
  <Application>WPS Office_10.1.0.7521_F1E327BC-269C-435d-A152-05C5408002CA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2018-11-23T10:33:00Z</dcterms:created>
  <dc:creator>Administrator</dc:creator>
  <cp:lastModifiedBy>禹州恒信～程</cp:lastModifiedBy>
  <dcterms:modified xsi:type="dcterms:W3CDTF">2018-11-29T01:26:51Z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