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auto"/>
          <w:kern w:val="0"/>
          <w:sz w:val="28"/>
          <w:szCs w:val="28"/>
        </w:rPr>
      </w:pPr>
      <w:r>
        <w:rPr>
          <w:rFonts w:hint="eastAsia" w:ascii="仿宋_GB2312" w:hAnsi="微软雅黑" w:eastAsia="仿宋_GB2312" w:cs="仿宋_GB2312"/>
          <w:b/>
          <w:color w:val="auto"/>
          <w:kern w:val="0"/>
          <w:sz w:val="36"/>
          <w:szCs w:val="36"/>
          <w:shd w:val="clear" w:color="auto" w:fill="FFFFFF"/>
        </w:rPr>
        <w:t>YLZB-G2018</w:t>
      </w:r>
      <w:r>
        <w:rPr>
          <w:rFonts w:hint="eastAsia" w:ascii="仿宋_GB2312" w:hAnsi="微软雅黑" w:eastAsia="仿宋_GB2312" w:cs="仿宋_GB2312"/>
          <w:b/>
          <w:color w:val="auto"/>
          <w:kern w:val="0"/>
          <w:sz w:val="36"/>
          <w:szCs w:val="36"/>
          <w:shd w:val="clear" w:color="auto" w:fill="FFFFFF"/>
          <w:lang w:val="en-US" w:eastAsia="zh-CN"/>
        </w:rPr>
        <w:t>077</w:t>
      </w:r>
      <w:r>
        <w:rPr>
          <w:rFonts w:hint="eastAsia" w:ascii="仿宋_GB2312" w:hAnsi="微软雅黑" w:eastAsia="仿宋_GB2312" w:cs="仿宋_GB2312"/>
          <w:b/>
          <w:color w:val="auto"/>
          <w:kern w:val="0"/>
          <w:sz w:val="36"/>
          <w:szCs w:val="36"/>
          <w:shd w:val="clear" w:color="auto" w:fill="FFFFFF"/>
        </w:rPr>
        <w:t>号</w:t>
      </w:r>
      <w:r>
        <w:rPr>
          <w:rFonts w:hint="eastAsia" w:ascii="仿宋_GB2312" w:hAnsi="微软雅黑" w:eastAsia="仿宋_GB2312" w:cs="仿宋_GB2312"/>
          <w:b/>
          <w:color w:val="auto"/>
          <w:kern w:val="0"/>
          <w:sz w:val="36"/>
          <w:szCs w:val="36"/>
          <w:shd w:val="clear" w:color="auto" w:fill="FFFFFF"/>
          <w:lang w:eastAsia="zh-CN"/>
        </w:rPr>
        <w:t>禹州市人民医院“肺功能仪（进口）医疗设备采购项目”</w:t>
      </w:r>
      <w:r>
        <w:rPr>
          <w:rFonts w:hint="eastAsia" w:ascii="仿宋_GB2312" w:hAnsi="微软雅黑" w:eastAsia="仿宋_GB2312" w:cs="仿宋_GB2312"/>
          <w:b/>
          <w:color w:val="auto"/>
          <w:kern w:val="0"/>
          <w:sz w:val="36"/>
          <w:szCs w:val="36"/>
          <w:shd w:val="clear" w:color="auto" w:fill="FFFFFF"/>
        </w:rPr>
        <w:t>采购需求、评标标准等说明</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一、项目概况</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（一）项目名称：禹州市人民医院“肺功能仪（进口）医疗设备采购项目”</w:t>
      </w:r>
      <w:r>
        <w:rPr>
          <w:rFonts w:hint="eastAsia" w:ascii="仿宋" w:hAnsi="仿宋" w:eastAsia="仿宋" w:cs="宋体"/>
          <w:color w:val="auto"/>
          <w:sz w:val="30"/>
          <w:szCs w:val="30"/>
          <w:lang w:val="en-US" w:eastAsia="zh-CN"/>
        </w:rPr>
        <w:t xml:space="preserve">    </w:t>
      </w:r>
      <w:r>
        <w:rPr>
          <w:rFonts w:hint="eastAsia" w:ascii="仿宋" w:hAnsi="仿宋" w:eastAsia="仿宋" w:cs="宋体"/>
          <w:color w:val="auto"/>
          <w:sz w:val="30"/>
          <w:szCs w:val="30"/>
          <w:lang w:val="zh-CN"/>
        </w:rPr>
        <w:t xml:space="preserve">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 xml:space="preserve">（二）采购方式：公开招标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（三）项目主要内容、数量及要求：肺功能仪（进口）1套。</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（四）标包划分：本项目共设一个包。</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（五）预算金额：97万元，最高限价：97万元。</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（六）交付时间 ：合同签订后30天内</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（七）交付地点：禹州市人民医院</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（八）进口产品：允许</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（九）分包：不允许</w:t>
      </w:r>
    </w:p>
    <w:p>
      <w:pPr>
        <w:snapToGrid w:val="0"/>
        <w:spacing w:line="360" w:lineRule="auto"/>
        <w:ind w:firstLine="600" w:firstLineChars="200"/>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本项目落实节能环保</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、中小微型企业扶持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、支持监狱企业发展</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、残疾人福利性单位扶持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三、投标人资格要求</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（一）符合《中华人民共和国政府采购法》第二十二条之规定；</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（二）具有相应范围的《医疗器械生产许可证》或《医疗器械经营许可证》经营范围涵盖所投产品，并具有投标产品的《中华人民共和国医疗器械注册证》并加盖投标人公章的原件扫描件（或图片）；</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(三) 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（四）本次招标不接受联合体投标。</w:t>
      </w:r>
    </w:p>
    <w:p>
      <w:pPr>
        <w:widowControl/>
        <w:shd w:val="clear" w:color="auto" w:fill="FFFFFF"/>
        <w:spacing w:line="360" w:lineRule="atLeast"/>
        <w:ind w:firstLine="600"/>
        <w:jc w:val="left"/>
        <w:rPr>
          <w:rFonts w:ascii="黑体" w:hAnsi="宋体" w:eastAsia="黑体" w:cs="黑体"/>
          <w:color w:val="auto"/>
          <w:kern w:val="0"/>
          <w:sz w:val="30"/>
          <w:szCs w:val="30"/>
          <w:shd w:val="clear" w:color="auto" w:fill="FFFFFF"/>
        </w:rPr>
      </w:pPr>
      <w:r>
        <w:rPr>
          <w:rFonts w:hint="eastAsia" w:ascii="黑体" w:hAnsi="宋体" w:eastAsia="黑体" w:cs="黑体"/>
          <w:color w:val="auto"/>
          <w:kern w:val="0"/>
          <w:sz w:val="30"/>
          <w:szCs w:val="30"/>
          <w:shd w:val="clear" w:color="auto" w:fill="FFFFFF"/>
        </w:rPr>
        <w:t>四、采购需求</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采购清单：</w:t>
      </w:r>
      <w:r>
        <w:rPr>
          <w:rFonts w:hint="eastAsia" w:cs="黑体" w:asciiTheme="minorEastAsia" w:hAnsiTheme="minorEastAsia"/>
          <w:b/>
          <w:bCs/>
          <w:color w:val="auto"/>
          <w:sz w:val="24"/>
          <w:szCs w:val="24"/>
          <w:shd w:val="clear" w:color="auto" w:fill="FFFFFF"/>
          <w:lang w:eastAsia="zh-CN"/>
        </w:rPr>
        <w:t>肺功能仪（进口）1套</w:t>
      </w:r>
      <w:r>
        <w:rPr>
          <w:rFonts w:hint="eastAsia" w:cs="黑体" w:asciiTheme="minorEastAsia" w:hAnsiTheme="minorEastAsia"/>
          <w:b/>
          <w:bCs/>
          <w:color w:val="auto"/>
          <w:sz w:val="24"/>
          <w:szCs w:val="24"/>
          <w:shd w:val="clear" w:color="auto" w:fill="FFFFFF"/>
        </w:rPr>
        <w:t>。</w:t>
      </w:r>
    </w:p>
    <w:tbl>
      <w:tblPr>
        <w:tblStyle w:val="11"/>
        <w:tblpPr w:leftFromText="180" w:rightFromText="180" w:vertAnchor="text" w:horzAnchor="page" w:tblpX="1057" w:tblpY="446"/>
        <w:tblOverlap w:val="never"/>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67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技术规格</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663" w:type="dxa"/>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是否为</w:t>
            </w:r>
          </w:p>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肺功能仪（进口）</w:t>
            </w:r>
          </w:p>
        </w:tc>
        <w:tc>
          <w:tcPr>
            <w:tcW w:w="6737" w:type="dxa"/>
            <w:vAlign w:val="center"/>
          </w:tcPr>
          <w:p>
            <w:pPr>
              <w:spacing w:line="520" w:lineRule="exact"/>
              <w:ind w:left="-2" w:leftChars="-1" w:firstLine="413" w:firstLineChars="196"/>
              <w:rPr>
                <w:rFonts w:hint="eastAsia" w:ascii="宋体" w:cs="仿宋"/>
                <w:b/>
                <w:bCs/>
                <w:sz w:val="21"/>
                <w:szCs w:val="21"/>
              </w:rPr>
            </w:pPr>
            <w:r>
              <w:rPr>
                <w:rFonts w:hint="eastAsia" w:ascii="宋体" w:cs="仿宋"/>
                <w:b/>
                <w:bCs/>
                <w:sz w:val="21"/>
                <w:szCs w:val="21"/>
              </w:rPr>
              <w:t>1、基本功能：</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1.1 慢肺活量（SVC）的测量：VT（潮气量）、ERV（补呼气量）、 IRV（补吸气量）、IC（深吸气量）以及VC（肺活量）等。</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1.2 流速容量环的测量：FEV1（一秒量）、 FVC（用力肺活量）、FEV1/FVC %（一秒率）、FEF75（用力呼气75%时的瞬间流量）、FEF50（用力呼气50%时的瞬间流量）、FEF25（用力呼气25%时的瞬间流量）、 PEF（呼气峰流速）、 FIV1（一秒钟用力呼气容积）、PIF（最高呼气流速）以及 MIF50（吸入50%VC时流速）等。</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1.3 具有流速容量环激励软件。</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1.4 具备最大自主通气量（MVV）测量功能。</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1.5 具备标准的氦稀释法残气和一氧化碳法弥散。</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1.6 具备内呼吸弥散功能测量功能：无须病人屏气，适合于呼吸困难、COPD（慢阻肺）病人、老人及儿童的测试。</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1.7具备连续多频脉冲振荡法测气道阻力（IOS）功能：在一个自主呼吸波形内可采集多个数据。</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1.8 具备支气管药物激发试验检测功能，有效检测哮喘相关疾病，协助指导患者用药，评估治疗效果。</w:t>
            </w:r>
          </w:p>
          <w:p>
            <w:pPr>
              <w:spacing w:line="520" w:lineRule="exact"/>
              <w:ind w:left="-2" w:leftChars="-1" w:firstLine="411" w:firstLineChars="196"/>
              <w:rPr>
                <w:rFonts w:hint="eastAsia" w:ascii="宋体" w:hAnsi="宋体" w:cs="FuturaLtBT"/>
                <w:color w:val="231F20"/>
                <w:kern w:val="0"/>
                <w:sz w:val="21"/>
                <w:szCs w:val="21"/>
              </w:rPr>
            </w:pPr>
            <w:r>
              <w:rPr>
                <w:rFonts w:hint="eastAsia" w:ascii="宋体" w:hAnsi="宋体" w:cs="FuturaLtBT"/>
                <w:color w:val="231F20"/>
                <w:kern w:val="0"/>
                <w:sz w:val="21"/>
                <w:szCs w:val="21"/>
              </w:rPr>
              <w:t>1.9 ≥19英吋显示器，中文操作界面，Windows XP操作系统，软件免费升级,系统能够对病人的测试参数进行统计分析，并有直观的图表显示，具备中国人的预计值系统。</w:t>
            </w:r>
          </w:p>
          <w:p>
            <w:pPr>
              <w:spacing w:line="520" w:lineRule="exact"/>
              <w:ind w:left="-2" w:leftChars="-1" w:firstLine="413" w:firstLineChars="196"/>
              <w:rPr>
                <w:rFonts w:hint="eastAsia" w:ascii="宋体" w:hAnsi="宋体" w:cs="FuturaLtBT"/>
                <w:b/>
                <w:color w:val="231F20"/>
                <w:kern w:val="0"/>
                <w:sz w:val="21"/>
                <w:szCs w:val="21"/>
              </w:rPr>
            </w:pPr>
            <w:r>
              <w:rPr>
                <w:rFonts w:hint="eastAsia" w:ascii="宋体" w:hAnsi="宋体" w:cs="FuturaLtBT"/>
                <w:b/>
                <w:color w:val="231F20"/>
                <w:kern w:val="0"/>
                <w:sz w:val="21"/>
                <w:szCs w:val="21"/>
              </w:rPr>
              <w:t>2、技术参数：</w:t>
            </w:r>
          </w:p>
          <w:p>
            <w:pPr>
              <w:spacing w:line="520" w:lineRule="exact"/>
              <w:ind w:left="-2" w:leftChars="-1" w:firstLine="411" w:firstLineChars="196"/>
              <w:rPr>
                <w:rFonts w:hint="eastAsia" w:ascii="宋体" w:hAnsi="宋体" w:cs="FuturaLtBT"/>
                <w:b/>
                <w:color w:val="231F20"/>
                <w:kern w:val="0"/>
                <w:sz w:val="21"/>
                <w:szCs w:val="21"/>
              </w:rPr>
            </w:pPr>
            <w:r>
              <w:rPr>
                <w:rFonts w:hint="eastAsia" w:ascii="宋体" w:hAnsi="宋体" w:cs="FuturaLtBT"/>
                <w:color w:val="231F20"/>
                <w:kern w:val="0"/>
                <w:sz w:val="21"/>
                <w:szCs w:val="21"/>
              </w:rPr>
              <w:t>2.1 流速容量传感器：流速测试双向压差流速传感器,具备自动恒温加热装置;拆卸、更换、消毒方便,避免交叉感染。</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2.1.1范围： 0 - ±19 L/s；</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2.1.2 精度： 0.2 - 11 L/s ±2 %。</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2.1.3阻力： &lt;0.05 kPa/(L/s)(在流速为 10 L/s的条件下)；</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2.1.4、容量测试数字积分法：范围为 0 - ±19 L、精度为5 mL、范围为±20 kPa以及精度&lt; ±2 %。</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2.2 气体分析器：CO 分析器电化学法：范围为 0 - 0.4 %、精度≤ 0.0003 %。</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2.3 He分析器热传导法：范围为 0 - 9.5 %、精度 ≤0.05 %，具备自动校准功能。</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2.4 自动感应采样、外置BTPS环境参数传感器。大气压：400－1200Kpa、温度：0－50℃、相对湿度：0－100％。</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2.5 震荡发生器：具有完整的数字电路（包括信号的产生和收集），数据转换通过串口完成，无需特殊接口，主要用于产生大量脉冲信号。</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2.6计算机控制喷药系统：激发试验装置和肺功能主机必须为同一品牌，一体化。具备用于激发动力源的内置压缩机。</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2.6.1 流速：7 L/min；</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2.6.2 压力：0.9 bar；</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2.6.3 雾化药罐平均雾化颗粒直径：≤ 3.2 μm；</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2.6.4 雾化能力： 240 mg/min；</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2.6.5 测试程序、激发规程和步骤数、药物名称和浓度剂量管理、雾化周期可自定义设置、雾化开始时间、雾化持续时间可自定义设置以及模式（脉冲或持续雾化）可自定义设置。</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2.7 消毒条件：传感器，硅胶口嘴等用普通消毒水即可。</w:t>
            </w:r>
          </w:p>
          <w:p>
            <w:pPr>
              <w:widowControl/>
              <w:spacing w:line="520" w:lineRule="exact"/>
              <w:ind w:firstLine="516" w:firstLineChars="246"/>
              <w:rPr>
                <w:rFonts w:hint="eastAsia" w:ascii="宋体" w:hAnsi="宋体" w:cs="FuturaLtBT"/>
                <w:color w:val="231F20"/>
                <w:kern w:val="0"/>
                <w:sz w:val="21"/>
                <w:szCs w:val="21"/>
              </w:rPr>
            </w:pPr>
            <w:r>
              <w:rPr>
                <w:rFonts w:hint="eastAsia" w:ascii="宋体" w:hAnsi="宋体" w:cs="FuturaLtBT"/>
                <w:color w:val="231F20"/>
                <w:kern w:val="0"/>
                <w:sz w:val="21"/>
                <w:szCs w:val="21"/>
              </w:rPr>
              <w:t>2.8 具备可升级双阻断法测阻力、呼吸肌力、新生儿至婴幼儿的呼气分析模块。</w:t>
            </w:r>
          </w:p>
          <w:p>
            <w:pPr>
              <w:rPr>
                <w:rFonts w:hint="eastAsia" w:ascii="宋体" w:hAnsi="宋体" w:eastAsia="宋体" w:cs="宋体"/>
                <w:b w:val="0"/>
                <w:bCs w:val="0"/>
                <w:sz w:val="21"/>
                <w:szCs w:val="21"/>
              </w:rPr>
            </w:pPr>
            <w:r>
              <w:rPr>
                <w:rFonts w:hint="eastAsia" w:ascii="宋体" w:hAnsi="宋体" w:cs="FuturaLtBT"/>
                <w:color w:val="231F20"/>
                <w:kern w:val="0"/>
                <w:sz w:val="21"/>
                <w:szCs w:val="21"/>
              </w:rPr>
              <w:t>2.9 主要配置：主机一套，彩色打印机一台，病人座椅一把、医师座椅一把。</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套</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是</w:t>
            </w:r>
          </w:p>
        </w:tc>
      </w:tr>
    </w:tbl>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lang w:val="zh-CN"/>
        </w:rPr>
      </w:pPr>
      <w:r>
        <w:rPr>
          <w:rFonts w:hint="eastAsia" w:cs="黑体" w:asciiTheme="minorEastAsia" w:hAnsiTheme="minorEastAsia"/>
          <w:b/>
          <w:bCs/>
          <w:color w:val="auto"/>
          <w:sz w:val="24"/>
          <w:szCs w:val="24"/>
          <w:shd w:val="clear" w:color="auto" w:fill="FFFFFF"/>
          <w:lang w:val="zh-CN"/>
        </w:rPr>
        <w:t>技术参数</w:t>
      </w:r>
    </w:p>
    <w:p>
      <w:pPr>
        <w:jc w:val="left"/>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numPr>
          <w:ilvl w:val="0"/>
          <w:numId w:val="2"/>
        </w:numPr>
        <w:ind w:left="450" w:leftChars="0" w:firstLine="0" w:firstLineChars="0"/>
        <w:jc w:val="left"/>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验收标准：</w:t>
      </w:r>
    </w:p>
    <w:p>
      <w:pPr>
        <w:adjustRightInd w:val="0"/>
        <w:snapToGrid w:val="0"/>
        <w:spacing w:line="360" w:lineRule="auto"/>
        <w:ind w:firstLine="560" w:firstLineChars="200"/>
        <w:rPr>
          <w:rFonts w:hint="eastAsia" w:ascii="仿宋" w:hAnsi="仿宋" w:eastAsia="仿宋" w:cs="宋体"/>
          <w:bCs/>
          <w:color w:val="auto"/>
          <w:sz w:val="28"/>
          <w:szCs w:val="24"/>
          <w:lang w:val="zh-CN"/>
        </w:rPr>
      </w:pPr>
      <w:r>
        <w:rPr>
          <w:rFonts w:hint="eastAsia" w:ascii="仿宋" w:hAnsi="仿宋" w:eastAsia="仿宋" w:cs="宋体"/>
          <w:bCs/>
          <w:color w:val="auto"/>
          <w:sz w:val="28"/>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djustRightInd w:val="0"/>
        <w:snapToGrid w:val="0"/>
        <w:spacing w:line="360" w:lineRule="auto"/>
        <w:ind w:firstLine="560" w:firstLineChars="200"/>
        <w:rPr>
          <w:rFonts w:hint="eastAsia" w:ascii="仿宋" w:hAnsi="仿宋" w:eastAsia="仿宋" w:cs="仿宋"/>
          <w:color w:val="auto"/>
          <w:sz w:val="30"/>
          <w:szCs w:val="30"/>
          <w:shd w:val="clear" w:color="auto" w:fill="FFFFFF"/>
          <w:lang w:eastAsia="zh-CN"/>
        </w:rPr>
      </w:pPr>
      <w:r>
        <w:rPr>
          <w:rFonts w:hint="eastAsia" w:ascii="仿宋" w:hAnsi="仿宋" w:eastAsia="仿宋" w:cs="宋体"/>
          <w:bCs/>
          <w:color w:val="auto"/>
          <w:sz w:val="28"/>
          <w:szCs w:val="24"/>
          <w:lang w:val="zh-CN"/>
        </w:rPr>
        <w:t>2、本项目采用现场运行、测试验收方式验收。投标人完成的项目应达到的质量标准应符合国家和履约地相关安全质量标准；行业技术规范标准；环保节能标准；强制认证相关标准。</w:t>
      </w:r>
      <w:r>
        <w:rPr>
          <w:rFonts w:hint="eastAsia" w:ascii="仿宋" w:hAnsi="仿宋" w:eastAsia="仿宋" w:cs="仿宋"/>
          <w:color w:val="auto"/>
          <w:sz w:val="30"/>
          <w:szCs w:val="30"/>
          <w:shd w:val="clear" w:color="auto" w:fill="FFFFFF"/>
        </w:rPr>
        <w:t xml:space="preserve">  </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（一）评标方法： 综合评分法</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（二）综合评分法评标标准：</w:t>
      </w:r>
    </w:p>
    <w:tbl>
      <w:tblPr>
        <w:tblStyle w:val="11"/>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分值构成</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价格分值：</w:t>
            </w: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商务部分：</w:t>
            </w:r>
            <w:r>
              <w:rPr>
                <w:rFonts w:hint="eastAsia" w:ascii="宋体" w:hAnsi="宋体" w:eastAsia="宋体" w:cs="宋体"/>
                <w:color w:val="000000"/>
                <w:kern w:val="2"/>
                <w:sz w:val="21"/>
                <w:szCs w:val="21"/>
                <w:u w:val="single"/>
                <w:lang w:val="en-US" w:eastAsia="zh-CN" w:bidi="ar"/>
              </w:rPr>
              <w:t>25</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color w:val="000000"/>
                <w:kern w:val="2"/>
                <w:sz w:val="21"/>
                <w:szCs w:val="21"/>
                <w:lang w:val="en-US" w:eastAsia="zh-CN" w:bidi="ar"/>
              </w:rPr>
              <w:t>技术部分：</w:t>
            </w:r>
            <w:r>
              <w:rPr>
                <w:rFonts w:hint="eastAsia" w:ascii="宋体" w:hAnsi="宋体" w:eastAsia="宋体" w:cs="宋体"/>
                <w:color w:val="000000"/>
                <w:kern w:val="2"/>
                <w:sz w:val="21"/>
                <w:szCs w:val="21"/>
                <w:u w:val="single"/>
                <w:lang w:val="en-US" w:eastAsia="zh-CN" w:bidi="ar"/>
              </w:rPr>
              <w:t>45</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价格部分（满分</w:t>
            </w:r>
            <w:r>
              <w:rPr>
                <w:rFonts w:hint="eastAsia" w:ascii="宋体" w:hAnsi="宋体" w:eastAsia="宋体" w:cs="宋体"/>
                <w:b/>
                <w:bCs w:val="0"/>
                <w:color w:val="000000"/>
                <w:kern w:val="2"/>
                <w:sz w:val="21"/>
                <w:szCs w:val="21"/>
                <w:u w:val="single"/>
                <w:lang w:val="en-US" w:eastAsia="zh-CN" w:bidi="ar"/>
              </w:rPr>
              <w:t>30</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投标报价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评标基准价：满足招标文件要求的有效投标报价中，最低的投标报价为评标基准价。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投标报价得分=（评标基准价/投标报价）×</w:t>
            </w:r>
            <w:r>
              <w:rPr>
                <w:rFonts w:hint="eastAsia" w:ascii="宋体" w:hAnsi="宋体" w:eastAsia="宋体" w:cs="宋体"/>
                <w:kern w:val="2"/>
                <w:sz w:val="21"/>
                <w:szCs w:val="21"/>
                <w:u w:val="single"/>
                <w:lang w:val="en-US" w:eastAsia="zh-CN" w:bidi="ar"/>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商务部分（满分</w:t>
            </w:r>
            <w:r>
              <w:rPr>
                <w:rFonts w:hint="eastAsia" w:ascii="宋体" w:hAnsi="宋体" w:eastAsia="宋体" w:cs="宋体"/>
                <w:b/>
                <w:bCs w:val="0"/>
                <w:color w:val="000000"/>
                <w:kern w:val="2"/>
                <w:sz w:val="21"/>
                <w:szCs w:val="21"/>
                <w:u w:val="single"/>
                <w:lang w:val="en-US" w:eastAsia="zh-CN" w:bidi="ar"/>
              </w:rPr>
              <w:t>25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节约能源、保护环境政策加分</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1、除政府强制采购的节能产品外，投标人所投其他产品属于“节能产品政府采购清单”优先采购产品，</w:t>
            </w:r>
            <w:r>
              <w:rPr>
                <w:rFonts w:hint="eastAsia" w:ascii="宋体" w:hAnsi="宋体" w:eastAsia="宋体" w:cs="宋体"/>
                <w:kern w:val="2"/>
                <w:sz w:val="21"/>
                <w:szCs w:val="21"/>
                <w:lang w:val="zh-CN" w:eastAsia="zh-CN" w:bidi="ar"/>
              </w:rPr>
              <w:t>投标文件中须提供最新一期《节能产品政府采购清单》中产品所在页复印件加盖投标人公章。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2、投标人所投产品属于“环境标志产品政府采购清单”内产品，</w:t>
            </w:r>
            <w:r>
              <w:rPr>
                <w:rFonts w:hint="eastAsia" w:ascii="宋体" w:hAnsi="宋体" w:eastAsia="宋体" w:cs="宋体"/>
                <w:kern w:val="2"/>
                <w:sz w:val="21"/>
                <w:szCs w:val="21"/>
                <w:lang w:val="zh-CN" w:eastAsia="zh-CN" w:bidi="ar"/>
              </w:rPr>
              <w:t>投标文件中须提供最新一期《环保产品政府采购清单》中产品所在页复印件加盖投标人公章。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b/>
                <w:color w:val="000000"/>
                <w:kern w:val="2"/>
                <w:sz w:val="21"/>
                <w:szCs w:val="21"/>
                <w:lang w:val="en-US" w:eastAsia="zh-CN"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firstLine="422" w:firstLineChars="20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 xml:space="preserve"> 业绩</w:t>
            </w:r>
          </w:p>
          <w:p>
            <w:pPr>
              <w:keepNext w:val="0"/>
              <w:keepLines w:val="0"/>
              <w:widowControl w:val="0"/>
              <w:suppressLineNumbers w:val="0"/>
              <w:spacing w:before="0" w:beforeAutospacing="0" w:after="0" w:afterAutospacing="0" w:line="430" w:lineRule="exact"/>
              <w:ind w:left="0" w:right="0" w:firstLine="420" w:firstLineChars="200"/>
              <w:jc w:val="both"/>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30" w:lineRule="exact"/>
              <w:ind w:left="0" w:right="0"/>
              <w:jc w:val="both"/>
              <w:rPr>
                <w:rFonts w:hint="eastAsia" w:ascii="宋体" w:hAnsi="宋体" w:eastAsia="宋体" w:cs="宋体"/>
                <w:bCs/>
                <w:color w:val="000000"/>
                <w:sz w:val="21"/>
                <w:szCs w:val="21"/>
                <w:lang w:val="en-US"/>
              </w:rPr>
            </w:pPr>
            <w:r>
              <w:rPr>
                <w:rFonts w:hint="eastAsia" w:ascii="宋体" w:hAnsi="宋体" w:eastAsia="宋体" w:cs="宋体"/>
                <w:kern w:val="2"/>
                <w:sz w:val="21"/>
                <w:szCs w:val="21"/>
                <w:lang w:val="en-US" w:eastAsia="zh-CN" w:bidi="ar"/>
              </w:rPr>
              <w:t>投标人2015年1月1日以来，具有类似项目业绩，合同及验收报告齐全且合同金额不低于本项目最高限价的，每提供一份得3分，最多得6分，不提供者为0分。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u w:val="single"/>
                <w:lang w:val="en-US"/>
              </w:rPr>
            </w:pPr>
            <w:r>
              <w:rPr>
                <w:rFonts w:hint="eastAsia" w:ascii="宋体" w:hAnsi="宋体" w:eastAsia="宋体" w:cs="宋体"/>
                <w:color w:val="000000"/>
                <w:kern w:val="2"/>
                <w:sz w:val="21"/>
                <w:szCs w:val="21"/>
                <w:u w:val="single"/>
                <w:lang w:val="en-US" w:eastAsia="zh-CN" w:bidi="ar"/>
              </w:rPr>
              <w:t>6</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 w:val="21"/>
                <w:szCs w:val="21"/>
                <w:lang w:val="en-US"/>
              </w:rPr>
            </w:pPr>
            <w:r>
              <w:rPr>
                <w:rFonts w:hint="eastAsia" w:ascii="宋体" w:hAnsi="宋体" w:eastAsia="宋体" w:cs="宋体"/>
                <w:b/>
                <w:bCs/>
                <w:sz w:val="21"/>
                <w:szCs w:val="21"/>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en-GB"/>
              </w:rPr>
            </w:pPr>
            <w:r>
              <w:rPr>
                <w:rFonts w:hint="eastAsia" w:ascii="宋体" w:hAnsi="宋体" w:eastAsia="宋体" w:cs="宋体"/>
                <w:sz w:val="21"/>
                <w:szCs w:val="21"/>
                <w:lang w:val="en-GB"/>
              </w:rPr>
              <w:t>1、</w:t>
            </w:r>
            <w:r>
              <w:rPr>
                <w:rFonts w:hint="eastAsia" w:ascii="宋体" w:hAnsi="宋体" w:eastAsia="宋体" w:cs="宋体"/>
                <w:sz w:val="21"/>
                <w:szCs w:val="21"/>
                <w:lang w:val="en-GB"/>
              </w:rPr>
              <w:tab/>
            </w:r>
            <w:r>
              <w:rPr>
                <w:rFonts w:hint="eastAsia" w:ascii="宋体" w:hAnsi="宋体" w:eastAsia="宋体" w:cs="宋体"/>
                <w:sz w:val="21"/>
                <w:szCs w:val="21"/>
                <w:lang w:val="en-GB"/>
              </w:rPr>
              <w:t>生产厂家或投标单位提供ISO9001质量管理体系认证证书、ISO13485医疗器械质量管理体系认证证书OHSAS18000职业健康安全管理体系认证证书的，每提供一项得2分，满分6分，不提供不得分。</w:t>
            </w:r>
          </w:p>
          <w:p>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GB"/>
              </w:rPr>
              <w:t>2、</w:t>
            </w:r>
            <w:r>
              <w:rPr>
                <w:rFonts w:hint="eastAsia" w:ascii="宋体" w:hAnsi="宋体" w:eastAsia="宋体" w:cs="宋体"/>
                <w:sz w:val="21"/>
                <w:szCs w:val="21"/>
                <w:lang w:val="en-GB"/>
              </w:rPr>
              <w:tab/>
            </w:r>
            <w:r>
              <w:rPr>
                <w:rFonts w:hint="eastAsia" w:ascii="宋体" w:hAnsi="宋体" w:eastAsia="宋体" w:cs="宋体"/>
                <w:sz w:val="21"/>
                <w:szCs w:val="21"/>
                <w:lang w:val="en-GB"/>
              </w:rPr>
              <w:t>投标所有产品通过CE认证证书，并提供资料满足得2分,</w:t>
            </w:r>
            <w:r>
              <w:rPr>
                <w:rFonts w:hint="eastAsia" w:ascii="宋体" w:hAnsi="宋体" w:eastAsia="宋体" w:cs="宋体"/>
                <w:sz w:val="21"/>
                <w:szCs w:val="21"/>
              </w:rPr>
              <w:t xml:space="preserve"> </w:t>
            </w:r>
            <w:r>
              <w:rPr>
                <w:rFonts w:hint="eastAsia" w:ascii="宋体" w:hAnsi="宋体" w:eastAsia="宋体" w:cs="宋体"/>
                <w:sz w:val="21"/>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u w:val="single"/>
                <w:lang w:val="en-US" w:eastAsia="zh-CN" w:bidi="ar"/>
              </w:rPr>
            </w:pPr>
            <w:r>
              <w:rPr>
                <w:rFonts w:hint="eastAsia" w:ascii="宋体" w:hAnsi="宋体" w:eastAsia="宋体" w:cs="宋体"/>
                <w:sz w:val="21"/>
                <w:szCs w:val="21"/>
                <w:lang w:val="en-US" w:eastAsia="zh-CN"/>
              </w:rPr>
              <w:t>8</w:t>
            </w:r>
            <w:r>
              <w:rPr>
                <w:rFonts w:hint="eastAsia" w:ascii="宋体" w:hAnsi="宋体" w:eastAsia="宋体" w:cs="宋体"/>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售后服务</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及培训</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制有售后服务计划的得2分；投标人设有售后服务站的得2分；有专职维修人员、备有常用备件的得2分；售后服务系统完善、能提供全天24小时上门服务的得2分；能免费提供业技术培训、为采购方培养合格的操作人员的得2分。</w:t>
            </w:r>
            <w:r>
              <w:rPr>
                <w:rFonts w:hint="eastAsia" w:ascii="宋体" w:hAnsi="宋体" w:eastAsia="宋体" w:cs="宋体"/>
                <w:bCs/>
                <w:kern w:val="2"/>
                <w:sz w:val="21"/>
                <w:szCs w:val="21"/>
                <w:lang w:val="en-US" w:eastAsia="zh-CN" w:bidi="ar"/>
              </w:rPr>
              <w:t>不满足不得分</w:t>
            </w:r>
            <w:r>
              <w:rPr>
                <w:rFonts w:hint="eastAsia" w:ascii="宋体" w:hAnsi="宋体" w:eastAsia="宋体" w:cs="宋体"/>
                <w:color w:val="000000"/>
                <w:kern w:val="2"/>
                <w:sz w:val="21"/>
                <w:szCs w:val="21"/>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10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技术部分（满分</w:t>
            </w:r>
            <w:r>
              <w:rPr>
                <w:rFonts w:hint="eastAsia" w:ascii="宋体" w:hAnsi="宋体" w:eastAsia="宋体" w:cs="宋体"/>
                <w:b/>
                <w:bCs w:val="0"/>
                <w:color w:val="000000"/>
                <w:kern w:val="2"/>
                <w:sz w:val="21"/>
                <w:szCs w:val="21"/>
                <w:u w:val="single"/>
                <w:lang w:val="en-US" w:eastAsia="zh-CN" w:bidi="ar"/>
              </w:rPr>
              <w:t>45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lang w:bidi="ar"/>
              </w:rPr>
              <w:t>投标文件的规范响应程度</w:t>
            </w:r>
          </w:p>
          <w:p>
            <w:pPr>
              <w:jc w:val="cente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val="0"/>
                <w:kern w:val="2"/>
                <w:sz w:val="21"/>
                <w:szCs w:val="21"/>
                <w:lang w:val="en-US" w:eastAsia="zh-CN" w:bidi="ar"/>
              </w:rPr>
            </w:pPr>
            <w:r>
              <w:rPr>
                <w:rFonts w:hint="eastAsia" w:ascii="宋体" w:hAnsi="宋体" w:eastAsia="宋体" w:cs="Courier New"/>
                <w:bCs/>
                <w:color w:val="auto"/>
                <w:sz w:val="21"/>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u w:val="single"/>
                <w:lang w:bidi="ar"/>
              </w:rPr>
              <w:t>1</w:t>
            </w:r>
            <w:r>
              <w:rPr>
                <w:rFonts w:hint="eastAsia" w:ascii="宋体" w:hAnsi="宋体" w:eastAsia="宋体" w:cs="宋体"/>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Courier New"/>
                <w:bCs/>
                <w:color w:val="auto"/>
                <w:sz w:val="21"/>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u w:val="single"/>
                <w:lang w:bidi="ar"/>
              </w:rPr>
              <w:t>1</w:t>
            </w:r>
            <w:r>
              <w:rPr>
                <w:rFonts w:hint="eastAsia" w:ascii="宋体" w:hAnsi="宋体" w:eastAsia="宋体" w:cs="宋体"/>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lang w:bidi="ar"/>
              </w:rPr>
              <w:t>①未实质性响应招标文件要求的视为无效投标。</w:t>
            </w:r>
          </w:p>
          <w:p>
            <w:pPr>
              <w:spacing w:line="360" w:lineRule="exact"/>
              <w:rPr>
                <w:rFonts w:ascii="宋体" w:hAnsi="宋体" w:eastAsia="宋体" w:cs="宋体"/>
                <w:color w:val="auto"/>
                <w:sz w:val="21"/>
                <w:szCs w:val="21"/>
                <w:lang w:bidi="ar"/>
              </w:rPr>
            </w:pPr>
            <w:r>
              <w:rPr>
                <w:rFonts w:hint="eastAsia" w:ascii="宋体" w:hAnsi="宋体" w:eastAsia="宋体" w:cs="宋体"/>
                <w:color w:val="auto"/>
                <w:sz w:val="21"/>
                <w:szCs w:val="21"/>
                <w:lang w:bidi="ar"/>
              </w:rPr>
              <w:t>②根据投标人对所投产品配置的成熟性、稳定性、可维修性及产品性能与配置等情况，基本全部满足的得2</w:t>
            </w:r>
            <w:r>
              <w:rPr>
                <w:rFonts w:ascii="宋体" w:hAnsi="宋体" w:eastAsia="宋体" w:cs="宋体"/>
                <w:color w:val="auto"/>
                <w:sz w:val="21"/>
                <w:szCs w:val="21"/>
                <w:lang w:bidi="ar"/>
              </w:rPr>
              <w:t>7</w:t>
            </w:r>
            <w:r>
              <w:rPr>
                <w:rFonts w:hint="eastAsia" w:ascii="宋体" w:hAnsi="宋体" w:eastAsia="宋体" w:cs="宋体"/>
                <w:color w:val="auto"/>
                <w:sz w:val="21"/>
                <w:szCs w:val="21"/>
                <w:lang w:bidi="ar"/>
              </w:rPr>
              <w:t>分。</w:t>
            </w:r>
          </w:p>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1"/>
                <w:szCs w:val="21"/>
                <w:lang w:bidi="ar"/>
              </w:rPr>
              <w:t>2</w:t>
            </w:r>
            <w:r>
              <w:rPr>
                <w:rFonts w:hint="eastAsia" w:ascii="宋体" w:hAnsi="宋体" w:eastAsia="宋体" w:cs="宋体"/>
                <w:color w:val="auto"/>
                <w:sz w:val="21"/>
                <w:szCs w:val="21"/>
                <w:lang w:bidi="ar"/>
              </w:rPr>
              <w:t>分，最多加1</w:t>
            </w:r>
            <w:r>
              <w:rPr>
                <w:rFonts w:ascii="宋体" w:hAnsi="宋体" w:eastAsia="宋体" w:cs="宋体"/>
                <w:color w:val="auto"/>
                <w:sz w:val="21"/>
                <w:szCs w:val="21"/>
                <w:lang w:bidi="ar"/>
              </w:rPr>
              <w:t>6</w:t>
            </w:r>
            <w:r>
              <w:rPr>
                <w:rFonts w:hint="eastAsia" w:ascii="宋体" w:hAnsi="宋体" w:eastAsia="宋体" w:cs="宋体"/>
                <w:color w:val="auto"/>
                <w:sz w:val="21"/>
                <w:szCs w:val="21"/>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lang w:bidi="ar"/>
              </w:rPr>
              <w:t>43分</w:t>
            </w:r>
          </w:p>
        </w:tc>
      </w:tr>
    </w:tbl>
    <w:p>
      <w:pPr>
        <w:widowControl/>
        <w:shd w:val="clear" w:color="auto" w:fill="FFFFFF"/>
        <w:spacing w:line="360" w:lineRule="atLeast"/>
        <w:ind w:firstLine="600"/>
        <w:jc w:val="left"/>
        <w:rPr>
          <w:rFonts w:ascii="宋体" w:hAnsi="宋体" w:eastAsia="宋体" w:cs="宋体"/>
          <w:color w:val="auto"/>
          <w:kern w:val="0"/>
          <w:sz w:val="24"/>
          <w:szCs w:val="24"/>
        </w:rPr>
      </w:pP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六、采购资金支付</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1、支付方式：银行转账</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2、支付时间及条件：设备安装调试合格使用后付合同总价款的70%，剩余30%满一年无质量问题一次性付清。</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七、联系方式</w:t>
      </w:r>
    </w:p>
    <w:p>
      <w:pPr>
        <w:widowControl/>
        <w:shd w:val="clear" w:color="auto" w:fill="FFFFFF"/>
        <w:spacing w:line="330" w:lineRule="atLeast"/>
        <w:jc w:val="left"/>
        <w:rPr>
          <w:rFonts w:hint="eastAsia" w:ascii="仿宋" w:hAnsi="仿宋" w:eastAsia="仿宋" w:cs="仿宋"/>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rPr>
        <w:t>采购人：</w:t>
      </w:r>
      <w:r>
        <w:rPr>
          <w:rFonts w:hint="eastAsia" w:ascii="仿宋" w:hAnsi="仿宋" w:eastAsia="仿宋" w:cs="仿宋"/>
          <w:color w:val="auto"/>
          <w:kern w:val="0"/>
          <w:sz w:val="30"/>
          <w:szCs w:val="30"/>
          <w:shd w:val="clear" w:color="auto" w:fill="FFFFFF"/>
          <w:lang w:eastAsia="zh-CN"/>
        </w:rPr>
        <w:t>禹州市人民医院</w:t>
      </w:r>
      <w:r>
        <w:rPr>
          <w:rFonts w:hint="eastAsia" w:ascii="仿宋" w:hAnsi="仿宋" w:eastAsia="仿宋" w:cs="仿宋"/>
          <w:color w:val="auto"/>
          <w:kern w:val="0"/>
          <w:sz w:val="30"/>
          <w:szCs w:val="30"/>
          <w:shd w:val="clear" w:color="auto" w:fill="FFFFFF"/>
        </w:rPr>
        <w:t xml:space="preserve">      地  址：</w:t>
      </w:r>
      <w:r>
        <w:rPr>
          <w:rFonts w:hint="eastAsia" w:ascii="仿宋" w:hAnsi="仿宋" w:eastAsia="仿宋" w:cs="仿宋"/>
          <w:color w:val="auto"/>
          <w:kern w:val="0"/>
          <w:sz w:val="30"/>
          <w:szCs w:val="30"/>
          <w:shd w:val="clear" w:color="auto" w:fill="FFFFFF"/>
          <w:lang w:eastAsia="zh-CN"/>
        </w:rPr>
        <w:t>禹州市健康路</w:t>
      </w:r>
    </w:p>
    <w:p>
      <w:pPr>
        <w:widowControl/>
        <w:shd w:val="clear" w:color="auto" w:fill="FFFFFF"/>
        <w:spacing w:line="330" w:lineRule="atLeast"/>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联系人：</w:t>
      </w:r>
      <w:r>
        <w:rPr>
          <w:rFonts w:hint="eastAsia" w:ascii="仿宋" w:hAnsi="仿宋" w:eastAsia="仿宋" w:cs="仿宋"/>
          <w:color w:val="auto"/>
          <w:kern w:val="0"/>
          <w:sz w:val="30"/>
          <w:szCs w:val="30"/>
          <w:shd w:val="clear" w:color="auto" w:fill="FFFFFF"/>
          <w:lang w:eastAsia="zh-CN"/>
        </w:rPr>
        <w:t>席朝岭</w:t>
      </w:r>
      <w:r>
        <w:rPr>
          <w:rFonts w:hint="eastAsia" w:ascii="仿宋" w:hAnsi="仿宋" w:eastAsia="仿宋" w:cs="仿宋"/>
          <w:color w:val="auto"/>
          <w:kern w:val="0"/>
          <w:sz w:val="30"/>
          <w:szCs w:val="30"/>
          <w:shd w:val="clear" w:color="auto" w:fill="FFFFFF"/>
        </w:rPr>
        <w:t xml:space="preserve">                   联系电话：</w:t>
      </w:r>
      <w:r>
        <w:rPr>
          <w:rFonts w:hint="eastAsia" w:ascii="仿宋" w:hAnsi="仿宋" w:eastAsia="仿宋" w:cs="仿宋"/>
          <w:color w:val="auto"/>
          <w:kern w:val="0"/>
          <w:sz w:val="30"/>
          <w:szCs w:val="30"/>
          <w:shd w:val="clear" w:color="auto" w:fill="FFFFFF"/>
          <w:lang w:eastAsia="zh-CN"/>
        </w:rPr>
        <w:t>0374-6068578</w:t>
      </w:r>
      <w:r>
        <w:rPr>
          <w:rFonts w:hint="eastAsia" w:ascii="仿宋" w:hAnsi="仿宋" w:eastAsia="仿宋" w:cs="仿宋"/>
          <w:color w:val="auto"/>
          <w:kern w:val="0"/>
          <w:sz w:val="30"/>
          <w:szCs w:val="30"/>
          <w:shd w:val="clear" w:color="auto" w:fill="FFFFFF"/>
        </w:rPr>
        <w:t xml:space="preserve"> </w:t>
      </w:r>
    </w:p>
    <w:p>
      <w:pPr>
        <w:widowControl/>
        <w:shd w:val="clear" w:color="auto" w:fill="FFFFFF"/>
        <w:spacing w:line="330" w:lineRule="atLeast"/>
        <w:ind w:firstLine="6600" w:firstLineChars="2200"/>
        <w:jc w:val="left"/>
        <w:rPr>
          <w:rFonts w:hint="eastAsia" w:ascii="宋体" w:hAnsi="宋体" w:eastAsia="仿宋" w:cs="宋体"/>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rPr>
        <w:t xml:space="preserve"> </w:t>
      </w:r>
      <w:r>
        <w:rPr>
          <w:rFonts w:hint="eastAsia" w:ascii="仿宋" w:hAnsi="仿宋" w:eastAsia="仿宋" w:cs="仿宋"/>
          <w:color w:val="auto"/>
          <w:kern w:val="0"/>
          <w:sz w:val="30"/>
          <w:szCs w:val="30"/>
          <w:shd w:val="clear" w:color="auto" w:fill="FFFFFF"/>
          <w:lang w:eastAsia="zh-CN"/>
        </w:rPr>
        <w:t>禹州市人民医院</w:t>
      </w:r>
    </w:p>
    <w:p>
      <w:pPr>
        <w:widowControl/>
        <w:shd w:val="clear" w:color="auto" w:fill="FFFFFF"/>
        <w:spacing w:line="330" w:lineRule="atLeast"/>
        <w:ind w:firstLine="5700"/>
        <w:jc w:val="right"/>
        <w:rPr>
          <w:rFonts w:ascii="仿宋" w:hAnsi="仿宋" w:eastAsia="仿宋" w:cs="宋体"/>
          <w:color w:val="auto"/>
          <w:kern w:val="0"/>
          <w:sz w:val="30"/>
          <w:szCs w:val="30"/>
          <w:shd w:val="clear" w:color="auto" w:fill="FFFFFF"/>
        </w:rPr>
      </w:pPr>
      <w:r>
        <w:rPr>
          <w:rFonts w:hint="eastAsia" w:ascii="仿宋" w:hAnsi="仿宋" w:eastAsia="仿宋" w:cs="宋体"/>
          <w:color w:val="auto"/>
          <w:kern w:val="0"/>
          <w:sz w:val="30"/>
          <w:szCs w:val="30"/>
          <w:shd w:val="clear" w:color="auto" w:fill="FFFFFF"/>
        </w:rPr>
        <w:t>2018年</w:t>
      </w:r>
      <w:r>
        <w:rPr>
          <w:rFonts w:hint="eastAsia" w:ascii="仿宋" w:hAnsi="仿宋" w:eastAsia="仿宋" w:cs="宋体"/>
          <w:color w:val="auto"/>
          <w:kern w:val="0"/>
          <w:sz w:val="30"/>
          <w:szCs w:val="30"/>
          <w:shd w:val="clear" w:color="auto" w:fill="FFFFFF"/>
          <w:lang w:val="en-US" w:eastAsia="zh-CN"/>
        </w:rPr>
        <w:t>11</w:t>
      </w:r>
      <w:r>
        <w:rPr>
          <w:rFonts w:hint="eastAsia" w:ascii="仿宋" w:hAnsi="仿宋" w:eastAsia="仿宋" w:cs="宋体"/>
          <w:color w:val="auto"/>
          <w:kern w:val="0"/>
          <w:sz w:val="30"/>
          <w:szCs w:val="30"/>
          <w:shd w:val="clear" w:color="auto" w:fill="FFFFFF"/>
        </w:rPr>
        <w:t>月</w:t>
      </w:r>
      <w:r>
        <w:rPr>
          <w:rFonts w:hint="eastAsia" w:ascii="仿宋" w:hAnsi="仿宋" w:eastAsia="仿宋" w:cs="宋体"/>
          <w:color w:val="auto"/>
          <w:kern w:val="0"/>
          <w:sz w:val="30"/>
          <w:szCs w:val="30"/>
          <w:shd w:val="clear" w:color="auto" w:fill="FFFFFF"/>
          <w:lang w:val="en-US" w:eastAsia="zh-CN"/>
        </w:rPr>
        <w:t>27</w:t>
      </w:r>
      <w:bookmarkStart w:id="0" w:name="_GoBack"/>
      <w:bookmarkEnd w:id="0"/>
      <w:r>
        <w:rPr>
          <w:rFonts w:hint="eastAsia" w:ascii="仿宋" w:hAnsi="仿宋" w:eastAsia="仿宋" w:cs="宋体"/>
          <w:color w:val="auto"/>
          <w:kern w:val="0"/>
          <w:sz w:val="30"/>
          <w:szCs w:val="30"/>
          <w:shd w:val="clear" w:color="auto" w:fill="FFFFFF"/>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uturaLtBT">
    <w:altName w:val="Arial"/>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4D9A3"/>
    <w:multiLevelType w:val="singleLevel"/>
    <w:tmpl w:val="84B4D9A3"/>
    <w:lvl w:ilvl="0" w:tentative="0">
      <w:start w:val="2"/>
      <w:numFmt w:val="chineseCounting"/>
      <w:suff w:val="nothing"/>
      <w:lvlText w:val="（%1）"/>
      <w:lvlJc w:val="left"/>
      <w:pPr>
        <w:ind w:left="450" w:leftChars="0" w:firstLine="0" w:firstLineChars="0"/>
      </w:pPr>
      <w:rPr>
        <w:rFonts w:hint="eastAsia"/>
      </w:rPr>
    </w:lvl>
  </w:abstractNum>
  <w:abstractNum w:abstractNumId="1">
    <w:nsid w:val="C75CA198"/>
    <w:multiLevelType w:val="singleLevel"/>
    <w:tmpl w:val="C75CA19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0D399F"/>
    <w:rsid w:val="001369F7"/>
    <w:rsid w:val="00174554"/>
    <w:rsid w:val="001A0E05"/>
    <w:rsid w:val="001A23FF"/>
    <w:rsid w:val="001A4D77"/>
    <w:rsid w:val="00203D7E"/>
    <w:rsid w:val="00253591"/>
    <w:rsid w:val="002A53B2"/>
    <w:rsid w:val="00385BF1"/>
    <w:rsid w:val="00395FA1"/>
    <w:rsid w:val="003C515C"/>
    <w:rsid w:val="003C5D08"/>
    <w:rsid w:val="00551967"/>
    <w:rsid w:val="0055294B"/>
    <w:rsid w:val="00576222"/>
    <w:rsid w:val="005D42D5"/>
    <w:rsid w:val="00640DDE"/>
    <w:rsid w:val="00777C3F"/>
    <w:rsid w:val="007A38C0"/>
    <w:rsid w:val="007A71B6"/>
    <w:rsid w:val="0080208E"/>
    <w:rsid w:val="008B3866"/>
    <w:rsid w:val="008C4C58"/>
    <w:rsid w:val="008F18DB"/>
    <w:rsid w:val="00A54088"/>
    <w:rsid w:val="00AF1084"/>
    <w:rsid w:val="00B93B78"/>
    <w:rsid w:val="00BD065C"/>
    <w:rsid w:val="00BF6865"/>
    <w:rsid w:val="00C03D72"/>
    <w:rsid w:val="00C607E0"/>
    <w:rsid w:val="00CD2027"/>
    <w:rsid w:val="00D35D60"/>
    <w:rsid w:val="00DF0F14"/>
    <w:rsid w:val="00E21FA1"/>
    <w:rsid w:val="00E2584E"/>
    <w:rsid w:val="00E57476"/>
    <w:rsid w:val="00EA4C75"/>
    <w:rsid w:val="00F8178B"/>
    <w:rsid w:val="00FB24A1"/>
    <w:rsid w:val="035F062B"/>
    <w:rsid w:val="04A95338"/>
    <w:rsid w:val="04D97418"/>
    <w:rsid w:val="058540D7"/>
    <w:rsid w:val="09567F0B"/>
    <w:rsid w:val="09664E1C"/>
    <w:rsid w:val="0D1B36A6"/>
    <w:rsid w:val="0D522F86"/>
    <w:rsid w:val="0E721B97"/>
    <w:rsid w:val="106C622B"/>
    <w:rsid w:val="138207DC"/>
    <w:rsid w:val="15377105"/>
    <w:rsid w:val="18902C51"/>
    <w:rsid w:val="18A5329E"/>
    <w:rsid w:val="19956D8E"/>
    <w:rsid w:val="19CE5459"/>
    <w:rsid w:val="1A5D51F0"/>
    <w:rsid w:val="1A9951EF"/>
    <w:rsid w:val="1B86206C"/>
    <w:rsid w:val="24725823"/>
    <w:rsid w:val="26322F98"/>
    <w:rsid w:val="2B4052FD"/>
    <w:rsid w:val="2C291ECD"/>
    <w:rsid w:val="2CB27390"/>
    <w:rsid w:val="2E3C4889"/>
    <w:rsid w:val="2E4036DD"/>
    <w:rsid w:val="2E46196E"/>
    <w:rsid w:val="2F432186"/>
    <w:rsid w:val="323D5D4C"/>
    <w:rsid w:val="3A007FDE"/>
    <w:rsid w:val="3AC86A17"/>
    <w:rsid w:val="3DF50CA7"/>
    <w:rsid w:val="3E8E3904"/>
    <w:rsid w:val="3F2B010D"/>
    <w:rsid w:val="4125043B"/>
    <w:rsid w:val="437F30EA"/>
    <w:rsid w:val="447706E5"/>
    <w:rsid w:val="47C909DC"/>
    <w:rsid w:val="4D686C0E"/>
    <w:rsid w:val="4E2E71F1"/>
    <w:rsid w:val="4EBC17BD"/>
    <w:rsid w:val="4EE75677"/>
    <w:rsid w:val="50AA7097"/>
    <w:rsid w:val="51676790"/>
    <w:rsid w:val="523D68D8"/>
    <w:rsid w:val="571147E1"/>
    <w:rsid w:val="5714055B"/>
    <w:rsid w:val="57580A5D"/>
    <w:rsid w:val="59721DB9"/>
    <w:rsid w:val="5B1B431D"/>
    <w:rsid w:val="5B905D75"/>
    <w:rsid w:val="5CED345F"/>
    <w:rsid w:val="5D1B0638"/>
    <w:rsid w:val="68553B47"/>
    <w:rsid w:val="6B8500D0"/>
    <w:rsid w:val="6BA36862"/>
    <w:rsid w:val="6BD459C8"/>
    <w:rsid w:val="6BE50D64"/>
    <w:rsid w:val="6E903214"/>
    <w:rsid w:val="71357CC4"/>
    <w:rsid w:val="717605EA"/>
    <w:rsid w:val="71962929"/>
    <w:rsid w:val="74397BE4"/>
    <w:rsid w:val="754A2418"/>
    <w:rsid w:val="76B969F8"/>
    <w:rsid w:val="772C6E9B"/>
    <w:rsid w:val="78C17500"/>
    <w:rsid w:val="7AA45FD6"/>
    <w:rsid w:val="7AC5313E"/>
    <w:rsid w:val="7ADD0A62"/>
    <w:rsid w:val="7AE621CD"/>
    <w:rsid w:val="7B487DA9"/>
    <w:rsid w:val="7BCD2F49"/>
    <w:rsid w:val="7CED6101"/>
    <w:rsid w:val="7E416CB6"/>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semiHidden/>
    <w:unhideWhenUsed/>
    <w:qFormat/>
    <w:uiPriority w:val="99"/>
    <w:pPr>
      <w:spacing w:after="120"/>
    </w:pPr>
  </w:style>
  <w:style w:type="paragraph" w:styleId="4">
    <w:name w:val="Body Text Indent"/>
    <w:basedOn w:val="1"/>
    <w:qFormat/>
    <w:uiPriority w:val="0"/>
    <w:pPr>
      <w:tabs>
        <w:tab w:val="left" w:pos="945"/>
        <w:tab w:val="left" w:pos="1155"/>
      </w:tabs>
      <w:ind w:firstLine="435"/>
    </w:pPr>
    <w:rPr>
      <w:rFonts w:ascii="Ari"/>
      <w:sz w:val="24"/>
      <w:szCs w:val="20"/>
    </w:rPr>
  </w:style>
  <w:style w:type="paragraph" w:styleId="5">
    <w:name w:val="Plain Text"/>
    <w:basedOn w:val="1"/>
    <w:qFormat/>
    <w:uiPriority w:val="0"/>
    <w:rPr>
      <w:rFonts w:eastAsia="宋体"/>
      <w:sz w:val="24"/>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Body Text First Indent 2"/>
    <w:basedOn w:val="4"/>
    <w:qFormat/>
    <w:uiPriority w:val="0"/>
    <w:pPr>
      <w:spacing w:after="120"/>
      <w:ind w:left="420" w:leftChars="200" w:firstLine="420" w:firstLineChars="200"/>
    </w:pPr>
    <w:rPr>
      <w:rFonts w:ascii="Times New Roman" w:hAnsi="Times New Roman" w:eastAsia="宋体" w:cs="Times New Roman"/>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eastAsia="宋体" w:cs="宋体"/>
      <w:kern w:val="0"/>
      <w:sz w:val="24"/>
      <w:szCs w:val="24"/>
    </w:rPr>
  </w:style>
  <w:style w:type="character" w:customStyle="1" w:styleId="12">
    <w:name w:val="页眉 Char"/>
    <w:basedOn w:val="10"/>
    <w:link w:val="8"/>
    <w:semiHidden/>
    <w:qFormat/>
    <w:uiPriority w:val="99"/>
    <w:rPr>
      <w:sz w:val="18"/>
      <w:szCs w:val="18"/>
    </w:rPr>
  </w:style>
  <w:style w:type="character" w:customStyle="1" w:styleId="13">
    <w:name w:val="页脚 Char"/>
    <w:basedOn w:val="10"/>
    <w:link w:val="6"/>
    <w:semiHidden/>
    <w:qFormat/>
    <w:uiPriority w:val="99"/>
    <w:rPr>
      <w:sz w:val="18"/>
      <w:szCs w:val="18"/>
    </w:rPr>
  </w:style>
  <w:style w:type="paragraph" w:styleId="14">
    <w:name w:val="List Paragraph"/>
    <w:basedOn w:val="1"/>
    <w:qFormat/>
    <w:uiPriority w:val="34"/>
    <w:pPr>
      <w:ind w:firstLine="420" w:firstLineChars="200"/>
    </w:pPr>
    <w:rPr>
      <w:rFonts w:ascii="Times New Roman" w:hAnsi="Times New Roman" w:eastAsia="宋体" w:cs="Times New Roman"/>
      <w:szCs w:val="20"/>
    </w:rPr>
  </w:style>
  <w:style w:type="paragraph" w:customStyle="1" w:styleId="15">
    <w:name w:val="列出段落1"/>
    <w:basedOn w:val="1"/>
    <w:qFormat/>
    <w:uiPriority w:val="0"/>
    <w:pPr>
      <w:ind w:firstLine="420" w:firstLineChars="200"/>
    </w:pPr>
  </w:style>
  <w:style w:type="paragraph" w:customStyle="1" w:styleId="16">
    <w:name w:val="列出段落11"/>
    <w:basedOn w:val="1"/>
    <w:qFormat/>
    <w:uiPriority w:val="0"/>
    <w:pPr>
      <w:ind w:firstLine="420" w:firstLineChars="200"/>
    </w:pPr>
    <w:rPr>
      <w:rFonts w:ascii="Times New Roman" w:hAnsi="Times New Roman" w:eastAsia="宋体" w:cs="Times New Roman"/>
      <w:szCs w:val="24"/>
    </w:rPr>
  </w:style>
  <w:style w:type="paragraph" w:customStyle="1" w:styleId="17">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05A4-7A5E-48CD-BC77-414F9A9A8C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1995</Words>
  <Characters>11374</Characters>
  <Lines>94</Lines>
  <Paragraphs>26</Paragraphs>
  <TotalTime>1</TotalTime>
  <ScaleCrop>false</ScaleCrop>
  <LinksUpToDate>false</LinksUpToDate>
  <CharactersWithSpaces>13343</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2018-11-19T00:17:00Z</cp:lastPrinted>
  <dcterms:modified xsi:type="dcterms:W3CDTF">2018-11-27T06:39:18Z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