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color w:val="000000"/>
          <w:sz w:val="44"/>
          <w:szCs w:val="44"/>
        </w:rPr>
      </w:pPr>
    </w:p>
    <w:p>
      <w:pPr>
        <w:jc w:val="center"/>
        <w:rPr>
          <w:rFonts w:ascii="宋体" w:hAnsi="宋体"/>
          <w:sz w:val="72"/>
          <w:szCs w:val="72"/>
        </w:rPr>
      </w:pPr>
      <w:r>
        <w:rPr>
          <w:rFonts w:hint="eastAsia" w:ascii="宋体" w:hAnsi="宋体"/>
          <w:sz w:val="72"/>
          <w:szCs w:val="72"/>
        </w:rPr>
        <w:t>建安区政府采购</w:t>
      </w:r>
    </w:p>
    <w:p>
      <w:pPr>
        <w:jc w:val="center"/>
        <w:rPr>
          <w:rFonts w:ascii="宋体" w:hAnsi="宋体"/>
          <w:sz w:val="84"/>
          <w:szCs w:val="84"/>
        </w:rPr>
      </w:pPr>
    </w:p>
    <w:p>
      <w:pPr>
        <w:pStyle w:val="2"/>
        <w:ind w:firstLine="210"/>
        <w:rPr>
          <w:rFonts w:ascii="宋体" w:hAnsi="宋体"/>
        </w:rPr>
      </w:pPr>
      <w:bookmarkStart w:id="6" w:name="_GoBack"/>
      <w:bookmarkEnd w:id="6"/>
    </w:p>
    <w:p>
      <w:pPr>
        <w:jc w:val="center"/>
        <w:rPr>
          <w:rFonts w:ascii="宋体" w:hAnsi="宋体"/>
          <w:sz w:val="72"/>
          <w:szCs w:val="72"/>
        </w:rPr>
      </w:pPr>
      <w:r>
        <w:rPr>
          <w:rFonts w:ascii="宋体" w:hAnsi="宋体"/>
          <w:sz w:val="72"/>
          <w:szCs w:val="72"/>
        </w:rPr>
        <w:t>招</w:t>
      </w:r>
    </w:p>
    <w:p>
      <w:pPr>
        <w:jc w:val="center"/>
        <w:rPr>
          <w:rFonts w:ascii="宋体" w:hAnsi="宋体"/>
          <w:sz w:val="72"/>
          <w:szCs w:val="72"/>
        </w:rPr>
      </w:pPr>
      <w:r>
        <w:rPr>
          <w:rFonts w:ascii="宋体" w:hAnsi="宋体"/>
          <w:sz w:val="72"/>
          <w:szCs w:val="72"/>
        </w:rPr>
        <w:t>标</w:t>
      </w:r>
    </w:p>
    <w:p>
      <w:pPr>
        <w:jc w:val="center"/>
        <w:rPr>
          <w:rFonts w:ascii="宋体" w:hAnsi="宋体"/>
          <w:sz w:val="72"/>
          <w:szCs w:val="72"/>
        </w:rPr>
      </w:pPr>
      <w:r>
        <w:rPr>
          <w:rFonts w:ascii="宋体" w:hAnsi="宋体"/>
          <w:sz w:val="72"/>
          <w:szCs w:val="72"/>
        </w:rPr>
        <w:t>文</w:t>
      </w:r>
    </w:p>
    <w:p>
      <w:pPr>
        <w:jc w:val="center"/>
        <w:rPr>
          <w:rFonts w:ascii="宋体" w:hAnsi="宋体"/>
          <w:sz w:val="72"/>
          <w:szCs w:val="72"/>
        </w:rPr>
      </w:pPr>
      <w:r>
        <w:rPr>
          <w:rFonts w:ascii="宋体" w:hAnsi="宋体"/>
          <w:sz w:val="72"/>
          <w:szCs w:val="72"/>
        </w:rPr>
        <w:t>件</w:t>
      </w:r>
    </w:p>
    <w:p>
      <w:pPr>
        <w:rPr>
          <w:rFonts w:ascii="宋体" w:hAnsi="宋体"/>
          <w:sz w:val="44"/>
          <w:szCs w:val="44"/>
        </w:rPr>
      </w:pPr>
    </w:p>
    <w:p>
      <w:pPr>
        <w:pStyle w:val="2"/>
        <w:ind w:firstLine="210"/>
        <w:rPr>
          <w:rFonts w:ascii="宋体" w:hAnsi="宋体"/>
        </w:rPr>
      </w:pPr>
    </w:p>
    <w:p>
      <w:pPr>
        <w:pStyle w:val="2"/>
        <w:ind w:left="0" w:leftChars="0" w:firstLine="0" w:firstLineChars="0"/>
        <w:rPr>
          <w:rFonts w:ascii="宋体" w:hAnsi="宋体"/>
          <w:sz w:val="44"/>
          <w:szCs w:val="44"/>
        </w:rPr>
      </w:pPr>
    </w:p>
    <w:p>
      <w:pPr>
        <w:spacing w:line="660" w:lineRule="exact"/>
        <w:ind w:firstLine="720" w:firstLineChars="200"/>
        <w:rPr>
          <w:rFonts w:hint="eastAsia" w:ascii="宋体" w:hAnsi="宋体" w:cs="Times New Roman"/>
          <w:sz w:val="36"/>
          <w:szCs w:val="36"/>
        </w:rPr>
      </w:pPr>
      <w:r>
        <w:rPr>
          <w:rFonts w:hint="eastAsia" w:ascii="宋体" w:hAnsi="宋体" w:cs="Times New Roman"/>
          <w:sz w:val="36"/>
          <w:szCs w:val="36"/>
        </w:rPr>
        <w:t>项目编号：建安政采公字〔2018〕</w:t>
      </w:r>
      <w:r>
        <w:rPr>
          <w:rFonts w:hint="eastAsia" w:ascii="宋体" w:hAnsi="宋体" w:cs="Times New Roman"/>
          <w:sz w:val="36"/>
          <w:szCs w:val="36"/>
          <w:lang w:val="en-US" w:eastAsia="zh-CN"/>
        </w:rPr>
        <w:t>59</w:t>
      </w:r>
      <w:r>
        <w:rPr>
          <w:rFonts w:hint="eastAsia" w:ascii="宋体" w:hAnsi="宋体" w:cs="Times New Roman"/>
          <w:sz w:val="36"/>
          <w:szCs w:val="36"/>
        </w:rPr>
        <w:t>号</w:t>
      </w:r>
    </w:p>
    <w:p>
      <w:pPr>
        <w:spacing w:line="660" w:lineRule="exact"/>
        <w:ind w:firstLine="720" w:firstLineChars="200"/>
        <w:rPr>
          <w:rFonts w:hint="eastAsia" w:ascii="宋体" w:hAnsi="宋体" w:cs="Times New Roman"/>
          <w:sz w:val="36"/>
          <w:szCs w:val="36"/>
          <w:lang w:val="en-US" w:eastAsia="zh-CN"/>
        </w:rPr>
      </w:pPr>
      <w:r>
        <w:rPr>
          <w:rFonts w:hint="eastAsia" w:ascii="宋体" w:hAnsi="宋体" w:cs="Times New Roman"/>
          <w:sz w:val="36"/>
          <w:szCs w:val="36"/>
        </w:rPr>
        <w:t>项目名称：</w:t>
      </w:r>
      <w:r>
        <w:rPr>
          <w:rFonts w:hint="eastAsia" w:ascii="宋体" w:hAnsi="宋体" w:cs="Times New Roman"/>
          <w:sz w:val="36"/>
          <w:szCs w:val="36"/>
          <w:lang w:val="en-US" w:eastAsia="zh-CN"/>
        </w:rPr>
        <w:t>建安区公路管理局国省干线公路标线</w:t>
      </w:r>
    </w:p>
    <w:p>
      <w:pPr>
        <w:spacing w:line="660" w:lineRule="exact"/>
        <w:ind w:firstLine="720" w:firstLineChars="200"/>
        <w:rPr>
          <w:rFonts w:hint="eastAsia" w:ascii="宋体" w:hAnsi="宋体" w:cs="Times New Roman"/>
          <w:sz w:val="36"/>
          <w:szCs w:val="36"/>
          <w:lang w:val="en-US" w:eastAsia="zh-CN"/>
        </w:rPr>
      </w:pPr>
      <w:r>
        <w:rPr>
          <w:rFonts w:hint="eastAsia" w:ascii="宋体" w:hAnsi="宋体" w:cs="Times New Roman"/>
          <w:sz w:val="36"/>
          <w:szCs w:val="36"/>
        </w:rPr>
        <w:t>采 购 人：</w:t>
      </w:r>
      <w:r>
        <w:rPr>
          <w:rFonts w:hint="eastAsia" w:ascii="宋体" w:hAnsi="宋体" w:cs="Times New Roman"/>
          <w:sz w:val="36"/>
          <w:szCs w:val="36"/>
          <w:lang w:val="en-US" w:eastAsia="zh-CN"/>
        </w:rPr>
        <w:t>许昌市建安区公路管理局</w:t>
      </w:r>
    </w:p>
    <w:p>
      <w:pPr>
        <w:spacing w:line="660" w:lineRule="exact"/>
        <w:ind w:firstLine="720" w:firstLineChars="200"/>
        <w:rPr>
          <w:rFonts w:hint="eastAsia" w:ascii="宋体" w:hAnsi="宋体" w:cs="Times New Roman"/>
          <w:sz w:val="36"/>
          <w:szCs w:val="36"/>
        </w:rPr>
      </w:pPr>
      <w:r>
        <w:rPr>
          <w:rFonts w:hint="eastAsia" w:ascii="宋体" w:hAnsi="宋体" w:cs="Times New Roman"/>
          <w:sz w:val="36"/>
          <w:szCs w:val="36"/>
        </w:rPr>
        <w:t>代理机构：河南</w:t>
      </w:r>
      <w:r>
        <w:rPr>
          <w:rFonts w:hint="eastAsia" w:ascii="宋体" w:hAnsi="宋体" w:cs="Times New Roman"/>
          <w:sz w:val="36"/>
          <w:szCs w:val="36"/>
          <w:lang w:eastAsia="zh-CN"/>
        </w:rPr>
        <w:t>天扬</w:t>
      </w:r>
      <w:r>
        <w:rPr>
          <w:rFonts w:hint="eastAsia" w:ascii="宋体" w:hAnsi="宋体" w:cs="Times New Roman"/>
          <w:sz w:val="36"/>
          <w:szCs w:val="36"/>
        </w:rPr>
        <w:t>工程</w:t>
      </w:r>
      <w:r>
        <w:rPr>
          <w:rFonts w:hint="eastAsia" w:ascii="宋体" w:hAnsi="宋体" w:cs="Times New Roman"/>
          <w:sz w:val="36"/>
          <w:szCs w:val="36"/>
          <w:lang w:eastAsia="zh-CN"/>
        </w:rPr>
        <w:t>项目</w:t>
      </w:r>
      <w:r>
        <w:rPr>
          <w:rFonts w:hint="eastAsia" w:ascii="宋体" w:hAnsi="宋体" w:cs="Times New Roman"/>
          <w:sz w:val="36"/>
          <w:szCs w:val="36"/>
        </w:rPr>
        <w:t>管理有限公司</w:t>
      </w:r>
    </w:p>
    <w:p>
      <w:pPr>
        <w:spacing w:line="660" w:lineRule="exact"/>
        <w:jc w:val="center"/>
        <w:rPr>
          <w:rFonts w:asciiTheme="majorEastAsia" w:hAnsiTheme="majorEastAsia" w:eastAsiaTheme="majorEastAsia" w:cstheme="majorEastAsia"/>
          <w:bCs/>
          <w:color w:val="000000"/>
          <w:sz w:val="36"/>
          <w:szCs w:val="36"/>
        </w:rPr>
      </w:pPr>
      <w:r>
        <w:rPr>
          <w:rFonts w:hint="eastAsia" w:ascii="宋体" w:hAnsi="宋体"/>
          <w:sz w:val="36"/>
          <w:szCs w:val="36"/>
        </w:rPr>
        <w:t>二〇一八年</w:t>
      </w:r>
      <w:r>
        <w:rPr>
          <w:rFonts w:hint="eastAsia" w:ascii="宋体" w:hAnsi="宋体"/>
          <w:sz w:val="36"/>
          <w:szCs w:val="36"/>
          <w:lang w:eastAsia="zh-CN"/>
        </w:rPr>
        <w:t>十</w:t>
      </w:r>
      <w:r>
        <w:rPr>
          <w:rFonts w:hint="eastAsia" w:ascii="宋体" w:hAnsi="宋体"/>
          <w:sz w:val="36"/>
          <w:szCs w:val="36"/>
        </w:rPr>
        <w:t>月</w:t>
      </w:r>
    </w:p>
    <w:p>
      <w:pPr>
        <w:autoSpaceDE w:val="0"/>
        <w:autoSpaceDN w:val="0"/>
        <w:adjustRightInd w:val="0"/>
        <w:spacing w:line="700" w:lineRule="exact"/>
        <w:ind w:firstLine="551"/>
        <w:jc w:val="center"/>
        <w:rPr>
          <w:rFonts w:hint="eastAsia" w:cs="宋体" w:asciiTheme="majorEastAsia" w:hAnsiTheme="majorEastAsia" w:eastAsiaTheme="majorEastAsia"/>
          <w:kern w:val="0"/>
          <w:sz w:val="32"/>
          <w:szCs w:val="32"/>
        </w:rPr>
      </w:pPr>
    </w:p>
    <w:p>
      <w:pPr>
        <w:autoSpaceDE w:val="0"/>
        <w:autoSpaceDN w:val="0"/>
        <w:adjustRightInd w:val="0"/>
        <w:spacing w:line="700" w:lineRule="exact"/>
        <w:ind w:firstLine="551"/>
        <w:jc w:val="center"/>
        <w:rPr>
          <w:rFonts w:cs="宋体" w:asciiTheme="majorEastAsia" w:hAnsiTheme="majorEastAsia" w:eastAsiaTheme="majorEastAsia"/>
          <w:kern w:val="0"/>
          <w:sz w:val="32"/>
          <w:szCs w:val="32"/>
        </w:rPr>
      </w:pPr>
      <w:r>
        <w:rPr>
          <w:rFonts w:hint="eastAsia" w:cs="宋体" w:asciiTheme="majorEastAsia" w:hAnsiTheme="majorEastAsia" w:eastAsiaTheme="majorEastAsia"/>
          <w:kern w:val="0"/>
          <w:sz w:val="32"/>
          <w:szCs w:val="32"/>
        </w:rPr>
        <w:t>招标文件目录</w:t>
      </w:r>
    </w:p>
    <w:p>
      <w:pPr>
        <w:autoSpaceDE w:val="0"/>
        <w:autoSpaceDN w:val="0"/>
        <w:adjustRightInd w:val="0"/>
        <w:spacing w:line="700" w:lineRule="exact"/>
        <w:ind w:firstLine="551"/>
        <w:rPr>
          <w:rFonts w:asciiTheme="majorEastAsia" w:hAnsiTheme="majorEastAsia" w:eastAsiaTheme="majorEastAsia" w:cstheme="majorEastAsia"/>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Cs/>
          <w:sz w:val="30"/>
          <w:szCs w:val="30"/>
          <w:lang w:val="zh-CN"/>
        </w:rPr>
      </w:pPr>
      <w:r>
        <w:rPr>
          <w:rFonts w:hint="eastAsia" w:asciiTheme="majorEastAsia" w:hAnsiTheme="majorEastAsia" w:eastAsiaTheme="majorEastAsia" w:cstheme="majorEastAsia"/>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Cs/>
          <w:sz w:val="30"/>
          <w:szCs w:val="30"/>
          <w:lang w:val="zh-CN"/>
        </w:rPr>
      </w:pPr>
      <w:r>
        <w:rPr>
          <w:rFonts w:hint="eastAsia" w:asciiTheme="majorEastAsia" w:hAnsiTheme="majorEastAsia" w:eastAsiaTheme="majorEastAsia" w:cstheme="majorEastAsia"/>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kern w:val="0"/>
          <w:sz w:val="30"/>
          <w:szCs w:val="30"/>
        </w:rPr>
      </w:pPr>
      <w:r>
        <w:rPr>
          <w:rFonts w:hint="eastAsia" w:asciiTheme="majorEastAsia" w:hAnsiTheme="majorEastAsia" w:eastAsiaTheme="majorEastAsia" w:cstheme="majorEastAsia"/>
          <w:bCs/>
          <w:sz w:val="30"/>
          <w:szCs w:val="30"/>
          <w:lang w:val="zh-CN"/>
        </w:rPr>
        <w:t xml:space="preserve">第三章 </w:t>
      </w:r>
      <w:r>
        <w:rPr>
          <w:rFonts w:hint="eastAsia" w:asciiTheme="majorEastAsia" w:hAnsiTheme="majorEastAsia" w:eastAsiaTheme="majorEastAsia" w:cstheme="majorEastAsia"/>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kern w:val="0"/>
          <w:sz w:val="30"/>
          <w:szCs w:val="30"/>
        </w:rPr>
      </w:pPr>
      <w:r>
        <w:rPr>
          <w:rFonts w:hint="eastAsia" w:asciiTheme="majorEastAsia" w:hAnsiTheme="majorEastAsia" w:eastAsiaTheme="majorEastAsia" w:cstheme="majorEastAsia"/>
          <w:bCs/>
          <w:sz w:val="30"/>
          <w:szCs w:val="30"/>
          <w:lang w:val="zh-CN"/>
        </w:rPr>
        <w:t xml:space="preserve">第四章 </w:t>
      </w:r>
      <w:r>
        <w:rPr>
          <w:rFonts w:hint="eastAsia" w:asciiTheme="majorEastAsia" w:hAnsiTheme="majorEastAsia" w:eastAsiaTheme="majorEastAsia" w:cstheme="majorEastAsia"/>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Cs/>
          <w:sz w:val="30"/>
          <w:szCs w:val="30"/>
          <w:lang w:val="zh-CN"/>
        </w:rPr>
      </w:pPr>
      <w:r>
        <w:rPr>
          <w:rFonts w:hint="eastAsia" w:asciiTheme="majorEastAsia" w:hAnsiTheme="majorEastAsia" w:eastAsiaTheme="majorEastAsia" w:cstheme="majorEastAsia"/>
          <w:bCs/>
          <w:sz w:val="30"/>
          <w:szCs w:val="30"/>
          <w:lang w:val="zh-CN"/>
        </w:rPr>
        <w:t xml:space="preserve">第五章 </w:t>
      </w:r>
      <w:r>
        <w:rPr>
          <w:rFonts w:hint="eastAsia" w:asciiTheme="majorEastAsia" w:hAnsiTheme="majorEastAsia" w:eastAsiaTheme="majorEastAsia" w:cstheme="majorEastAsia"/>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Cs/>
          <w:sz w:val="30"/>
          <w:szCs w:val="30"/>
          <w:lang w:val="zh-CN"/>
        </w:rPr>
      </w:pPr>
      <w:r>
        <w:rPr>
          <w:rFonts w:hint="eastAsia" w:asciiTheme="majorEastAsia" w:hAnsiTheme="majorEastAsia" w:eastAsiaTheme="majorEastAsia" w:cstheme="majorEastAsia"/>
          <w:bCs/>
          <w:sz w:val="30"/>
          <w:szCs w:val="30"/>
          <w:lang w:val="zh-CN"/>
        </w:rPr>
        <w:t xml:space="preserve">第六章 </w:t>
      </w:r>
      <w:r>
        <w:rPr>
          <w:rFonts w:hint="eastAsia" w:asciiTheme="majorEastAsia" w:hAnsiTheme="majorEastAsia" w:eastAsiaTheme="majorEastAsia" w:cstheme="majorEastAsia"/>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Cs/>
          <w:sz w:val="30"/>
          <w:szCs w:val="30"/>
          <w:lang w:val="zh-CN"/>
        </w:rPr>
      </w:pPr>
      <w:r>
        <w:rPr>
          <w:rFonts w:hint="eastAsia" w:asciiTheme="majorEastAsia" w:hAnsiTheme="majorEastAsia" w:eastAsiaTheme="majorEastAsia" w:cstheme="majorEastAsia"/>
          <w:bCs/>
          <w:sz w:val="30"/>
          <w:szCs w:val="30"/>
          <w:lang w:val="zh-CN"/>
        </w:rPr>
        <w:t xml:space="preserve">第七章 </w:t>
      </w:r>
      <w:r>
        <w:rPr>
          <w:rFonts w:hint="eastAsia" w:asciiTheme="majorEastAsia" w:hAnsiTheme="majorEastAsia" w:eastAsiaTheme="majorEastAsia" w:cstheme="majorEastAsia"/>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kern w:val="0"/>
          <w:sz w:val="30"/>
          <w:szCs w:val="30"/>
        </w:rPr>
      </w:pPr>
      <w:r>
        <w:rPr>
          <w:rFonts w:hint="eastAsia" w:asciiTheme="majorEastAsia" w:hAnsiTheme="majorEastAsia" w:eastAsiaTheme="majorEastAsia" w:cstheme="majorEastAsia"/>
          <w:bCs/>
          <w:sz w:val="30"/>
          <w:szCs w:val="30"/>
          <w:lang w:val="zh-CN"/>
        </w:rPr>
        <w:t xml:space="preserve">第八章 </w:t>
      </w:r>
      <w:r>
        <w:rPr>
          <w:rFonts w:hint="eastAsia" w:asciiTheme="majorEastAsia" w:hAnsiTheme="majorEastAsia" w:eastAsiaTheme="majorEastAsia" w:cstheme="majorEastAsia"/>
          <w:kern w:val="0"/>
          <w:sz w:val="30"/>
          <w:szCs w:val="30"/>
        </w:rPr>
        <w:t>投标文件有关格式</w:t>
      </w:r>
    </w:p>
    <w:p>
      <w:pPr>
        <w:autoSpaceDE w:val="0"/>
        <w:autoSpaceDN w:val="0"/>
        <w:adjustRightInd w:val="0"/>
        <w:spacing w:line="700" w:lineRule="exact"/>
        <w:rPr>
          <w:rFonts w:cs="宋体" w:asciiTheme="majorEastAsia" w:hAnsiTheme="majorEastAsia" w:eastAsiaTheme="majorEastAsia"/>
          <w:kern w:val="0"/>
          <w:sz w:val="36"/>
          <w:szCs w:val="36"/>
        </w:rPr>
      </w:pPr>
    </w:p>
    <w:p>
      <w:pPr>
        <w:jc w:val="center"/>
        <w:rPr>
          <w:rFonts w:hint="eastAsia" w:cs="宋体" w:asciiTheme="majorEastAsia" w:hAnsiTheme="majorEastAsia" w:eastAsiaTheme="majorEastAsia"/>
          <w:kern w:val="0"/>
          <w:sz w:val="32"/>
          <w:szCs w:val="32"/>
        </w:rPr>
      </w:pPr>
    </w:p>
    <w:p>
      <w:pPr>
        <w:pStyle w:val="2"/>
        <w:rPr>
          <w:rFonts w:hint="eastAsia"/>
        </w:rPr>
      </w:pPr>
    </w:p>
    <w:p>
      <w:pPr>
        <w:numPr>
          <w:ilvl w:val="0"/>
          <w:numId w:val="4"/>
        </w:numPr>
        <w:jc w:val="center"/>
        <w:rPr>
          <w:rFonts w:hint="eastAsia" w:cs="宋体" w:asciiTheme="majorEastAsia" w:hAnsiTheme="majorEastAsia" w:eastAsiaTheme="majorEastAsia"/>
          <w:kern w:val="0"/>
          <w:sz w:val="36"/>
          <w:szCs w:val="36"/>
        </w:rPr>
      </w:pPr>
      <w:r>
        <w:rPr>
          <w:rFonts w:hint="eastAsia" w:cs="宋体" w:asciiTheme="majorEastAsia" w:hAnsiTheme="majorEastAsia" w:eastAsiaTheme="majorEastAsia"/>
          <w:kern w:val="0"/>
          <w:sz w:val="36"/>
          <w:szCs w:val="36"/>
        </w:rPr>
        <w:t>投标邀请</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Theme="minorEastAsia" w:hAnsiTheme="minorEastAsia" w:eastAsiaTheme="minorEastAsia" w:cstheme="minorEastAsia"/>
          <w:b w:val="0"/>
          <w:bCs/>
          <w:color w:val="auto"/>
          <w:kern w:val="0"/>
          <w:sz w:val="28"/>
          <w:szCs w:val="28"/>
          <w:lang w:val="en-US" w:eastAsia="zh-CN"/>
        </w:rPr>
      </w:pPr>
      <w:r>
        <w:rPr>
          <w:rFonts w:hint="eastAsia" w:asciiTheme="minorEastAsia" w:hAnsiTheme="minorEastAsia" w:eastAsiaTheme="minorEastAsia" w:cstheme="minorEastAsia"/>
          <w:b w:val="0"/>
          <w:bCs/>
          <w:color w:val="auto"/>
          <w:kern w:val="0"/>
          <w:sz w:val="28"/>
          <w:szCs w:val="28"/>
          <w:lang w:val="en-US" w:eastAsia="zh-CN"/>
        </w:rPr>
        <w:t>建安政采公字〔2018〕59号</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Theme="minorEastAsia" w:hAnsiTheme="minorEastAsia" w:eastAsiaTheme="minorEastAsia" w:cstheme="minorEastAsia"/>
          <w:b w:val="0"/>
          <w:bCs/>
          <w:kern w:val="0"/>
          <w:sz w:val="28"/>
          <w:szCs w:val="28"/>
          <w:lang w:val="en-US" w:eastAsia="zh-CN"/>
        </w:rPr>
      </w:pPr>
      <w:r>
        <w:rPr>
          <w:rFonts w:hint="eastAsia" w:asciiTheme="minorEastAsia" w:hAnsiTheme="minorEastAsia" w:eastAsiaTheme="minorEastAsia" w:cstheme="minorEastAsia"/>
          <w:b w:val="0"/>
          <w:bCs/>
          <w:kern w:val="0"/>
          <w:sz w:val="28"/>
          <w:szCs w:val="28"/>
          <w:lang w:val="en-US" w:eastAsia="zh-CN"/>
        </w:rPr>
        <w:t>许昌市建安区公路管理局</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Theme="minorEastAsia" w:hAnsiTheme="minorEastAsia" w:eastAsiaTheme="minorEastAsia" w:cstheme="minorEastAsia"/>
          <w:b w:val="0"/>
          <w:bCs/>
          <w:kern w:val="0"/>
          <w:sz w:val="28"/>
          <w:szCs w:val="28"/>
          <w:lang w:val="en-US" w:eastAsia="zh-CN"/>
        </w:rPr>
      </w:pPr>
      <w:r>
        <w:rPr>
          <w:rFonts w:hint="eastAsia" w:asciiTheme="minorEastAsia" w:hAnsiTheme="minorEastAsia" w:eastAsiaTheme="minorEastAsia" w:cstheme="minorEastAsia"/>
          <w:b w:val="0"/>
          <w:bCs/>
          <w:kern w:val="0"/>
          <w:sz w:val="28"/>
          <w:szCs w:val="28"/>
          <w:lang w:val="en-US" w:eastAsia="zh-CN"/>
        </w:rPr>
        <w:t>建安区公路管理局国省干线公路标线</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kern w:val="0"/>
          <w:sz w:val="28"/>
          <w:szCs w:val="28"/>
          <w:lang w:val="en-US" w:eastAsia="zh-CN"/>
        </w:rPr>
        <w:t>公开招标公告</w:t>
      </w:r>
    </w:p>
    <w:p>
      <w:pPr>
        <w:pStyle w:val="20"/>
        <w:keepNext w:val="0"/>
        <w:keepLines w:val="0"/>
        <w:pageBreakBefore w:val="0"/>
        <w:widowControl/>
        <w:shd w:val="clear" w:color="auto"/>
        <w:kinsoku/>
        <w:wordWrap/>
        <w:overflowPunct/>
        <w:topLinePunct w:val="0"/>
        <w:autoSpaceDE/>
        <w:autoSpaceDN/>
        <w:bidi w:val="0"/>
        <w:adjustRightInd/>
        <w:snapToGrid/>
        <w:spacing w:line="520" w:lineRule="exact"/>
        <w:contextualSpacing/>
        <w:jc w:val="left"/>
        <w:textAlignment w:val="auto"/>
        <w:outlineLvl w:val="9"/>
        <w:rPr>
          <w:rFonts w:ascii="宋体" w:hAnsi="宋体" w:cs="黑体"/>
          <w:b/>
          <w:bCs/>
          <w:color w:val="000000"/>
          <w:sz w:val="21"/>
          <w:szCs w:val="21"/>
        </w:rPr>
      </w:pPr>
      <w:r>
        <w:rPr>
          <w:rFonts w:hint="eastAsia" w:ascii="黑体" w:hAnsi="黑体" w:eastAsia="黑体" w:cs="黑体"/>
          <w:bCs/>
          <w:color w:val="000000"/>
          <w:sz w:val="21"/>
          <w:szCs w:val="21"/>
          <w:shd w:val="clear" w:color="auto" w:fill="FFFFFF"/>
        </w:rPr>
        <w:t xml:space="preserve">  </w:t>
      </w:r>
      <w:r>
        <w:rPr>
          <w:rFonts w:hint="eastAsia" w:ascii="宋体" w:hAnsi="宋体" w:cs="黑体"/>
          <w:b/>
          <w:bCs/>
          <w:color w:val="000000"/>
          <w:sz w:val="21"/>
          <w:szCs w:val="21"/>
          <w:shd w:val="clear" w:color="auto" w:fill="FFFFFF"/>
        </w:rPr>
        <w:t>一、项目基本情况</w:t>
      </w:r>
    </w:p>
    <w:p>
      <w:pPr>
        <w:keepNext w:val="0"/>
        <w:keepLines w:val="0"/>
        <w:pageBreakBefore w:val="0"/>
        <w:widowControl/>
        <w:shd w:val="clear"/>
        <w:kinsoku/>
        <w:wordWrap/>
        <w:overflowPunct/>
        <w:topLinePunct w:val="0"/>
        <w:autoSpaceDE/>
        <w:autoSpaceDN/>
        <w:bidi w:val="0"/>
        <w:adjustRightInd/>
        <w:snapToGrid/>
        <w:spacing w:line="520" w:lineRule="exact"/>
        <w:ind w:firstLine="420" w:firstLineChars="200"/>
        <w:textAlignment w:val="auto"/>
        <w:outlineLvl w:val="9"/>
        <w:rPr>
          <w:rFonts w:hint="eastAsia" w:ascii="宋体" w:hAnsi="宋体" w:eastAsia="宋体" w:cs="仿宋_GB2312"/>
          <w:color w:val="000000"/>
          <w:kern w:val="2"/>
          <w:sz w:val="21"/>
          <w:szCs w:val="21"/>
          <w:shd w:val="clear" w:color="auto" w:fill="FFFFFF"/>
          <w:lang w:val="en-US" w:eastAsia="zh-CN" w:bidi="ar-SA"/>
        </w:rPr>
      </w:pPr>
      <w:r>
        <w:rPr>
          <w:rFonts w:hint="eastAsia" w:ascii="宋体" w:hAnsi="宋体" w:cs="仿宋_GB2312"/>
          <w:color w:val="000000"/>
          <w:sz w:val="21"/>
          <w:szCs w:val="21"/>
          <w:shd w:val="clear" w:color="auto" w:fill="FFFFFF"/>
        </w:rPr>
        <w:t>（一）项目名称：</w:t>
      </w:r>
      <w:r>
        <w:rPr>
          <w:rFonts w:hint="eastAsia" w:ascii="宋体" w:hAnsi="宋体" w:eastAsia="宋体" w:cs="仿宋_GB2312"/>
          <w:color w:val="000000"/>
          <w:kern w:val="2"/>
          <w:sz w:val="21"/>
          <w:szCs w:val="21"/>
          <w:shd w:val="clear" w:color="auto" w:fill="FFFFFF"/>
          <w:lang w:val="en-US" w:eastAsia="zh-CN" w:bidi="ar-SA"/>
        </w:rPr>
        <w:t>建安区公路管理局国省干线公路标线。</w:t>
      </w:r>
    </w:p>
    <w:p>
      <w:pPr>
        <w:pStyle w:val="20"/>
        <w:keepNext w:val="0"/>
        <w:keepLines w:val="0"/>
        <w:pageBreakBefore w:val="0"/>
        <w:widowControl/>
        <w:shd w:val="clear" w:color="auto"/>
        <w:kinsoku/>
        <w:wordWrap/>
        <w:overflowPunct/>
        <w:topLinePunct w:val="0"/>
        <w:autoSpaceDE/>
        <w:autoSpaceDN/>
        <w:bidi w:val="0"/>
        <w:adjustRightInd/>
        <w:snapToGrid/>
        <w:spacing w:line="520" w:lineRule="exact"/>
        <w:ind w:firstLine="420"/>
        <w:contextualSpacing/>
        <w:jc w:val="left"/>
        <w:textAlignment w:val="auto"/>
        <w:outlineLvl w:val="9"/>
        <w:rPr>
          <w:rFonts w:ascii="宋体" w:hAnsi="宋体" w:cs="仿宋_GB2312"/>
          <w:color w:val="000000"/>
          <w:sz w:val="21"/>
          <w:szCs w:val="21"/>
          <w:shd w:val="clear" w:color="auto" w:fill="FFFFFF"/>
        </w:rPr>
      </w:pPr>
      <w:r>
        <w:rPr>
          <w:rFonts w:hint="eastAsia" w:ascii="宋体" w:hAnsi="宋体" w:cs="仿宋_GB2312"/>
          <w:color w:val="000000"/>
          <w:sz w:val="21"/>
          <w:szCs w:val="21"/>
          <w:shd w:val="clear" w:color="auto" w:fill="FFFFFF"/>
        </w:rPr>
        <w:t>（二）项目编号：建安政采公字〔2018〕</w:t>
      </w:r>
      <w:r>
        <w:rPr>
          <w:rFonts w:hint="eastAsia" w:ascii="宋体" w:hAnsi="宋体" w:cs="仿宋_GB2312"/>
          <w:color w:val="000000"/>
          <w:sz w:val="21"/>
          <w:szCs w:val="21"/>
          <w:shd w:val="clear" w:color="auto" w:fill="FFFFFF"/>
          <w:lang w:val="en-US" w:eastAsia="zh-CN"/>
        </w:rPr>
        <w:t>59</w:t>
      </w:r>
      <w:r>
        <w:rPr>
          <w:rFonts w:hint="eastAsia" w:ascii="宋体" w:hAnsi="宋体" w:cs="仿宋_GB2312"/>
          <w:color w:val="000000"/>
          <w:sz w:val="21"/>
          <w:szCs w:val="21"/>
          <w:shd w:val="clear" w:color="auto" w:fill="FFFFFF"/>
        </w:rPr>
        <w:t>号</w:t>
      </w:r>
      <w:r>
        <w:rPr>
          <w:rFonts w:hint="eastAsia" w:ascii="宋体" w:hAnsi="宋体" w:cs="仿宋_GB2312"/>
          <w:color w:val="000000"/>
          <w:sz w:val="21"/>
          <w:szCs w:val="21"/>
          <w:shd w:val="clear" w:color="auto" w:fill="FFFFFF"/>
          <w:lang w:eastAsia="zh-CN"/>
        </w:rPr>
        <w:t>。</w:t>
      </w:r>
      <w:r>
        <w:rPr>
          <w:rFonts w:hint="eastAsia" w:ascii="宋体" w:hAnsi="宋体" w:cs="仿宋_GB2312"/>
          <w:color w:val="000000"/>
          <w:sz w:val="21"/>
          <w:szCs w:val="21"/>
          <w:shd w:val="clear" w:color="auto" w:fill="FFFFFF"/>
        </w:rPr>
        <w:t xml:space="preserve">    </w:t>
      </w:r>
    </w:p>
    <w:p>
      <w:pPr>
        <w:pStyle w:val="20"/>
        <w:keepNext w:val="0"/>
        <w:keepLines w:val="0"/>
        <w:pageBreakBefore w:val="0"/>
        <w:widowControl/>
        <w:shd w:val="clear" w:color="auto"/>
        <w:kinsoku/>
        <w:wordWrap/>
        <w:overflowPunct/>
        <w:topLinePunct w:val="0"/>
        <w:autoSpaceDE/>
        <w:autoSpaceDN/>
        <w:bidi w:val="0"/>
        <w:adjustRightInd/>
        <w:snapToGrid/>
        <w:spacing w:line="520" w:lineRule="exact"/>
        <w:ind w:firstLine="420"/>
        <w:contextualSpacing/>
        <w:jc w:val="left"/>
        <w:textAlignment w:val="auto"/>
        <w:outlineLvl w:val="9"/>
        <w:rPr>
          <w:rFonts w:ascii="宋体" w:hAnsi="宋体" w:cs="仿宋_GB2312"/>
          <w:color w:val="000000"/>
          <w:sz w:val="21"/>
          <w:szCs w:val="21"/>
          <w:shd w:val="clear" w:color="auto" w:fill="FFFFFF"/>
        </w:rPr>
      </w:pPr>
      <w:r>
        <w:rPr>
          <w:rFonts w:hint="eastAsia" w:ascii="宋体" w:hAnsi="宋体" w:cs="仿宋_GB2312"/>
          <w:color w:val="000000"/>
          <w:sz w:val="21"/>
          <w:szCs w:val="21"/>
          <w:shd w:val="clear" w:color="auto" w:fill="FFFFFF"/>
        </w:rPr>
        <w:t>（三）采购方式：公开招标</w:t>
      </w:r>
      <w:r>
        <w:rPr>
          <w:rFonts w:hint="eastAsia" w:ascii="宋体" w:hAnsi="宋体" w:cs="仿宋_GB2312"/>
          <w:color w:val="000000"/>
          <w:sz w:val="21"/>
          <w:szCs w:val="21"/>
          <w:shd w:val="clear" w:color="auto" w:fill="FFFFFF"/>
          <w:lang w:eastAsia="zh-CN"/>
        </w:rPr>
        <w:t>。</w:t>
      </w:r>
      <w:r>
        <w:rPr>
          <w:rFonts w:hint="eastAsia" w:ascii="宋体" w:hAnsi="宋体" w:cs="仿宋_GB2312"/>
          <w:color w:val="000000"/>
          <w:sz w:val="21"/>
          <w:szCs w:val="21"/>
          <w:shd w:val="clear" w:color="auto" w:fill="FFFFFF"/>
        </w:rPr>
        <w:t xml:space="preserve">                                                                                                                          </w:t>
      </w:r>
    </w:p>
    <w:p>
      <w:pPr>
        <w:pStyle w:val="20"/>
        <w:keepNext w:val="0"/>
        <w:keepLines w:val="0"/>
        <w:pageBreakBefore w:val="0"/>
        <w:widowControl/>
        <w:shd w:val="clear" w:color="auto"/>
        <w:kinsoku/>
        <w:wordWrap/>
        <w:overflowPunct/>
        <w:topLinePunct w:val="0"/>
        <w:autoSpaceDE/>
        <w:autoSpaceDN/>
        <w:bidi w:val="0"/>
        <w:adjustRightInd/>
        <w:snapToGrid/>
        <w:spacing w:line="520" w:lineRule="exact"/>
        <w:ind w:firstLine="420"/>
        <w:contextualSpacing/>
        <w:jc w:val="left"/>
        <w:textAlignment w:val="auto"/>
        <w:outlineLvl w:val="9"/>
        <w:rPr>
          <w:rFonts w:hint="eastAsia" w:ascii="宋体" w:hAnsi="宋体" w:eastAsia="宋体" w:cs="仿宋_GB2312"/>
          <w:color w:val="000000"/>
          <w:sz w:val="21"/>
          <w:szCs w:val="21"/>
          <w:shd w:val="clear" w:color="auto" w:fill="FFFFFF"/>
          <w:lang w:eastAsia="zh-CN"/>
        </w:rPr>
      </w:pPr>
      <w:r>
        <w:rPr>
          <w:rFonts w:hint="eastAsia" w:ascii="宋体" w:hAnsi="宋体" w:cs="仿宋_GB2312"/>
          <w:color w:val="000000"/>
          <w:sz w:val="21"/>
          <w:szCs w:val="21"/>
          <w:shd w:val="clear" w:color="auto" w:fill="FFFFFF"/>
        </w:rPr>
        <w:t>（四）采购需求：详见招标文件</w:t>
      </w:r>
      <w:r>
        <w:rPr>
          <w:rFonts w:hint="eastAsia" w:ascii="宋体" w:hAnsi="宋体" w:cs="仿宋_GB2312"/>
          <w:color w:val="000000"/>
          <w:sz w:val="21"/>
          <w:szCs w:val="21"/>
          <w:shd w:val="clear" w:color="auto" w:fill="FFFFFF"/>
          <w:lang w:eastAsia="zh-CN"/>
        </w:rPr>
        <w:t>。</w:t>
      </w:r>
    </w:p>
    <w:p>
      <w:pPr>
        <w:pStyle w:val="20"/>
        <w:keepNext w:val="0"/>
        <w:keepLines w:val="0"/>
        <w:pageBreakBefore w:val="0"/>
        <w:widowControl/>
        <w:shd w:val="clear" w:color="auto"/>
        <w:kinsoku/>
        <w:wordWrap/>
        <w:overflowPunct/>
        <w:topLinePunct w:val="0"/>
        <w:autoSpaceDE/>
        <w:autoSpaceDN/>
        <w:bidi w:val="0"/>
        <w:adjustRightInd/>
        <w:snapToGrid/>
        <w:spacing w:line="520" w:lineRule="exact"/>
        <w:ind w:firstLine="420"/>
        <w:contextualSpacing/>
        <w:jc w:val="left"/>
        <w:textAlignment w:val="auto"/>
        <w:outlineLvl w:val="9"/>
        <w:rPr>
          <w:rFonts w:hint="eastAsia" w:ascii="宋体" w:hAnsi="宋体" w:eastAsia="宋体" w:cs="仿宋_GB2312"/>
          <w:color w:val="000000"/>
          <w:sz w:val="21"/>
          <w:szCs w:val="21"/>
          <w:shd w:val="clear" w:color="auto" w:fill="FFFFFF"/>
          <w:lang w:eastAsia="zh-CN"/>
        </w:rPr>
      </w:pPr>
      <w:r>
        <w:rPr>
          <w:rFonts w:hint="eastAsia" w:ascii="宋体" w:hAnsi="宋体" w:cs="仿宋_GB2312"/>
          <w:color w:val="000000"/>
          <w:sz w:val="21"/>
          <w:szCs w:val="21"/>
          <w:shd w:val="clear" w:color="auto" w:fill="FFFFFF"/>
        </w:rPr>
        <w:t>（五）</w:t>
      </w:r>
      <w:r>
        <w:rPr>
          <w:rFonts w:hint="eastAsia" w:ascii="宋体" w:hAnsi="宋体" w:cs="仿宋_GB2312"/>
          <w:color w:val="000000"/>
          <w:sz w:val="21"/>
          <w:szCs w:val="21"/>
          <w:shd w:val="clear" w:color="auto" w:fill="FFFFFF"/>
          <w:lang w:eastAsia="zh-CN"/>
        </w:rPr>
        <w:t>项目</w:t>
      </w:r>
      <w:r>
        <w:rPr>
          <w:rFonts w:hint="eastAsia" w:ascii="宋体" w:hAnsi="宋体" w:cs="仿宋_GB2312"/>
          <w:color w:val="000000"/>
          <w:sz w:val="21"/>
          <w:szCs w:val="21"/>
          <w:shd w:val="clear" w:color="auto" w:fill="FFFFFF"/>
        </w:rPr>
        <w:t>预算：按实际工作量以最终评审价为准</w:t>
      </w:r>
      <w:r>
        <w:rPr>
          <w:rFonts w:hint="eastAsia" w:ascii="宋体" w:hAnsi="宋体" w:cs="仿宋_GB2312"/>
          <w:color w:val="000000"/>
          <w:sz w:val="21"/>
          <w:szCs w:val="21"/>
          <w:shd w:val="clear" w:color="auto" w:fill="FFFFFF"/>
          <w:lang w:eastAsia="zh-CN"/>
        </w:rPr>
        <w:t>。</w:t>
      </w:r>
    </w:p>
    <w:p>
      <w:pPr>
        <w:pStyle w:val="20"/>
        <w:keepNext w:val="0"/>
        <w:keepLines w:val="0"/>
        <w:pageBreakBefore w:val="0"/>
        <w:widowControl/>
        <w:shd w:val="clear" w:color="auto"/>
        <w:kinsoku/>
        <w:wordWrap/>
        <w:overflowPunct/>
        <w:topLinePunct w:val="0"/>
        <w:autoSpaceDE/>
        <w:autoSpaceDN/>
        <w:bidi w:val="0"/>
        <w:adjustRightInd/>
        <w:snapToGrid/>
        <w:spacing w:line="520" w:lineRule="exact"/>
        <w:ind w:firstLine="420"/>
        <w:contextualSpacing/>
        <w:jc w:val="left"/>
        <w:textAlignment w:val="auto"/>
        <w:outlineLvl w:val="9"/>
        <w:rPr>
          <w:rFonts w:ascii="宋体" w:hAnsi="宋体" w:cs="仿宋_GB2312"/>
          <w:color w:val="000000"/>
          <w:sz w:val="21"/>
          <w:szCs w:val="21"/>
          <w:shd w:val="clear" w:color="auto" w:fill="FFFFFF"/>
        </w:rPr>
      </w:pPr>
      <w:r>
        <w:rPr>
          <w:rFonts w:hint="eastAsia" w:ascii="宋体" w:hAnsi="宋体" w:cs="仿宋_GB2312"/>
          <w:color w:val="000000"/>
          <w:sz w:val="21"/>
          <w:szCs w:val="21"/>
          <w:shd w:val="clear" w:color="auto" w:fill="FFFFFF"/>
        </w:rPr>
        <w:t>（六）服务</w:t>
      </w:r>
      <w:r>
        <w:rPr>
          <w:rFonts w:hint="eastAsia" w:ascii="宋体" w:hAnsi="宋体" w:cs="仿宋_GB2312"/>
          <w:color w:val="000000"/>
          <w:sz w:val="21"/>
          <w:szCs w:val="21"/>
          <w:shd w:val="clear" w:color="auto" w:fill="FFFFFF"/>
          <w:lang w:eastAsia="zh-CN"/>
        </w:rPr>
        <w:t>期限</w:t>
      </w:r>
      <w:r>
        <w:rPr>
          <w:rFonts w:hint="eastAsia" w:ascii="宋体" w:hAnsi="宋体" w:cs="仿宋_GB2312"/>
          <w:color w:val="000000"/>
          <w:sz w:val="21"/>
          <w:szCs w:val="21"/>
          <w:shd w:val="clear" w:color="auto" w:fill="FFFFFF"/>
        </w:rPr>
        <w:t>：</w:t>
      </w:r>
      <w:r>
        <w:rPr>
          <w:rFonts w:hint="eastAsia" w:ascii="宋体" w:hAnsi="宋体" w:cs="仿宋_GB2312"/>
          <w:color w:val="000000"/>
          <w:sz w:val="21"/>
          <w:szCs w:val="21"/>
          <w:shd w:val="clear" w:color="auto" w:fill="FFFFFF"/>
          <w:lang w:val="en-US" w:eastAsia="zh-CN"/>
        </w:rPr>
        <w:t>3年</w:t>
      </w:r>
      <w:r>
        <w:rPr>
          <w:rFonts w:hint="eastAsia" w:ascii="宋体" w:hAnsi="宋体" w:cs="仿宋_GB2312"/>
          <w:color w:val="000000"/>
          <w:sz w:val="21"/>
          <w:szCs w:val="21"/>
          <w:shd w:val="clear" w:color="auto" w:fill="FFFFFF"/>
        </w:rPr>
        <w:t>。</w:t>
      </w:r>
    </w:p>
    <w:p>
      <w:pPr>
        <w:pStyle w:val="20"/>
        <w:keepNext w:val="0"/>
        <w:keepLines w:val="0"/>
        <w:pageBreakBefore w:val="0"/>
        <w:widowControl/>
        <w:shd w:val="clear" w:color="auto"/>
        <w:kinsoku/>
        <w:wordWrap/>
        <w:overflowPunct/>
        <w:topLinePunct w:val="0"/>
        <w:autoSpaceDE/>
        <w:autoSpaceDN/>
        <w:bidi w:val="0"/>
        <w:adjustRightInd/>
        <w:snapToGrid/>
        <w:spacing w:line="520" w:lineRule="exact"/>
        <w:ind w:firstLine="420"/>
        <w:contextualSpacing/>
        <w:jc w:val="left"/>
        <w:textAlignment w:val="auto"/>
        <w:outlineLvl w:val="9"/>
        <w:rPr>
          <w:rFonts w:ascii="宋体" w:hAnsi="宋体" w:cs="黑体"/>
          <w:b/>
          <w:bCs/>
          <w:color w:val="000000"/>
          <w:sz w:val="21"/>
          <w:szCs w:val="21"/>
          <w:shd w:val="clear" w:color="auto" w:fill="FFFFFF"/>
        </w:rPr>
      </w:pPr>
      <w:r>
        <w:rPr>
          <w:rFonts w:hint="eastAsia" w:ascii="宋体" w:hAnsi="宋体" w:cs="黑体"/>
          <w:b/>
          <w:bCs/>
          <w:color w:val="000000"/>
          <w:sz w:val="21"/>
          <w:szCs w:val="21"/>
          <w:shd w:val="clear" w:color="auto" w:fill="FFFFFF"/>
        </w:rPr>
        <w:t>二、需要落实的政府采购政策</w:t>
      </w:r>
    </w:p>
    <w:p>
      <w:pPr>
        <w:pStyle w:val="20"/>
        <w:keepNext w:val="0"/>
        <w:keepLines w:val="0"/>
        <w:pageBreakBefore w:val="0"/>
        <w:widowControl/>
        <w:shd w:val="clear" w:color="auto"/>
        <w:kinsoku/>
        <w:wordWrap/>
        <w:overflowPunct/>
        <w:topLinePunct w:val="0"/>
        <w:autoSpaceDE/>
        <w:autoSpaceDN/>
        <w:bidi w:val="0"/>
        <w:adjustRightInd/>
        <w:snapToGrid/>
        <w:spacing w:line="520" w:lineRule="exact"/>
        <w:ind w:firstLine="420"/>
        <w:contextualSpacing/>
        <w:jc w:val="left"/>
        <w:textAlignment w:val="auto"/>
        <w:outlineLvl w:val="9"/>
        <w:rPr>
          <w:rFonts w:ascii="宋体" w:hAnsi="宋体" w:cs="仿宋_GB2312"/>
          <w:color w:val="000000"/>
          <w:sz w:val="21"/>
          <w:szCs w:val="21"/>
          <w:shd w:val="clear" w:color="auto" w:fill="FFFFFF"/>
        </w:rPr>
      </w:pPr>
      <w:r>
        <w:rPr>
          <w:rFonts w:hint="eastAsia" w:ascii="宋体" w:hAnsi="宋体" w:cs="仿宋_GB2312"/>
          <w:color w:val="000000"/>
          <w:sz w:val="21"/>
          <w:szCs w:val="21"/>
          <w:shd w:val="clear" w:color="auto" w:fill="FFFFFF"/>
        </w:rPr>
        <w:t>本项目落实</w:t>
      </w:r>
      <w:r>
        <w:rPr>
          <w:rFonts w:hint="eastAsia" w:ascii="宋体" w:hAnsi="宋体" w:cs="仿宋_GB2312"/>
          <w:color w:val="000000"/>
          <w:sz w:val="21"/>
          <w:szCs w:val="21"/>
          <w:u w:val="single"/>
          <w:shd w:val="clear" w:color="auto" w:fill="FFFFFF"/>
        </w:rPr>
        <w:t>节能环保</w:t>
      </w:r>
      <w:r>
        <w:rPr>
          <w:rFonts w:hint="eastAsia" w:ascii="宋体" w:hAnsi="宋体" w:cs="仿宋_GB2312"/>
          <w:color w:val="000000"/>
          <w:sz w:val="21"/>
          <w:szCs w:val="21"/>
          <w:shd w:val="clear" w:color="auto" w:fill="FFFFFF"/>
        </w:rPr>
        <w:t>、</w:t>
      </w:r>
      <w:r>
        <w:rPr>
          <w:rFonts w:hint="eastAsia" w:ascii="宋体" w:hAnsi="宋体" w:cs="仿宋_GB2312"/>
          <w:color w:val="000000"/>
          <w:sz w:val="21"/>
          <w:szCs w:val="21"/>
          <w:u w:val="single"/>
          <w:shd w:val="clear" w:color="auto" w:fill="FFFFFF"/>
        </w:rPr>
        <w:t>中小微型企业</w:t>
      </w:r>
      <w:r>
        <w:rPr>
          <w:rFonts w:hint="eastAsia" w:ascii="宋体" w:hAnsi="宋体" w:cs="仿宋_GB2312"/>
          <w:color w:val="000000"/>
          <w:sz w:val="21"/>
          <w:szCs w:val="21"/>
          <w:shd w:val="clear" w:color="auto" w:fill="FFFFFF"/>
        </w:rPr>
        <w:t>、</w:t>
      </w:r>
      <w:r>
        <w:rPr>
          <w:rFonts w:hint="eastAsia" w:ascii="宋体" w:hAnsi="宋体" w:cs="仿宋_GB2312"/>
          <w:color w:val="000000"/>
          <w:sz w:val="21"/>
          <w:szCs w:val="21"/>
          <w:u w:val="single"/>
          <w:shd w:val="clear" w:color="auto" w:fill="FFFFFF"/>
        </w:rPr>
        <w:t>监狱企业</w:t>
      </w:r>
      <w:r>
        <w:rPr>
          <w:rFonts w:hint="eastAsia" w:ascii="宋体" w:hAnsi="宋体" w:cs="仿宋_GB2312"/>
          <w:color w:val="000000"/>
          <w:sz w:val="21"/>
          <w:szCs w:val="21"/>
          <w:shd w:val="clear" w:color="auto" w:fill="FFFFFF"/>
        </w:rPr>
        <w:t>、</w:t>
      </w:r>
      <w:r>
        <w:rPr>
          <w:rFonts w:hint="eastAsia" w:ascii="宋体" w:hAnsi="宋体" w:cs="仿宋_GB2312"/>
          <w:color w:val="000000"/>
          <w:sz w:val="21"/>
          <w:szCs w:val="21"/>
          <w:u w:val="single"/>
          <w:shd w:val="clear" w:color="auto" w:fill="FFFFFF"/>
        </w:rPr>
        <w:t>残疾人福利性单位</w:t>
      </w:r>
      <w:r>
        <w:rPr>
          <w:rFonts w:hint="eastAsia" w:ascii="宋体" w:hAnsi="宋体" w:cs="仿宋_GB2312"/>
          <w:color w:val="000000"/>
          <w:sz w:val="21"/>
          <w:szCs w:val="21"/>
          <w:shd w:val="clear" w:color="auto" w:fill="FFFFFF"/>
        </w:rPr>
        <w:t>扶持等相关政府采购政策。</w:t>
      </w:r>
    </w:p>
    <w:p>
      <w:pPr>
        <w:pStyle w:val="20"/>
        <w:keepNext w:val="0"/>
        <w:keepLines w:val="0"/>
        <w:pageBreakBefore w:val="0"/>
        <w:widowControl/>
        <w:shd w:val="clear" w:color="auto"/>
        <w:kinsoku/>
        <w:wordWrap/>
        <w:overflowPunct/>
        <w:topLinePunct w:val="0"/>
        <w:autoSpaceDE/>
        <w:autoSpaceDN/>
        <w:bidi w:val="0"/>
        <w:adjustRightInd/>
        <w:snapToGrid/>
        <w:spacing w:line="520" w:lineRule="exact"/>
        <w:ind w:firstLine="420"/>
        <w:contextualSpacing/>
        <w:jc w:val="left"/>
        <w:textAlignment w:val="auto"/>
        <w:outlineLvl w:val="9"/>
        <w:rPr>
          <w:rFonts w:ascii="宋体" w:hAnsi="宋体" w:cs="黑体"/>
          <w:b/>
          <w:bCs/>
          <w:color w:val="000000"/>
          <w:sz w:val="21"/>
          <w:szCs w:val="21"/>
          <w:shd w:val="clear" w:color="auto" w:fill="FFFFFF"/>
        </w:rPr>
      </w:pPr>
      <w:r>
        <w:rPr>
          <w:rFonts w:hint="eastAsia" w:ascii="宋体" w:hAnsi="宋体" w:cs="黑体"/>
          <w:b/>
          <w:bCs/>
          <w:color w:val="000000"/>
          <w:sz w:val="21"/>
          <w:szCs w:val="21"/>
          <w:shd w:val="clear" w:color="auto" w:fill="FFFFFF"/>
        </w:rPr>
        <w:t>三、投标人资格要求</w:t>
      </w:r>
    </w:p>
    <w:p>
      <w:pPr>
        <w:keepNext w:val="0"/>
        <w:keepLines w:val="0"/>
        <w:pageBreakBefore w:val="0"/>
        <w:widowControl/>
        <w:shd w:val="clear"/>
        <w:kinsoku/>
        <w:wordWrap/>
        <w:overflowPunct/>
        <w:topLinePunct w:val="0"/>
        <w:autoSpaceDE/>
        <w:autoSpaceDN/>
        <w:bidi w:val="0"/>
        <w:adjustRightInd/>
        <w:snapToGrid/>
        <w:spacing w:line="520" w:lineRule="exact"/>
        <w:ind w:firstLine="420" w:firstLineChars="200"/>
        <w:textAlignment w:val="auto"/>
        <w:outlineLvl w:val="9"/>
        <w:rPr>
          <w:rFonts w:hint="eastAsia" w:ascii="宋体" w:hAnsi="宋体" w:cs="仿宋_GB2312"/>
          <w:color w:val="000000"/>
          <w:sz w:val="21"/>
          <w:szCs w:val="21"/>
          <w:shd w:val="clear" w:color="auto" w:fill="FFFFFF"/>
        </w:rPr>
      </w:pPr>
      <w:r>
        <w:rPr>
          <w:rFonts w:hint="eastAsia" w:ascii="宋体" w:hAnsi="宋体" w:cs="仿宋_GB2312"/>
          <w:color w:val="000000"/>
          <w:sz w:val="21"/>
          <w:szCs w:val="21"/>
          <w:shd w:val="clear" w:color="auto" w:fill="FFFFFF"/>
        </w:rPr>
        <w:t>（一）符合《中华人民共和国政府采购法》第二十二条之规定；</w:t>
      </w:r>
    </w:p>
    <w:p>
      <w:pPr>
        <w:keepNext w:val="0"/>
        <w:keepLines w:val="0"/>
        <w:pageBreakBefore w:val="0"/>
        <w:widowControl/>
        <w:shd w:val="clear"/>
        <w:kinsoku/>
        <w:wordWrap/>
        <w:overflowPunct/>
        <w:topLinePunct w:val="0"/>
        <w:autoSpaceDE/>
        <w:autoSpaceDN/>
        <w:bidi w:val="0"/>
        <w:adjustRightInd/>
        <w:snapToGrid/>
        <w:spacing w:line="520" w:lineRule="exact"/>
        <w:ind w:firstLine="420" w:firstLineChars="200"/>
        <w:textAlignment w:val="auto"/>
        <w:outlineLvl w:val="9"/>
        <w:rPr>
          <w:rFonts w:hint="eastAsia" w:ascii="宋体" w:hAnsi="宋体" w:cs="仿宋_GB2312"/>
          <w:color w:val="000000"/>
          <w:sz w:val="21"/>
          <w:szCs w:val="21"/>
          <w:shd w:val="clear" w:color="auto" w:fill="FFFFFF"/>
          <w:lang w:val="en-US" w:eastAsia="zh-CN"/>
        </w:rPr>
      </w:pPr>
      <w:r>
        <w:rPr>
          <w:rFonts w:hint="eastAsia" w:ascii="宋体" w:hAnsi="宋体" w:cs="仿宋_GB2312"/>
          <w:color w:val="000000"/>
          <w:sz w:val="21"/>
          <w:szCs w:val="21"/>
          <w:shd w:val="clear" w:color="auto" w:fill="FFFFFF"/>
        </w:rPr>
        <w:t>（二）</w:t>
      </w:r>
      <w:r>
        <w:rPr>
          <w:rFonts w:hint="eastAsia" w:ascii="宋体" w:hAnsi="宋体" w:cs="仿宋_GB2312"/>
          <w:color w:val="000000"/>
          <w:sz w:val="21"/>
          <w:szCs w:val="21"/>
          <w:shd w:val="clear" w:color="auto" w:fill="FFFFFF"/>
          <w:lang w:val="en-US" w:eastAsia="zh-CN"/>
        </w:rPr>
        <w:t>具备独立的法人资格；</w:t>
      </w:r>
    </w:p>
    <w:p>
      <w:pPr>
        <w:keepNext w:val="0"/>
        <w:keepLines w:val="0"/>
        <w:pageBreakBefore w:val="0"/>
        <w:widowControl/>
        <w:shd w:val="clear"/>
        <w:kinsoku/>
        <w:wordWrap/>
        <w:overflowPunct/>
        <w:topLinePunct w:val="0"/>
        <w:autoSpaceDE/>
        <w:autoSpaceDN/>
        <w:bidi w:val="0"/>
        <w:adjustRightInd/>
        <w:snapToGrid/>
        <w:spacing w:line="520" w:lineRule="exact"/>
        <w:ind w:firstLine="420" w:firstLineChars="200"/>
        <w:textAlignment w:val="auto"/>
        <w:outlineLvl w:val="9"/>
        <w:rPr>
          <w:rFonts w:hint="eastAsia" w:ascii="宋体" w:hAnsi="宋体" w:cs="仿宋_GB2312"/>
          <w:color w:val="000000"/>
          <w:sz w:val="21"/>
          <w:szCs w:val="21"/>
          <w:shd w:val="clear" w:color="auto" w:fill="FFFFFF"/>
          <w:lang w:val="en-US" w:eastAsia="zh-CN"/>
        </w:rPr>
      </w:pPr>
      <w:r>
        <w:rPr>
          <w:rFonts w:hint="eastAsia" w:ascii="宋体" w:hAnsi="宋体" w:cs="仿宋_GB2312"/>
          <w:color w:val="000000"/>
          <w:sz w:val="21"/>
          <w:szCs w:val="21"/>
          <w:shd w:val="clear" w:color="auto" w:fill="FFFFFF"/>
          <w:lang w:val="en-US" w:eastAsia="zh-CN"/>
        </w:rPr>
        <w:t>（三）具备有效的营业执照，且包含相应的经营范围，具备公路交通工程（公路安全设施）专业承包一级资质；</w:t>
      </w:r>
    </w:p>
    <w:p>
      <w:pPr>
        <w:keepNext w:val="0"/>
        <w:keepLines w:val="0"/>
        <w:pageBreakBefore w:val="0"/>
        <w:widowControl/>
        <w:shd w:val="clear"/>
        <w:kinsoku/>
        <w:wordWrap/>
        <w:overflowPunct/>
        <w:topLinePunct w:val="0"/>
        <w:autoSpaceDE/>
        <w:autoSpaceDN/>
        <w:bidi w:val="0"/>
        <w:adjustRightInd/>
        <w:snapToGrid/>
        <w:spacing w:line="520" w:lineRule="exact"/>
        <w:ind w:firstLine="420" w:firstLineChars="200"/>
        <w:textAlignment w:val="auto"/>
        <w:outlineLvl w:val="9"/>
        <w:rPr>
          <w:rFonts w:hint="eastAsia" w:ascii="宋体" w:hAnsi="宋体" w:cs="仿宋_GB2312"/>
          <w:color w:val="000000"/>
          <w:sz w:val="21"/>
          <w:szCs w:val="21"/>
          <w:shd w:val="clear" w:color="auto" w:fill="FFFFFF"/>
          <w:lang w:val="en-US" w:eastAsia="zh-CN"/>
        </w:rPr>
      </w:pPr>
      <w:r>
        <w:rPr>
          <w:rFonts w:hint="eastAsia" w:ascii="宋体" w:hAnsi="宋体" w:cs="仿宋_GB2312"/>
          <w:color w:val="000000"/>
          <w:sz w:val="21"/>
          <w:szCs w:val="21"/>
          <w:shd w:val="clear" w:color="auto" w:fill="FFFFFF"/>
          <w:lang w:val="en-US" w:eastAsia="zh-CN"/>
        </w:rPr>
        <w:t xml:space="preserve">（四）未被列入“信用中国”网站(www.creditchina.gov.cn)失信被执行人、重大税收违法案件当事人名单、政府采购严重违法失信名单的投标人；“中国政府采购网” (www.ccgp.gov.cn)政府采购严重违法失信行为记录名单的投标人；“国家企业信用信息公示系统”网站（www.gsxt.gov.cn）严重违法失信企业名单（黑名单）的投标人（投标人须提供网站查询截图）； </w:t>
      </w:r>
    </w:p>
    <w:p>
      <w:pPr>
        <w:keepNext w:val="0"/>
        <w:keepLines w:val="0"/>
        <w:pageBreakBefore w:val="0"/>
        <w:widowControl/>
        <w:shd w:val="clear"/>
        <w:kinsoku/>
        <w:wordWrap/>
        <w:overflowPunct/>
        <w:topLinePunct w:val="0"/>
        <w:autoSpaceDE/>
        <w:autoSpaceDN/>
        <w:bidi w:val="0"/>
        <w:adjustRightInd/>
        <w:snapToGrid/>
        <w:spacing w:line="520" w:lineRule="exact"/>
        <w:ind w:firstLine="420" w:firstLineChars="200"/>
        <w:textAlignment w:val="auto"/>
        <w:outlineLvl w:val="9"/>
        <w:rPr>
          <w:rFonts w:hint="eastAsia" w:ascii="宋体" w:hAnsi="宋体" w:cs="仿宋_GB2312"/>
          <w:color w:val="000000"/>
          <w:sz w:val="21"/>
          <w:szCs w:val="21"/>
          <w:shd w:val="clear" w:color="auto" w:fill="FFFFFF"/>
        </w:rPr>
      </w:pPr>
      <w:r>
        <w:rPr>
          <w:rFonts w:hint="eastAsia" w:ascii="宋体" w:hAnsi="宋体" w:cs="仿宋_GB2312"/>
          <w:color w:val="000000"/>
          <w:sz w:val="21"/>
          <w:szCs w:val="21"/>
          <w:shd w:val="clear" w:color="auto" w:fill="FFFFFF"/>
        </w:rPr>
        <w:t>（</w:t>
      </w:r>
      <w:r>
        <w:rPr>
          <w:rFonts w:hint="eastAsia" w:ascii="宋体" w:hAnsi="宋体" w:cs="仿宋_GB2312"/>
          <w:color w:val="000000"/>
          <w:sz w:val="21"/>
          <w:szCs w:val="21"/>
          <w:shd w:val="clear" w:color="auto" w:fill="FFFFFF"/>
          <w:lang w:eastAsia="zh-CN"/>
        </w:rPr>
        <w:t>五</w:t>
      </w:r>
      <w:r>
        <w:rPr>
          <w:rFonts w:hint="eastAsia" w:ascii="宋体" w:hAnsi="宋体" w:cs="仿宋_GB2312"/>
          <w:color w:val="000000"/>
          <w:sz w:val="21"/>
          <w:szCs w:val="21"/>
          <w:shd w:val="clear" w:color="auto" w:fill="FFFFFF"/>
        </w:rPr>
        <w:t>）本次招标不接受联合体投标。</w:t>
      </w:r>
    </w:p>
    <w:p>
      <w:pPr>
        <w:pStyle w:val="20"/>
        <w:keepNext w:val="0"/>
        <w:keepLines w:val="0"/>
        <w:pageBreakBefore w:val="0"/>
        <w:widowControl/>
        <w:shd w:val="clear" w:color="auto"/>
        <w:kinsoku/>
        <w:wordWrap/>
        <w:overflowPunct/>
        <w:topLinePunct w:val="0"/>
        <w:autoSpaceDE/>
        <w:autoSpaceDN/>
        <w:bidi w:val="0"/>
        <w:adjustRightInd/>
        <w:snapToGrid/>
        <w:spacing w:line="520" w:lineRule="exact"/>
        <w:ind w:firstLine="420"/>
        <w:contextualSpacing/>
        <w:jc w:val="left"/>
        <w:textAlignment w:val="auto"/>
        <w:outlineLvl w:val="9"/>
        <w:rPr>
          <w:rFonts w:ascii="宋体" w:hAnsi="宋体" w:cs="黑体"/>
          <w:b/>
          <w:bCs/>
          <w:color w:val="000000"/>
          <w:sz w:val="21"/>
          <w:szCs w:val="21"/>
          <w:shd w:val="clear" w:color="auto" w:fill="FFFFFF"/>
        </w:rPr>
      </w:pPr>
      <w:r>
        <w:rPr>
          <w:rFonts w:hint="eastAsia" w:ascii="宋体" w:hAnsi="宋体" w:cs="黑体"/>
          <w:b/>
          <w:bCs/>
          <w:color w:val="000000"/>
          <w:sz w:val="21"/>
          <w:szCs w:val="21"/>
          <w:shd w:val="clear" w:color="auto" w:fill="FFFFFF"/>
        </w:rPr>
        <w:t>四、获取招标文件的时间、方式</w:t>
      </w:r>
    </w:p>
    <w:p>
      <w:pPr>
        <w:keepNext w:val="0"/>
        <w:keepLines w:val="0"/>
        <w:pageBreakBefore w:val="0"/>
        <w:widowControl/>
        <w:shd w:val="clear" w:color="auto"/>
        <w:kinsoku/>
        <w:wordWrap/>
        <w:overflowPunct/>
        <w:topLinePunct w:val="0"/>
        <w:autoSpaceDE/>
        <w:autoSpaceDN/>
        <w:bidi w:val="0"/>
        <w:adjustRightInd/>
        <w:snapToGrid/>
        <w:spacing w:line="520" w:lineRule="exact"/>
        <w:ind w:firstLine="420"/>
        <w:jc w:val="left"/>
        <w:textAlignment w:val="auto"/>
        <w:outlineLvl w:val="9"/>
        <w:rPr>
          <w:rFonts w:ascii="宋体" w:hAnsi="宋体" w:cs="Arial"/>
          <w:color w:val="000000"/>
          <w:kern w:val="0"/>
          <w:szCs w:val="21"/>
          <w:shd w:val="clear" w:color="auto" w:fill="FFFFFF"/>
        </w:rPr>
      </w:pPr>
      <w:r>
        <w:rPr>
          <w:rFonts w:hint="eastAsia" w:ascii="宋体" w:hAnsi="宋体" w:cs="Arial"/>
          <w:color w:val="000000"/>
          <w:kern w:val="0"/>
          <w:szCs w:val="21"/>
          <w:shd w:val="clear" w:color="auto" w:fill="FFFFFF"/>
        </w:rPr>
        <w:t>（</w:t>
      </w:r>
      <w:r>
        <w:rPr>
          <w:rFonts w:hint="eastAsia" w:ascii="宋体" w:hAnsi="宋体" w:cs="Arial"/>
          <w:color w:val="000000"/>
          <w:kern w:val="0"/>
          <w:szCs w:val="21"/>
          <w:shd w:val="clear" w:color="auto" w:fill="FFFFFF"/>
          <w:lang w:eastAsia="zh-CN"/>
        </w:rPr>
        <w:t>一</w:t>
      </w:r>
      <w:r>
        <w:rPr>
          <w:rFonts w:hint="eastAsia" w:ascii="宋体" w:hAnsi="宋体" w:cs="Arial"/>
          <w:color w:val="000000"/>
          <w:kern w:val="0"/>
          <w:szCs w:val="21"/>
          <w:shd w:val="clear" w:color="auto" w:fill="FFFFFF"/>
        </w:rPr>
        <w:t xml:space="preserve">）网上下载招标文件 </w:t>
      </w:r>
    </w:p>
    <w:p>
      <w:pPr>
        <w:pStyle w:val="20"/>
        <w:keepNext w:val="0"/>
        <w:keepLines w:val="0"/>
        <w:pageBreakBefore w:val="0"/>
        <w:widowControl/>
        <w:shd w:val="clear" w:color="auto"/>
        <w:kinsoku/>
        <w:wordWrap/>
        <w:overflowPunct/>
        <w:topLinePunct w:val="0"/>
        <w:autoSpaceDE/>
        <w:autoSpaceDN/>
        <w:bidi w:val="0"/>
        <w:adjustRightInd/>
        <w:snapToGrid/>
        <w:spacing w:line="520" w:lineRule="exact"/>
        <w:ind w:firstLine="420"/>
        <w:contextualSpacing/>
        <w:jc w:val="left"/>
        <w:textAlignment w:val="auto"/>
        <w:outlineLvl w:val="9"/>
        <w:rPr>
          <w:rFonts w:ascii="宋体" w:hAnsi="宋体" w:cs="仿宋_GB2312"/>
          <w:color w:val="000000"/>
          <w:sz w:val="21"/>
          <w:szCs w:val="21"/>
          <w:shd w:val="clear" w:color="auto" w:fill="FFFFFF"/>
        </w:rPr>
      </w:pPr>
      <w:r>
        <w:rPr>
          <w:rFonts w:hint="eastAsia" w:ascii="宋体" w:hAnsi="宋体" w:cs="仿宋_GB2312"/>
          <w:color w:val="000000"/>
          <w:sz w:val="21"/>
          <w:szCs w:val="21"/>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20"/>
        <w:keepNext w:val="0"/>
        <w:keepLines w:val="0"/>
        <w:pageBreakBefore w:val="0"/>
        <w:widowControl/>
        <w:shd w:val="clear" w:color="auto"/>
        <w:kinsoku/>
        <w:wordWrap/>
        <w:overflowPunct/>
        <w:topLinePunct w:val="0"/>
        <w:autoSpaceDE/>
        <w:autoSpaceDN/>
        <w:bidi w:val="0"/>
        <w:adjustRightInd/>
        <w:snapToGrid/>
        <w:spacing w:line="520" w:lineRule="exact"/>
        <w:ind w:firstLine="420"/>
        <w:contextualSpacing/>
        <w:jc w:val="left"/>
        <w:textAlignment w:val="auto"/>
        <w:outlineLvl w:val="9"/>
        <w:rPr>
          <w:rFonts w:hint="eastAsia" w:ascii="宋体" w:hAnsi="宋体" w:eastAsia="宋体" w:cs="仿宋_GB2312"/>
          <w:color w:val="000000"/>
          <w:sz w:val="21"/>
          <w:szCs w:val="21"/>
          <w:shd w:val="clear" w:color="auto" w:fill="FFFFFF"/>
          <w:lang w:eastAsia="zh-CN"/>
        </w:rPr>
      </w:pPr>
      <w:r>
        <w:rPr>
          <w:rFonts w:hint="eastAsia" w:ascii="宋体" w:hAnsi="宋体" w:cs="仿宋_GB2312"/>
          <w:color w:val="000000"/>
          <w:sz w:val="21"/>
          <w:szCs w:val="21"/>
          <w:shd w:val="clear" w:color="auto" w:fill="FFFFFF"/>
        </w:rPr>
        <w:t>2、在</w:t>
      </w:r>
      <w:r>
        <w:rPr>
          <w:rFonts w:hint="eastAsia" w:ascii="宋体" w:hAnsi="宋体" w:cs="仿宋_GB2312"/>
          <w:color w:val="000000"/>
          <w:sz w:val="21"/>
          <w:szCs w:val="21"/>
          <w:shd w:val="clear" w:color="auto" w:fill="FFFFFF"/>
          <w:lang w:eastAsia="zh-CN"/>
        </w:rPr>
        <w:t>投标</w:t>
      </w:r>
      <w:r>
        <w:rPr>
          <w:rFonts w:hint="eastAsia" w:ascii="宋体" w:hAnsi="宋体" w:cs="仿宋_GB2312"/>
          <w:color w:val="000000"/>
          <w:sz w:val="21"/>
          <w:szCs w:val="21"/>
          <w:shd w:val="clear" w:color="auto" w:fill="FFFFFF"/>
        </w:rPr>
        <w:t>截止时间前均可登录《全国公共资源交易平台（河南省·许昌市）》“投标人/供应商登录”入口（http://221.14.6.70:8088/ggzy/）自行下载招标文件（详见“常见问题解答-交易系统操作手册”）</w:t>
      </w:r>
      <w:r>
        <w:rPr>
          <w:rFonts w:hint="eastAsia" w:ascii="宋体" w:hAnsi="宋体" w:cs="仿宋_GB2312"/>
          <w:color w:val="000000"/>
          <w:sz w:val="21"/>
          <w:szCs w:val="21"/>
          <w:shd w:val="clear" w:color="auto" w:fill="FFFFFF"/>
          <w:lang w:eastAsia="zh-CN"/>
        </w:rPr>
        <w:t>；</w:t>
      </w:r>
    </w:p>
    <w:p>
      <w:pPr>
        <w:keepNext w:val="0"/>
        <w:keepLines w:val="0"/>
        <w:pageBreakBefore w:val="0"/>
        <w:widowControl/>
        <w:shd w:val="clear" w:color="auto"/>
        <w:kinsoku/>
        <w:wordWrap/>
        <w:overflowPunct/>
        <w:topLinePunct w:val="0"/>
        <w:autoSpaceDE/>
        <w:autoSpaceDN/>
        <w:bidi w:val="0"/>
        <w:adjustRightInd/>
        <w:snapToGrid/>
        <w:spacing w:line="520" w:lineRule="exact"/>
        <w:ind w:firstLine="420"/>
        <w:jc w:val="left"/>
        <w:textAlignment w:val="auto"/>
        <w:outlineLvl w:val="9"/>
        <w:rPr>
          <w:rFonts w:hint="eastAsia" w:ascii="宋体" w:hAnsi="宋体" w:cs="仿宋_GB2312"/>
          <w:color w:val="000000"/>
          <w:szCs w:val="21"/>
          <w:shd w:val="clear" w:color="auto" w:fill="FFFFFF"/>
        </w:rPr>
      </w:pPr>
      <w:r>
        <w:rPr>
          <w:rFonts w:hint="eastAsia" w:ascii="宋体" w:hAnsi="宋体" w:cs="仿宋_GB2312"/>
          <w:color w:val="000000"/>
          <w:szCs w:val="21"/>
          <w:shd w:val="clear" w:color="auto" w:fill="FFFFFF"/>
        </w:rPr>
        <w:t>3、未通过《全国公共资源交易平台（河南省·许昌市）》下载招标文件的投标人,拒收其递交的投标文件。</w:t>
      </w:r>
    </w:p>
    <w:p>
      <w:pPr>
        <w:keepNext w:val="0"/>
        <w:keepLines w:val="0"/>
        <w:pageBreakBefore w:val="0"/>
        <w:widowControl/>
        <w:shd w:val="clear" w:color="auto"/>
        <w:kinsoku/>
        <w:wordWrap/>
        <w:overflowPunct/>
        <w:topLinePunct w:val="0"/>
        <w:autoSpaceDE/>
        <w:autoSpaceDN/>
        <w:bidi w:val="0"/>
        <w:adjustRightInd/>
        <w:snapToGrid/>
        <w:spacing w:line="520" w:lineRule="exact"/>
        <w:ind w:firstLine="420"/>
        <w:jc w:val="left"/>
        <w:textAlignment w:val="auto"/>
        <w:outlineLvl w:val="9"/>
      </w:pPr>
      <w:r>
        <w:rPr>
          <w:rFonts w:hint="eastAsia" w:ascii="宋体" w:hAnsi="宋体" w:cs="Arial"/>
          <w:color w:val="000000"/>
          <w:kern w:val="0"/>
          <w:szCs w:val="21"/>
          <w:shd w:val="clear" w:color="auto" w:fill="FFFFFF"/>
          <w:lang w:eastAsia="zh-CN"/>
        </w:rPr>
        <w:t>（二）</w:t>
      </w:r>
      <w:r>
        <w:rPr>
          <w:rFonts w:hint="eastAsia" w:ascii="宋体" w:hAnsi="宋体" w:cs="Arial"/>
          <w:color w:val="000000"/>
          <w:kern w:val="0"/>
          <w:szCs w:val="21"/>
          <w:shd w:val="clear" w:color="auto" w:fill="FFFFFF"/>
        </w:rPr>
        <w:t>招标文件售价300元/套，投标人在递交投标文件时向采购代理机构交纳采购文件费用，售后不退。</w:t>
      </w:r>
    </w:p>
    <w:p>
      <w:pPr>
        <w:pStyle w:val="20"/>
        <w:keepNext w:val="0"/>
        <w:keepLines w:val="0"/>
        <w:pageBreakBefore w:val="0"/>
        <w:widowControl/>
        <w:shd w:val="clear" w:color="auto"/>
        <w:kinsoku/>
        <w:wordWrap/>
        <w:overflowPunct/>
        <w:topLinePunct w:val="0"/>
        <w:autoSpaceDE/>
        <w:autoSpaceDN/>
        <w:bidi w:val="0"/>
        <w:adjustRightInd/>
        <w:snapToGrid/>
        <w:spacing w:line="520" w:lineRule="exact"/>
        <w:ind w:firstLine="420"/>
        <w:contextualSpacing/>
        <w:jc w:val="left"/>
        <w:textAlignment w:val="auto"/>
        <w:outlineLvl w:val="9"/>
        <w:rPr>
          <w:rFonts w:ascii="宋体" w:hAnsi="宋体" w:cs="黑体"/>
          <w:b/>
          <w:bCs/>
          <w:color w:val="000000"/>
          <w:sz w:val="21"/>
          <w:szCs w:val="21"/>
          <w:shd w:val="clear" w:color="auto" w:fill="FFFFFF"/>
        </w:rPr>
      </w:pPr>
      <w:r>
        <w:rPr>
          <w:rFonts w:hint="eastAsia" w:ascii="宋体" w:hAnsi="宋体" w:cs="黑体"/>
          <w:b/>
          <w:bCs/>
          <w:color w:val="000000"/>
          <w:sz w:val="21"/>
          <w:szCs w:val="21"/>
          <w:shd w:val="clear" w:color="auto" w:fill="FFFFFF"/>
        </w:rPr>
        <w:t>五、投标截止时间、开标时间及地点</w:t>
      </w:r>
    </w:p>
    <w:p>
      <w:pPr>
        <w:pStyle w:val="20"/>
        <w:keepNext w:val="0"/>
        <w:keepLines w:val="0"/>
        <w:pageBreakBefore w:val="0"/>
        <w:widowControl/>
        <w:shd w:val="clear" w:color="auto"/>
        <w:kinsoku/>
        <w:wordWrap/>
        <w:overflowPunct/>
        <w:topLinePunct w:val="0"/>
        <w:autoSpaceDE/>
        <w:autoSpaceDN/>
        <w:bidi w:val="0"/>
        <w:adjustRightInd/>
        <w:snapToGrid/>
        <w:spacing w:line="520" w:lineRule="exact"/>
        <w:ind w:firstLine="420"/>
        <w:contextualSpacing/>
        <w:jc w:val="left"/>
        <w:textAlignment w:val="auto"/>
        <w:outlineLvl w:val="9"/>
        <w:rPr>
          <w:rFonts w:ascii="宋体" w:hAnsi="宋体" w:cs="仿宋_GB2312"/>
          <w:color w:val="000000"/>
          <w:sz w:val="21"/>
          <w:szCs w:val="21"/>
        </w:rPr>
      </w:pPr>
      <w:r>
        <w:rPr>
          <w:rFonts w:hint="eastAsia" w:ascii="宋体" w:hAnsi="宋体" w:cs="仿宋_GB2312"/>
          <w:color w:val="000000"/>
          <w:sz w:val="21"/>
          <w:szCs w:val="21"/>
        </w:rPr>
        <w:t>（一）投标截止及开标时间：</w:t>
      </w:r>
      <w:r>
        <w:rPr>
          <w:rFonts w:hint="eastAsia" w:ascii="宋体" w:hAnsi="宋体" w:cs="仿宋_GB2312"/>
          <w:color w:val="000000"/>
          <w:sz w:val="21"/>
          <w:szCs w:val="21"/>
          <w:shd w:val="clear" w:color="auto" w:fill="FFFFFF"/>
        </w:rPr>
        <w:t>2018年</w:t>
      </w:r>
      <w:r>
        <w:rPr>
          <w:rFonts w:hint="eastAsia" w:ascii="宋体" w:hAnsi="宋体" w:cs="仿宋_GB2312"/>
          <w:color w:val="000000"/>
          <w:sz w:val="21"/>
          <w:szCs w:val="21"/>
          <w:shd w:val="clear" w:color="auto" w:fill="FFFFFF"/>
          <w:lang w:val="en-US" w:eastAsia="zh-CN"/>
        </w:rPr>
        <w:t>11</w:t>
      </w:r>
      <w:r>
        <w:rPr>
          <w:rFonts w:hint="eastAsia" w:ascii="宋体" w:hAnsi="宋体" w:cs="仿宋_GB2312"/>
          <w:color w:val="000000"/>
          <w:sz w:val="21"/>
          <w:szCs w:val="21"/>
          <w:shd w:val="clear" w:color="auto" w:fill="FFFFFF"/>
        </w:rPr>
        <w:t>月</w:t>
      </w:r>
      <w:r>
        <w:rPr>
          <w:rFonts w:hint="eastAsia" w:ascii="宋体" w:hAnsi="宋体" w:cs="仿宋_GB2312"/>
          <w:color w:val="000000"/>
          <w:sz w:val="21"/>
          <w:szCs w:val="21"/>
          <w:shd w:val="clear" w:color="auto" w:fill="FFFFFF"/>
          <w:lang w:val="en-US" w:eastAsia="zh-CN"/>
        </w:rPr>
        <w:t>22</w:t>
      </w:r>
      <w:r>
        <w:rPr>
          <w:rFonts w:hint="eastAsia" w:ascii="宋体" w:hAnsi="宋体" w:cs="仿宋_GB2312"/>
          <w:color w:val="000000"/>
          <w:sz w:val="21"/>
          <w:szCs w:val="21"/>
          <w:shd w:val="clear" w:color="auto" w:fill="FFFFFF"/>
        </w:rPr>
        <w:t>日 9 时 30 分（</w:t>
      </w:r>
      <w:r>
        <w:rPr>
          <w:rFonts w:hint="eastAsia" w:ascii="宋体" w:hAnsi="宋体" w:cs="仿宋_GB2312"/>
          <w:color w:val="000000"/>
          <w:sz w:val="21"/>
          <w:szCs w:val="21"/>
        </w:rPr>
        <w:t>北京时间），逾期提交或不符合规定的投标文件不予接受。</w:t>
      </w:r>
    </w:p>
    <w:p>
      <w:pPr>
        <w:pStyle w:val="20"/>
        <w:keepNext w:val="0"/>
        <w:keepLines w:val="0"/>
        <w:pageBreakBefore w:val="0"/>
        <w:widowControl/>
        <w:shd w:val="clear" w:color="auto"/>
        <w:kinsoku/>
        <w:wordWrap/>
        <w:overflowPunct/>
        <w:topLinePunct w:val="0"/>
        <w:autoSpaceDE/>
        <w:autoSpaceDN/>
        <w:bidi w:val="0"/>
        <w:adjustRightInd/>
        <w:snapToGrid/>
        <w:spacing w:line="520" w:lineRule="exact"/>
        <w:ind w:firstLine="420"/>
        <w:contextualSpacing/>
        <w:jc w:val="left"/>
        <w:textAlignment w:val="auto"/>
        <w:outlineLvl w:val="9"/>
        <w:rPr>
          <w:rFonts w:ascii="宋体" w:hAnsi="宋体" w:cs="仿宋_GB2312"/>
          <w:color w:val="000000"/>
          <w:sz w:val="21"/>
          <w:szCs w:val="21"/>
        </w:rPr>
      </w:pPr>
      <w:r>
        <w:rPr>
          <w:rFonts w:hint="eastAsia" w:ascii="宋体" w:hAnsi="宋体" w:cs="仿宋_GB2312"/>
          <w:color w:val="000000"/>
          <w:sz w:val="21"/>
          <w:szCs w:val="21"/>
        </w:rPr>
        <w:t>（二）开标地点：建安区新元大道兴业大厦北4楼4165室。</w:t>
      </w:r>
    </w:p>
    <w:p>
      <w:pPr>
        <w:pStyle w:val="20"/>
        <w:keepNext w:val="0"/>
        <w:keepLines w:val="0"/>
        <w:pageBreakBefore w:val="0"/>
        <w:widowControl/>
        <w:shd w:val="clear" w:color="auto"/>
        <w:kinsoku/>
        <w:wordWrap/>
        <w:overflowPunct/>
        <w:topLinePunct w:val="0"/>
        <w:autoSpaceDE/>
        <w:autoSpaceDN/>
        <w:bidi w:val="0"/>
        <w:adjustRightInd/>
        <w:snapToGrid/>
        <w:spacing w:line="520" w:lineRule="exact"/>
        <w:ind w:firstLine="420"/>
        <w:contextualSpacing/>
        <w:jc w:val="left"/>
        <w:textAlignment w:val="auto"/>
        <w:outlineLvl w:val="9"/>
        <w:rPr>
          <w:rFonts w:ascii="宋体" w:hAnsi="宋体" w:cs="仿宋_GB2312"/>
          <w:color w:val="000000"/>
          <w:sz w:val="21"/>
          <w:szCs w:val="21"/>
        </w:rPr>
      </w:pPr>
      <w:r>
        <w:rPr>
          <w:rFonts w:hint="eastAsia" w:ascii="宋体" w:hAnsi="宋体" w:cs="仿宋_GB2312"/>
          <w:color w:val="000000"/>
          <w:sz w:val="21"/>
          <w:szCs w:val="21"/>
        </w:rPr>
        <w:t>（三） 本项目为全流程电子化交易项目，投标人须提交电子投标文件和纸质投标文件。</w:t>
      </w:r>
    </w:p>
    <w:p>
      <w:pPr>
        <w:pStyle w:val="20"/>
        <w:keepNext w:val="0"/>
        <w:keepLines w:val="0"/>
        <w:pageBreakBefore w:val="0"/>
        <w:widowControl/>
        <w:shd w:val="clear" w:color="auto"/>
        <w:kinsoku/>
        <w:wordWrap/>
        <w:overflowPunct/>
        <w:topLinePunct w:val="0"/>
        <w:autoSpaceDE/>
        <w:autoSpaceDN/>
        <w:bidi w:val="0"/>
        <w:adjustRightInd/>
        <w:snapToGrid/>
        <w:spacing w:line="520" w:lineRule="exact"/>
        <w:ind w:firstLine="420"/>
        <w:contextualSpacing/>
        <w:jc w:val="left"/>
        <w:textAlignment w:val="auto"/>
        <w:outlineLvl w:val="9"/>
        <w:rPr>
          <w:rFonts w:hint="eastAsia" w:ascii="宋体" w:hAnsi="宋体" w:eastAsia="宋体" w:cs="仿宋_GB2312"/>
          <w:color w:val="000000"/>
          <w:sz w:val="21"/>
          <w:szCs w:val="21"/>
          <w:lang w:eastAsia="zh-CN"/>
        </w:rPr>
      </w:pPr>
      <w:r>
        <w:rPr>
          <w:rFonts w:hint="eastAsia" w:ascii="宋体" w:hAnsi="宋体" w:cs="仿宋_GB2312"/>
          <w:color w:val="000000"/>
          <w:sz w:val="21"/>
          <w:szCs w:val="21"/>
        </w:rPr>
        <w:t>1、加密电子投标文件</w:t>
      </w:r>
      <w:r>
        <w:rPr>
          <w:rFonts w:hint="eastAsia" w:ascii="宋体" w:hAnsi="宋体" w:cs="宋体"/>
          <w:color w:val="000000"/>
          <w:sz w:val="21"/>
          <w:szCs w:val="21"/>
        </w:rPr>
        <w:t>（</w:t>
      </w:r>
      <w:r>
        <w:rPr>
          <w:rFonts w:ascii="宋体" w:hAnsi="宋体"/>
          <w:color w:val="000000"/>
          <w:sz w:val="21"/>
          <w:szCs w:val="21"/>
        </w:rPr>
        <w:t>.file</w:t>
      </w:r>
      <w:r>
        <w:rPr>
          <w:rFonts w:hint="eastAsia" w:ascii="宋体" w:hAnsi="宋体" w:cs="宋体"/>
          <w:color w:val="000000"/>
          <w:sz w:val="21"/>
          <w:szCs w:val="21"/>
        </w:rPr>
        <w:t>格式）须</w:t>
      </w:r>
      <w:r>
        <w:rPr>
          <w:rFonts w:hint="eastAsia" w:ascii="宋体" w:hAnsi="宋体" w:cs="仿宋_GB2312"/>
          <w:color w:val="000000"/>
          <w:sz w:val="21"/>
          <w:szCs w:val="21"/>
        </w:rPr>
        <w:t>在投标截止时间（开标时间）前通过《全国公共资源交易平台(河南省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ascii="宋体" w:hAnsi="宋体" w:cs="仿宋_GB2312"/>
          <w:color w:val="000000"/>
          <w:sz w:val="21"/>
          <w:szCs w:val="21"/>
        </w:rPr>
        <w:t>)》公共资源交易系统成功上传</w:t>
      </w:r>
      <w:r>
        <w:rPr>
          <w:rFonts w:hint="eastAsia" w:ascii="宋体" w:hAnsi="宋体" w:cs="仿宋_GB2312"/>
          <w:color w:val="000000"/>
          <w:sz w:val="21"/>
          <w:szCs w:val="21"/>
          <w:lang w:eastAsia="zh-CN"/>
        </w:rPr>
        <w:t>；</w:t>
      </w:r>
    </w:p>
    <w:p>
      <w:pPr>
        <w:pStyle w:val="20"/>
        <w:keepNext w:val="0"/>
        <w:keepLines w:val="0"/>
        <w:pageBreakBefore w:val="0"/>
        <w:widowControl/>
        <w:shd w:val="clear" w:color="auto"/>
        <w:kinsoku/>
        <w:wordWrap/>
        <w:overflowPunct/>
        <w:topLinePunct w:val="0"/>
        <w:autoSpaceDE/>
        <w:autoSpaceDN/>
        <w:bidi w:val="0"/>
        <w:adjustRightInd/>
        <w:snapToGrid/>
        <w:spacing w:line="520" w:lineRule="exact"/>
        <w:ind w:firstLine="420"/>
        <w:contextualSpacing/>
        <w:jc w:val="left"/>
        <w:textAlignment w:val="auto"/>
        <w:outlineLvl w:val="9"/>
        <w:rPr>
          <w:rFonts w:ascii="宋体" w:hAnsi="宋体" w:cs="仿宋_GB2312"/>
          <w:color w:val="000000"/>
          <w:sz w:val="21"/>
          <w:szCs w:val="21"/>
          <w:shd w:val="pct10" w:color="auto" w:fill="FFFFFF"/>
        </w:rPr>
      </w:pPr>
      <w:r>
        <w:rPr>
          <w:rFonts w:hint="eastAsia" w:ascii="宋体" w:hAnsi="宋体" w:cs="仿宋_GB2312"/>
          <w:color w:val="000000"/>
          <w:sz w:val="21"/>
          <w:szCs w:val="21"/>
        </w:rPr>
        <w:t>2、纸质投标文件（正本1份、副本4份）和备份文件1份</w:t>
      </w:r>
      <w:r>
        <w:rPr>
          <w:rFonts w:hint="eastAsia" w:hAnsi="宋体"/>
          <w:color w:val="000000"/>
          <w:sz w:val="21"/>
          <w:szCs w:val="21"/>
        </w:rPr>
        <w:t>（使用电子介质存储）</w:t>
      </w:r>
      <w:r>
        <w:rPr>
          <w:rFonts w:hint="eastAsia" w:ascii="宋体" w:hAnsi="宋体" w:cs="仿宋_GB2312"/>
          <w:color w:val="000000"/>
          <w:sz w:val="21"/>
          <w:szCs w:val="21"/>
        </w:rPr>
        <w:t>在投标截止时间（开标时间）前递交至本项目开标地点。</w:t>
      </w:r>
    </w:p>
    <w:p>
      <w:pPr>
        <w:pStyle w:val="20"/>
        <w:keepNext w:val="0"/>
        <w:keepLines w:val="0"/>
        <w:pageBreakBefore w:val="0"/>
        <w:widowControl/>
        <w:shd w:val="clear" w:color="auto"/>
        <w:kinsoku/>
        <w:wordWrap/>
        <w:overflowPunct/>
        <w:topLinePunct w:val="0"/>
        <w:autoSpaceDE/>
        <w:autoSpaceDN/>
        <w:bidi w:val="0"/>
        <w:adjustRightInd/>
        <w:snapToGrid/>
        <w:spacing w:line="520" w:lineRule="exact"/>
        <w:ind w:firstLine="420"/>
        <w:contextualSpacing/>
        <w:jc w:val="left"/>
        <w:textAlignment w:val="auto"/>
        <w:outlineLvl w:val="9"/>
        <w:rPr>
          <w:rFonts w:ascii="宋体" w:hAnsi="宋体" w:cs="黑体"/>
          <w:b/>
          <w:bCs/>
          <w:color w:val="000000"/>
          <w:sz w:val="21"/>
          <w:szCs w:val="21"/>
          <w:shd w:val="clear" w:color="auto" w:fill="FFFFFF"/>
        </w:rPr>
      </w:pPr>
      <w:r>
        <w:rPr>
          <w:rFonts w:hint="eastAsia" w:ascii="宋体" w:hAnsi="宋体" w:cs="黑体"/>
          <w:b/>
          <w:bCs/>
          <w:color w:val="000000"/>
          <w:sz w:val="21"/>
          <w:szCs w:val="21"/>
          <w:shd w:val="clear" w:color="auto" w:fill="FFFFFF"/>
        </w:rPr>
        <w:t>六、本次招标公告同时在《中国政府采购网》、《河南省政府采购网》、《许昌市政府采购网》、《许昌市建安区人民政府网》《全国公共资源交易平台（河南省·许昌市）》发布。</w:t>
      </w:r>
    </w:p>
    <w:p>
      <w:pPr>
        <w:pStyle w:val="20"/>
        <w:keepNext w:val="0"/>
        <w:keepLines w:val="0"/>
        <w:pageBreakBefore w:val="0"/>
        <w:widowControl/>
        <w:shd w:val="clear" w:color="auto"/>
        <w:kinsoku/>
        <w:wordWrap/>
        <w:overflowPunct/>
        <w:topLinePunct w:val="0"/>
        <w:autoSpaceDE/>
        <w:autoSpaceDN/>
        <w:bidi w:val="0"/>
        <w:adjustRightInd/>
        <w:snapToGrid/>
        <w:spacing w:line="520" w:lineRule="exact"/>
        <w:ind w:firstLine="420"/>
        <w:contextualSpacing/>
        <w:jc w:val="left"/>
        <w:textAlignment w:val="auto"/>
        <w:outlineLvl w:val="9"/>
        <w:rPr>
          <w:rFonts w:ascii="宋体" w:hAnsi="宋体" w:cs="黑体"/>
          <w:b/>
          <w:bCs/>
          <w:color w:val="000000"/>
          <w:sz w:val="21"/>
          <w:szCs w:val="21"/>
          <w:shd w:val="clear" w:color="auto" w:fill="FFFFFF"/>
        </w:rPr>
      </w:pPr>
      <w:r>
        <w:rPr>
          <w:rFonts w:hint="eastAsia" w:ascii="宋体" w:hAnsi="宋体" w:cs="黑体"/>
          <w:b/>
          <w:bCs/>
          <w:color w:val="000000"/>
          <w:sz w:val="21"/>
          <w:szCs w:val="21"/>
          <w:shd w:val="clear" w:color="auto" w:fill="FFFFFF"/>
        </w:rPr>
        <w:t>七、公告期限</w:t>
      </w:r>
    </w:p>
    <w:p>
      <w:pPr>
        <w:pStyle w:val="20"/>
        <w:keepNext w:val="0"/>
        <w:keepLines w:val="0"/>
        <w:pageBreakBefore w:val="0"/>
        <w:widowControl/>
        <w:shd w:val="clear" w:color="auto"/>
        <w:kinsoku/>
        <w:wordWrap/>
        <w:overflowPunct/>
        <w:topLinePunct w:val="0"/>
        <w:autoSpaceDE/>
        <w:autoSpaceDN/>
        <w:bidi w:val="0"/>
        <w:adjustRightInd/>
        <w:snapToGrid/>
        <w:spacing w:line="520" w:lineRule="exact"/>
        <w:ind w:firstLine="420"/>
        <w:contextualSpacing/>
        <w:jc w:val="left"/>
        <w:textAlignment w:val="auto"/>
        <w:outlineLvl w:val="9"/>
        <w:rPr>
          <w:rFonts w:ascii="宋体" w:hAnsi="宋体" w:cs="仿宋_GB2312"/>
          <w:color w:val="000000"/>
          <w:sz w:val="21"/>
          <w:szCs w:val="21"/>
        </w:rPr>
      </w:pPr>
      <w:r>
        <w:rPr>
          <w:rFonts w:hint="eastAsia" w:ascii="宋体" w:hAnsi="宋体" w:cs="仿宋_GB2312"/>
          <w:color w:val="000000"/>
          <w:sz w:val="21"/>
          <w:szCs w:val="21"/>
        </w:rPr>
        <w:t>本招标公告自发布之日起公告期限为5个工作日。</w:t>
      </w:r>
    </w:p>
    <w:p>
      <w:pPr>
        <w:pStyle w:val="20"/>
        <w:keepNext w:val="0"/>
        <w:keepLines w:val="0"/>
        <w:pageBreakBefore w:val="0"/>
        <w:widowControl/>
        <w:shd w:val="clear" w:color="auto"/>
        <w:kinsoku/>
        <w:wordWrap/>
        <w:overflowPunct/>
        <w:topLinePunct w:val="0"/>
        <w:autoSpaceDE/>
        <w:autoSpaceDN/>
        <w:bidi w:val="0"/>
        <w:adjustRightInd/>
        <w:snapToGrid/>
        <w:spacing w:line="520" w:lineRule="exact"/>
        <w:ind w:firstLine="420"/>
        <w:contextualSpacing/>
        <w:jc w:val="left"/>
        <w:textAlignment w:val="auto"/>
        <w:outlineLvl w:val="9"/>
        <w:rPr>
          <w:rFonts w:ascii="宋体" w:hAnsi="宋体" w:cs="黑体"/>
          <w:b/>
          <w:bCs/>
          <w:color w:val="000000"/>
          <w:sz w:val="21"/>
          <w:szCs w:val="21"/>
        </w:rPr>
      </w:pPr>
      <w:r>
        <w:rPr>
          <w:rFonts w:hint="eastAsia" w:ascii="宋体" w:hAnsi="宋体" w:cs="黑体"/>
          <w:b/>
          <w:bCs/>
          <w:color w:val="000000"/>
          <w:sz w:val="21"/>
          <w:szCs w:val="21"/>
        </w:rPr>
        <w:t>八、联系方式</w:t>
      </w:r>
    </w:p>
    <w:p>
      <w:pPr>
        <w:pStyle w:val="20"/>
        <w:keepNext w:val="0"/>
        <w:keepLines w:val="0"/>
        <w:pageBreakBefore w:val="0"/>
        <w:widowControl/>
        <w:shd w:val="clear" w:color="auto"/>
        <w:kinsoku/>
        <w:wordWrap/>
        <w:overflowPunct/>
        <w:topLinePunct w:val="0"/>
        <w:autoSpaceDE/>
        <w:autoSpaceDN/>
        <w:bidi w:val="0"/>
        <w:adjustRightInd/>
        <w:snapToGrid/>
        <w:spacing w:line="520" w:lineRule="exact"/>
        <w:ind w:firstLine="420"/>
        <w:contextualSpacing/>
        <w:jc w:val="left"/>
        <w:textAlignment w:val="auto"/>
        <w:outlineLvl w:val="9"/>
        <w:rPr>
          <w:rFonts w:hint="eastAsia" w:ascii="宋体" w:hAnsi="宋体" w:cs="仿宋_GB2312"/>
          <w:color w:val="000000"/>
          <w:sz w:val="21"/>
          <w:szCs w:val="21"/>
          <w:lang w:eastAsia="zh-CN"/>
        </w:rPr>
      </w:pPr>
      <w:r>
        <w:rPr>
          <w:rFonts w:hint="eastAsia" w:ascii="宋体" w:hAnsi="宋体" w:cs="仿宋_GB2312"/>
          <w:color w:val="000000"/>
          <w:sz w:val="21"/>
          <w:szCs w:val="21"/>
        </w:rPr>
        <w:t>采购单位：许昌市建安区</w:t>
      </w:r>
      <w:r>
        <w:rPr>
          <w:rFonts w:hint="eastAsia" w:ascii="宋体" w:hAnsi="宋体" w:cs="仿宋_GB2312"/>
          <w:color w:val="000000"/>
          <w:sz w:val="21"/>
          <w:szCs w:val="21"/>
          <w:lang w:eastAsia="zh-CN"/>
        </w:rPr>
        <w:t>公路管理局</w:t>
      </w:r>
    </w:p>
    <w:p>
      <w:pPr>
        <w:pStyle w:val="20"/>
        <w:keepNext w:val="0"/>
        <w:keepLines w:val="0"/>
        <w:pageBreakBefore w:val="0"/>
        <w:widowControl/>
        <w:shd w:val="clear" w:color="auto"/>
        <w:kinsoku/>
        <w:wordWrap/>
        <w:overflowPunct/>
        <w:topLinePunct w:val="0"/>
        <w:autoSpaceDE/>
        <w:autoSpaceDN/>
        <w:bidi w:val="0"/>
        <w:adjustRightInd/>
        <w:snapToGrid/>
        <w:spacing w:line="520" w:lineRule="exact"/>
        <w:ind w:firstLine="420"/>
        <w:contextualSpacing/>
        <w:jc w:val="left"/>
        <w:textAlignment w:val="auto"/>
        <w:outlineLvl w:val="9"/>
        <w:rPr>
          <w:rFonts w:hint="eastAsia" w:ascii="宋体" w:hAnsi="宋体" w:cs="仿宋_GB2312"/>
          <w:color w:val="000000"/>
          <w:sz w:val="21"/>
          <w:szCs w:val="21"/>
          <w:lang w:val="en-US" w:eastAsia="zh-CN"/>
        </w:rPr>
      </w:pPr>
      <w:r>
        <w:rPr>
          <w:rFonts w:hint="eastAsia" w:ascii="宋体" w:hAnsi="宋体" w:cs="仿宋_GB2312"/>
          <w:color w:val="000000"/>
          <w:sz w:val="21"/>
          <w:szCs w:val="21"/>
        </w:rPr>
        <w:t>项目负责人：</w:t>
      </w:r>
      <w:r>
        <w:rPr>
          <w:rFonts w:hint="eastAsia" w:ascii="宋体" w:hAnsi="宋体" w:cs="仿宋_GB2312"/>
          <w:color w:val="000000"/>
          <w:sz w:val="21"/>
          <w:szCs w:val="21"/>
          <w:lang w:eastAsia="zh-CN"/>
        </w:rPr>
        <w:t>任铁军</w:t>
      </w:r>
      <w:r>
        <w:rPr>
          <w:rFonts w:hint="eastAsia" w:ascii="宋体" w:hAnsi="宋体" w:cs="仿宋_GB2312"/>
          <w:color w:val="000000"/>
          <w:sz w:val="21"/>
          <w:szCs w:val="21"/>
        </w:rPr>
        <w:t xml:space="preserve">  </w:t>
      </w:r>
      <w:r>
        <w:rPr>
          <w:rFonts w:hint="eastAsia" w:ascii="宋体" w:hAnsi="宋体" w:cs="仿宋_GB2312"/>
          <w:color w:val="000000"/>
          <w:sz w:val="21"/>
          <w:szCs w:val="21"/>
          <w:lang w:val="en-US" w:eastAsia="zh-CN"/>
        </w:rPr>
        <w:t>15939955562</w:t>
      </w:r>
    </w:p>
    <w:p>
      <w:pPr>
        <w:pStyle w:val="20"/>
        <w:keepNext w:val="0"/>
        <w:keepLines w:val="0"/>
        <w:pageBreakBefore w:val="0"/>
        <w:widowControl/>
        <w:shd w:val="clear" w:color="auto"/>
        <w:kinsoku/>
        <w:wordWrap/>
        <w:overflowPunct/>
        <w:topLinePunct w:val="0"/>
        <w:autoSpaceDE/>
        <w:autoSpaceDN/>
        <w:bidi w:val="0"/>
        <w:adjustRightInd/>
        <w:snapToGrid/>
        <w:spacing w:line="520" w:lineRule="exact"/>
        <w:ind w:firstLine="420"/>
        <w:contextualSpacing/>
        <w:jc w:val="left"/>
        <w:textAlignment w:val="auto"/>
        <w:outlineLvl w:val="9"/>
        <w:rPr>
          <w:rFonts w:hint="eastAsia" w:ascii="宋体" w:hAnsi="宋体" w:cs="仿宋_GB2312"/>
          <w:color w:val="000000"/>
          <w:sz w:val="21"/>
          <w:szCs w:val="21"/>
        </w:rPr>
      </w:pPr>
      <w:r>
        <w:rPr>
          <w:rFonts w:hint="eastAsia" w:ascii="宋体" w:hAnsi="宋体" w:cs="仿宋_GB2312"/>
          <w:color w:val="000000"/>
          <w:sz w:val="21"/>
          <w:szCs w:val="21"/>
        </w:rPr>
        <w:t>代理机构：河南</w:t>
      </w:r>
      <w:r>
        <w:rPr>
          <w:rFonts w:hint="eastAsia" w:ascii="宋体" w:hAnsi="宋体" w:cs="仿宋_GB2312"/>
          <w:color w:val="000000"/>
          <w:sz w:val="21"/>
          <w:szCs w:val="21"/>
          <w:lang w:eastAsia="zh-CN"/>
        </w:rPr>
        <w:t>天扬工程项目</w:t>
      </w:r>
      <w:r>
        <w:rPr>
          <w:rFonts w:hint="eastAsia" w:ascii="宋体" w:hAnsi="宋体" w:cs="仿宋_GB2312"/>
          <w:color w:val="000000"/>
          <w:sz w:val="21"/>
          <w:szCs w:val="21"/>
        </w:rPr>
        <w:t>管理有限公司</w:t>
      </w:r>
    </w:p>
    <w:p>
      <w:pPr>
        <w:pStyle w:val="20"/>
        <w:keepNext w:val="0"/>
        <w:keepLines w:val="0"/>
        <w:pageBreakBefore w:val="0"/>
        <w:widowControl/>
        <w:shd w:val="clear" w:color="auto"/>
        <w:kinsoku/>
        <w:wordWrap/>
        <w:overflowPunct/>
        <w:topLinePunct w:val="0"/>
        <w:autoSpaceDE/>
        <w:autoSpaceDN/>
        <w:bidi w:val="0"/>
        <w:adjustRightInd/>
        <w:snapToGrid/>
        <w:spacing w:line="520" w:lineRule="exact"/>
        <w:ind w:firstLine="420"/>
        <w:contextualSpacing/>
        <w:jc w:val="left"/>
        <w:textAlignment w:val="auto"/>
        <w:outlineLvl w:val="9"/>
        <w:rPr>
          <w:rFonts w:hint="eastAsia" w:ascii="宋体" w:hAnsi="宋体" w:cs="仿宋_GB2312"/>
          <w:color w:val="000000"/>
          <w:sz w:val="21"/>
          <w:szCs w:val="21"/>
          <w:lang w:val="en-US" w:eastAsia="zh-CN"/>
        </w:rPr>
      </w:pPr>
      <w:r>
        <w:rPr>
          <w:rFonts w:hint="eastAsia" w:ascii="宋体" w:hAnsi="宋体" w:cs="仿宋_GB2312"/>
          <w:color w:val="000000"/>
          <w:sz w:val="21"/>
          <w:szCs w:val="21"/>
        </w:rPr>
        <w:t>项目负责人：</w:t>
      </w:r>
      <w:r>
        <w:rPr>
          <w:rFonts w:hint="eastAsia" w:ascii="宋体" w:hAnsi="宋体" w:cs="仿宋_GB2312"/>
          <w:color w:val="000000"/>
          <w:sz w:val="21"/>
          <w:szCs w:val="21"/>
          <w:lang w:eastAsia="zh-CN"/>
        </w:rPr>
        <w:t>宋易琳</w:t>
      </w:r>
      <w:r>
        <w:rPr>
          <w:rFonts w:hint="eastAsia" w:ascii="宋体" w:hAnsi="宋体" w:cs="仿宋_GB2312"/>
          <w:color w:val="000000"/>
          <w:sz w:val="21"/>
          <w:szCs w:val="21"/>
        </w:rPr>
        <w:t xml:space="preserve">  137</w:t>
      </w:r>
      <w:r>
        <w:rPr>
          <w:rFonts w:hint="eastAsia" w:ascii="宋体" w:hAnsi="宋体" w:cs="仿宋_GB2312"/>
          <w:color w:val="000000"/>
          <w:sz w:val="21"/>
          <w:szCs w:val="21"/>
          <w:lang w:val="en-US" w:eastAsia="zh-CN"/>
        </w:rPr>
        <w:t>33627299</w:t>
      </w:r>
    </w:p>
    <w:p>
      <w:pPr>
        <w:pStyle w:val="20"/>
        <w:widowControl/>
        <w:shd w:val="clear" w:color="auto"/>
        <w:spacing w:line="360" w:lineRule="auto"/>
        <w:ind w:firstLine="420"/>
        <w:contextualSpacing/>
        <w:jc w:val="right"/>
        <w:rPr>
          <w:rFonts w:hint="eastAsia" w:ascii="宋体" w:hAnsi="宋体" w:cs="仿宋_GB2312"/>
          <w:color w:val="000000"/>
          <w:sz w:val="21"/>
          <w:szCs w:val="21"/>
        </w:rPr>
      </w:pPr>
    </w:p>
    <w:p>
      <w:pPr>
        <w:pStyle w:val="20"/>
        <w:widowControl/>
        <w:shd w:val="clear" w:color="auto"/>
        <w:spacing w:line="360" w:lineRule="auto"/>
        <w:ind w:firstLine="420"/>
        <w:contextualSpacing/>
        <w:jc w:val="right"/>
        <w:rPr>
          <w:rFonts w:hint="eastAsia" w:ascii="宋体" w:hAnsi="宋体" w:cs="仿宋_GB2312"/>
          <w:color w:val="000000"/>
          <w:sz w:val="21"/>
          <w:szCs w:val="21"/>
        </w:rPr>
      </w:pPr>
    </w:p>
    <w:p>
      <w:pPr>
        <w:pStyle w:val="20"/>
        <w:widowControl/>
        <w:shd w:val="clear" w:color="auto"/>
        <w:spacing w:line="360" w:lineRule="auto"/>
        <w:ind w:firstLine="420"/>
        <w:contextualSpacing/>
        <w:jc w:val="right"/>
        <w:rPr>
          <w:rFonts w:hint="eastAsia" w:ascii="宋体" w:hAnsi="宋体" w:cs="仿宋_GB2312"/>
          <w:color w:val="000000"/>
          <w:sz w:val="21"/>
          <w:szCs w:val="21"/>
        </w:rPr>
      </w:pPr>
    </w:p>
    <w:p>
      <w:pPr>
        <w:pStyle w:val="20"/>
        <w:widowControl/>
        <w:shd w:val="clear" w:color="auto"/>
        <w:spacing w:line="360" w:lineRule="auto"/>
        <w:ind w:firstLine="420"/>
        <w:contextualSpacing/>
        <w:jc w:val="right"/>
        <w:rPr>
          <w:rFonts w:hint="eastAsia" w:ascii="宋体" w:hAnsi="宋体" w:cs="仿宋_GB2312"/>
          <w:color w:val="000000"/>
          <w:sz w:val="21"/>
          <w:szCs w:val="21"/>
          <w:lang w:eastAsia="zh-CN"/>
        </w:rPr>
      </w:pPr>
      <w:r>
        <w:rPr>
          <w:rFonts w:hint="eastAsia" w:ascii="宋体" w:hAnsi="宋体" w:cs="仿宋_GB2312"/>
          <w:color w:val="000000"/>
          <w:sz w:val="21"/>
          <w:szCs w:val="21"/>
        </w:rPr>
        <w:t>许昌市建安区</w:t>
      </w:r>
      <w:r>
        <w:rPr>
          <w:rFonts w:hint="eastAsia" w:ascii="宋体" w:hAnsi="宋体" w:cs="仿宋_GB2312"/>
          <w:color w:val="000000"/>
          <w:sz w:val="21"/>
          <w:szCs w:val="21"/>
          <w:lang w:eastAsia="zh-CN"/>
        </w:rPr>
        <w:t>公路管理局</w:t>
      </w:r>
    </w:p>
    <w:p>
      <w:pPr>
        <w:pStyle w:val="20"/>
        <w:widowControl/>
        <w:shd w:val="clear" w:color="auto"/>
        <w:spacing w:line="360" w:lineRule="auto"/>
        <w:ind w:firstLine="420"/>
        <w:contextualSpacing/>
        <w:jc w:val="right"/>
        <w:rPr>
          <w:rFonts w:hint="eastAsia" w:ascii="宋体" w:hAnsi="宋体" w:cs="仿宋_GB2312"/>
          <w:color w:val="000000"/>
          <w:sz w:val="21"/>
          <w:szCs w:val="21"/>
        </w:rPr>
      </w:pPr>
      <w:r>
        <w:rPr>
          <w:rFonts w:hint="eastAsia" w:ascii="宋体" w:hAnsi="宋体" w:cs="仿宋_GB2312"/>
          <w:color w:val="000000"/>
          <w:sz w:val="21"/>
          <w:szCs w:val="21"/>
        </w:rPr>
        <w:t>2018年</w:t>
      </w:r>
      <w:r>
        <w:rPr>
          <w:rFonts w:hint="eastAsia" w:ascii="宋体" w:hAnsi="宋体" w:cs="仿宋_GB2312"/>
          <w:color w:val="000000"/>
          <w:sz w:val="21"/>
          <w:szCs w:val="21"/>
          <w:lang w:val="en-US" w:eastAsia="zh-CN"/>
        </w:rPr>
        <w:t xml:space="preserve"> 10</w:t>
      </w:r>
      <w:r>
        <w:rPr>
          <w:rFonts w:hint="eastAsia" w:ascii="宋体" w:hAnsi="宋体" w:cs="仿宋_GB2312"/>
          <w:color w:val="000000"/>
          <w:sz w:val="21"/>
          <w:szCs w:val="21"/>
        </w:rPr>
        <w:t>月</w:t>
      </w:r>
      <w:r>
        <w:rPr>
          <w:rFonts w:hint="eastAsia" w:ascii="宋体" w:hAnsi="宋体" w:cs="仿宋_GB2312"/>
          <w:color w:val="000000"/>
          <w:sz w:val="21"/>
          <w:szCs w:val="21"/>
          <w:lang w:val="en-US" w:eastAsia="zh-CN"/>
        </w:rPr>
        <w:t>30</w:t>
      </w:r>
      <w:r>
        <w:rPr>
          <w:rFonts w:hint="eastAsia" w:ascii="宋体" w:hAnsi="宋体" w:cs="仿宋_GB2312"/>
          <w:color w:val="000000"/>
          <w:sz w:val="21"/>
          <w:szCs w:val="21"/>
        </w:rPr>
        <w:t>日</w:t>
      </w:r>
    </w:p>
    <w:p>
      <w:pPr>
        <w:spacing w:line="360" w:lineRule="auto"/>
        <w:rPr>
          <w:rFonts w:hint="eastAsia" w:hAnsi="宋体"/>
          <w:sz w:val="28"/>
          <w:szCs w:val="28"/>
        </w:rPr>
      </w:pPr>
    </w:p>
    <w:p>
      <w:pPr>
        <w:spacing w:line="360" w:lineRule="auto"/>
        <w:rPr>
          <w:rFonts w:hint="eastAsia" w:hAnsi="宋体"/>
          <w:sz w:val="28"/>
          <w:szCs w:val="28"/>
        </w:rPr>
      </w:pPr>
    </w:p>
    <w:p>
      <w:pPr>
        <w:spacing w:line="360" w:lineRule="auto"/>
        <w:rPr>
          <w:rFonts w:hint="eastAsia" w:hAnsi="宋体"/>
          <w:sz w:val="28"/>
          <w:szCs w:val="28"/>
        </w:rPr>
      </w:pPr>
    </w:p>
    <w:p>
      <w:pPr>
        <w:spacing w:line="360" w:lineRule="auto"/>
        <w:rPr>
          <w:rFonts w:hint="eastAsia" w:hAnsi="宋体"/>
          <w:sz w:val="28"/>
          <w:szCs w:val="28"/>
        </w:rPr>
      </w:pPr>
    </w:p>
    <w:p>
      <w:pPr>
        <w:spacing w:line="360" w:lineRule="auto"/>
        <w:rPr>
          <w:rFonts w:hint="eastAsia" w:hAnsi="宋体"/>
          <w:sz w:val="28"/>
          <w:szCs w:val="28"/>
        </w:rPr>
      </w:pPr>
    </w:p>
    <w:p>
      <w:pPr>
        <w:spacing w:line="360" w:lineRule="auto"/>
        <w:rPr>
          <w:rFonts w:hint="eastAsia" w:hAnsi="宋体"/>
          <w:sz w:val="28"/>
          <w:szCs w:val="28"/>
        </w:rPr>
      </w:pPr>
    </w:p>
    <w:p>
      <w:pPr>
        <w:spacing w:line="360" w:lineRule="auto"/>
        <w:rPr>
          <w:rFonts w:hint="eastAsia" w:hAnsi="宋体"/>
          <w:sz w:val="28"/>
          <w:szCs w:val="28"/>
        </w:rPr>
      </w:pPr>
    </w:p>
    <w:p>
      <w:pPr>
        <w:spacing w:line="360" w:lineRule="auto"/>
        <w:rPr>
          <w:rFonts w:hint="eastAsia" w:hAnsi="宋体"/>
          <w:sz w:val="28"/>
          <w:szCs w:val="28"/>
        </w:rPr>
      </w:pPr>
    </w:p>
    <w:p>
      <w:pPr>
        <w:spacing w:line="360" w:lineRule="auto"/>
        <w:rPr>
          <w:rFonts w:hint="eastAsia" w:hAnsi="宋体"/>
          <w:sz w:val="28"/>
          <w:szCs w:val="28"/>
        </w:rPr>
      </w:pPr>
    </w:p>
    <w:p>
      <w:pPr>
        <w:spacing w:line="360" w:lineRule="auto"/>
        <w:rPr>
          <w:rFonts w:hint="eastAsia" w:hAnsi="宋体"/>
          <w:sz w:val="28"/>
          <w:szCs w:val="28"/>
        </w:rPr>
      </w:pPr>
    </w:p>
    <w:p>
      <w:pPr>
        <w:spacing w:line="360" w:lineRule="auto"/>
        <w:rPr>
          <w:rFonts w:hint="eastAsia" w:hAnsi="宋体"/>
          <w:sz w:val="28"/>
          <w:szCs w:val="28"/>
        </w:rPr>
      </w:pPr>
    </w:p>
    <w:p>
      <w:pPr>
        <w:spacing w:line="360" w:lineRule="auto"/>
        <w:rPr>
          <w:rFonts w:hint="eastAsia" w:hAnsi="宋体"/>
          <w:sz w:val="28"/>
          <w:szCs w:val="28"/>
        </w:rPr>
      </w:pPr>
    </w:p>
    <w:p>
      <w:pPr>
        <w:spacing w:line="360" w:lineRule="auto"/>
        <w:rPr>
          <w:rFonts w:hint="eastAsia" w:hAnsi="宋体"/>
          <w:sz w:val="28"/>
          <w:szCs w:val="28"/>
        </w:rPr>
      </w:pPr>
    </w:p>
    <w:p>
      <w:pPr>
        <w:spacing w:line="360" w:lineRule="auto"/>
        <w:rPr>
          <w:rFonts w:hAnsi="宋体"/>
          <w:sz w:val="28"/>
          <w:szCs w:val="28"/>
        </w:rPr>
      </w:pPr>
      <w:r>
        <w:rPr>
          <w:rFonts w:hint="eastAsia" w:hAnsi="宋体"/>
          <w:sz w:val="28"/>
          <w:szCs w:val="28"/>
        </w:rPr>
        <w:t>温馨提示：</w:t>
      </w:r>
    </w:p>
    <w:p>
      <w:pPr>
        <w:spacing w:line="360" w:lineRule="auto"/>
        <w:ind w:firstLine="560" w:firstLineChars="200"/>
        <w:rPr>
          <w:rFonts w:ascii="仿宋_GB2312" w:eastAsia="仿宋_GB2312"/>
          <w:sz w:val="32"/>
          <w:szCs w:val="32"/>
        </w:rPr>
      </w:pPr>
      <w:r>
        <w:rPr>
          <w:rFonts w:hint="eastAsia" w:hAnsi="宋体"/>
          <w:sz w:val="28"/>
          <w:szCs w:val="28"/>
        </w:rPr>
        <w:t>本项目为全流程电子化交易项目，请认真阅读招标文件，并注意以下事项。</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1.</w:t>
      </w:r>
      <w:r>
        <w:rPr>
          <w:rFonts w:hint="eastAsia" w:hAnsi="宋体"/>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2</w:t>
      </w:r>
      <w:r>
        <w:rPr>
          <w:rFonts w:asciiTheme="minorEastAsia" w:hAnsiTheme="minorEastAsia"/>
          <w:color w:val="000000"/>
          <w:szCs w:val="21"/>
        </w:rPr>
        <w:t>.</w:t>
      </w:r>
      <w:r>
        <w:rPr>
          <w:rFonts w:hint="eastAsia" w:hAnsi="宋体"/>
          <w:color w:val="000000"/>
          <w:szCs w:val="21"/>
        </w:rPr>
        <w:t>电子文件下载、制作、提交期间和开标（</w:t>
      </w:r>
      <w:r>
        <w:rPr>
          <w:rFonts w:hint="eastAsia" w:hAnsi="宋体"/>
          <w:szCs w:val="21"/>
        </w:rPr>
        <w:t>电子投标文件的解密</w:t>
      </w:r>
      <w:r>
        <w:rPr>
          <w:rFonts w:hint="eastAsia" w:hAnsi="宋体"/>
          <w:color w:val="000000"/>
          <w:szCs w:val="21"/>
        </w:rPr>
        <w:t>）环节，投标人须使用</w:t>
      </w:r>
      <w:r>
        <w:rPr>
          <w:rFonts w:hAnsi="宋体"/>
          <w:color w:val="000000"/>
          <w:szCs w:val="21"/>
        </w:rPr>
        <w:t>CA数字证书</w:t>
      </w:r>
      <w:r>
        <w:rPr>
          <w:rFonts w:hint="eastAsia" w:hAnsi="宋体"/>
          <w:color w:val="000000"/>
          <w:szCs w:val="21"/>
        </w:rPr>
        <w:t>（证书须在有效期内）</w:t>
      </w:r>
      <w:r>
        <w:rPr>
          <w:rFonts w:hAnsi="宋体"/>
          <w:color w:val="000000"/>
          <w:szCs w:val="21"/>
        </w:rPr>
        <w:t>。</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hint="eastAsia" w:hAnsi="宋体"/>
          <w:color w:val="000000"/>
          <w:szCs w:val="21"/>
        </w:rPr>
        <w:t>电子投标文件的制作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color w:val="000000"/>
        </w:rPr>
        <w:t>http://221.14.6.70:8088/ggzy/</w:t>
      </w:r>
      <w:r>
        <w:rPr>
          <w:color w:val="000000"/>
        </w:rPr>
        <w:fldChar w:fldCharType="end"/>
      </w:r>
      <w:r>
        <w:rPr>
          <w:rFonts w:hint="eastAsia" w:hAnsi="宋体"/>
          <w:color w:val="000000"/>
          <w:szCs w:val="21"/>
        </w:rPr>
        <w:t>）下载“许昌投标文件制作系统SEARUN V1.</w:t>
      </w:r>
      <w:r>
        <w:rPr>
          <w:rFonts w:hint="eastAsia" w:hAnsi="宋体"/>
          <w:color w:val="000000"/>
          <w:szCs w:val="21"/>
          <w:lang w:val="en-US" w:eastAsia="zh-CN"/>
        </w:rPr>
        <w:t>1</w:t>
      </w:r>
      <w:r>
        <w:rPr>
          <w:rFonts w:hint="eastAsia" w:hAnsi="宋体"/>
          <w:color w:val="000000"/>
          <w:szCs w:val="21"/>
        </w:rPr>
        <w:t>”，按招标文件要求制作电子投标文件。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.加密</w:t>
      </w:r>
      <w:r>
        <w:rPr>
          <w:rFonts w:hint="eastAsia" w:hAnsi="宋体"/>
          <w:color w:val="000000"/>
          <w:szCs w:val="21"/>
        </w:rPr>
        <w:t>电子投标文件的提交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电子投标文件应在招标文件规定的投标截止时间（开标时间）之前成功提交至《全国公共资源交易平台(河南省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color w:val="000000"/>
        </w:rPr>
        <w:t>http://221.14.6.70:8088/ggzy/</w:t>
      </w:r>
      <w:r>
        <w:rPr>
          <w:color w:val="000000"/>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电子投标文件成功提交后，投标人应打印“投标文件提交回执单”供开标现场备查。</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5</w:t>
      </w:r>
      <w:r>
        <w:rPr>
          <w:rFonts w:hint="eastAsia" w:asciiTheme="minorEastAsia" w:hAnsiTheme="minorEastAsia"/>
          <w:color w:val="000000"/>
          <w:szCs w:val="21"/>
        </w:rPr>
        <w:t>.</w:t>
      </w:r>
      <w:r>
        <w:rPr>
          <w:rFonts w:hint="eastAsia" w:hAnsi="宋体"/>
          <w:color w:val="000000"/>
          <w:szCs w:val="21"/>
        </w:rPr>
        <w:t>评标依据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pStyle w:val="2"/>
        <w:ind w:left="0" w:leftChars="0" w:firstLine="0" w:firstLineChars="0"/>
      </w:pPr>
    </w:p>
    <w:p>
      <w:pPr>
        <w:numPr>
          <w:ilvl w:val="0"/>
          <w:numId w:val="0"/>
        </w:numPr>
        <w:ind w:firstLine="3200" w:firstLineChars="1000"/>
        <w:jc w:val="both"/>
      </w:pPr>
      <w:r>
        <w:rPr>
          <w:rFonts w:hint="eastAsia" w:cs="宋体" w:asciiTheme="majorEastAsia" w:hAnsiTheme="majorEastAsia" w:eastAsiaTheme="majorEastAsia"/>
          <w:color w:val="auto"/>
          <w:kern w:val="0"/>
          <w:sz w:val="32"/>
          <w:szCs w:val="32"/>
          <w:lang w:val="en-US" w:eastAsia="zh-CN"/>
        </w:rPr>
        <w:t xml:space="preserve">第二章 </w:t>
      </w:r>
      <w:r>
        <w:rPr>
          <w:rFonts w:hint="eastAsia" w:cs="宋体" w:asciiTheme="majorEastAsia" w:hAnsiTheme="majorEastAsia" w:eastAsiaTheme="majorEastAsia"/>
          <w:color w:val="auto"/>
          <w:kern w:val="0"/>
          <w:sz w:val="32"/>
          <w:szCs w:val="32"/>
        </w:rPr>
        <w:t>项目需求</w:t>
      </w:r>
    </w:p>
    <w:p>
      <w:pPr>
        <w:keepNext w:val="0"/>
        <w:keepLines w:val="0"/>
        <w:pageBreakBefore w:val="0"/>
        <w:widowControl/>
        <w:shd w:val="clear" w:color="auto"/>
        <w:kinsoku/>
        <w:wordWrap/>
        <w:overflowPunct/>
        <w:topLinePunct w:val="0"/>
        <w:bidi w:val="0"/>
        <w:snapToGrid/>
        <w:spacing w:line="520" w:lineRule="exact"/>
        <w:ind w:firstLine="420" w:firstLineChars="200"/>
        <w:contextualSpacing/>
        <w:jc w:val="left"/>
        <w:textAlignment w:val="auto"/>
        <w:outlineLvl w:val="9"/>
        <w:rPr>
          <w:rFonts w:hint="eastAsia" w:cs="宋体" w:asciiTheme="minorEastAsia" w:hAnsiTheme="minorEastAsia"/>
          <w:color w:val="000000" w:themeColor="text1"/>
          <w:kern w:val="0"/>
          <w:szCs w:val="21"/>
          <w:lang w:val="zh-CN"/>
        </w:rPr>
      </w:pPr>
      <w:r>
        <w:rPr>
          <w:rFonts w:hint="eastAsia" w:cs="宋体" w:asciiTheme="minorEastAsia" w:hAnsiTheme="minorEastAsia"/>
          <w:color w:val="000000" w:themeColor="text1"/>
          <w:kern w:val="0"/>
          <w:szCs w:val="21"/>
          <w:lang w:val="zh-CN" w:eastAsia="zh-CN"/>
        </w:rPr>
        <w:t>一、</w:t>
      </w:r>
      <w:r>
        <w:rPr>
          <w:rFonts w:hint="eastAsia" w:cs="宋体" w:asciiTheme="minorEastAsia" w:hAnsiTheme="minorEastAsia"/>
          <w:color w:val="000000" w:themeColor="text1"/>
          <w:kern w:val="0"/>
          <w:szCs w:val="21"/>
          <w:lang w:val="zh-CN"/>
        </w:rPr>
        <w:t>本项目需实现的功能或者目标</w:t>
      </w:r>
    </w:p>
    <w:p>
      <w:pPr>
        <w:pStyle w:val="2"/>
        <w:keepNext w:val="0"/>
        <w:keepLines w:val="0"/>
        <w:pageBreakBefore w:val="0"/>
        <w:numPr>
          <w:ilvl w:val="0"/>
          <w:numId w:val="0"/>
        </w:numPr>
        <w:shd w:val="clear"/>
        <w:kinsoku/>
        <w:wordWrap/>
        <w:overflowPunct/>
        <w:topLinePunct w:val="0"/>
        <w:bidi w:val="0"/>
        <w:snapToGrid/>
        <w:spacing w:line="520" w:lineRule="exact"/>
        <w:textAlignment w:val="auto"/>
        <w:outlineLvl w:val="9"/>
        <w:rPr>
          <w:rFonts w:hint="eastAsia" w:cs="宋体" w:asciiTheme="minorEastAsia" w:hAnsiTheme="minorEastAsia" w:eastAsiaTheme="minorEastAsia"/>
          <w:color w:val="000000" w:themeColor="text1"/>
          <w:kern w:val="0"/>
          <w:sz w:val="21"/>
          <w:szCs w:val="21"/>
          <w:lang w:val="en-US" w:eastAsia="zh-CN" w:bidi="ar-SA"/>
        </w:rPr>
      </w:pPr>
      <w:r>
        <w:rPr>
          <w:rFonts w:hint="eastAsia"/>
          <w:lang w:val="en-US" w:eastAsia="zh-CN"/>
        </w:rPr>
        <w:t xml:space="preserve">    </w:t>
      </w:r>
      <w:r>
        <w:rPr>
          <w:rFonts w:hint="eastAsia" w:cs="宋体" w:asciiTheme="minorEastAsia" w:hAnsiTheme="minorEastAsia" w:eastAsiaTheme="minorEastAsia"/>
          <w:color w:val="000000" w:themeColor="text1"/>
          <w:kern w:val="0"/>
          <w:sz w:val="21"/>
          <w:szCs w:val="21"/>
          <w:lang w:val="en-US" w:eastAsia="zh-CN" w:bidi="ar-SA"/>
        </w:rPr>
        <w:t xml:space="preserve"> 按照我区有关迎检、观摩活动要求，为保障所辖干线公路的安全畅通，营造良好的公路交通环境，需及时对公路路面进行标线。项目的预算金额</w:t>
      </w:r>
      <w:r>
        <w:rPr>
          <w:rFonts w:hint="eastAsia" w:cs="宋体" w:asciiTheme="minorEastAsia" w:hAnsiTheme="minorEastAsia" w:eastAsiaTheme="minorEastAsia"/>
          <w:color w:val="000000" w:themeColor="text1"/>
          <w:kern w:val="0"/>
          <w:sz w:val="21"/>
          <w:szCs w:val="21"/>
          <w:lang w:val="zh-CN" w:eastAsia="zh-CN" w:bidi="ar-SA"/>
        </w:rPr>
        <w:t>按实际工作量以最终评审价为准。</w:t>
      </w:r>
    </w:p>
    <w:p>
      <w:pPr>
        <w:keepNext w:val="0"/>
        <w:keepLines w:val="0"/>
        <w:pageBreakBefore w:val="0"/>
        <w:widowControl/>
        <w:shd w:val="clear" w:color="auto"/>
        <w:kinsoku/>
        <w:wordWrap/>
        <w:overflowPunct/>
        <w:topLinePunct w:val="0"/>
        <w:bidi w:val="0"/>
        <w:snapToGrid/>
        <w:spacing w:line="520" w:lineRule="exact"/>
        <w:ind w:firstLine="420" w:firstLineChars="200"/>
        <w:contextualSpacing/>
        <w:jc w:val="left"/>
        <w:textAlignment w:val="auto"/>
        <w:outlineLvl w:val="9"/>
        <w:rPr>
          <w:rFonts w:cs="宋体" w:asciiTheme="minorEastAsia" w:hAnsiTheme="minorEastAsia"/>
          <w:color w:val="000000" w:themeColor="text1"/>
          <w:kern w:val="0"/>
          <w:szCs w:val="21"/>
          <w:lang w:val="zh-CN"/>
        </w:rPr>
      </w:pPr>
      <w:r>
        <w:rPr>
          <w:rFonts w:hint="eastAsia" w:cs="宋体" w:asciiTheme="minorEastAsia" w:hAnsiTheme="minorEastAsia"/>
          <w:color w:val="000000" w:themeColor="text1"/>
          <w:kern w:val="0"/>
          <w:szCs w:val="21"/>
          <w:lang w:val="zh-CN"/>
        </w:rPr>
        <w:t>二、验收标准</w:t>
      </w:r>
    </w:p>
    <w:p>
      <w:pPr>
        <w:keepNext w:val="0"/>
        <w:keepLines w:val="0"/>
        <w:pageBreakBefore w:val="0"/>
        <w:widowControl/>
        <w:shd w:val="clear" w:color="auto"/>
        <w:kinsoku/>
        <w:wordWrap/>
        <w:overflowPunct/>
        <w:topLinePunct w:val="0"/>
        <w:bidi w:val="0"/>
        <w:snapToGrid/>
        <w:spacing w:line="520" w:lineRule="exact"/>
        <w:ind w:firstLine="420" w:firstLineChars="200"/>
        <w:contextualSpacing/>
        <w:jc w:val="left"/>
        <w:textAlignment w:val="auto"/>
        <w:outlineLvl w:val="9"/>
        <w:rPr>
          <w:rFonts w:cs="宋体" w:asciiTheme="minorEastAsia" w:hAnsiTheme="minorEastAsia"/>
          <w:color w:val="000000" w:themeColor="text1"/>
          <w:kern w:val="0"/>
          <w:szCs w:val="21"/>
          <w:lang w:val="zh-CN"/>
        </w:rPr>
      </w:pPr>
      <w:r>
        <w:rPr>
          <w:rFonts w:hint="eastAsia" w:cs="宋体" w:asciiTheme="minorEastAsia" w:hAnsiTheme="minorEastAsia"/>
          <w:color w:val="000000" w:themeColor="text1"/>
          <w:kern w:val="0"/>
          <w:szCs w:val="21"/>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keepNext w:val="0"/>
        <w:keepLines w:val="0"/>
        <w:pageBreakBefore w:val="0"/>
        <w:widowControl/>
        <w:shd w:val="clear" w:color="auto"/>
        <w:kinsoku/>
        <w:wordWrap/>
        <w:overflowPunct/>
        <w:topLinePunct w:val="0"/>
        <w:bidi w:val="0"/>
        <w:snapToGrid/>
        <w:spacing w:line="520" w:lineRule="exact"/>
        <w:ind w:firstLine="420" w:firstLineChars="200"/>
        <w:contextualSpacing/>
        <w:jc w:val="left"/>
        <w:textAlignment w:val="auto"/>
        <w:outlineLvl w:val="9"/>
        <w:rPr>
          <w:rFonts w:cs="宋体" w:asciiTheme="minorEastAsia" w:hAnsiTheme="minorEastAsia"/>
          <w:color w:val="000000" w:themeColor="text1"/>
          <w:kern w:val="0"/>
          <w:szCs w:val="21"/>
          <w:lang w:val="zh-CN"/>
        </w:rPr>
      </w:pPr>
      <w:r>
        <w:rPr>
          <w:rFonts w:hint="eastAsia" w:cs="宋体" w:asciiTheme="minorEastAsia" w:hAnsiTheme="minorEastAsia"/>
          <w:color w:val="000000" w:themeColor="text1"/>
          <w:kern w:val="0"/>
          <w:szCs w:val="21"/>
          <w:lang w:val="zh-CN"/>
        </w:rPr>
        <w:t>2、按照招标文件要求、投标文件响应和承诺验收。</w:t>
      </w:r>
    </w:p>
    <w:p>
      <w:pPr>
        <w:pStyle w:val="20"/>
        <w:keepNext w:val="0"/>
        <w:keepLines w:val="0"/>
        <w:pageBreakBefore w:val="0"/>
        <w:widowControl/>
        <w:shd w:val="clear" w:color="auto"/>
        <w:kinsoku/>
        <w:wordWrap/>
        <w:overflowPunct/>
        <w:topLinePunct w:val="0"/>
        <w:bidi w:val="0"/>
        <w:snapToGrid/>
        <w:spacing w:line="520" w:lineRule="exact"/>
        <w:ind w:firstLine="420"/>
        <w:contextualSpacing/>
        <w:jc w:val="left"/>
        <w:textAlignment w:val="auto"/>
        <w:outlineLvl w:val="9"/>
        <w:rPr>
          <w:rFonts w:hint="eastAsia" w:cs="宋体" w:asciiTheme="minorEastAsia" w:hAnsiTheme="minorEastAsia" w:eastAsiaTheme="minorEastAsia"/>
          <w:color w:val="000000" w:themeColor="text1"/>
          <w:kern w:val="0"/>
          <w:sz w:val="21"/>
          <w:szCs w:val="21"/>
          <w:lang w:val="zh-CN"/>
        </w:rPr>
      </w:pPr>
      <w:r>
        <w:rPr>
          <w:rFonts w:hint="eastAsia" w:cs="宋体" w:asciiTheme="minorEastAsia" w:hAnsiTheme="minorEastAsia" w:eastAsiaTheme="minorEastAsia"/>
          <w:color w:val="000000" w:themeColor="text1"/>
          <w:kern w:val="0"/>
          <w:sz w:val="21"/>
          <w:szCs w:val="21"/>
          <w:lang w:val="zh-CN"/>
        </w:rPr>
        <w:t>三、</w:t>
      </w:r>
      <w:r>
        <w:rPr>
          <w:rFonts w:hint="eastAsia" w:cs="宋体" w:asciiTheme="minorEastAsia" w:hAnsiTheme="minorEastAsia" w:eastAsiaTheme="minorEastAsia"/>
          <w:color w:val="000000" w:themeColor="text1"/>
          <w:kern w:val="0"/>
          <w:sz w:val="21"/>
          <w:szCs w:val="21"/>
          <w:lang w:val="en-US" w:eastAsia="zh-CN"/>
        </w:rPr>
        <w:t>依</w:t>
      </w:r>
      <w:r>
        <w:rPr>
          <w:rFonts w:hint="eastAsia" w:cs="宋体" w:asciiTheme="minorEastAsia" w:hAnsiTheme="minorEastAsia" w:eastAsiaTheme="minorEastAsia"/>
          <w:color w:val="000000" w:themeColor="text1"/>
          <w:kern w:val="0"/>
          <w:sz w:val="21"/>
          <w:szCs w:val="21"/>
          <w:lang w:val="zh-CN"/>
        </w:rPr>
        <w:t>据许昌市建安区公路管理局文件</w:t>
      </w:r>
      <w:r>
        <w:rPr>
          <w:rFonts w:hint="eastAsia" w:cs="宋体" w:asciiTheme="minorEastAsia" w:hAnsiTheme="minorEastAsia" w:eastAsiaTheme="minorEastAsia"/>
          <w:color w:val="000000" w:themeColor="text1"/>
          <w:kern w:val="0"/>
          <w:sz w:val="21"/>
          <w:szCs w:val="21"/>
          <w:lang w:val="en-US" w:eastAsia="zh-CN"/>
        </w:rPr>
        <w:t>(</w:t>
      </w:r>
      <w:r>
        <w:rPr>
          <w:rFonts w:hint="eastAsia" w:cs="宋体" w:asciiTheme="minorEastAsia" w:hAnsiTheme="minorEastAsia" w:eastAsiaTheme="minorEastAsia"/>
          <w:color w:val="000000" w:themeColor="text1"/>
          <w:kern w:val="0"/>
          <w:sz w:val="21"/>
          <w:szCs w:val="21"/>
          <w:lang w:val="zh-CN"/>
        </w:rPr>
        <w:t>建安路</w:t>
      </w:r>
      <w:r>
        <w:rPr>
          <w:rFonts w:hint="eastAsia" w:ascii="宋体" w:hAnsi="宋体" w:eastAsia="宋体" w:cs="宋体"/>
          <w:color w:val="000000" w:themeColor="text1"/>
          <w:kern w:val="0"/>
          <w:sz w:val="21"/>
          <w:szCs w:val="21"/>
          <w:lang w:val="zh-CN"/>
        </w:rPr>
        <w:t>［</w:t>
      </w:r>
      <w:r>
        <w:rPr>
          <w:rFonts w:hint="eastAsia" w:ascii="宋体" w:hAnsi="宋体" w:cs="宋体"/>
          <w:color w:val="000000" w:themeColor="text1"/>
          <w:kern w:val="0"/>
          <w:sz w:val="21"/>
          <w:szCs w:val="21"/>
          <w:lang w:val="en-US" w:eastAsia="zh-CN"/>
        </w:rPr>
        <w:t>2018</w:t>
      </w:r>
      <w:r>
        <w:rPr>
          <w:rFonts w:hint="eastAsia" w:ascii="宋体" w:hAnsi="宋体" w:eastAsia="宋体" w:cs="宋体"/>
          <w:color w:val="000000" w:themeColor="text1"/>
          <w:kern w:val="0"/>
          <w:sz w:val="21"/>
          <w:szCs w:val="21"/>
          <w:lang w:val="zh-CN"/>
        </w:rPr>
        <w:t>］</w:t>
      </w:r>
      <w:r>
        <w:rPr>
          <w:rFonts w:hint="eastAsia" w:ascii="宋体" w:hAnsi="宋体" w:cs="宋体"/>
          <w:color w:val="000000" w:themeColor="text1"/>
          <w:kern w:val="0"/>
          <w:sz w:val="21"/>
          <w:szCs w:val="21"/>
          <w:lang w:val="en-US" w:eastAsia="zh-CN"/>
        </w:rPr>
        <w:t>59号)的要求，经许昌市建安区财政局投资评审中心对建安区公路管理局国省干线公路标线项目的评审，最终审定该</w:t>
      </w:r>
      <w:r>
        <w:rPr>
          <w:rFonts w:hint="eastAsia" w:cs="宋体" w:asciiTheme="minorEastAsia" w:hAnsiTheme="minorEastAsia" w:eastAsiaTheme="minorEastAsia"/>
          <w:color w:val="000000" w:themeColor="text1"/>
          <w:kern w:val="0"/>
          <w:sz w:val="21"/>
          <w:szCs w:val="21"/>
          <w:lang w:val="zh-CN"/>
        </w:rPr>
        <w:t>项目预算金额：</w:t>
      </w:r>
      <w:r>
        <w:rPr>
          <w:rFonts w:hint="eastAsia" w:ascii="宋体" w:hAnsi="宋体" w:cs="仿宋_GB2312"/>
          <w:color w:val="000000"/>
          <w:sz w:val="21"/>
          <w:szCs w:val="21"/>
          <w:shd w:val="clear" w:color="auto" w:fill="FFFFFF"/>
        </w:rPr>
        <w:t>按实际工作量以最终评审价为准</w:t>
      </w:r>
      <w:r>
        <w:rPr>
          <w:rFonts w:hint="eastAsia" w:cs="宋体" w:asciiTheme="minorEastAsia" w:hAnsiTheme="minorEastAsia" w:eastAsiaTheme="minorEastAsia"/>
          <w:color w:val="000000" w:themeColor="text1"/>
          <w:kern w:val="0"/>
          <w:sz w:val="21"/>
          <w:szCs w:val="21"/>
          <w:lang w:val="zh-CN"/>
        </w:rPr>
        <w:t>。</w:t>
      </w:r>
    </w:p>
    <w:p>
      <w:pPr>
        <w:pStyle w:val="20"/>
        <w:keepNext w:val="0"/>
        <w:keepLines w:val="0"/>
        <w:pageBreakBefore w:val="0"/>
        <w:widowControl/>
        <w:shd w:val="clear" w:color="auto"/>
        <w:kinsoku/>
        <w:wordWrap/>
        <w:overflowPunct/>
        <w:topLinePunct w:val="0"/>
        <w:bidi w:val="0"/>
        <w:snapToGrid/>
        <w:spacing w:line="520" w:lineRule="exact"/>
        <w:ind w:firstLine="420"/>
        <w:contextualSpacing/>
        <w:jc w:val="left"/>
        <w:textAlignment w:val="auto"/>
        <w:outlineLvl w:val="9"/>
        <w:rPr>
          <w:rFonts w:hint="eastAsia" w:eastAsia="宋体" w:cs="宋体" w:asciiTheme="minorEastAsia" w:hAnsiTheme="minorEastAsia"/>
          <w:b/>
          <w:bCs/>
          <w:color w:val="000000" w:themeColor="text1"/>
          <w:kern w:val="0"/>
          <w:sz w:val="21"/>
          <w:szCs w:val="21"/>
          <w:lang w:val="zh-CN" w:eastAsia="zh-CN" w:bidi="ar-SA"/>
        </w:rPr>
      </w:pPr>
      <w:r>
        <w:rPr>
          <w:rFonts w:hint="eastAsia" w:cs="宋体" w:asciiTheme="minorEastAsia" w:hAnsiTheme="minorEastAsia" w:eastAsiaTheme="minorEastAsia"/>
          <w:b/>
          <w:bCs/>
          <w:color w:val="000000" w:themeColor="text1"/>
          <w:kern w:val="0"/>
          <w:sz w:val="21"/>
          <w:szCs w:val="21"/>
          <w:lang w:val="en-US" w:eastAsia="zh-CN" w:bidi="ar-SA"/>
        </w:rPr>
        <w:t>注：</w:t>
      </w:r>
      <w:r>
        <w:rPr>
          <w:rFonts w:hint="eastAsia" w:cs="宋体" w:asciiTheme="minorEastAsia" w:hAnsiTheme="minorEastAsia" w:eastAsiaTheme="minorEastAsia"/>
          <w:b/>
          <w:bCs/>
          <w:color w:val="000000" w:themeColor="text1"/>
          <w:kern w:val="0"/>
          <w:sz w:val="21"/>
          <w:szCs w:val="21"/>
          <w:lang w:val="zh-CN" w:eastAsia="zh-CN" w:bidi="ar-SA"/>
        </w:rPr>
        <w:t>投标企业的报价须响应和承诺“按实际工作量</w:t>
      </w:r>
      <w:r>
        <w:rPr>
          <w:rFonts w:hint="eastAsia" w:ascii="宋体" w:hAnsi="宋体" w:cs="仿宋_GB2312"/>
          <w:b/>
          <w:bCs/>
          <w:color w:val="000000"/>
          <w:sz w:val="21"/>
          <w:szCs w:val="21"/>
          <w:shd w:val="clear" w:color="auto" w:fill="FFFFFF"/>
        </w:rPr>
        <w:t>以最终评审价为准</w:t>
      </w:r>
      <w:r>
        <w:rPr>
          <w:rFonts w:hint="eastAsia" w:cs="宋体" w:asciiTheme="minorEastAsia" w:hAnsiTheme="minorEastAsia" w:eastAsiaTheme="minorEastAsia"/>
          <w:b/>
          <w:bCs/>
          <w:color w:val="000000" w:themeColor="text1"/>
          <w:kern w:val="0"/>
          <w:sz w:val="21"/>
          <w:szCs w:val="21"/>
          <w:lang w:val="zh-CN" w:eastAsia="zh-CN" w:bidi="ar-SA"/>
        </w:rPr>
        <w:t>”，未响应和承诺</w:t>
      </w:r>
      <w:r>
        <w:rPr>
          <w:rFonts w:hint="eastAsia" w:ascii="宋体" w:hAnsi="宋体" w:cs="仿宋_GB2312"/>
          <w:b/>
          <w:bCs/>
          <w:color w:val="000000"/>
          <w:sz w:val="21"/>
          <w:szCs w:val="21"/>
          <w:shd w:val="clear" w:color="auto" w:fill="FFFFFF"/>
          <w:lang w:eastAsia="zh-CN"/>
        </w:rPr>
        <w:t>的为无效投标。</w:t>
      </w:r>
    </w:p>
    <w:p>
      <w:pPr>
        <w:keepNext w:val="0"/>
        <w:keepLines w:val="0"/>
        <w:pageBreakBefore w:val="0"/>
        <w:widowControl/>
        <w:shd w:val="clear" w:color="auto"/>
        <w:kinsoku/>
        <w:wordWrap/>
        <w:overflowPunct/>
        <w:topLinePunct w:val="0"/>
        <w:bidi w:val="0"/>
        <w:snapToGrid/>
        <w:spacing w:line="520" w:lineRule="exact"/>
        <w:ind w:firstLine="420" w:firstLineChars="200"/>
        <w:contextualSpacing/>
        <w:jc w:val="left"/>
        <w:textAlignment w:val="auto"/>
        <w:outlineLvl w:val="9"/>
        <w:rPr>
          <w:rFonts w:hint="eastAsia" w:cs="宋体" w:asciiTheme="minorEastAsia" w:hAnsiTheme="minorEastAsia" w:eastAsiaTheme="minorEastAsia"/>
          <w:color w:val="000000" w:themeColor="text1"/>
          <w:kern w:val="0"/>
          <w:sz w:val="21"/>
          <w:szCs w:val="21"/>
          <w:lang w:val="zh-CN" w:eastAsia="zh-CN" w:bidi="ar-SA"/>
        </w:rPr>
      </w:pPr>
      <w:r>
        <w:rPr>
          <w:rFonts w:hint="eastAsia" w:cs="宋体" w:asciiTheme="minorEastAsia" w:hAnsiTheme="minorEastAsia"/>
          <w:color w:val="000000" w:themeColor="text1"/>
          <w:kern w:val="0"/>
          <w:sz w:val="21"/>
          <w:szCs w:val="21"/>
          <w:lang w:val="zh-CN" w:eastAsia="zh-CN" w:bidi="ar-SA"/>
        </w:rPr>
        <w:t>四</w:t>
      </w:r>
      <w:r>
        <w:rPr>
          <w:rFonts w:hint="eastAsia" w:cs="宋体" w:asciiTheme="minorEastAsia" w:hAnsiTheme="minorEastAsia" w:eastAsiaTheme="minorEastAsia"/>
          <w:color w:val="000000" w:themeColor="text1"/>
          <w:kern w:val="0"/>
          <w:sz w:val="21"/>
          <w:szCs w:val="21"/>
          <w:lang w:val="zh-CN" w:eastAsia="zh-CN" w:bidi="ar-SA"/>
        </w:rPr>
        <w:t xml:space="preserve"> 、资金支付</w:t>
      </w:r>
    </w:p>
    <w:p>
      <w:pPr>
        <w:pStyle w:val="20"/>
        <w:keepNext w:val="0"/>
        <w:keepLines w:val="0"/>
        <w:pageBreakBefore w:val="0"/>
        <w:widowControl/>
        <w:shd w:val="clear" w:color="auto"/>
        <w:kinsoku/>
        <w:wordWrap/>
        <w:overflowPunct/>
        <w:topLinePunct w:val="0"/>
        <w:bidi w:val="0"/>
        <w:snapToGrid/>
        <w:spacing w:line="520" w:lineRule="exact"/>
        <w:ind w:firstLine="420"/>
        <w:contextualSpacing/>
        <w:jc w:val="left"/>
        <w:textAlignment w:val="auto"/>
        <w:outlineLvl w:val="9"/>
        <w:rPr>
          <w:rFonts w:hint="eastAsia" w:cs="宋体" w:asciiTheme="minorEastAsia" w:hAnsiTheme="minorEastAsia" w:eastAsiaTheme="minorEastAsia"/>
          <w:color w:val="000000" w:themeColor="text1"/>
          <w:kern w:val="0"/>
          <w:sz w:val="21"/>
          <w:szCs w:val="21"/>
          <w:lang w:val="zh-CN" w:eastAsia="zh-CN" w:bidi="ar-SA"/>
        </w:rPr>
      </w:pPr>
      <w:r>
        <w:rPr>
          <w:rFonts w:hint="eastAsia" w:cs="宋体" w:asciiTheme="minorEastAsia" w:hAnsiTheme="minorEastAsia" w:eastAsiaTheme="minorEastAsia"/>
          <w:color w:val="000000" w:themeColor="text1"/>
          <w:kern w:val="0"/>
          <w:sz w:val="21"/>
          <w:szCs w:val="21"/>
          <w:lang w:val="zh-CN" w:eastAsia="zh-CN" w:bidi="ar-SA"/>
        </w:rPr>
        <w:t>支付时间及条件：工程施工完毕后五日内验收，经验收合格后,一次性支付工程款总金额的95%，剩余5%在该产品使用一年后支付。</w:t>
      </w:r>
    </w:p>
    <w:p>
      <w:pPr>
        <w:keepNext w:val="0"/>
        <w:keepLines w:val="0"/>
        <w:pageBreakBefore w:val="0"/>
        <w:shd w:val="clear"/>
        <w:kinsoku/>
        <w:wordWrap/>
        <w:overflowPunct/>
        <w:topLinePunct w:val="0"/>
        <w:autoSpaceDE w:val="0"/>
        <w:autoSpaceDN w:val="0"/>
        <w:bidi w:val="0"/>
        <w:adjustRightInd w:val="0"/>
        <w:snapToGrid/>
        <w:spacing w:line="520" w:lineRule="exact"/>
        <w:jc w:val="center"/>
        <w:textAlignment w:val="auto"/>
        <w:outlineLvl w:val="9"/>
        <w:rPr>
          <w:rFonts w:hint="eastAsia" w:cs="宋体" w:asciiTheme="minorEastAsia" w:hAnsiTheme="minorEastAsia" w:eastAsiaTheme="minorEastAsia"/>
          <w:color w:val="000000" w:themeColor="text1"/>
          <w:kern w:val="0"/>
          <w:sz w:val="21"/>
          <w:szCs w:val="21"/>
          <w:lang w:val="zh-CN" w:eastAsia="zh-CN" w:bidi="ar-SA"/>
        </w:rPr>
      </w:pPr>
    </w:p>
    <w:p>
      <w:pPr>
        <w:pStyle w:val="2"/>
        <w:shd w:val="clear"/>
        <w:ind w:left="0" w:leftChars="0" w:firstLine="0" w:firstLineChars="0"/>
      </w:pPr>
    </w:p>
    <w:p>
      <w:pPr>
        <w:pStyle w:val="20"/>
        <w:widowControl/>
        <w:shd w:val="clear" w:color="auto"/>
        <w:spacing w:line="360" w:lineRule="auto"/>
        <w:ind w:firstLine="420"/>
        <w:contextualSpacing/>
        <w:jc w:val="right"/>
        <w:rPr>
          <w:rFonts w:hint="eastAsia" w:ascii="宋体" w:hAnsi="宋体" w:cs="仿宋_GB2312"/>
          <w:color w:val="000000"/>
          <w:sz w:val="21"/>
          <w:szCs w:val="21"/>
          <w:lang w:eastAsia="zh-CN"/>
        </w:rPr>
      </w:pPr>
      <w:r>
        <w:rPr>
          <w:rFonts w:hint="eastAsia" w:ascii="宋体" w:hAnsi="宋体" w:cs="仿宋_GB2312"/>
          <w:color w:val="000000"/>
          <w:sz w:val="21"/>
          <w:szCs w:val="21"/>
        </w:rPr>
        <w:t>许昌市建安区</w:t>
      </w:r>
      <w:r>
        <w:rPr>
          <w:rFonts w:hint="eastAsia" w:ascii="宋体" w:hAnsi="宋体" w:cs="仿宋_GB2312"/>
          <w:color w:val="000000"/>
          <w:sz w:val="21"/>
          <w:szCs w:val="21"/>
          <w:lang w:eastAsia="zh-CN"/>
        </w:rPr>
        <w:t>公路管理局</w:t>
      </w:r>
    </w:p>
    <w:p>
      <w:pPr>
        <w:pStyle w:val="2"/>
        <w:shd w:val="clear"/>
      </w:pPr>
    </w:p>
    <w:p>
      <w:pPr>
        <w:pStyle w:val="2"/>
      </w:pPr>
    </w:p>
    <w:p>
      <w:pPr>
        <w:pStyle w:val="2"/>
        <w:ind w:left="0" w:leftChars="0" w:firstLine="0" w:firstLineChars="0"/>
      </w:pPr>
    </w:p>
    <w:p>
      <w:pPr>
        <w:widowControl/>
        <w:jc w:val="center"/>
        <w:rPr>
          <w:rFonts w:cs="宋体" w:asciiTheme="majorEastAsia" w:hAnsiTheme="majorEastAsia" w:eastAsiaTheme="majorEastAsia"/>
          <w:kern w:val="0"/>
          <w:sz w:val="32"/>
          <w:szCs w:val="32"/>
        </w:rPr>
      </w:pPr>
      <w:r>
        <w:rPr>
          <w:rFonts w:hint="eastAsia" w:cs="宋体" w:asciiTheme="majorEastAsia" w:hAnsiTheme="majorEastAsia" w:eastAsiaTheme="majorEastAsia"/>
          <w:kern w:val="0"/>
          <w:sz w:val="32"/>
          <w:szCs w:val="32"/>
        </w:rPr>
        <w:t>第三章 投标人须知前附表</w:t>
      </w:r>
    </w:p>
    <w:p>
      <w:pPr>
        <w:autoSpaceDE w:val="0"/>
        <w:autoSpaceDN w:val="0"/>
        <w:adjustRightInd w:val="0"/>
        <w:spacing w:line="360" w:lineRule="auto"/>
        <w:ind w:right="-11"/>
        <w:jc w:val="left"/>
        <w:rPr>
          <w:rFonts w:cs="仿宋_GB2312" w:asciiTheme="minorEastAsia" w:hAnsiTheme="minorEastAsia"/>
          <w:shd w:val="clear" w:color="auto" w:fill="FFFFFF"/>
        </w:rPr>
      </w:pPr>
      <w:r>
        <w:rPr>
          <w:rFonts w:hint="eastAsia" w:cs="仿宋_GB2312" w:asciiTheme="minorEastAsia" w:hAnsiTheme="minorEastAsia"/>
          <w:shd w:val="clear" w:color="auto" w:fill="FFFFFF"/>
        </w:rPr>
        <w:t>招标文件中凡标有★条款均为实质性要求条款，投标文件须完全响应，未实质响应的，按照无效投标处理。</w:t>
      </w:r>
    </w:p>
    <w:tbl>
      <w:tblPr>
        <w:tblStyle w:val="25"/>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lang w:eastAsia="zh-CN"/>
              </w:rPr>
            </w:pPr>
            <w:r>
              <w:rPr>
                <w:rFonts w:hint="eastAsia"/>
              </w:rPr>
              <w:t>项目名称：</w:t>
            </w:r>
            <w:r>
              <w:rPr>
                <w:rFonts w:hint="eastAsia"/>
                <w:lang w:eastAsia="zh-CN"/>
              </w:rPr>
              <w:t>建安区公路管理局国省干线公路标线</w:t>
            </w:r>
          </w:p>
          <w:p>
            <w:pPr>
              <w:autoSpaceDE w:val="0"/>
              <w:autoSpaceDN w:val="0"/>
              <w:adjustRightInd w:val="0"/>
              <w:spacing w:line="360" w:lineRule="auto"/>
              <w:jc w:val="left"/>
            </w:pPr>
            <w:r>
              <w:rPr>
                <w:rFonts w:hint="eastAsia"/>
              </w:rPr>
              <w:t>项目编号：建安政采公字〔2018〕</w:t>
            </w:r>
            <w:r>
              <w:rPr>
                <w:rFonts w:hint="eastAsia"/>
                <w:lang w:val="en-US" w:eastAsia="zh-CN"/>
              </w:rPr>
              <w:t>59</w:t>
            </w:r>
            <w:r>
              <w:rPr>
                <w:rFonts w:hint="eastAsia"/>
              </w:rPr>
              <w:t>号</w:t>
            </w:r>
          </w:p>
          <w:p>
            <w:pPr>
              <w:autoSpaceDE w:val="0"/>
              <w:autoSpaceDN w:val="0"/>
              <w:adjustRightInd w:val="0"/>
              <w:spacing w:line="360" w:lineRule="auto"/>
              <w:jc w:val="left"/>
              <w:rPr>
                <w:rFonts w:hint="eastAsia" w:eastAsiaTheme="minorEastAsia"/>
                <w:lang w:eastAsia="zh-CN"/>
              </w:rPr>
            </w:pPr>
            <w:r>
              <w:rPr>
                <w:rFonts w:hint="eastAsia"/>
              </w:rPr>
              <w:t>项目内容：详见</w:t>
            </w:r>
            <w:r>
              <w:rPr>
                <w:rFonts w:hint="eastAsia"/>
                <w:lang w:eastAsia="zh-CN"/>
              </w:rPr>
              <w:t>招标文件</w:t>
            </w:r>
          </w:p>
          <w:p>
            <w:pPr>
              <w:autoSpaceDE w:val="0"/>
              <w:autoSpaceDN w:val="0"/>
              <w:adjustRightInd w:val="0"/>
              <w:spacing w:line="360" w:lineRule="auto"/>
              <w:jc w:val="left"/>
            </w:pPr>
            <w:r>
              <w:rPr>
                <w:rFonts w:hint="eastAsia"/>
              </w:rPr>
              <w:t>项目地址：许昌市建安区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lang w:eastAsia="zh-CN"/>
              </w:rPr>
            </w:pPr>
            <w:r>
              <w:rPr>
                <w:rFonts w:hint="eastAsia"/>
              </w:rPr>
              <w:t>名称：许昌市建安区</w:t>
            </w:r>
            <w:r>
              <w:rPr>
                <w:rFonts w:hint="eastAsia"/>
                <w:lang w:eastAsia="zh-CN"/>
              </w:rPr>
              <w:t>公路管理局</w:t>
            </w:r>
          </w:p>
          <w:p>
            <w:pPr>
              <w:autoSpaceDE w:val="0"/>
              <w:autoSpaceDN w:val="0"/>
              <w:adjustRightInd w:val="0"/>
              <w:spacing w:line="360" w:lineRule="auto"/>
              <w:jc w:val="left"/>
              <w:rPr>
                <w:rFonts w:hint="eastAsia"/>
              </w:rPr>
            </w:pPr>
            <w:r>
              <w:rPr>
                <w:rFonts w:hint="eastAsia"/>
              </w:rPr>
              <w:t>地址：许昌市建安区</w:t>
            </w:r>
          </w:p>
          <w:p>
            <w:pPr>
              <w:autoSpaceDE w:val="0"/>
              <w:autoSpaceDN w:val="0"/>
              <w:adjustRightInd w:val="0"/>
              <w:spacing w:line="360" w:lineRule="auto"/>
              <w:jc w:val="left"/>
              <w:rPr>
                <w:rFonts w:hint="eastAsia"/>
              </w:rPr>
            </w:pPr>
            <w:r>
              <w:rPr>
                <w:rFonts w:hint="eastAsia"/>
              </w:rPr>
              <w:t>联系人：</w:t>
            </w:r>
            <w:r>
              <w:rPr>
                <w:rFonts w:hint="eastAsia"/>
                <w:lang w:eastAsia="zh-CN"/>
              </w:rPr>
              <w:t>任铁军</w:t>
            </w:r>
            <w:r>
              <w:rPr>
                <w:rFonts w:hint="eastAsia"/>
              </w:rPr>
              <w:t xml:space="preserve">     </w:t>
            </w:r>
          </w:p>
          <w:p>
            <w:pPr>
              <w:autoSpaceDE w:val="0"/>
              <w:autoSpaceDN w:val="0"/>
              <w:adjustRightInd w:val="0"/>
              <w:spacing w:line="360" w:lineRule="auto"/>
              <w:jc w:val="left"/>
              <w:rPr>
                <w:rFonts w:cs="仿宋_GB2312" w:asciiTheme="minorEastAsia" w:hAnsiTheme="minorEastAsia"/>
                <w:szCs w:val="21"/>
              </w:rPr>
            </w:pPr>
            <w:r>
              <w:rPr>
                <w:rFonts w:hint="eastAsia"/>
              </w:rPr>
              <w:t>电话：</w:t>
            </w:r>
            <w:r>
              <w:rPr>
                <w:rFonts w:hint="eastAsia"/>
                <w:lang w:val="en-US" w:eastAsia="zh-CN"/>
              </w:rPr>
              <w:t>15939955562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hint="eastAsia" w:cs="TimesNewRomanPSMT" w:asciiTheme="minorEastAsia" w:hAnsiTheme="minorEastAsia" w:eastAsiaTheme="minorEastAsia"/>
                <w:szCs w:val="21"/>
                <w:lang w:val="en-US" w:eastAsia="zh-CN"/>
              </w:rPr>
            </w:pPr>
            <w:r>
              <w:rPr>
                <w:rFonts w:hint="eastAsia" w:cs="TimesNewRomanPSMT" w:asciiTheme="minorEastAsia" w:hAnsiTheme="minorEastAsia"/>
                <w:szCs w:val="21"/>
                <w:lang w:val="en-US" w:eastAsia="zh-CN"/>
              </w:rPr>
              <w:t>3</w:t>
            </w:r>
          </w:p>
        </w:tc>
        <w:tc>
          <w:tcPr>
            <w:tcW w:w="2268" w:type="dxa"/>
            <w:vAlign w:val="center"/>
          </w:tcPr>
          <w:p>
            <w:pPr>
              <w:autoSpaceDE w:val="0"/>
              <w:autoSpaceDN w:val="0"/>
              <w:adjustRightInd w:val="0"/>
              <w:spacing w:line="276" w:lineRule="auto"/>
              <w:jc w:val="center"/>
              <w:rPr>
                <w:rFonts w:hint="eastAsia" w:cs="仿宋_GB2312" w:asciiTheme="minorEastAsia" w:hAnsiTheme="minorEastAsia" w:eastAsiaTheme="minorEastAsia"/>
                <w:szCs w:val="21"/>
                <w:lang w:eastAsia="zh-CN"/>
              </w:rPr>
            </w:pPr>
            <w:r>
              <w:rPr>
                <w:rFonts w:hint="eastAsia" w:cs="仿宋_GB2312" w:asciiTheme="minorEastAsia" w:hAnsiTheme="minorEastAsia"/>
                <w:szCs w:val="21"/>
                <w:lang w:eastAsia="zh-CN"/>
              </w:rPr>
              <w:t>代理机构</w:t>
            </w:r>
          </w:p>
        </w:tc>
        <w:tc>
          <w:tcPr>
            <w:tcW w:w="6813" w:type="dxa"/>
            <w:vAlign w:val="center"/>
          </w:tcPr>
          <w:p>
            <w:pPr>
              <w:autoSpaceDE w:val="0"/>
              <w:autoSpaceDN w:val="0"/>
              <w:adjustRightInd w:val="0"/>
              <w:spacing w:line="440" w:lineRule="exact"/>
              <w:jc w:val="left"/>
              <w:rPr>
                <w:rFonts w:hint="eastAsia"/>
              </w:rPr>
            </w:pPr>
            <w:r>
              <w:rPr>
                <w:rFonts w:hint="eastAsia"/>
              </w:rPr>
              <w:t>名</w:t>
            </w:r>
            <w:r>
              <w:rPr>
                <w:rFonts w:hint="eastAsia"/>
                <w:lang w:val="en-US" w:eastAsia="zh-CN"/>
              </w:rPr>
              <w:t xml:space="preserve"> </w:t>
            </w:r>
            <w:r>
              <w:rPr>
                <w:rFonts w:hint="eastAsia"/>
              </w:rPr>
              <w:t>称：河南</w:t>
            </w:r>
            <w:r>
              <w:rPr>
                <w:rFonts w:hint="eastAsia"/>
                <w:lang w:eastAsia="zh-CN"/>
              </w:rPr>
              <w:t>天扬工程项目</w:t>
            </w:r>
            <w:r>
              <w:rPr>
                <w:rFonts w:hint="eastAsia"/>
              </w:rPr>
              <w:t>管理有限公司</w:t>
            </w:r>
          </w:p>
          <w:p>
            <w:pPr>
              <w:autoSpaceDE w:val="0"/>
              <w:autoSpaceDN w:val="0"/>
              <w:adjustRightInd w:val="0"/>
              <w:spacing w:line="440" w:lineRule="exact"/>
              <w:jc w:val="left"/>
              <w:rPr>
                <w:rFonts w:hint="eastAsia"/>
                <w:lang w:eastAsia="zh-CN"/>
              </w:rPr>
            </w:pPr>
            <w:r>
              <w:rPr>
                <w:rFonts w:hint="eastAsia"/>
              </w:rPr>
              <w:t>联系人：</w:t>
            </w:r>
            <w:r>
              <w:rPr>
                <w:rFonts w:hint="eastAsia"/>
                <w:lang w:eastAsia="zh-CN"/>
              </w:rPr>
              <w:t>宋易琳</w:t>
            </w:r>
          </w:p>
          <w:p>
            <w:pPr>
              <w:autoSpaceDE w:val="0"/>
              <w:autoSpaceDN w:val="0"/>
              <w:adjustRightInd w:val="0"/>
              <w:spacing w:line="440" w:lineRule="exact"/>
              <w:jc w:val="left"/>
              <w:rPr>
                <w:rFonts w:hint="eastAsia" w:cs="仿宋_GB2312" w:asciiTheme="minorEastAsia" w:hAnsiTheme="minorEastAsia"/>
                <w:szCs w:val="21"/>
              </w:rPr>
            </w:pPr>
            <w:r>
              <w:rPr>
                <w:rFonts w:hint="eastAsia"/>
              </w:rPr>
              <w:t>电</w:t>
            </w:r>
            <w:r>
              <w:rPr>
                <w:rFonts w:hint="eastAsia"/>
                <w:lang w:val="en-US" w:eastAsia="zh-CN"/>
              </w:rPr>
              <w:t xml:space="preserve"> </w:t>
            </w:r>
            <w:r>
              <w:rPr>
                <w:rFonts w:hint="eastAsia"/>
              </w:rPr>
              <w:t>话：137</w:t>
            </w:r>
            <w:r>
              <w:rPr>
                <w:rFonts w:hint="eastAsia"/>
                <w:lang w:val="en-US" w:eastAsia="zh-CN"/>
              </w:rPr>
              <w:t>33627299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一、</w:t>
            </w:r>
            <w:r>
              <w:rPr>
                <w:rFonts w:cs="宋体" w:asciiTheme="minorEastAsia" w:hAnsiTheme="minorEastAsia"/>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Cs w:val="21"/>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二、财务状况报告相关材料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szCs w:val="21"/>
              </w:rPr>
              <w:t>1、</w:t>
            </w:r>
            <w:r>
              <w:rPr>
                <w:rFonts w:hint="eastAsia" w:cs="宋体" w:asciiTheme="minorEastAsia" w:hAnsiTheme="minorEastAsia"/>
                <w:bCs/>
                <w:szCs w:val="21"/>
                <w:lang w:val="zh-CN"/>
              </w:rPr>
              <w:t>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szCs w:val="21"/>
              </w:rPr>
            </w:pPr>
            <w:r>
              <w:rPr>
                <w:rFonts w:hint="eastAsia" w:cs="仿宋_GB2312" w:asciiTheme="minorEastAsia" w:hAnsiTheme="minorEastAsia"/>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Cs w:val="21"/>
              </w:rPr>
            </w:pPr>
            <w:r>
              <w:rPr>
                <w:rFonts w:hint="eastAsia" w:cs="宋体" w:asciiTheme="minorEastAsia" w:hAnsiTheme="minorEastAsia"/>
                <w:bCs/>
                <w:szCs w:val="21"/>
                <w:lang w:val="zh-CN"/>
              </w:rPr>
              <w:t>相关设备的购置发票、专业技术人员职称证书、用工合同等或者</w:t>
            </w:r>
            <w:r>
              <w:rPr>
                <w:rFonts w:hint="eastAsia" w:cs="宋体" w:asciiTheme="minorEastAsia" w:hAnsiTheme="minorEastAsia"/>
                <w:kern w:val="0"/>
                <w:szCs w:val="21"/>
              </w:rPr>
              <w:t>附投标人相关承诺函或声明。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kern w:val="0"/>
                <w:szCs w:val="21"/>
              </w:rPr>
              <w:t>六、</w:t>
            </w:r>
            <w:r>
              <w:rPr>
                <w:rFonts w:cs="宋体" w:asciiTheme="minorEastAsia" w:hAnsiTheme="minorEastAsia"/>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r>
              <w:rPr>
                <w:rFonts w:hint="eastAsia" w:cs="仿宋_GB2312" w:asciiTheme="minorEastAsia" w:hAnsiTheme="minorEastAsia"/>
                <w:color w:val="000000"/>
                <w:szCs w:val="21"/>
                <w:shd w:val="clear" w:color="auto" w:fill="FFFFFF"/>
              </w:rPr>
              <w:t> </w:t>
            </w:r>
          </w:p>
          <w:p>
            <w:pPr>
              <w:autoSpaceDE w:val="0"/>
              <w:autoSpaceDN w:val="0"/>
              <w:spacing w:line="360" w:lineRule="auto"/>
              <w:contextualSpacing/>
              <w:jc w:val="left"/>
              <w:rPr>
                <w:rFonts w:hint="eastAsia" w:cs="宋体" w:asciiTheme="minorEastAsia" w:hAnsiTheme="minorEastAsia"/>
                <w:bCs/>
                <w:szCs w:val="21"/>
                <w:lang w:val="zh-CN"/>
              </w:rPr>
            </w:pPr>
            <w:r>
              <w:rPr>
                <w:rFonts w:hint="eastAsia" w:cs="宋体" w:asciiTheme="minorEastAsia" w:hAnsiTheme="minorEastAsia"/>
                <w:bCs/>
                <w:szCs w:val="21"/>
                <w:lang w:val="zh-CN"/>
              </w:rPr>
              <w:t>七、</w:t>
            </w:r>
            <w:r>
              <w:rPr>
                <w:rFonts w:hint="eastAsia" w:cs="宋体" w:asciiTheme="minorEastAsia" w:hAnsiTheme="minorEastAsia"/>
                <w:bCs/>
                <w:szCs w:val="21"/>
                <w:lang w:val="en-US" w:eastAsia="zh-CN"/>
              </w:rPr>
              <w:t xml:space="preserve">未被列入“信用中国”网站(www.creditchina.gov.cn)失信被执行人、重大税收违法案件当事人名单、政府采购严重违法失信名单的投标人；“中国政府采购网” (www.ccgp.gov.cn)政府采购严重违法失信行为记录名单的投标人；“国家企业信用信息公示系统”网站（www.gsxt.gov.cn）严重违法失信企业名单（黑名单）的投标人（投标人须提供网站查询截图）； </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w:t>
            </w:r>
            <w:r>
              <w:rPr>
                <w:rFonts w:hint="eastAsia" w:cs="宋体" w:asciiTheme="minorEastAsia" w:hAnsiTheme="minorEastAsia"/>
                <w:kern w:val="0"/>
                <w:szCs w:val="21"/>
                <w:lang w:eastAsia="zh-CN"/>
              </w:rPr>
              <w:t>、</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r>
              <w:rPr>
                <w:rFonts w:hint="eastAsia" w:cs="宋体" w:asciiTheme="minorEastAsia" w:hAnsiTheme="minorEastAsia"/>
                <w:kern w:val="0"/>
                <w:szCs w:val="21"/>
                <w:lang w:eastAsia="zh-CN"/>
              </w:rPr>
              <w:t>和</w:t>
            </w:r>
            <w:r>
              <w:rPr>
                <w:rFonts w:hint="eastAsia" w:cs="宋体" w:asciiTheme="minorEastAsia" w:hAnsiTheme="minorEastAsia"/>
                <w:bCs/>
                <w:szCs w:val="21"/>
                <w:lang w:val="en-US" w:eastAsia="zh-CN"/>
              </w:rPr>
              <w:t>国家企业信用信息公示系统”网站（www.gsxt.gov.cn）</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eastAsia="zh-CN"/>
              </w:rPr>
            </w:pPr>
            <w:r>
              <w:rPr>
                <w:rFonts w:hint="eastAsia" w:cs="黑体" w:asciiTheme="minorEastAsia" w:hAnsiTheme="minorEastAsia"/>
                <w:szCs w:val="21"/>
                <w:lang w:val="en-US" w:eastAsia="zh-CN"/>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color w:val="000000"/>
                <w:kern w:val="0"/>
                <w:szCs w:val="21"/>
                <w:lang w:val="zh-CN"/>
              </w:rPr>
              <w:fldChar w:fldCharType="begin"/>
            </w:r>
            <w:r>
              <w:rPr>
                <w:rFonts w:cs="宋体" w:asciiTheme="minorEastAsia" w:hAnsiTheme="minorEastAsia"/>
                <w:color w:val="000000"/>
                <w:kern w:val="0"/>
                <w:szCs w:val="21"/>
                <w:lang w:val="zh-CN"/>
              </w:rPr>
              <w:instrText xml:space="preserve"> </w:instrText>
            </w:r>
            <w:r>
              <w:rPr>
                <w:rFonts w:hint="eastAsia" w:cs="宋体" w:asciiTheme="minorEastAsia" w:hAnsiTheme="minorEastAsia"/>
                <w:color w:val="000000"/>
                <w:kern w:val="0"/>
                <w:szCs w:val="21"/>
                <w:lang w:val="zh-CN"/>
              </w:rPr>
              <w:instrText xml:space="preserve">eq \o\ac(□,</w:instrText>
            </w:r>
            <w:r>
              <w:rPr>
                <w:rFonts w:hint="eastAsia" w:cs="宋体" w:asciiTheme="minorEastAsia" w:hAnsiTheme="minorEastAsia"/>
                <w:color w:val="000000"/>
                <w:kern w:val="0"/>
                <w:position w:val="2"/>
                <w:szCs w:val="21"/>
                <w:lang w:val="zh-CN"/>
              </w:rPr>
              <w:instrText xml:space="preserve">√</w:instrText>
            </w:r>
            <w:r>
              <w:rPr>
                <w:rFonts w:hint="eastAsia" w:cs="宋体" w:asciiTheme="minorEastAsia" w:hAnsiTheme="minorEastAsia"/>
                <w:color w:val="000000"/>
                <w:kern w:val="0"/>
                <w:szCs w:val="21"/>
                <w:lang w:val="zh-CN"/>
              </w:rPr>
              <w:instrText xml:space="preserve">)</w:instrText>
            </w:r>
            <w:r>
              <w:rPr>
                <w:rFonts w:cs="宋体" w:asciiTheme="minorEastAsia" w:hAnsiTheme="minorEastAsia"/>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zh-CN"/>
              </w:rPr>
              <w:t>按实际工作量以最终评审价为准，超出最高限价的投标无效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color w:val="000000"/>
                <w:kern w:val="0"/>
                <w:szCs w:val="21"/>
                <w:lang w:val="zh-CN"/>
              </w:rPr>
              <w:fldChar w:fldCharType="begin"/>
            </w:r>
            <w:r>
              <w:rPr>
                <w:rFonts w:cs="宋体" w:asciiTheme="minorEastAsia" w:hAnsiTheme="minorEastAsia"/>
                <w:color w:val="000000"/>
                <w:kern w:val="0"/>
                <w:szCs w:val="21"/>
                <w:lang w:val="zh-CN"/>
              </w:rPr>
              <w:instrText xml:space="preserve"> </w:instrText>
            </w:r>
            <w:r>
              <w:rPr>
                <w:rFonts w:hint="eastAsia" w:cs="宋体" w:asciiTheme="minorEastAsia" w:hAnsiTheme="minorEastAsia"/>
                <w:color w:val="000000"/>
                <w:kern w:val="0"/>
                <w:szCs w:val="21"/>
                <w:lang w:val="zh-CN"/>
              </w:rPr>
              <w:instrText xml:space="preserve">eq \o\ac(□,</w:instrText>
            </w:r>
            <w:r>
              <w:rPr>
                <w:rFonts w:hint="eastAsia" w:cs="宋体" w:asciiTheme="minorEastAsia" w:hAnsiTheme="minorEastAsia"/>
                <w:color w:val="000000"/>
                <w:kern w:val="0"/>
                <w:position w:val="2"/>
                <w:szCs w:val="21"/>
                <w:lang w:val="zh-CN"/>
              </w:rPr>
              <w:instrText xml:space="preserve">√</w:instrText>
            </w:r>
            <w:r>
              <w:rPr>
                <w:rFonts w:hint="eastAsia" w:cs="宋体" w:asciiTheme="minorEastAsia" w:hAnsiTheme="minorEastAsia"/>
                <w:color w:val="000000"/>
                <w:kern w:val="0"/>
                <w:szCs w:val="21"/>
                <w:lang w:val="zh-CN"/>
              </w:rPr>
              <w:instrText xml:space="preserve">)</w:instrText>
            </w:r>
            <w:r>
              <w:rPr>
                <w:rFonts w:cs="宋体" w:asciiTheme="minorEastAsia" w:hAnsiTheme="minorEastAsia"/>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color w:val="000000"/>
                <w:kern w:val="0"/>
                <w:szCs w:val="21"/>
                <w:lang w:val="zh-CN"/>
              </w:rPr>
              <w:fldChar w:fldCharType="begin"/>
            </w:r>
            <w:r>
              <w:rPr>
                <w:rFonts w:cs="宋体" w:asciiTheme="minorEastAsia" w:hAnsiTheme="minorEastAsia"/>
                <w:color w:val="000000"/>
                <w:kern w:val="0"/>
                <w:szCs w:val="21"/>
                <w:lang w:val="zh-CN"/>
              </w:rPr>
              <w:instrText xml:space="preserve"> </w:instrText>
            </w:r>
            <w:r>
              <w:rPr>
                <w:rFonts w:hint="eastAsia" w:cs="宋体" w:asciiTheme="minorEastAsia" w:hAnsiTheme="minorEastAsia"/>
                <w:color w:val="000000"/>
                <w:kern w:val="0"/>
                <w:szCs w:val="21"/>
                <w:lang w:val="zh-CN"/>
              </w:rPr>
              <w:instrText xml:space="preserve">eq \o\ac(□,</w:instrText>
            </w:r>
            <w:r>
              <w:rPr>
                <w:rFonts w:hint="eastAsia" w:cs="宋体" w:asciiTheme="minorEastAsia" w:hAnsiTheme="minorEastAsia"/>
                <w:color w:val="000000"/>
                <w:kern w:val="0"/>
                <w:position w:val="2"/>
                <w:szCs w:val="21"/>
                <w:lang w:val="zh-CN"/>
              </w:rPr>
              <w:instrText xml:space="preserve">√</w:instrText>
            </w:r>
            <w:r>
              <w:rPr>
                <w:rFonts w:hint="eastAsia" w:cs="宋体" w:asciiTheme="minorEastAsia" w:hAnsiTheme="minorEastAsia"/>
                <w:color w:val="000000"/>
                <w:kern w:val="0"/>
                <w:szCs w:val="21"/>
                <w:lang w:val="zh-CN"/>
              </w:rPr>
              <w:instrText xml:space="preserve">)</w:instrText>
            </w:r>
            <w:r>
              <w:rPr>
                <w:rFonts w:cs="宋体" w:asciiTheme="minorEastAsia" w:hAnsiTheme="minorEastAsia"/>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color w:val="000000"/>
                <w:kern w:val="0"/>
                <w:szCs w:val="21"/>
                <w:lang w:val="zh-CN"/>
              </w:rPr>
              <w:fldChar w:fldCharType="begin"/>
            </w:r>
            <w:r>
              <w:rPr>
                <w:rFonts w:cs="宋体" w:asciiTheme="minorEastAsia" w:hAnsiTheme="minorEastAsia"/>
                <w:color w:val="000000"/>
                <w:kern w:val="0"/>
                <w:szCs w:val="21"/>
                <w:lang w:val="zh-CN"/>
              </w:rPr>
              <w:instrText xml:space="preserve"> </w:instrText>
            </w:r>
            <w:r>
              <w:rPr>
                <w:rFonts w:hint="eastAsia" w:cs="宋体" w:asciiTheme="minorEastAsia" w:hAnsiTheme="minorEastAsia"/>
                <w:color w:val="000000"/>
                <w:kern w:val="0"/>
                <w:szCs w:val="21"/>
                <w:lang w:val="zh-CN"/>
              </w:rPr>
              <w:instrText xml:space="preserve">eq \o\ac(□,</w:instrText>
            </w:r>
            <w:r>
              <w:rPr>
                <w:rFonts w:hint="eastAsia" w:cs="宋体" w:asciiTheme="minorEastAsia" w:hAnsiTheme="minorEastAsia"/>
                <w:color w:val="000000"/>
                <w:kern w:val="0"/>
                <w:position w:val="2"/>
                <w:szCs w:val="21"/>
                <w:lang w:val="zh-CN"/>
              </w:rPr>
              <w:instrText xml:space="preserve">√</w:instrText>
            </w:r>
            <w:r>
              <w:rPr>
                <w:rFonts w:hint="eastAsia" w:cs="宋体" w:asciiTheme="minorEastAsia" w:hAnsiTheme="minorEastAsia"/>
                <w:color w:val="000000"/>
                <w:kern w:val="0"/>
                <w:szCs w:val="21"/>
                <w:lang w:val="zh-CN"/>
              </w:rPr>
              <w:instrText xml:space="preserve">)</w:instrText>
            </w:r>
            <w:r>
              <w:rPr>
                <w:rFonts w:cs="宋体" w:asciiTheme="minorEastAsia" w:hAnsiTheme="minorEastAsia"/>
                <w:color w:val="000000"/>
                <w:kern w:val="0"/>
                <w:szCs w:val="21"/>
                <w:lang w:val="zh-CN"/>
              </w:rPr>
              <w:fldChar w:fldCharType="end"/>
            </w:r>
            <w:r>
              <w:rPr>
                <w:rFonts w:hint="eastAsia" w:cs="宋体" w:asciiTheme="minorEastAsia" w:hAnsiTheme="minorEastAsia"/>
                <w:bCs/>
                <w:szCs w:val="21"/>
                <w:lang w:val="zh-CN"/>
              </w:rPr>
              <w:t>不允许    □</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color w:val="000000"/>
                <w:kern w:val="0"/>
                <w:szCs w:val="21"/>
                <w:lang w:val="zh-CN"/>
              </w:rPr>
              <w:fldChar w:fldCharType="begin"/>
            </w:r>
            <w:r>
              <w:rPr>
                <w:rFonts w:cs="宋体" w:asciiTheme="minorEastAsia" w:hAnsiTheme="minorEastAsia"/>
                <w:color w:val="000000"/>
                <w:kern w:val="0"/>
                <w:szCs w:val="21"/>
                <w:lang w:val="zh-CN"/>
              </w:rPr>
              <w:instrText xml:space="preserve"> </w:instrText>
            </w:r>
            <w:r>
              <w:rPr>
                <w:rFonts w:hint="eastAsia" w:cs="宋体" w:asciiTheme="minorEastAsia" w:hAnsiTheme="minorEastAsia"/>
                <w:color w:val="000000"/>
                <w:kern w:val="0"/>
                <w:szCs w:val="21"/>
                <w:lang w:val="zh-CN"/>
              </w:rPr>
              <w:instrText xml:space="preserve">eq \o\ac(□,</w:instrText>
            </w:r>
            <w:r>
              <w:rPr>
                <w:rFonts w:hint="eastAsia" w:cs="宋体" w:asciiTheme="minorEastAsia" w:hAnsiTheme="minorEastAsia"/>
                <w:color w:val="000000"/>
                <w:kern w:val="0"/>
                <w:position w:val="2"/>
                <w:szCs w:val="21"/>
                <w:lang w:val="zh-CN"/>
              </w:rPr>
              <w:instrText xml:space="preserve">√</w:instrText>
            </w:r>
            <w:r>
              <w:rPr>
                <w:rFonts w:hint="eastAsia" w:cs="宋体" w:asciiTheme="minorEastAsia" w:hAnsiTheme="minorEastAsia"/>
                <w:color w:val="000000"/>
                <w:kern w:val="0"/>
                <w:szCs w:val="21"/>
                <w:lang w:val="zh-CN"/>
              </w:rPr>
              <w:instrText xml:space="preserve">)</w:instrText>
            </w:r>
            <w:r>
              <w:rPr>
                <w:rFonts w:cs="宋体" w:asciiTheme="minorEastAsia" w:hAnsiTheme="minorEastAsia"/>
                <w:color w:val="000000"/>
                <w:kern w:val="0"/>
                <w:szCs w:val="21"/>
                <w:lang w:val="zh-CN"/>
              </w:rPr>
              <w:fldChar w:fldCharType="end"/>
            </w:r>
            <w:r>
              <w:rPr>
                <w:rFonts w:hint="eastAsia" w:cs="宋体" w:asciiTheme="minorEastAsia" w:hAnsiTheme="minorEastAsia"/>
                <w:bCs/>
                <w:szCs w:val="21"/>
                <w:lang w:val="zh-CN"/>
              </w:rPr>
              <w:t>不允许   □</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2018年</w:t>
            </w:r>
            <w:r>
              <w:rPr>
                <w:rFonts w:hint="eastAsia" w:cs="仿宋_GB2312" w:asciiTheme="minorEastAsia" w:hAnsiTheme="minorEastAsia"/>
                <w:szCs w:val="21"/>
                <w:lang w:val="en-US" w:eastAsia="zh-CN"/>
              </w:rPr>
              <w:t>11</w:t>
            </w:r>
            <w:r>
              <w:rPr>
                <w:rFonts w:hint="eastAsia" w:cs="仿宋_GB2312" w:asciiTheme="minorEastAsia" w:hAnsiTheme="minorEastAsia"/>
                <w:szCs w:val="21"/>
                <w:lang w:val="zh-CN"/>
              </w:rPr>
              <w:t>月</w:t>
            </w:r>
            <w:r>
              <w:rPr>
                <w:rFonts w:hint="eastAsia" w:cs="仿宋_GB2312" w:asciiTheme="minorEastAsia" w:hAnsiTheme="minorEastAsia"/>
                <w:szCs w:val="21"/>
                <w:lang w:val="en-US" w:eastAsia="zh-CN"/>
              </w:rPr>
              <w:t>22</w:t>
            </w:r>
            <w:r>
              <w:rPr>
                <w:rFonts w:hint="eastAsia" w:cs="仿宋_GB2312" w:asciiTheme="minorEastAsia" w:hAnsiTheme="minorEastAsia"/>
                <w:szCs w:val="21"/>
                <w:lang w:val="zh-CN"/>
              </w:rPr>
              <w:t>日9 时30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递交投标文件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建安区新元大道兴业大厦北4楼4165室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缴纳截止时间：同投标截止时间。</w:t>
            </w:r>
          </w:p>
          <w:p>
            <w:pPr>
              <w:tabs>
                <w:tab w:val="left" w:pos="1260"/>
              </w:tabs>
              <w:autoSpaceDE w:val="0"/>
              <w:autoSpaceDN w:val="0"/>
              <w:adjustRightInd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金额：壹万元整（¥</w:t>
            </w:r>
            <w:r>
              <w:rPr>
                <w:rFonts w:hint="eastAsia" w:cs="仿宋_GB2312" w:asciiTheme="minorEastAsia" w:hAnsiTheme="minorEastAsia"/>
                <w:szCs w:val="21"/>
                <w:lang w:val="en-US" w:eastAsia="zh-CN"/>
              </w:rPr>
              <w:t>10</w:t>
            </w:r>
            <w:r>
              <w:rPr>
                <w:rFonts w:hint="eastAsia" w:cs="仿宋_GB2312" w:asciiTheme="minorEastAsia" w:hAnsiTheme="minorEastAsia"/>
                <w:szCs w:val="21"/>
                <w:lang w:val="zh-CN"/>
              </w:rPr>
              <w:t>000.00）</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三、投标保证金缴纳方式：</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Cs w:val="21"/>
                <w:lang w:val="zh-CN"/>
              </w:rPr>
              <w:t>http://221.14.6.70:8088/ggzy</w:t>
            </w:r>
            <w:r>
              <w:rPr>
                <w:rFonts w:hint="eastAsia" w:cs="仿宋_GB2312" w:asciiTheme="minorEastAsia" w:hAnsiTheme="minorEastAsia"/>
                <w:szCs w:val="21"/>
                <w:lang w:val="zh-CN"/>
              </w:rPr>
              <w:fldChar w:fldCharType="end"/>
            </w:r>
            <w:r>
              <w:rPr>
                <w:rFonts w:hint="eastAsia" w:cs="仿宋_GB2312" w:asciiTheme="minorEastAsia" w:hAnsiTheme="minorEastAsia"/>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许昌市建安区人民政府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szCs w:val="21"/>
              </w:rPr>
              <w:fldChar w:fldCharType="begin"/>
            </w:r>
            <w:r>
              <w:rPr>
                <w:rFonts w:ascii="新宋体" w:hAnsi="新宋体" w:eastAsia="新宋体"/>
                <w:szCs w:val="21"/>
              </w:rPr>
              <w:instrText xml:space="preserve"> </w:instrText>
            </w:r>
            <w:r>
              <w:rPr>
                <w:rFonts w:hint="eastAsia" w:ascii="新宋体" w:hAnsi="新宋体" w:eastAsia="新宋体"/>
                <w:szCs w:val="21"/>
              </w:rPr>
              <w:instrText xml:space="preserve">eq \o\ac(□,√)</w:instrText>
            </w:r>
            <w:r>
              <w:rPr>
                <w:rFonts w:ascii="新宋体" w:hAnsi="新宋体" w:eastAsia="新宋体"/>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szCs w:val="21"/>
              </w:rPr>
              <w:fldChar w:fldCharType="begin"/>
            </w:r>
            <w:r>
              <w:rPr>
                <w:rFonts w:ascii="新宋体" w:hAnsi="新宋体" w:eastAsia="新宋体"/>
                <w:szCs w:val="21"/>
              </w:rPr>
              <w:instrText xml:space="preserve"> </w:instrText>
            </w:r>
            <w:r>
              <w:rPr>
                <w:rFonts w:hint="eastAsia" w:ascii="新宋体" w:hAnsi="新宋体" w:eastAsia="新宋体"/>
                <w:szCs w:val="21"/>
              </w:rPr>
              <w:instrText xml:space="preserve">eq \o\ac(□,√)</w:instrText>
            </w:r>
            <w:r>
              <w:rPr>
                <w:rFonts w:ascii="新宋体" w:hAnsi="新宋体" w:eastAsia="新宋体"/>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正本一份，副本四份。使用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szCs w:val="21"/>
              </w:rPr>
              <w:fldChar w:fldCharType="begin"/>
            </w:r>
            <w:r>
              <w:rPr>
                <w:rFonts w:ascii="新宋体" w:hAnsi="新宋体" w:eastAsia="新宋体"/>
                <w:szCs w:val="21"/>
              </w:rPr>
              <w:instrText xml:space="preserve"> </w:instrText>
            </w:r>
            <w:r>
              <w:rPr>
                <w:rFonts w:hint="eastAsia" w:ascii="新宋体" w:hAnsi="新宋体" w:eastAsia="新宋体"/>
                <w:szCs w:val="21"/>
              </w:rPr>
              <w:instrText xml:space="preserve">eq \o\ac(□,√)</w:instrText>
            </w:r>
            <w:r>
              <w:rPr>
                <w:rFonts w:ascii="新宋体" w:hAnsi="新宋体" w:eastAsia="新宋体"/>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szCs w:val="21"/>
              </w:rPr>
              <w:fldChar w:fldCharType="begin"/>
            </w:r>
            <w:r>
              <w:rPr>
                <w:rFonts w:ascii="新宋体" w:hAnsi="新宋体" w:eastAsia="新宋体"/>
                <w:szCs w:val="21"/>
              </w:rPr>
              <w:instrText xml:space="preserve"> </w:instrText>
            </w:r>
            <w:r>
              <w:rPr>
                <w:rFonts w:hint="eastAsia" w:ascii="新宋体" w:hAnsi="新宋体" w:eastAsia="新宋体"/>
                <w:szCs w:val="21"/>
              </w:rPr>
              <w:instrText xml:space="preserve">eq \o\ac(□,√)</w:instrText>
            </w:r>
            <w:r>
              <w:rPr>
                <w:rFonts w:ascii="新宋体" w:hAnsi="新宋体" w:eastAsia="新宋体"/>
                <w:szCs w:val="21"/>
              </w:rPr>
              <w:fldChar w:fldCharType="end"/>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19</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20</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color w:val="000000"/>
                <w:kern w:val="0"/>
                <w:szCs w:val="21"/>
                <w:lang w:val="zh-CN"/>
              </w:rPr>
              <w:fldChar w:fldCharType="begin"/>
            </w:r>
            <w:r>
              <w:rPr>
                <w:rFonts w:cs="宋体" w:asciiTheme="minorEastAsia" w:hAnsiTheme="minorEastAsia"/>
                <w:color w:val="000000"/>
                <w:kern w:val="0"/>
                <w:szCs w:val="21"/>
                <w:lang w:val="zh-CN"/>
              </w:rPr>
              <w:instrText xml:space="preserve"> </w:instrText>
            </w:r>
            <w:r>
              <w:rPr>
                <w:rFonts w:hint="eastAsia" w:cs="宋体" w:asciiTheme="minorEastAsia" w:hAnsiTheme="minorEastAsia"/>
                <w:color w:val="000000"/>
                <w:kern w:val="0"/>
                <w:szCs w:val="21"/>
                <w:lang w:val="zh-CN"/>
              </w:rPr>
              <w:instrText xml:space="preserve">eq \o\ac(□,</w:instrText>
            </w:r>
            <w:r>
              <w:rPr>
                <w:rFonts w:hint="eastAsia" w:cs="宋体" w:asciiTheme="minorEastAsia" w:hAnsiTheme="minorEastAsia"/>
                <w:color w:val="000000"/>
                <w:kern w:val="0"/>
                <w:position w:val="2"/>
                <w:szCs w:val="21"/>
                <w:lang w:val="zh-CN"/>
              </w:rPr>
              <w:instrText xml:space="preserve">√</w:instrText>
            </w:r>
            <w:r>
              <w:rPr>
                <w:rFonts w:hint="eastAsia" w:cs="宋体" w:asciiTheme="minorEastAsia" w:hAnsiTheme="minorEastAsia"/>
                <w:color w:val="000000"/>
                <w:kern w:val="0"/>
                <w:szCs w:val="21"/>
                <w:lang w:val="zh-CN"/>
              </w:rPr>
              <w:instrText xml:space="preserve">)</w:instrText>
            </w:r>
            <w:r>
              <w:rPr>
                <w:rFonts w:cs="宋体" w:asciiTheme="minorEastAsia" w:hAnsiTheme="minorEastAsia"/>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采购单位委派代表参加资格审查和评审委员会的，须向采购代理机构出具授权函。除授权代表外，采购单位委派纪检监察人员对评标过程实施监督的须进入</w:t>
            </w:r>
            <w:r>
              <w:rPr>
                <w:rFonts w:hint="eastAsia" w:ascii="宋体" w:hAnsi="宋体" w:cs="仿宋_GB2312"/>
                <w:szCs w:val="21"/>
                <w:lang w:val="zh-CN"/>
              </w:rPr>
              <w:t>建安区公共资源交易中心四楼电子监督室</w:t>
            </w:r>
            <w:r>
              <w:rPr>
                <w:rFonts w:hint="eastAsia" w:cs="仿宋_GB2312" w:asciiTheme="minorEastAsia" w:hAnsiTheme="minorEastAsia"/>
                <w:szCs w:val="21"/>
                <w:lang w:val="zh-CN"/>
              </w:rPr>
              <w:t>，并向采购代理机构出具授权函，且不得超过2人。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color w:val="000000"/>
                <w:kern w:val="0"/>
                <w:szCs w:val="21"/>
                <w:lang w:val="zh-CN"/>
              </w:rPr>
              <w:fldChar w:fldCharType="begin"/>
            </w:r>
            <w:r>
              <w:rPr>
                <w:rFonts w:cs="宋体" w:asciiTheme="minorEastAsia" w:hAnsiTheme="minorEastAsia"/>
                <w:color w:val="000000"/>
                <w:kern w:val="0"/>
                <w:szCs w:val="21"/>
                <w:lang w:val="zh-CN"/>
              </w:rPr>
              <w:instrText xml:space="preserve"> </w:instrText>
            </w:r>
            <w:r>
              <w:rPr>
                <w:rFonts w:hint="eastAsia" w:cs="宋体" w:asciiTheme="minorEastAsia" w:hAnsiTheme="minorEastAsia"/>
                <w:color w:val="000000"/>
                <w:kern w:val="0"/>
                <w:szCs w:val="21"/>
                <w:lang w:val="zh-CN"/>
              </w:rPr>
              <w:instrText xml:space="preserve">eq \o\ac(□,</w:instrText>
            </w:r>
            <w:r>
              <w:rPr>
                <w:rFonts w:hint="eastAsia" w:cs="宋体" w:asciiTheme="minorEastAsia" w:hAnsiTheme="minorEastAsia"/>
                <w:color w:val="000000"/>
                <w:kern w:val="0"/>
                <w:position w:val="2"/>
                <w:szCs w:val="21"/>
                <w:lang w:val="zh-CN"/>
              </w:rPr>
              <w:instrText xml:space="preserve">√</w:instrText>
            </w:r>
            <w:r>
              <w:rPr>
                <w:rFonts w:hint="eastAsia" w:cs="宋体" w:asciiTheme="minorEastAsia" w:hAnsiTheme="minorEastAsia"/>
                <w:color w:val="000000"/>
                <w:kern w:val="0"/>
                <w:szCs w:val="21"/>
                <w:lang w:val="zh-CN"/>
              </w:rPr>
              <w:instrText xml:space="preserve">)</w:instrText>
            </w:r>
            <w:r>
              <w:rPr>
                <w:rFonts w:cs="宋体" w:asciiTheme="minorEastAsia" w:hAnsiTheme="minorEastAsia"/>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w:t>
            </w:r>
            <w:r>
              <w:rPr>
                <w:rFonts w:hint="eastAsia" w:cs="宋体" w:asciiTheme="minorEastAsia" w:hAnsiTheme="minorEastAsia"/>
                <w:color w:val="333333"/>
                <w:szCs w:val="21"/>
              </w:rPr>
              <w:t>要求提交。履约保证金的数额为合同金额的</w:t>
            </w:r>
            <w:r>
              <w:rPr>
                <w:rFonts w:hint="eastAsia" w:cs="宋体" w:asciiTheme="minorEastAsia" w:hAnsiTheme="minorEastAsia"/>
                <w:color w:val="333333"/>
                <w:szCs w:val="21"/>
                <w:u w:val="single"/>
              </w:rPr>
              <w:t xml:space="preserve">   </w:t>
            </w:r>
            <w:r>
              <w:rPr>
                <w:rFonts w:hint="eastAsia" w:cs="宋体" w:asciiTheme="minorEastAsia" w:hAnsiTheme="minorEastAsia"/>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color w:val="000000"/>
                <w:kern w:val="0"/>
                <w:szCs w:val="21"/>
                <w:lang w:val="zh-CN"/>
              </w:rPr>
              <w:fldChar w:fldCharType="begin"/>
            </w:r>
            <w:r>
              <w:rPr>
                <w:rFonts w:cs="宋体" w:asciiTheme="minorEastAsia" w:hAnsiTheme="minorEastAsia"/>
                <w:color w:val="000000"/>
                <w:kern w:val="0"/>
                <w:szCs w:val="21"/>
                <w:lang w:val="zh-CN"/>
              </w:rPr>
              <w:instrText xml:space="preserve"> </w:instrText>
            </w:r>
            <w:r>
              <w:rPr>
                <w:rFonts w:hint="eastAsia" w:cs="宋体" w:asciiTheme="minorEastAsia" w:hAnsiTheme="minorEastAsia"/>
                <w:color w:val="000000"/>
                <w:kern w:val="0"/>
                <w:szCs w:val="21"/>
                <w:lang w:val="zh-CN"/>
              </w:rPr>
              <w:instrText xml:space="preserve">eq \o\ac(□)</w:instrText>
            </w:r>
            <w:r>
              <w:rPr>
                <w:rFonts w:cs="宋体" w:asciiTheme="minorEastAsia" w:hAnsiTheme="minorEastAsia"/>
                <w:color w:val="000000"/>
                <w:kern w:val="0"/>
                <w:szCs w:val="21"/>
                <w:lang w:val="zh-CN"/>
              </w:rPr>
              <w:fldChar w:fldCharType="end"/>
            </w:r>
            <w:r>
              <w:rPr>
                <w:rFonts w:hint="eastAsia" w:cs="宋体" w:asciiTheme="minorEastAsia" w:hAnsiTheme="minorEastAsia"/>
                <w:bCs/>
                <w:szCs w:val="21"/>
                <w:lang w:val="zh-CN"/>
              </w:rPr>
              <w:t>不收取</w:t>
            </w:r>
          </w:p>
          <w:p>
            <w:pPr>
              <w:autoSpaceDE w:val="0"/>
              <w:autoSpaceDN w:val="0"/>
              <w:spacing w:line="360" w:lineRule="auto"/>
              <w:contextualSpacing/>
              <w:rPr>
                <w:rFonts w:cs="宋体" w:asciiTheme="minorEastAsia" w:hAnsiTheme="minorEastAsia"/>
                <w:bCs/>
                <w:szCs w:val="21"/>
                <w:lang w:val="zh-CN"/>
              </w:rPr>
            </w:pPr>
            <w:r>
              <w:rPr>
                <w:rFonts w:hint="eastAsia" w:cs="宋体" w:asciiTheme="minorEastAsia" w:hAnsiTheme="minorEastAsia"/>
                <w:bCs/>
                <w:szCs w:val="21"/>
                <w:lang w:val="zh-CN"/>
              </w:rPr>
              <w:sym w:font="Wingdings 2" w:char="0052"/>
            </w:r>
            <w:r>
              <w:rPr>
                <w:rFonts w:hint="eastAsia" w:cs="宋体" w:asciiTheme="minorEastAsia" w:hAnsiTheme="minorEastAsia"/>
                <w:bCs/>
                <w:szCs w:val="21"/>
                <w:lang w:val="zh-CN"/>
              </w:rPr>
              <w:t>收取中标人。□收取采购人。</w:t>
            </w:r>
            <w:r>
              <w:rPr>
                <w:rFonts w:hint="eastAsia" w:cs="宋体" w:asciiTheme="minorEastAsia" w:hAnsiTheme="minorEastAsia"/>
                <w:color w:val="333333"/>
                <w:szCs w:val="21"/>
              </w:rPr>
              <w:t>收取标准:中标合同金额的</w:t>
            </w:r>
            <w:r>
              <w:rPr>
                <w:rFonts w:hint="eastAsia" w:cs="宋体" w:asciiTheme="minorEastAsia" w:hAnsiTheme="minorEastAsia"/>
                <w:color w:val="333333"/>
                <w:szCs w:val="21"/>
                <w:u w:val="single"/>
              </w:rPr>
              <w:t xml:space="preserve">   </w:t>
            </w:r>
            <w:r>
              <w:rPr>
                <w:rFonts w:hint="eastAsia" w:cs="宋体" w:asciiTheme="minorEastAsia" w:hAnsiTheme="minorEastAsia"/>
                <w:color w:val="333333"/>
                <w:szCs w:val="21"/>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中标人在接到中标通知时，须向代理机构发送投标报价及分项报价一览表（包含主要中标标的的名称、规格型号、数量、单价、服务要求等）电子文档，并同时通知代理机构联系人，电话:0374-51</w:t>
            </w:r>
            <w:r>
              <w:rPr>
                <w:rFonts w:hint="eastAsia" w:ascii="宋体" w:hAnsi="宋体" w:cs="宋体"/>
                <w:bCs/>
                <w:szCs w:val="21"/>
                <w:lang w:val="en-US" w:eastAsia="zh-CN"/>
              </w:rPr>
              <w:t>50092</w:t>
            </w:r>
            <w:r>
              <w:rPr>
                <w:rFonts w:hint="eastAsia" w:ascii="宋体" w:hAnsi="宋体" w:cs="宋体"/>
                <w:bCs/>
                <w:szCs w:val="21"/>
                <w:lang w:val="zh-CN"/>
              </w:rPr>
              <w:t>,邮箱：hndb3067@163.com。</w:t>
            </w:r>
            <w:r>
              <w:rPr>
                <w:rFonts w:ascii="宋体" w:hAnsi="宋体" w:cs="宋体"/>
                <w:bCs/>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color w:val="000000"/>
                <w:kern w:val="0"/>
                <w:szCs w:val="21"/>
                <w:lang w:val="zh-CN"/>
              </w:rPr>
              <w:fldChar w:fldCharType="begin"/>
            </w:r>
            <w:r>
              <w:rPr>
                <w:rFonts w:cs="宋体" w:asciiTheme="minorEastAsia" w:hAnsiTheme="minorEastAsia"/>
                <w:color w:val="000000"/>
                <w:kern w:val="0"/>
                <w:szCs w:val="21"/>
                <w:lang w:val="zh-CN"/>
              </w:rPr>
              <w:instrText xml:space="preserve"> </w:instrText>
            </w:r>
            <w:r>
              <w:rPr>
                <w:rFonts w:hint="eastAsia" w:cs="宋体" w:asciiTheme="minorEastAsia" w:hAnsiTheme="minorEastAsia"/>
                <w:color w:val="000000"/>
                <w:kern w:val="0"/>
                <w:szCs w:val="21"/>
                <w:lang w:val="zh-CN"/>
              </w:rPr>
              <w:instrText xml:space="preserve">eq \o\ac(□,</w:instrText>
            </w:r>
            <w:r>
              <w:rPr>
                <w:rFonts w:hint="eastAsia" w:cs="宋体" w:asciiTheme="minorEastAsia" w:hAnsiTheme="minorEastAsia"/>
                <w:color w:val="000000"/>
                <w:kern w:val="0"/>
                <w:position w:val="2"/>
                <w:szCs w:val="21"/>
                <w:lang w:val="zh-CN"/>
              </w:rPr>
              <w:instrText xml:space="preserve">√</w:instrText>
            </w:r>
            <w:r>
              <w:rPr>
                <w:rFonts w:hint="eastAsia" w:cs="宋体" w:asciiTheme="minorEastAsia" w:hAnsiTheme="minorEastAsia"/>
                <w:color w:val="000000"/>
                <w:kern w:val="0"/>
                <w:szCs w:val="21"/>
                <w:lang w:val="zh-CN"/>
              </w:rPr>
              <w:instrText xml:space="preserve">)</w:instrText>
            </w:r>
            <w:r>
              <w:rPr>
                <w:rFonts w:cs="宋体" w:asciiTheme="minorEastAsia" w:hAnsiTheme="minorEastAsia"/>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投标人投标时须提供加密电子投标文件、备份文件（使用电子介质存储）、纸质投标文件。投标人资质、业绩、荣誉及相关人员证明材料等资料原件开标现场须提供。</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kern w:val="0"/>
          <w:sz w:val="36"/>
          <w:szCs w:val="36"/>
        </w:rPr>
      </w:pPr>
    </w:p>
    <w:p>
      <w:pPr>
        <w:tabs>
          <w:tab w:val="left" w:pos="1260"/>
        </w:tabs>
        <w:autoSpaceDE w:val="0"/>
        <w:autoSpaceDN w:val="0"/>
        <w:adjustRightInd w:val="0"/>
        <w:spacing w:line="360" w:lineRule="auto"/>
        <w:contextualSpacing/>
        <w:rPr>
          <w:rFonts w:ascii="宋体" w:hAnsi="宋体" w:cs="宋体"/>
          <w:kern w:val="0"/>
          <w:sz w:val="32"/>
          <w:szCs w:val="32"/>
        </w:rPr>
      </w:pPr>
    </w:p>
    <w:p>
      <w:pPr>
        <w:tabs>
          <w:tab w:val="left" w:pos="1260"/>
        </w:tabs>
        <w:autoSpaceDE w:val="0"/>
        <w:autoSpaceDN w:val="0"/>
        <w:adjustRightInd w:val="0"/>
        <w:spacing w:line="360" w:lineRule="auto"/>
        <w:contextualSpacing/>
        <w:rPr>
          <w:rFonts w:ascii="宋体" w:hAnsi="宋体" w:cs="宋体"/>
          <w:kern w:val="0"/>
          <w:sz w:val="32"/>
          <w:szCs w:val="32"/>
        </w:rPr>
      </w:pPr>
    </w:p>
    <w:p>
      <w:pPr>
        <w:tabs>
          <w:tab w:val="left" w:pos="1260"/>
        </w:tabs>
        <w:autoSpaceDE w:val="0"/>
        <w:autoSpaceDN w:val="0"/>
        <w:adjustRightInd w:val="0"/>
        <w:spacing w:line="360" w:lineRule="auto"/>
        <w:contextualSpacing/>
        <w:rPr>
          <w:rFonts w:ascii="宋体" w:hAnsi="宋体" w:cs="宋体"/>
          <w:kern w:val="0"/>
          <w:sz w:val="32"/>
          <w:szCs w:val="32"/>
        </w:rPr>
      </w:pPr>
    </w:p>
    <w:p>
      <w:pPr>
        <w:pStyle w:val="2"/>
        <w:rPr>
          <w:rFonts w:ascii="宋体" w:hAnsi="宋体" w:cs="宋体"/>
          <w:kern w:val="0"/>
          <w:sz w:val="32"/>
          <w:szCs w:val="32"/>
        </w:rPr>
      </w:pPr>
    </w:p>
    <w:p>
      <w:pPr>
        <w:pStyle w:val="2"/>
        <w:rPr>
          <w:rFonts w:ascii="宋体" w:hAnsi="宋体" w:cs="宋体"/>
          <w:kern w:val="0"/>
          <w:sz w:val="32"/>
          <w:szCs w:val="32"/>
        </w:rPr>
      </w:pPr>
    </w:p>
    <w:p>
      <w:pPr>
        <w:pStyle w:val="2"/>
        <w:rPr>
          <w:rFonts w:ascii="宋体" w:hAnsi="宋体" w:cs="宋体"/>
          <w:kern w:val="0"/>
          <w:sz w:val="32"/>
          <w:szCs w:val="32"/>
        </w:rPr>
      </w:pPr>
    </w:p>
    <w:p>
      <w:pPr>
        <w:pStyle w:val="2"/>
        <w:rPr>
          <w:rFonts w:ascii="宋体" w:hAnsi="宋体" w:cs="宋体"/>
          <w:kern w:val="0"/>
          <w:sz w:val="32"/>
          <w:szCs w:val="32"/>
        </w:rPr>
      </w:pPr>
    </w:p>
    <w:p>
      <w:pPr>
        <w:pStyle w:val="2"/>
        <w:rPr>
          <w:rFonts w:ascii="宋体" w:hAnsi="宋体" w:cs="宋体"/>
          <w:kern w:val="0"/>
          <w:sz w:val="32"/>
          <w:szCs w:val="32"/>
        </w:rPr>
      </w:pPr>
    </w:p>
    <w:p>
      <w:pPr>
        <w:tabs>
          <w:tab w:val="left" w:pos="1260"/>
        </w:tabs>
        <w:autoSpaceDE w:val="0"/>
        <w:autoSpaceDN w:val="0"/>
        <w:adjustRightInd w:val="0"/>
        <w:spacing w:line="360" w:lineRule="auto"/>
        <w:contextualSpacing/>
        <w:jc w:val="center"/>
        <w:rPr>
          <w:rFonts w:ascii="宋体" w:hAnsi="宋体" w:cs="宋体"/>
          <w:kern w:val="0"/>
          <w:sz w:val="28"/>
          <w:szCs w:val="28"/>
        </w:rPr>
      </w:pPr>
      <w:r>
        <w:rPr>
          <w:rFonts w:hint="eastAsia" w:ascii="宋体" w:hAnsi="宋体" w:cs="宋体"/>
          <w:kern w:val="0"/>
          <w:sz w:val="32"/>
          <w:szCs w:val="32"/>
        </w:rPr>
        <w:t>第四章 投标人须知</w:t>
      </w:r>
    </w:p>
    <w:p>
      <w:pPr>
        <w:tabs>
          <w:tab w:val="left" w:pos="1260"/>
        </w:tabs>
        <w:autoSpaceDE w:val="0"/>
        <w:autoSpaceDN w:val="0"/>
        <w:adjustRightInd w:val="0"/>
        <w:spacing w:line="360" w:lineRule="auto"/>
        <w:contextualSpacing/>
        <w:jc w:val="center"/>
        <w:rPr>
          <w:rFonts w:ascii="宋体" w:hAnsi="宋体" w:cs="宋体"/>
          <w:kern w:val="0"/>
          <w:szCs w:val="21"/>
        </w:rPr>
      </w:pPr>
      <w:r>
        <w:rPr>
          <w:rFonts w:hint="eastAsia" w:ascii="宋体" w:hAnsi="宋体" w:cs="宋体"/>
          <w:kern w:val="0"/>
          <w:szCs w:val="21"/>
        </w:rPr>
        <w:t>一、概念释义</w:t>
      </w:r>
    </w:p>
    <w:p>
      <w:pPr>
        <w:pStyle w:val="37"/>
        <w:numPr>
          <w:ilvl w:val="0"/>
          <w:numId w:val="0"/>
        </w:numPr>
        <w:autoSpaceDE w:val="0"/>
        <w:autoSpaceDN w:val="0"/>
        <w:spacing w:line="360" w:lineRule="auto"/>
        <w:ind w:leftChars="0" w:firstLine="420" w:firstLineChars="200"/>
        <w:contextualSpacing/>
        <w:rPr>
          <w:rFonts w:ascii="宋体" w:hAnsi="宋体" w:cs="宋体"/>
          <w:kern w:val="0"/>
          <w:szCs w:val="21"/>
        </w:rPr>
      </w:pPr>
      <w:r>
        <w:rPr>
          <w:rFonts w:hint="eastAsia" w:ascii="宋体" w:hAnsi="宋体" w:cs="宋体"/>
          <w:kern w:val="0"/>
          <w:szCs w:val="21"/>
          <w:lang w:val="en-US" w:eastAsia="zh-CN"/>
        </w:rPr>
        <w:t>1.</w:t>
      </w:r>
      <w:r>
        <w:rPr>
          <w:rFonts w:hint="eastAsia" w:ascii="宋体" w:hAnsi="宋体" w:cs="宋体"/>
          <w:kern w:val="0"/>
          <w:szCs w:val="21"/>
        </w:rPr>
        <w:t>适用范围</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1.1</w:t>
      </w:r>
      <w:r>
        <w:rPr>
          <w:rFonts w:hint="eastAsia" w:ascii="宋体" w:hAnsi="宋体" w:cs="宋体"/>
          <w:kern w:val="0"/>
          <w:szCs w:val="21"/>
        </w:rPr>
        <w:t>本招标文件仅适用于本次“投标邀请”中所述采购项目。</w:t>
      </w:r>
    </w:p>
    <w:p>
      <w:pPr>
        <w:pStyle w:val="37"/>
        <w:numPr>
          <w:ilvl w:val="0"/>
          <w:numId w:val="0"/>
        </w:numPr>
        <w:autoSpaceDE w:val="0"/>
        <w:autoSpaceDN w:val="0"/>
        <w:spacing w:line="360" w:lineRule="auto"/>
        <w:ind w:left="420" w:leftChars="0"/>
        <w:contextualSpacing/>
        <w:rPr>
          <w:rFonts w:ascii="宋体" w:hAnsi="宋体" w:cs="宋体"/>
          <w:kern w:val="0"/>
          <w:szCs w:val="21"/>
        </w:rPr>
      </w:pPr>
      <w:r>
        <w:rPr>
          <w:rFonts w:hint="eastAsia" w:ascii="宋体" w:hAnsi="宋体" w:cs="宋体"/>
          <w:kern w:val="0"/>
          <w:szCs w:val="21"/>
          <w:lang w:val="en-US" w:eastAsia="zh-CN"/>
        </w:rPr>
        <w:t>1.2</w:t>
      </w:r>
      <w:r>
        <w:rPr>
          <w:rFonts w:hint="eastAsia" w:ascii="宋体" w:hAnsi="宋体" w:cs="宋体"/>
          <w:kern w:val="0"/>
          <w:szCs w:val="21"/>
        </w:rPr>
        <w:t>本招标文件解释权属于“投标邀请”所述的采购人。</w:t>
      </w:r>
    </w:p>
    <w:p>
      <w:pPr>
        <w:pStyle w:val="37"/>
        <w:numPr>
          <w:ilvl w:val="0"/>
          <w:numId w:val="0"/>
        </w:numPr>
        <w:autoSpaceDE w:val="0"/>
        <w:autoSpaceDN w:val="0"/>
        <w:spacing w:line="360" w:lineRule="auto"/>
        <w:ind w:leftChars="0" w:firstLine="420" w:firstLineChars="200"/>
        <w:contextualSpacing/>
        <w:rPr>
          <w:rFonts w:ascii="宋体" w:hAnsi="宋体" w:cs="宋体"/>
          <w:kern w:val="0"/>
          <w:szCs w:val="21"/>
        </w:rPr>
      </w:pPr>
      <w:r>
        <w:rPr>
          <w:rFonts w:hint="eastAsia" w:ascii="宋体" w:hAnsi="宋体" w:cs="宋体"/>
          <w:kern w:val="0"/>
          <w:szCs w:val="21"/>
          <w:lang w:val="en-US" w:eastAsia="zh-CN"/>
        </w:rPr>
        <w:t>2.</w:t>
      </w:r>
      <w:r>
        <w:rPr>
          <w:rFonts w:hint="eastAsia" w:ascii="宋体" w:hAnsi="宋体" w:cs="宋体"/>
          <w:kern w:val="0"/>
          <w:szCs w:val="21"/>
        </w:rPr>
        <w:t>定义</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2.1</w:t>
      </w:r>
      <w:r>
        <w:rPr>
          <w:rFonts w:hint="eastAsia" w:ascii="宋体" w:hAnsi="宋体" w:cs="宋体"/>
          <w:kern w:val="0"/>
          <w:szCs w:val="21"/>
        </w:rPr>
        <w:t>“采购项目”：“投标人须知前附表”中所述的采购项目。</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2.2</w:t>
      </w:r>
      <w:r>
        <w:rPr>
          <w:rFonts w:hint="eastAsia" w:ascii="宋体" w:hAnsi="宋体" w:cs="宋体"/>
          <w:kern w:val="0"/>
          <w:szCs w:val="21"/>
        </w:rPr>
        <w:t>“招标人”：“投标人须知前附表”中所述的组织本次招标的代理机构和采购人。</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2.3</w:t>
      </w:r>
      <w:r>
        <w:rPr>
          <w:rFonts w:hint="eastAsia" w:ascii="宋体" w:hAnsi="宋体" w:cs="宋体"/>
          <w:kern w:val="0"/>
          <w:szCs w:val="21"/>
        </w:rPr>
        <w:t>“采购人”：是指依法进行政府采购的国家机关、事业单位、团体组织。采购人名称、地</w:t>
      </w:r>
    </w:p>
    <w:p>
      <w:pPr>
        <w:pStyle w:val="37"/>
        <w:numPr>
          <w:ilvl w:val="0"/>
          <w:numId w:val="0"/>
        </w:numPr>
        <w:autoSpaceDE w:val="0"/>
        <w:autoSpaceDN w:val="0"/>
        <w:spacing w:line="360" w:lineRule="auto"/>
        <w:contextualSpacing/>
        <w:rPr>
          <w:rFonts w:hint="eastAsia" w:ascii="宋体" w:hAnsi="宋体" w:cs="宋体"/>
          <w:kern w:val="0"/>
          <w:szCs w:val="21"/>
        </w:rPr>
      </w:pPr>
      <w:r>
        <w:rPr>
          <w:rFonts w:hint="eastAsia" w:ascii="宋体" w:hAnsi="宋体" w:cs="宋体"/>
          <w:kern w:val="0"/>
          <w:szCs w:val="21"/>
        </w:rPr>
        <w:t>址、电话、联系人见“投标人须知前附表”。</w:t>
      </w:r>
    </w:p>
    <w:p>
      <w:pPr>
        <w:pStyle w:val="37"/>
        <w:numPr>
          <w:ilvl w:val="0"/>
          <w:numId w:val="0"/>
        </w:numPr>
        <w:autoSpaceDE w:val="0"/>
        <w:autoSpaceDN w:val="0"/>
        <w:spacing w:line="360" w:lineRule="auto"/>
        <w:ind w:firstLine="420" w:firstLineChars="200"/>
        <w:contextualSpacing/>
        <w:rPr>
          <w:rFonts w:hint="eastAsia" w:ascii="宋体" w:hAnsi="宋体" w:cs="宋体"/>
          <w:kern w:val="0"/>
          <w:szCs w:val="21"/>
        </w:rPr>
      </w:pPr>
      <w:r>
        <w:rPr>
          <w:rFonts w:hint="eastAsia" w:ascii="宋体" w:hAnsi="宋体" w:cs="宋体"/>
          <w:kern w:val="0"/>
          <w:szCs w:val="21"/>
          <w:lang w:val="en-US" w:eastAsia="zh-CN"/>
        </w:rPr>
        <w:t>2.4</w:t>
      </w:r>
      <w:r>
        <w:rPr>
          <w:rFonts w:hint="eastAsia" w:ascii="宋体" w:hAnsi="宋体" w:cs="宋体"/>
          <w:kern w:val="0"/>
          <w:szCs w:val="21"/>
        </w:rPr>
        <w:t>“代理机构”：接受采购人委托，代理采购项目的采购代理机构。代理机构名称、地址、 电话、联系人见“投标人须知前附表”。</w:t>
      </w:r>
    </w:p>
    <w:p>
      <w:pPr>
        <w:pStyle w:val="37"/>
        <w:numPr>
          <w:ilvl w:val="0"/>
          <w:numId w:val="0"/>
        </w:numPr>
        <w:autoSpaceDE w:val="0"/>
        <w:autoSpaceDN w:val="0"/>
        <w:spacing w:line="360" w:lineRule="auto"/>
        <w:ind w:firstLine="420" w:firstLineChars="200"/>
        <w:contextualSpacing/>
        <w:rPr>
          <w:rFonts w:hint="eastAsia" w:ascii="宋体" w:hAnsi="宋体" w:cs="宋体"/>
          <w:kern w:val="0"/>
          <w:szCs w:val="21"/>
        </w:rPr>
      </w:pPr>
      <w:r>
        <w:rPr>
          <w:rFonts w:hint="eastAsia" w:ascii="宋体" w:hAnsi="宋体" w:cs="宋体"/>
          <w:kern w:val="0"/>
          <w:szCs w:val="21"/>
        </w:rPr>
        <w:t>采购代理机构及其分支机构不得在所代理的采购项目中投标或者代理投标，不得为所代理的采购项目的投标人参加本项目提供投标咨询。</w:t>
      </w:r>
    </w:p>
    <w:p>
      <w:pPr>
        <w:pStyle w:val="37"/>
        <w:numPr>
          <w:ilvl w:val="0"/>
          <w:numId w:val="0"/>
        </w:numPr>
        <w:autoSpaceDE w:val="0"/>
        <w:autoSpaceDN w:val="0"/>
        <w:spacing w:line="360" w:lineRule="auto"/>
        <w:ind w:firstLine="420" w:firstLineChars="200"/>
        <w:contextualSpacing/>
        <w:rPr>
          <w:rFonts w:hint="eastAsia" w:ascii="宋体" w:hAnsi="宋体" w:cs="宋体"/>
          <w:kern w:val="0"/>
          <w:szCs w:val="21"/>
        </w:rPr>
      </w:pPr>
      <w:r>
        <w:rPr>
          <w:rFonts w:hint="eastAsia" w:ascii="宋体" w:hAnsi="宋体" w:cs="宋体"/>
          <w:kern w:val="0"/>
          <w:szCs w:val="21"/>
          <w:lang w:val="en-US" w:eastAsia="zh-CN"/>
        </w:rPr>
        <w:t>2.5</w:t>
      </w:r>
      <w:r>
        <w:rPr>
          <w:rFonts w:hint="eastAsia" w:ascii="宋体" w:hAnsi="宋体" w:cs="宋体"/>
          <w:kern w:val="0"/>
          <w:szCs w:val="21"/>
        </w:rPr>
        <w:t>“潜在投标人”指符合《中华人民共和国政府采购法》及相关法律法规和本招标文件的各项规定，且按照本项目招标公告及招标文件规定的方式获取招标文件的法人、其他组织或者自然人。</w:t>
      </w:r>
    </w:p>
    <w:p>
      <w:pPr>
        <w:pStyle w:val="37"/>
        <w:numPr>
          <w:ilvl w:val="0"/>
          <w:numId w:val="0"/>
        </w:numPr>
        <w:autoSpaceDE w:val="0"/>
        <w:autoSpaceDN w:val="0"/>
        <w:spacing w:line="360" w:lineRule="auto"/>
        <w:ind w:firstLine="420" w:firstLineChars="200"/>
        <w:contextualSpacing/>
        <w:rPr>
          <w:rFonts w:hint="eastAsia" w:ascii="宋体" w:hAnsi="宋体" w:cs="宋体"/>
          <w:kern w:val="0"/>
          <w:szCs w:val="21"/>
        </w:rPr>
      </w:pPr>
      <w:r>
        <w:rPr>
          <w:rFonts w:hint="eastAsia" w:ascii="宋体" w:hAnsi="宋体" w:cs="宋体"/>
          <w:kern w:val="0"/>
          <w:szCs w:val="21"/>
          <w:lang w:val="en-US" w:eastAsia="zh-CN"/>
        </w:rPr>
        <w:t>2.6</w:t>
      </w:r>
      <w:r>
        <w:rPr>
          <w:rFonts w:hint="eastAsia" w:ascii="宋体" w:hAnsi="宋体" w:cs="宋体"/>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7"/>
        <w:numPr>
          <w:ilvl w:val="0"/>
          <w:numId w:val="0"/>
        </w:numPr>
        <w:autoSpaceDE w:val="0"/>
        <w:autoSpaceDN w:val="0"/>
        <w:spacing w:line="360" w:lineRule="auto"/>
        <w:ind w:firstLine="420" w:firstLineChars="200"/>
        <w:contextualSpacing/>
        <w:rPr>
          <w:rFonts w:hint="eastAsia" w:ascii="宋体" w:hAnsi="宋体" w:cs="宋体"/>
          <w:kern w:val="0"/>
          <w:szCs w:val="21"/>
        </w:rPr>
      </w:pPr>
      <w:r>
        <w:rPr>
          <w:rFonts w:hint="eastAsia" w:ascii="宋体" w:hAnsi="宋体" w:cs="宋体"/>
          <w:kern w:val="0"/>
          <w:szCs w:val="21"/>
          <w:lang w:val="en-US" w:eastAsia="zh-CN"/>
        </w:rPr>
        <w:t>2.7</w:t>
      </w:r>
      <w:r>
        <w:rPr>
          <w:rFonts w:hint="eastAsia" w:ascii="宋体" w:hAnsi="宋体" w:cs="宋体"/>
          <w:kern w:val="0"/>
          <w:szCs w:val="21"/>
        </w:rPr>
        <w:t>“节能产品”或者“环保产品”：财政部发布的《节能产品政府采购清单》或者《环境标志产品政府采购清单》的产品。</w:t>
      </w:r>
    </w:p>
    <w:p>
      <w:pPr>
        <w:pStyle w:val="37"/>
        <w:numPr>
          <w:ilvl w:val="0"/>
          <w:numId w:val="0"/>
        </w:numPr>
        <w:autoSpaceDE w:val="0"/>
        <w:autoSpaceDN w:val="0"/>
        <w:spacing w:line="360" w:lineRule="auto"/>
        <w:ind w:firstLine="420" w:firstLineChars="200"/>
        <w:contextualSpacing/>
        <w:rPr>
          <w:rFonts w:hint="eastAsia" w:ascii="宋体" w:hAnsi="宋体" w:cs="宋体"/>
          <w:kern w:val="0"/>
          <w:szCs w:val="21"/>
        </w:rPr>
      </w:pPr>
      <w:r>
        <w:rPr>
          <w:rFonts w:hint="eastAsia" w:ascii="宋体" w:hAnsi="宋体" w:cs="宋体"/>
          <w:kern w:val="0"/>
          <w:szCs w:val="21"/>
          <w:lang w:val="en-US" w:eastAsia="zh-CN"/>
        </w:rPr>
        <w:t>2.8</w:t>
      </w:r>
      <w:r>
        <w:rPr>
          <w:rFonts w:hint="eastAsia" w:ascii="宋体" w:hAnsi="宋体" w:cs="宋体"/>
          <w:kern w:val="0"/>
          <w:szCs w:val="21"/>
        </w:rPr>
        <w:t>“进口产品”：是指通过中国海关报关验放进入中国境内且产自关境外的产品，包括已经进入中国境内的进口产品。详见《</w:t>
      </w:r>
      <w:r>
        <w:rPr>
          <w:rFonts w:ascii="宋体" w:hAnsi="宋体" w:cs="宋体"/>
          <w:kern w:val="0"/>
          <w:szCs w:val="21"/>
        </w:rPr>
        <w:t>关于政府采购进口产品管理有关问题的通知</w:t>
      </w:r>
      <w:r>
        <w:rPr>
          <w:rFonts w:hint="eastAsia" w:ascii="宋体" w:hAnsi="宋体" w:cs="宋体"/>
          <w:kern w:val="0"/>
          <w:szCs w:val="21"/>
        </w:rPr>
        <w:t>》(财库[2007]119号)、《关于政府采购进口产品管理有关问题的通知》（财办库［</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 xml:space="preserve">248 </w:t>
      </w:r>
      <w:r>
        <w:rPr>
          <w:rFonts w:hint="eastAsia" w:ascii="宋体" w:hAnsi="宋体" w:cs="宋体"/>
          <w:kern w:val="0"/>
          <w:szCs w:val="21"/>
        </w:rPr>
        <w:t>号）。</w:t>
      </w:r>
    </w:p>
    <w:p>
      <w:pPr>
        <w:pStyle w:val="37"/>
        <w:numPr>
          <w:ilvl w:val="0"/>
          <w:numId w:val="0"/>
        </w:num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lang w:val="en-US" w:eastAsia="zh-CN"/>
        </w:rPr>
        <w:t>2.8.1</w:t>
      </w:r>
      <w:r>
        <w:rPr>
          <w:rFonts w:ascii="宋体" w:hAnsi="宋体" w:cs="宋体"/>
          <w:kern w:val="0"/>
          <w:szCs w:val="21"/>
        </w:rPr>
        <w:t>招标文件列明不允许或未列明允许进口产品参加投标的，均视为拒绝进口产品参加投标。</w:t>
      </w:r>
    </w:p>
    <w:p>
      <w:pPr>
        <w:pStyle w:val="37"/>
        <w:numPr>
          <w:ilvl w:val="0"/>
          <w:numId w:val="0"/>
        </w:num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lang w:val="en-US" w:eastAsia="zh-CN"/>
        </w:rPr>
        <w:t>2.8.2</w:t>
      </w:r>
      <w:r>
        <w:rPr>
          <w:rFonts w:ascii="宋体" w:hAnsi="宋体" w:cs="宋体"/>
          <w:kern w:val="0"/>
          <w:szCs w:val="21"/>
        </w:rPr>
        <w:t>如</w:t>
      </w:r>
      <w:r>
        <w:rPr>
          <w:rFonts w:hint="eastAsia" w:ascii="宋体" w:hAnsi="宋体" w:cs="宋体"/>
          <w:kern w:val="0"/>
          <w:szCs w:val="21"/>
        </w:rPr>
        <w:t>招标</w:t>
      </w:r>
      <w:r>
        <w:rPr>
          <w:rFonts w:ascii="宋体" w:hAnsi="宋体" w:cs="宋体"/>
          <w:kern w:val="0"/>
          <w:szCs w:val="21"/>
        </w:rPr>
        <w:t>文件中已说明，经财政部门审核同意，允许部分或全部产品采购进口产品，投标人既可提供本国产品，也可以提供进口产品。</w:t>
      </w:r>
    </w:p>
    <w:p>
      <w:pPr>
        <w:pStyle w:val="37"/>
        <w:numPr>
          <w:ilvl w:val="0"/>
          <w:numId w:val="0"/>
        </w:numPr>
        <w:autoSpaceDE w:val="0"/>
        <w:autoSpaceDN w:val="0"/>
        <w:spacing w:line="360" w:lineRule="auto"/>
        <w:ind w:firstLine="420" w:firstLineChars="200"/>
        <w:contextualSpacing/>
        <w:rPr>
          <w:rFonts w:hint="eastAsia" w:ascii="宋体" w:hAnsi="宋体" w:cs="宋体"/>
          <w:kern w:val="0"/>
          <w:szCs w:val="21"/>
        </w:rPr>
      </w:pPr>
      <w:r>
        <w:rPr>
          <w:rFonts w:hint="eastAsia" w:ascii="宋体" w:hAnsi="宋体" w:cs="宋体"/>
          <w:kern w:val="0"/>
          <w:szCs w:val="21"/>
          <w:lang w:val="en-US" w:eastAsia="zh-CN"/>
        </w:rPr>
        <w:t>2.9</w:t>
      </w:r>
      <w:r>
        <w:rPr>
          <w:rFonts w:hint="eastAsia" w:ascii="宋体" w:hAnsi="宋体" w:cs="宋体"/>
          <w:kern w:val="0"/>
          <w:szCs w:val="21"/>
        </w:rPr>
        <w:t>招标文件中凡标有“★”的条款均系实质性要求条款。</w:t>
      </w:r>
    </w:p>
    <w:p>
      <w:pPr>
        <w:pStyle w:val="37"/>
        <w:numPr>
          <w:ilvl w:val="0"/>
          <w:numId w:val="0"/>
        </w:numPr>
        <w:autoSpaceDE w:val="0"/>
        <w:autoSpaceDN w:val="0"/>
        <w:spacing w:line="360" w:lineRule="auto"/>
        <w:ind w:leftChars="0" w:firstLine="420" w:firstLineChars="200"/>
        <w:contextualSpacing/>
        <w:rPr>
          <w:rFonts w:hint="eastAsia" w:ascii="宋体" w:hAnsi="宋体" w:cs="宋体"/>
          <w:kern w:val="0"/>
          <w:szCs w:val="21"/>
        </w:rPr>
      </w:pPr>
      <w:r>
        <w:rPr>
          <w:rFonts w:hint="eastAsia" w:ascii="宋体" w:hAnsi="宋体" w:cs="宋体"/>
          <w:kern w:val="0"/>
          <w:szCs w:val="21"/>
          <w:lang w:val="en-US" w:eastAsia="zh-CN"/>
        </w:rPr>
        <w:t>3.</w:t>
      </w:r>
      <w:r>
        <w:rPr>
          <w:rFonts w:hint="eastAsia" w:ascii="宋体" w:hAnsi="宋体" w:cs="宋体"/>
          <w:kern w:val="0"/>
          <w:szCs w:val="21"/>
        </w:rPr>
        <w:t>合格的投标人</w:t>
      </w:r>
    </w:p>
    <w:p>
      <w:pPr>
        <w:pStyle w:val="37"/>
        <w:numPr>
          <w:ilvl w:val="0"/>
          <w:numId w:val="0"/>
        </w:numPr>
        <w:autoSpaceDE w:val="0"/>
        <w:autoSpaceDN w:val="0"/>
        <w:spacing w:line="360" w:lineRule="auto"/>
        <w:ind w:leftChars="0" w:firstLine="420" w:firstLineChars="200"/>
        <w:contextualSpacing/>
        <w:rPr>
          <w:rFonts w:hint="eastAsia" w:ascii="宋体" w:hAnsi="宋体" w:cs="宋体"/>
          <w:kern w:val="0"/>
          <w:szCs w:val="21"/>
        </w:rPr>
      </w:pPr>
      <w:r>
        <w:rPr>
          <w:rFonts w:hint="eastAsia" w:ascii="宋体" w:hAnsi="宋体" w:cs="宋体"/>
          <w:kern w:val="0"/>
          <w:szCs w:val="21"/>
          <w:lang w:val="en-US" w:eastAsia="zh-CN"/>
        </w:rPr>
        <w:t>3.1</w:t>
      </w:r>
      <w:r>
        <w:rPr>
          <w:rFonts w:hint="eastAsia" w:ascii="宋体" w:hAnsi="宋体" w:cs="宋体"/>
          <w:kern w:val="0"/>
          <w:szCs w:val="21"/>
        </w:rPr>
        <w:t>在中华人民共和国境内注册，具有本项目生产、制造、供应或实施能力，符合、承认并承诺履行本招标文件各项规定的法人、其他组织或者自然人。</w:t>
      </w:r>
    </w:p>
    <w:p>
      <w:pPr>
        <w:pStyle w:val="37"/>
        <w:numPr>
          <w:ilvl w:val="0"/>
          <w:numId w:val="0"/>
        </w:numPr>
        <w:autoSpaceDE w:val="0"/>
        <w:autoSpaceDN w:val="0"/>
        <w:spacing w:line="360" w:lineRule="auto"/>
        <w:ind w:leftChars="0" w:firstLine="420" w:firstLineChars="200"/>
        <w:contextualSpacing/>
        <w:rPr>
          <w:rFonts w:hint="eastAsia" w:ascii="宋体" w:hAnsi="宋体" w:cs="宋体"/>
          <w:kern w:val="0"/>
          <w:szCs w:val="21"/>
        </w:rPr>
      </w:pPr>
      <w:r>
        <w:rPr>
          <w:rFonts w:hint="eastAsia" w:ascii="宋体" w:hAnsi="宋体" w:cs="宋体"/>
          <w:kern w:val="0"/>
          <w:szCs w:val="21"/>
          <w:lang w:val="en-US" w:eastAsia="zh-CN"/>
        </w:rPr>
        <w:t>3.2</w:t>
      </w:r>
      <w:r>
        <w:rPr>
          <w:rFonts w:hint="eastAsia" w:ascii="宋体" w:hAnsi="宋体" w:cs="宋体"/>
          <w:kern w:val="0"/>
          <w:szCs w:val="21"/>
        </w:rPr>
        <w:t>符合本项目“投标邀请”和“投标人须知前附表”中规定的合格投标人所必须具备的条件。</w:t>
      </w:r>
    </w:p>
    <w:p>
      <w:pPr>
        <w:pStyle w:val="37"/>
        <w:numPr>
          <w:ilvl w:val="0"/>
          <w:numId w:val="0"/>
        </w:numPr>
        <w:autoSpaceDE w:val="0"/>
        <w:autoSpaceDN w:val="0"/>
        <w:spacing w:line="360" w:lineRule="auto"/>
        <w:ind w:leftChars="0" w:firstLine="420" w:firstLineChars="200"/>
        <w:contextualSpacing/>
        <w:rPr>
          <w:rFonts w:hint="eastAsia" w:ascii="宋体" w:hAnsi="宋体" w:cs="宋体"/>
          <w:kern w:val="0"/>
          <w:szCs w:val="21"/>
        </w:rPr>
      </w:pPr>
      <w:r>
        <w:rPr>
          <w:rFonts w:hint="eastAsia" w:ascii="宋体" w:hAnsi="宋体" w:cs="宋体"/>
          <w:kern w:val="0"/>
          <w:szCs w:val="21"/>
          <w:lang w:val="en-US" w:eastAsia="zh-CN"/>
        </w:rPr>
        <w:t>3.3</w:t>
      </w:r>
      <w:r>
        <w:rPr>
          <w:rFonts w:hint="eastAsia" w:ascii="宋体" w:hAnsi="宋体" w:cs="宋体"/>
          <w:kern w:val="0"/>
          <w:szCs w:val="21"/>
        </w:rPr>
        <w:t>政府采购活动中查询及使用投标人信用记录的具体要求为：投标人未被列入失信被执行人、重大税收违法案件当事人名单、</w:t>
      </w:r>
      <w:r>
        <w:rPr>
          <w:rFonts w:ascii="宋体" w:hAnsi="宋体" w:cs="仿宋_GB2312"/>
          <w:color w:val="000000"/>
          <w:szCs w:val="21"/>
          <w:shd w:val="clear" w:color="auto" w:fill="FFFFFF"/>
        </w:rPr>
        <w:t>政府采购严重违法失信名单</w:t>
      </w:r>
      <w:r>
        <w:rPr>
          <w:rFonts w:hint="eastAsia" w:ascii="宋体" w:hAnsi="宋体" w:cs="仿宋_GB2312"/>
          <w:color w:val="000000"/>
          <w:szCs w:val="21"/>
          <w:shd w:val="clear" w:color="auto" w:fill="FFFFFF"/>
        </w:rPr>
        <w:t>、</w:t>
      </w:r>
      <w:r>
        <w:rPr>
          <w:rFonts w:hint="eastAsia" w:ascii="宋体" w:hAnsi="宋体" w:cs="宋体"/>
          <w:kern w:val="0"/>
          <w:szCs w:val="21"/>
        </w:rPr>
        <w:t>政府采购严重违法失信行为记录名单（联合体形式投标的，联合体成员存在不良信用记录，视同联合体存在不良信用记录）。</w:t>
      </w:r>
    </w:p>
    <w:p>
      <w:pPr>
        <w:pStyle w:val="37"/>
        <w:numPr>
          <w:ilvl w:val="0"/>
          <w:numId w:val="0"/>
        </w:numPr>
        <w:autoSpaceDE w:val="0"/>
        <w:autoSpaceDN w:val="0"/>
        <w:spacing w:line="360" w:lineRule="auto"/>
        <w:ind w:leftChars="0" w:firstLine="420" w:firstLineChars="200"/>
        <w:contextualSpacing/>
        <w:rPr>
          <w:rFonts w:hint="eastAsia" w:ascii="宋体" w:hAnsi="宋体" w:cs="宋体"/>
          <w:kern w:val="0"/>
          <w:szCs w:val="21"/>
        </w:rPr>
      </w:pPr>
      <w:r>
        <w:rPr>
          <w:rFonts w:hint="eastAsia" w:ascii="宋体" w:hAnsi="宋体" w:cs="宋体"/>
          <w:kern w:val="0"/>
          <w:szCs w:val="21"/>
          <w:lang w:val="en-US" w:eastAsia="zh-CN"/>
        </w:rPr>
        <w:t>3.4</w:t>
      </w:r>
      <w:r>
        <w:rPr>
          <w:rFonts w:hint="eastAsia" w:ascii="宋体" w:hAnsi="宋体" w:cs="宋体"/>
          <w:kern w:val="0"/>
          <w:szCs w:val="21"/>
        </w:rPr>
        <w:t>单位负责人为同一人或者存在直接控股、管理关系的不同供应商，不得参加同一合同项下的政府采购活动；</w:t>
      </w:r>
    </w:p>
    <w:p>
      <w:pPr>
        <w:pStyle w:val="37"/>
        <w:numPr>
          <w:ilvl w:val="0"/>
          <w:numId w:val="0"/>
        </w:numPr>
        <w:autoSpaceDE w:val="0"/>
        <w:autoSpaceDN w:val="0"/>
        <w:spacing w:line="360" w:lineRule="auto"/>
        <w:ind w:leftChars="0" w:firstLine="420" w:firstLineChars="200"/>
        <w:contextualSpacing/>
        <w:rPr>
          <w:rFonts w:hint="eastAsia" w:ascii="宋体" w:hAnsi="宋体" w:cs="宋体"/>
          <w:kern w:val="0"/>
          <w:szCs w:val="21"/>
        </w:rPr>
      </w:pPr>
      <w:r>
        <w:rPr>
          <w:rFonts w:hint="eastAsia" w:ascii="宋体" w:hAnsi="宋体" w:cs="宋体"/>
          <w:kern w:val="0"/>
          <w:szCs w:val="21"/>
          <w:lang w:val="en-US" w:eastAsia="zh-CN"/>
        </w:rPr>
        <w:t>3.5</w:t>
      </w:r>
      <w:r>
        <w:rPr>
          <w:rFonts w:hint="eastAsia" w:ascii="宋体" w:hAnsi="宋体" w:cs="宋体"/>
          <w:kern w:val="0"/>
          <w:szCs w:val="21"/>
        </w:rPr>
        <w:t>除单一来源采购项目外，为采购项目提供整体设计、规范编制或者项目管理、监理、检测等服务的供应商，不得再参加该采购项目的其他采购活动。</w:t>
      </w:r>
    </w:p>
    <w:p>
      <w:pPr>
        <w:pStyle w:val="37"/>
        <w:numPr>
          <w:ilvl w:val="0"/>
          <w:numId w:val="0"/>
        </w:numPr>
        <w:autoSpaceDE w:val="0"/>
        <w:autoSpaceDN w:val="0"/>
        <w:spacing w:line="360" w:lineRule="auto"/>
        <w:ind w:leftChars="0" w:firstLine="420" w:firstLineChars="200"/>
        <w:contextualSpacing/>
        <w:rPr>
          <w:rFonts w:hint="eastAsia" w:ascii="宋体" w:hAnsi="宋体" w:cs="宋体"/>
          <w:kern w:val="0"/>
          <w:szCs w:val="21"/>
        </w:rPr>
      </w:pPr>
      <w:r>
        <w:rPr>
          <w:rFonts w:hint="eastAsia" w:ascii="宋体" w:hAnsi="宋体" w:cs="宋体"/>
          <w:kern w:val="0"/>
          <w:szCs w:val="21"/>
          <w:lang w:val="en-US" w:eastAsia="zh-CN"/>
        </w:rPr>
        <w:t>3.6</w:t>
      </w:r>
      <w:r>
        <w:rPr>
          <w:rFonts w:hint="eastAsia" w:ascii="宋体" w:hAnsi="宋体" w:cs="宋体"/>
          <w:kern w:val="0"/>
          <w:szCs w:val="21"/>
        </w:rPr>
        <w:t>“投标邀请”和“投标人须知前附表”规定接受联合体投标的，除应符合本章第</w:t>
      </w:r>
      <w:r>
        <w:rPr>
          <w:rFonts w:ascii="宋体" w:hAnsi="宋体" w:cs="宋体"/>
          <w:kern w:val="0"/>
          <w:szCs w:val="21"/>
        </w:rPr>
        <w:t>3.1</w:t>
      </w:r>
      <w:r>
        <w:rPr>
          <w:rFonts w:hint="eastAsia" w:ascii="宋体" w:hAnsi="宋体" w:cs="宋体"/>
          <w:kern w:val="0"/>
          <w:szCs w:val="21"/>
        </w:rPr>
        <w:t>项和3.2项要求外，还应遵守以下规定：</w:t>
      </w:r>
    </w:p>
    <w:p>
      <w:pPr>
        <w:pStyle w:val="37"/>
        <w:numPr>
          <w:ilvl w:val="0"/>
          <w:numId w:val="5"/>
        </w:numPr>
        <w:autoSpaceDE w:val="0"/>
        <w:autoSpaceDN w:val="0"/>
        <w:spacing w:line="360" w:lineRule="auto"/>
        <w:ind w:leftChars="0" w:firstLine="420" w:firstLineChars="200"/>
        <w:contextualSpacing/>
        <w:rPr>
          <w:rFonts w:ascii="宋体" w:hAnsi="宋体" w:cs="宋体"/>
          <w:kern w:val="0"/>
          <w:szCs w:val="21"/>
        </w:rPr>
      </w:pPr>
      <w:r>
        <w:rPr>
          <w:rFonts w:hint="eastAsia" w:ascii="宋体" w:hAnsi="宋体" w:cs="宋体"/>
          <w:kern w:val="0"/>
          <w:szCs w:val="21"/>
        </w:rPr>
        <w:t>在投标文件中向采购人提交联合体协议书，明确联合体各方承担的工作和义务；</w:t>
      </w:r>
    </w:p>
    <w:p>
      <w:pPr>
        <w:pStyle w:val="37"/>
        <w:numPr>
          <w:ilvl w:val="0"/>
          <w:numId w:val="5"/>
        </w:numPr>
        <w:autoSpaceDE w:val="0"/>
        <w:autoSpaceDN w:val="0"/>
        <w:spacing w:line="360" w:lineRule="auto"/>
        <w:ind w:left="0" w:leftChars="0" w:firstLine="420" w:firstLineChars="200"/>
        <w:contextualSpacing/>
        <w:rPr>
          <w:rFonts w:hint="eastAsia" w:ascii="宋体" w:hAnsi="宋体" w:cs="宋体"/>
          <w:kern w:val="0"/>
          <w:szCs w:val="21"/>
        </w:rPr>
      </w:pPr>
      <w:r>
        <w:rPr>
          <w:rFonts w:hint="eastAsia" w:ascii="宋体" w:hAnsi="宋体" w:cs="宋体"/>
          <w:kern w:val="0"/>
          <w:szCs w:val="21"/>
        </w:rPr>
        <w:t>联合体中有同类资质的供应商按联合体分工承担相同工作的，应当按照资质等级较低的供应商确定资质等级；</w:t>
      </w:r>
    </w:p>
    <w:p>
      <w:pPr>
        <w:pStyle w:val="37"/>
        <w:numPr>
          <w:ilvl w:val="0"/>
          <w:numId w:val="5"/>
        </w:numPr>
        <w:autoSpaceDE w:val="0"/>
        <w:autoSpaceDN w:val="0"/>
        <w:spacing w:line="360" w:lineRule="auto"/>
        <w:ind w:left="0" w:leftChars="0" w:firstLine="420" w:firstLineChars="200"/>
        <w:contextualSpacing/>
        <w:rPr>
          <w:rFonts w:hint="eastAsia" w:ascii="宋体" w:hAnsi="宋体" w:cs="宋体"/>
          <w:kern w:val="0"/>
          <w:szCs w:val="21"/>
        </w:rPr>
      </w:pPr>
      <w:r>
        <w:rPr>
          <w:rFonts w:hint="eastAsia" w:ascii="宋体" w:hAnsi="宋体" w:cs="宋体"/>
          <w:kern w:val="0"/>
          <w:szCs w:val="21"/>
        </w:rPr>
        <w:t>招标人根据采购项目的特殊要求规定投标人特定条件的，联合体各方中至少应当有一方</w:t>
      </w:r>
    </w:p>
    <w:p>
      <w:pPr>
        <w:pStyle w:val="37"/>
        <w:numPr>
          <w:ilvl w:val="0"/>
          <w:numId w:val="0"/>
        </w:numPr>
        <w:autoSpaceDE w:val="0"/>
        <w:autoSpaceDN w:val="0"/>
        <w:spacing w:line="360" w:lineRule="auto"/>
        <w:contextualSpacing/>
        <w:rPr>
          <w:rFonts w:hint="eastAsia" w:ascii="宋体" w:hAnsi="宋体" w:cs="宋体"/>
          <w:kern w:val="0"/>
          <w:szCs w:val="21"/>
        </w:rPr>
      </w:pPr>
      <w:r>
        <w:rPr>
          <w:rFonts w:hint="eastAsia" w:ascii="宋体" w:hAnsi="宋体" w:cs="宋体"/>
          <w:kern w:val="0"/>
          <w:szCs w:val="21"/>
        </w:rPr>
        <w:t>符合采购规定的特定条件。</w:t>
      </w:r>
    </w:p>
    <w:p>
      <w:pPr>
        <w:pStyle w:val="37"/>
        <w:numPr>
          <w:ilvl w:val="0"/>
          <w:numId w:val="5"/>
        </w:numPr>
        <w:autoSpaceDE w:val="0"/>
        <w:autoSpaceDN w:val="0"/>
        <w:spacing w:line="360" w:lineRule="auto"/>
        <w:ind w:left="0" w:leftChars="0" w:firstLine="420" w:firstLineChars="200"/>
        <w:contextualSpacing/>
        <w:rPr>
          <w:rFonts w:hint="eastAsia" w:ascii="宋体" w:hAnsi="宋体" w:cs="宋体"/>
          <w:kern w:val="0"/>
          <w:szCs w:val="21"/>
        </w:rPr>
      </w:pPr>
      <w:r>
        <w:rPr>
          <w:rFonts w:hint="eastAsia" w:ascii="宋体" w:hAnsi="宋体" w:cs="宋体"/>
          <w:kern w:val="0"/>
          <w:szCs w:val="21"/>
        </w:rPr>
        <w:t>联合体各方不得再单独参加或者与其他供应商另外组成联合体参加同一合同项下的政府采购活动。</w:t>
      </w:r>
    </w:p>
    <w:p>
      <w:pPr>
        <w:pStyle w:val="37"/>
        <w:numPr>
          <w:ilvl w:val="0"/>
          <w:numId w:val="5"/>
        </w:numPr>
        <w:autoSpaceDE w:val="0"/>
        <w:autoSpaceDN w:val="0"/>
        <w:spacing w:line="360" w:lineRule="auto"/>
        <w:ind w:left="0" w:leftChars="0" w:firstLine="420" w:firstLineChars="200"/>
        <w:contextualSpacing/>
        <w:rPr>
          <w:rFonts w:ascii="宋体" w:hAnsi="宋体" w:cs="宋体"/>
          <w:kern w:val="0"/>
          <w:szCs w:val="21"/>
        </w:rPr>
      </w:pPr>
      <w:r>
        <w:rPr>
          <w:rFonts w:ascii="宋体" w:hAnsi="宋体" w:cs="宋体"/>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ascii="宋体" w:hAnsi="宋体" w:cs="宋体"/>
          <w:kern w:val="0"/>
          <w:szCs w:val="21"/>
        </w:rPr>
        <w:t>承担连带</w:t>
      </w:r>
    </w:p>
    <w:p>
      <w:pPr>
        <w:pStyle w:val="37"/>
        <w:numPr>
          <w:ilvl w:val="0"/>
          <w:numId w:val="0"/>
        </w:numPr>
        <w:autoSpaceDE w:val="0"/>
        <w:autoSpaceDN w:val="0"/>
        <w:spacing w:line="360" w:lineRule="auto"/>
        <w:contextualSpacing/>
        <w:rPr>
          <w:rFonts w:ascii="宋体" w:hAnsi="宋体" w:cs="宋体"/>
          <w:kern w:val="0"/>
          <w:szCs w:val="21"/>
        </w:rPr>
      </w:pPr>
      <w:r>
        <w:rPr>
          <w:rFonts w:ascii="宋体" w:hAnsi="宋体" w:cs="宋体"/>
          <w:kern w:val="0"/>
          <w:szCs w:val="21"/>
        </w:rPr>
        <w:t>责任</w:t>
      </w:r>
      <w:r>
        <w:rPr>
          <w:rFonts w:ascii="宋体" w:hAnsi="宋体" w:cs="宋体"/>
          <w:kern w:val="0"/>
          <w:szCs w:val="21"/>
        </w:rPr>
        <w:fldChar w:fldCharType="end"/>
      </w:r>
      <w:r>
        <w:rPr>
          <w:rFonts w:ascii="宋体" w:hAnsi="宋体" w:cs="宋体"/>
          <w:kern w:val="0"/>
          <w:szCs w:val="21"/>
        </w:rPr>
        <w:t>。</w:t>
      </w:r>
    </w:p>
    <w:p>
      <w:pPr>
        <w:pStyle w:val="37"/>
        <w:numPr>
          <w:ilvl w:val="0"/>
          <w:numId w:val="0"/>
        </w:numPr>
        <w:autoSpaceDE w:val="0"/>
        <w:autoSpaceDN w:val="0"/>
        <w:spacing w:line="360" w:lineRule="auto"/>
        <w:ind w:firstLine="630" w:firstLineChars="300"/>
        <w:contextualSpacing/>
        <w:rPr>
          <w:rFonts w:ascii="宋体" w:hAnsi="宋体" w:cs="宋体"/>
          <w:kern w:val="0"/>
          <w:szCs w:val="21"/>
        </w:rPr>
      </w:pPr>
      <w:r>
        <w:rPr>
          <w:rFonts w:hint="eastAsia" w:ascii="宋体" w:hAnsi="宋体" w:cs="宋体"/>
          <w:kern w:val="0"/>
          <w:szCs w:val="21"/>
          <w:lang w:val="en-US" w:eastAsia="zh-CN"/>
        </w:rPr>
        <w:t>3.7</w:t>
      </w:r>
      <w:r>
        <w:rPr>
          <w:rFonts w:hint="eastAsia" w:ascii="宋体" w:hAnsi="宋体" w:cs="宋体"/>
          <w:kern w:val="0"/>
          <w:szCs w:val="21"/>
        </w:rPr>
        <w:t>法律、行政法规规定的其他条件。</w:t>
      </w:r>
    </w:p>
    <w:p>
      <w:pPr>
        <w:pStyle w:val="37"/>
        <w:numPr>
          <w:ilvl w:val="0"/>
          <w:numId w:val="0"/>
        </w:numPr>
        <w:autoSpaceDE w:val="0"/>
        <w:autoSpaceDN w:val="0"/>
        <w:spacing w:line="360" w:lineRule="auto"/>
        <w:ind w:leftChars="200"/>
        <w:contextualSpacing/>
        <w:rPr>
          <w:rFonts w:hint="eastAsia" w:ascii="宋体" w:hAnsi="宋体" w:cs="宋体"/>
          <w:kern w:val="0"/>
          <w:szCs w:val="21"/>
        </w:rPr>
      </w:pPr>
      <w:r>
        <w:rPr>
          <w:rFonts w:hint="eastAsia" w:ascii="宋体" w:hAnsi="宋体" w:cs="宋体"/>
          <w:kern w:val="0"/>
          <w:szCs w:val="21"/>
          <w:lang w:val="en-US" w:eastAsia="zh-CN"/>
        </w:rPr>
        <w:t>4.</w:t>
      </w:r>
      <w:r>
        <w:rPr>
          <w:rFonts w:hint="eastAsia" w:ascii="宋体" w:hAnsi="宋体" w:cs="宋体"/>
          <w:kern w:val="0"/>
          <w:szCs w:val="21"/>
        </w:rPr>
        <w:t>合格的货物和服务</w:t>
      </w:r>
    </w:p>
    <w:p>
      <w:pPr>
        <w:pStyle w:val="37"/>
        <w:numPr>
          <w:ilvl w:val="0"/>
          <w:numId w:val="0"/>
        </w:numPr>
        <w:autoSpaceDE w:val="0"/>
        <w:autoSpaceDN w:val="0"/>
        <w:spacing w:line="360" w:lineRule="auto"/>
        <w:ind w:leftChars="200"/>
        <w:contextualSpacing/>
        <w:rPr>
          <w:rFonts w:hint="eastAsia" w:ascii="宋体" w:hAnsi="宋体" w:cs="宋体"/>
          <w:kern w:val="0"/>
          <w:szCs w:val="21"/>
        </w:rPr>
      </w:pPr>
      <w:r>
        <w:rPr>
          <w:rFonts w:hint="eastAsia" w:ascii="宋体" w:hAnsi="宋体" w:cs="宋体"/>
          <w:kern w:val="0"/>
          <w:szCs w:val="21"/>
          <w:lang w:val="en-US" w:eastAsia="zh-CN"/>
        </w:rPr>
        <w:t>4.1</w:t>
      </w:r>
      <w:r>
        <w:rPr>
          <w:rFonts w:hint="eastAsia" w:ascii="宋体" w:hAnsi="宋体" w:cs="宋体"/>
          <w:kern w:val="0"/>
          <w:szCs w:val="21"/>
        </w:rPr>
        <w:t>投标人提供的货物应当符合招标文件的要求，并且其质量完全符合国家标准、行业标准或</w:t>
      </w:r>
    </w:p>
    <w:p>
      <w:pPr>
        <w:pStyle w:val="37"/>
        <w:numPr>
          <w:ilvl w:val="0"/>
          <w:numId w:val="0"/>
        </w:numPr>
        <w:autoSpaceDE w:val="0"/>
        <w:autoSpaceDN w:val="0"/>
        <w:spacing w:line="360" w:lineRule="auto"/>
        <w:contextualSpacing/>
        <w:rPr>
          <w:rFonts w:hint="eastAsia" w:ascii="宋体" w:hAnsi="宋体" w:cs="宋体"/>
          <w:kern w:val="0"/>
          <w:szCs w:val="21"/>
        </w:rPr>
      </w:pPr>
      <w:r>
        <w:rPr>
          <w:rFonts w:hint="eastAsia" w:ascii="宋体" w:hAnsi="宋体" w:cs="宋体"/>
          <w:kern w:val="0"/>
          <w:szCs w:val="21"/>
        </w:rPr>
        <w:t>地方标准，均有标准的以高（严格）者为准。没有国家标准、行业标准和企业标准的，按照通常标准或者符合采购目的的特定标准确定。</w:t>
      </w:r>
    </w:p>
    <w:p>
      <w:pPr>
        <w:pStyle w:val="37"/>
        <w:numPr>
          <w:ilvl w:val="0"/>
          <w:numId w:val="0"/>
        </w:numPr>
        <w:autoSpaceDE w:val="0"/>
        <w:autoSpaceDN w:val="0"/>
        <w:spacing w:line="360" w:lineRule="auto"/>
        <w:ind w:firstLine="420" w:firstLineChars="200"/>
        <w:contextualSpacing/>
        <w:rPr>
          <w:rFonts w:hint="eastAsia" w:ascii="宋体" w:hAnsi="宋体" w:cs="宋体"/>
          <w:kern w:val="0"/>
          <w:szCs w:val="21"/>
        </w:rPr>
      </w:pPr>
      <w:r>
        <w:rPr>
          <w:rFonts w:hint="eastAsia" w:ascii="宋体" w:hAnsi="宋体" w:cs="宋体"/>
          <w:kern w:val="0"/>
          <w:szCs w:val="21"/>
          <w:lang w:val="en-US" w:eastAsia="zh-CN"/>
        </w:rPr>
        <w:t>4.2</w:t>
      </w:r>
      <w:r>
        <w:rPr>
          <w:rFonts w:hint="eastAsia" w:ascii="宋体" w:hAnsi="宋体" w:cs="宋体"/>
          <w:kern w:val="0"/>
          <w:szCs w:val="21"/>
        </w:rPr>
        <w:t>投标人所提供的服务应当没有侵犯任何第三方的知识产权、技术秘密等合法权利。</w:t>
      </w:r>
    </w:p>
    <w:p>
      <w:pPr>
        <w:pStyle w:val="37"/>
        <w:numPr>
          <w:ilvl w:val="0"/>
          <w:numId w:val="0"/>
        </w:numPr>
        <w:autoSpaceDE w:val="0"/>
        <w:autoSpaceDN w:val="0"/>
        <w:spacing w:line="360" w:lineRule="auto"/>
        <w:ind w:firstLine="420" w:firstLineChars="200"/>
        <w:contextualSpacing/>
        <w:rPr>
          <w:rFonts w:hint="eastAsia" w:ascii="宋体" w:hAnsi="宋体" w:cs="宋体"/>
          <w:kern w:val="0"/>
          <w:szCs w:val="21"/>
        </w:rPr>
      </w:pPr>
      <w:r>
        <w:rPr>
          <w:rFonts w:hint="eastAsia" w:ascii="宋体" w:hAnsi="宋体" w:cs="宋体"/>
          <w:kern w:val="0"/>
          <w:szCs w:val="21"/>
          <w:lang w:val="en-US" w:eastAsia="zh-CN"/>
        </w:rPr>
        <w:t>4.3</w:t>
      </w:r>
      <w:r>
        <w:rPr>
          <w:rFonts w:hint="eastAsia" w:ascii="宋体" w:hAnsi="宋体" w:cs="宋体"/>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pPr>
        <w:pStyle w:val="37"/>
        <w:numPr>
          <w:ilvl w:val="0"/>
          <w:numId w:val="0"/>
        </w:numPr>
        <w:autoSpaceDE w:val="0"/>
        <w:autoSpaceDN w:val="0"/>
        <w:spacing w:line="360" w:lineRule="auto"/>
        <w:ind w:firstLine="420" w:firstLineChars="200"/>
        <w:contextualSpacing/>
        <w:rPr>
          <w:rFonts w:hint="eastAsia" w:ascii="宋体" w:hAnsi="宋体" w:cs="宋体"/>
          <w:kern w:val="0"/>
          <w:szCs w:val="21"/>
        </w:rPr>
      </w:pPr>
      <w:r>
        <w:rPr>
          <w:rFonts w:hint="eastAsia" w:ascii="宋体" w:hAnsi="宋体" w:cs="宋体"/>
          <w:kern w:val="0"/>
          <w:szCs w:val="21"/>
          <w:lang w:val="en-US" w:eastAsia="zh-CN"/>
        </w:rPr>
        <w:t>4.4</w:t>
      </w:r>
      <w:r>
        <w:rPr>
          <w:rFonts w:hint="eastAsia" w:ascii="宋体" w:hAnsi="宋体" w:cs="宋体"/>
          <w:kern w:val="0"/>
          <w:szCs w:val="21"/>
        </w:rPr>
        <w:t>投标人所投产品如被列入财政部与国家主管部门颁发的节能产品目录或环境标志产品目录，应提供相关证明，在评标时予以优先采购。</w:t>
      </w:r>
    </w:p>
    <w:p>
      <w:pPr>
        <w:pStyle w:val="37"/>
        <w:numPr>
          <w:ilvl w:val="0"/>
          <w:numId w:val="0"/>
        </w:numPr>
        <w:autoSpaceDE w:val="0"/>
        <w:autoSpaceDN w:val="0"/>
        <w:spacing w:line="360" w:lineRule="auto"/>
        <w:ind w:firstLine="420" w:firstLineChars="200"/>
        <w:contextualSpacing/>
        <w:rPr>
          <w:rFonts w:hint="eastAsia" w:ascii="宋体" w:hAnsi="宋体" w:cs="宋体"/>
          <w:kern w:val="0"/>
          <w:szCs w:val="21"/>
        </w:rPr>
      </w:pPr>
      <w:r>
        <w:rPr>
          <w:rFonts w:hint="eastAsia" w:ascii="宋体" w:hAnsi="宋体" w:cs="宋体"/>
          <w:kern w:val="0"/>
          <w:szCs w:val="21"/>
          <w:lang w:val="en-US" w:eastAsia="zh-CN"/>
        </w:rPr>
        <w:t>4.5</w:t>
      </w:r>
      <w:r>
        <w:rPr>
          <w:rFonts w:hint="eastAsia" w:ascii="宋体" w:hAnsi="宋体" w:cs="宋体"/>
          <w:kern w:val="0"/>
          <w:szCs w:val="21"/>
        </w:rPr>
        <w:t>如投标人所投产品被列入</w:t>
      </w:r>
      <w:r>
        <w:rPr>
          <w:rFonts w:ascii="宋体" w:hAnsi="宋体" w:cs="宋体"/>
          <w:kern w:val="0"/>
          <w:szCs w:val="21"/>
        </w:rPr>
        <w:t>《中华人民共和国实施强制性产品认证的产品目录》，</w:t>
      </w:r>
      <w:r>
        <w:rPr>
          <w:rFonts w:hint="eastAsia" w:ascii="宋体" w:hAnsi="宋体" w:cs="宋体"/>
          <w:kern w:val="0"/>
          <w:szCs w:val="21"/>
        </w:rPr>
        <w:t>则该产品应</w:t>
      </w:r>
      <w:r>
        <w:rPr>
          <w:rFonts w:ascii="宋体" w:hAnsi="宋体" w:cs="宋体"/>
          <w:kern w:val="0"/>
          <w:szCs w:val="21"/>
        </w:rPr>
        <w:t>具备国家认监委</w:t>
      </w:r>
      <w:r>
        <w:rPr>
          <w:rFonts w:hint="eastAsia" w:ascii="宋体" w:hAnsi="宋体" w:cs="宋体"/>
          <w:kern w:val="0"/>
          <w:szCs w:val="21"/>
        </w:rPr>
        <w:t>指定强制性产品认证机构</w:t>
      </w:r>
      <w:r>
        <w:rPr>
          <w:rFonts w:ascii="宋体" w:hAnsi="宋体" w:cs="宋体"/>
          <w:kern w:val="0"/>
          <w:szCs w:val="21"/>
        </w:rPr>
        <w:t>颁</w:t>
      </w:r>
      <w:r>
        <w:rPr>
          <w:rFonts w:hint="eastAsia" w:ascii="宋体" w:hAnsi="宋体" w:cs="宋体"/>
          <w:kern w:val="0"/>
          <w:szCs w:val="21"/>
        </w:rPr>
        <w:t>发的</w:t>
      </w:r>
      <w:r>
        <w:rPr>
          <w:rFonts w:ascii="宋体" w:hAnsi="宋体" w:cs="宋体"/>
          <w:kern w:val="0"/>
          <w:szCs w:val="21"/>
        </w:rPr>
        <w:t>《中国</w:t>
      </w:r>
      <w:r>
        <w:rPr>
          <w:rFonts w:hint="eastAsia" w:ascii="宋体" w:hAnsi="宋体" w:cs="宋体"/>
          <w:kern w:val="0"/>
          <w:szCs w:val="21"/>
        </w:rPr>
        <w:t>国家</w:t>
      </w:r>
      <w:r>
        <w:rPr>
          <w:rFonts w:ascii="宋体" w:hAnsi="宋体" w:cs="宋体"/>
          <w:kern w:val="0"/>
          <w:szCs w:val="21"/>
        </w:rPr>
        <w:t>强制</w:t>
      </w:r>
      <w:r>
        <w:rPr>
          <w:rFonts w:hint="eastAsia" w:ascii="宋体" w:hAnsi="宋体" w:cs="宋体"/>
          <w:kern w:val="0"/>
          <w:szCs w:val="21"/>
        </w:rPr>
        <w:t>性产品</w:t>
      </w:r>
      <w:r>
        <w:rPr>
          <w:rFonts w:ascii="宋体" w:hAnsi="宋体" w:cs="宋体"/>
          <w:kern w:val="0"/>
          <w:szCs w:val="21"/>
        </w:rPr>
        <w:t>认证</w:t>
      </w:r>
      <w:r>
        <w:rPr>
          <w:rFonts w:hint="eastAsia" w:ascii="宋体" w:hAnsi="宋体" w:cs="宋体"/>
          <w:kern w:val="0"/>
          <w:szCs w:val="21"/>
        </w:rPr>
        <w:t>证书</w:t>
      </w:r>
      <w:r>
        <w:rPr>
          <w:rFonts w:ascii="宋体" w:hAnsi="宋体" w:cs="宋体"/>
          <w:kern w:val="0"/>
          <w:szCs w:val="21"/>
        </w:rPr>
        <w:t>》（CCC 认证）。</w:t>
      </w:r>
      <w:r>
        <w:rPr>
          <w:rFonts w:hint="eastAsia" w:ascii="宋体" w:hAnsi="宋体" w:cs="宋体"/>
          <w:kern w:val="0"/>
          <w:szCs w:val="21"/>
        </w:rPr>
        <w:t>投标人</w:t>
      </w:r>
      <w:r>
        <w:rPr>
          <w:rFonts w:ascii="宋体" w:hAnsi="宋体" w:cs="宋体"/>
          <w:kern w:val="0"/>
          <w:szCs w:val="21"/>
        </w:rPr>
        <w:t>不能提供超出此目录范畴外的替代品</w:t>
      </w:r>
      <w:r>
        <w:rPr>
          <w:rFonts w:hint="eastAsia" w:ascii="宋体" w:hAnsi="宋体" w:cs="宋体"/>
          <w:kern w:val="0"/>
          <w:szCs w:val="21"/>
        </w:rPr>
        <w:t>。</w:t>
      </w:r>
    </w:p>
    <w:p>
      <w:pPr>
        <w:pStyle w:val="37"/>
        <w:numPr>
          <w:ilvl w:val="0"/>
          <w:numId w:val="0"/>
        </w:num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lang w:val="en-US" w:eastAsia="zh-CN"/>
        </w:rPr>
        <w:t>4.6</w:t>
      </w:r>
      <w:r>
        <w:rPr>
          <w:rFonts w:hint="eastAsia" w:ascii="宋体" w:hAnsi="宋体" w:cs="宋体"/>
          <w:kern w:val="0"/>
          <w:szCs w:val="21"/>
        </w:rPr>
        <w:t>投标人所投产品如被列入</w:t>
      </w:r>
      <w:r>
        <w:rPr>
          <w:rFonts w:ascii="宋体" w:hAnsi="宋体" w:cs="宋体"/>
          <w:kern w:val="0"/>
          <w:szCs w:val="21"/>
        </w:rPr>
        <w:t>《信息安全产品强制性认证目录》，</w:t>
      </w:r>
      <w:r>
        <w:rPr>
          <w:rFonts w:hint="eastAsia" w:ascii="宋体" w:hAnsi="宋体" w:cs="宋体"/>
          <w:kern w:val="0"/>
          <w:szCs w:val="21"/>
        </w:rPr>
        <w:t>则该产品应</w:t>
      </w:r>
      <w:r>
        <w:rPr>
          <w:rFonts w:ascii="宋体" w:hAnsi="宋体" w:cs="宋体"/>
          <w:kern w:val="0"/>
          <w:szCs w:val="21"/>
        </w:rPr>
        <w:t>具备</w:t>
      </w:r>
      <w:r>
        <w:rPr>
          <w:rFonts w:hint="eastAsia" w:ascii="宋体" w:hAnsi="宋体" w:cs="宋体"/>
          <w:kern w:val="0"/>
          <w:szCs w:val="21"/>
        </w:rPr>
        <w:t>中国信息安全认证中心</w:t>
      </w:r>
      <w:r>
        <w:rPr>
          <w:rFonts w:ascii="宋体" w:hAnsi="宋体" w:cs="宋体"/>
          <w:kern w:val="0"/>
          <w:szCs w:val="21"/>
        </w:rPr>
        <w:t>颁</w:t>
      </w:r>
      <w:r>
        <w:rPr>
          <w:rFonts w:hint="eastAsia" w:ascii="宋体" w:hAnsi="宋体" w:cs="宋体"/>
          <w:kern w:val="0"/>
          <w:szCs w:val="21"/>
        </w:rPr>
        <w:t>发的</w:t>
      </w:r>
      <w:r>
        <w:rPr>
          <w:rFonts w:ascii="宋体" w:hAnsi="宋体" w:cs="宋体"/>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Cs w:val="21"/>
        </w:rPr>
        <w:t>中国国家信息安全产品认证证书</w:t>
      </w:r>
      <w:r>
        <w:rPr>
          <w:rFonts w:hint="eastAsia" w:ascii="宋体" w:hAnsi="宋体" w:cs="宋体"/>
          <w:kern w:val="0"/>
          <w:szCs w:val="21"/>
        </w:rPr>
        <w:fldChar w:fldCharType="end"/>
      </w:r>
      <w:r>
        <w:rPr>
          <w:rFonts w:ascii="宋体" w:hAnsi="宋体" w:cs="宋体"/>
          <w:kern w:val="0"/>
          <w:szCs w:val="21"/>
        </w:rPr>
        <w:t>》。</w:t>
      </w:r>
      <w:r>
        <w:rPr>
          <w:rFonts w:hint="eastAsia" w:ascii="宋体" w:hAnsi="宋体" w:cs="宋体"/>
          <w:kern w:val="0"/>
          <w:szCs w:val="21"/>
        </w:rPr>
        <w:t>投标人</w:t>
      </w:r>
      <w:r>
        <w:rPr>
          <w:rFonts w:ascii="宋体" w:hAnsi="宋体" w:cs="宋体"/>
          <w:kern w:val="0"/>
          <w:szCs w:val="21"/>
        </w:rPr>
        <w:t>不能提供超出此目录范畴外的替代品</w:t>
      </w:r>
      <w:r>
        <w:rPr>
          <w:rFonts w:hint="eastAsia" w:ascii="宋体" w:hAnsi="宋体" w:cs="宋体"/>
          <w:kern w:val="0"/>
          <w:szCs w:val="21"/>
        </w:rPr>
        <w:t>。</w:t>
      </w:r>
    </w:p>
    <w:p>
      <w:pPr>
        <w:pStyle w:val="37"/>
        <w:numPr>
          <w:ilvl w:val="0"/>
          <w:numId w:val="6"/>
        </w:numPr>
        <w:autoSpaceDE w:val="0"/>
        <w:autoSpaceDN w:val="0"/>
        <w:spacing w:line="360" w:lineRule="auto"/>
        <w:ind w:leftChars="0" w:firstLine="420" w:firstLineChars="200"/>
        <w:contextualSpacing/>
        <w:rPr>
          <w:rFonts w:hint="eastAsia" w:ascii="宋体" w:hAnsi="宋体" w:cs="宋体"/>
          <w:kern w:val="0"/>
          <w:szCs w:val="21"/>
        </w:rPr>
      </w:pPr>
      <w:r>
        <w:rPr>
          <w:rFonts w:hint="eastAsia" w:ascii="宋体" w:hAnsi="宋体" w:cs="宋体"/>
          <w:kern w:val="0"/>
          <w:szCs w:val="21"/>
        </w:rPr>
        <w:t>投标费用</w:t>
      </w:r>
    </w:p>
    <w:p>
      <w:pPr>
        <w:pStyle w:val="37"/>
        <w:numPr>
          <w:ilvl w:val="0"/>
          <w:numId w:val="0"/>
        </w:numPr>
        <w:autoSpaceDE w:val="0"/>
        <w:autoSpaceDN w:val="0"/>
        <w:spacing w:line="360" w:lineRule="auto"/>
        <w:ind w:leftChars="200"/>
        <w:contextualSpacing/>
        <w:rPr>
          <w:rFonts w:hint="eastAsia" w:ascii="宋体" w:hAnsi="宋体" w:cs="宋体"/>
          <w:kern w:val="0"/>
          <w:szCs w:val="21"/>
        </w:rPr>
      </w:pPr>
      <w:r>
        <w:rPr>
          <w:rFonts w:hint="eastAsia" w:ascii="宋体" w:hAnsi="宋体" w:cs="宋体"/>
          <w:kern w:val="0"/>
          <w:szCs w:val="21"/>
        </w:rPr>
        <w:t>不论投标的结果如何，投标人均应自行承担所有与投标有关的全部费用，招标人在任何情况</w:t>
      </w:r>
    </w:p>
    <w:p>
      <w:pPr>
        <w:pStyle w:val="37"/>
        <w:numPr>
          <w:ilvl w:val="0"/>
          <w:numId w:val="0"/>
        </w:numPr>
        <w:autoSpaceDE w:val="0"/>
        <w:autoSpaceDN w:val="0"/>
        <w:spacing w:line="360" w:lineRule="auto"/>
        <w:contextualSpacing/>
        <w:rPr>
          <w:rFonts w:hint="eastAsia" w:ascii="宋体" w:hAnsi="宋体" w:cs="宋体"/>
          <w:kern w:val="0"/>
          <w:szCs w:val="21"/>
        </w:rPr>
      </w:pPr>
      <w:r>
        <w:rPr>
          <w:rFonts w:hint="eastAsia" w:ascii="宋体" w:hAnsi="宋体" w:cs="宋体"/>
          <w:kern w:val="0"/>
          <w:szCs w:val="21"/>
        </w:rPr>
        <w:t>下均无义务和责任承担这些费用。</w:t>
      </w:r>
    </w:p>
    <w:p>
      <w:pPr>
        <w:pStyle w:val="37"/>
        <w:numPr>
          <w:ilvl w:val="0"/>
          <w:numId w:val="0"/>
        </w:num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lang w:val="en-US" w:eastAsia="zh-CN"/>
        </w:rPr>
        <w:t>6.</w:t>
      </w:r>
      <w:r>
        <w:rPr>
          <w:rFonts w:hint="eastAsia" w:ascii="宋体" w:hAnsi="宋体" w:cs="宋体"/>
          <w:kern w:val="0"/>
          <w:szCs w:val="21"/>
        </w:rPr>
        <w:t>信息发布</w:t>
      </w:r>
    </w:p>
    <w:p>
      <w:pPr>
        <w:autoSpaceDE w:val="0"/>
        <w:autoSpaceDN w:val="0"/>
        <w:spacing w:line="360" w:lineRule="auto"/>
        <w:ind w:firstLine="420" w:firstLineChars="200"/>
        <w:contextualSpacing/>
        <w:jc w:val="left"/>
        <w:rPr>
          <w:rFonts w:ascii="宋体" w:hAnsi="宋体" w:cs="宋体"/>
          <w:kern w:val="0"/>
          <w:szCs w:val="21"/>
        </w:rPr>
      </w:pPr>
      <w:r>
        <w:rPr>
          <w:rFonts w:hint="eastAsia" w:ascii="宋体" w:hAnsi="宋体" w:cs="宋体"/>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许昌市建安区人民政府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pStyle w:val="37"/>
        <w:numPr>
          <w:ilvl w:val="0"/>
          <w:numId w:val="0"/>
        </w:numPr>
        <w:autoSpaceDE w:val="0"/>
        <w:autoSpaceDN w:val="0"/>
        <w:spacing w:line="360" w:lineRule="auto"/>
        <w:ind w:leftChars="0" w:firstLine="420" w:firstLineChars="200"/>
        <w:contextualSpacing/>
        <w:rPr>
          <w:rFonts w:ascii="宋体" w:hAnsi="宋体" w:cs="宋体"/>
          <w:kern w:val="0"/>
          <w:szCs w:val="21"/>
        </w:rPr>
      </w:pPr>
      <w:r>
        <w:rPr>
          <w:rFonts w:hint="eastAsia" w:ascii="宋体" w:hAnsi="宋体" w:cs="宋体"/>
          <w:kern w:val="0"/>
          <w:szCs w:val="21"/>
          <w:lang w:val="en-US" w:eastAsia="zh-CN"/>
        </w:rPr>
        <w:t>7.</w:t>
      </w:r>
      <w:r>
        <w:rPr>
          <w:rFonts w:hint="eastAsia" w:ascii="宋体" w:hAnsi="宋体" w:cs="宋体"/>
          <w:kern w:val="0"/>
          <w:szCs w:val="21"/>
        </w:rPr>
        <w:t>采购代理机构代理费用收取标准和方式</w:t>
      </w:r>
    </w:p>
    <w:p>
      <w:pPr>
        <w:pStyle w:val="37"/>
        <w:numPr>
          <w:ilvl w:val="0"/>
          <w:numId w:val="0"/>
        </w:numPr>
        <w:autoSpaceDE w:val="0"/>
        <w:autoSpaceDN w:val="0"/>
        <w:spacing w:line="360" w:lineRule="auto"/>
        <w:ind w:left="420" w:leftChars="0"/>
        <w:contextualSpacing/>
        <w:rPr>
          <w:rFonts w:ascii="宋体" w:hAnsi="宋体" w:cs="宋体"/>
          <w:kern w:val="0"/>
          <w:szCs w:val="21"/>
        </w:rPr>
      </w:pPr>
      <w:r>
        <w:rPr>
          <w:rFonts w:hint="eastAsia" w:ascii="宋体" w:hAnsi="宋体" w:cs="宋体"/>
          <w:kern w:val="0"/>
          <w:szCs w:val="21"/>
          <w:lang w:val="en-US" w:eastAsia="zh-CN"/>
        </w:rPr>
        <w:t>7.1</w:t>
      </w:r>
      <w:r>
        <w:rPr>
          <w:rFonts w:hint="eastAsia" w:ascii="宋体" w:hAnsi="宋体" w:cs="宋体"/>
          <w:kern w:val="0"/>
          <w:szCs w:val="21"/>
        </w:rPr>
        <w:t>收取标准:按照中标合同金额的比例收取。详见投标人须知前附表。</w:t>
      </w:r>
    </w:p>
    <w:p>
      <w:pPr>
        <w:pStyle w:val="37"/>
        <w:numPr>
          <w:ilvl w:val="0"/>
          <w:numId w:val="0"/>
        </w:numPr>
        <w:autoSpaceDE w:val="0"/>
        <w:autoSpaceDN w:val="0"/>
        <w:spacing w:line="360" w:lineRule="auto"/>
        <w:ind w:left="420" w:leftChars="0"/>
        <w:contextualSpacing/>
        <w:rPr>
          <w:rFonts w:ascii="宋体" w:hAnsi="宋体" w:cs="宋体"/>
          <w:kern w:val="0"/>
          <w:szCs w:val="21"/>
        </w:rPr>
      </w:pPr>
      <w:r>
        <w:rPr>
          <w:rFonts w:hint="eastAsia" w:ascii="宋体" w:hAnsi="宋体" w:cs="宋体"/>
          <w:kern w:val="0"/>
          <w:szCs w:val="21"/>
          <w:lang w:val="en-US" w:eastAsia="zh-CN"/>
        </w:rPr>
        <w:t>7.2</w:t>
      </w:r>
      <w:r>
        <w:rPr>
          <w:rFonts w:hint="eastAsia" w:ascii="宋体" w:hAnsi="宋体" w:cs="宋体"/>
          <w:kern w:val="0"/>
          <w:szCs w:val="21"/>
        </w:rPr>
        <w:t>收取方式：一次性以银行划账、电汇、汇票或支票的形式支付。</w:t>
      </w:r>
    </w:p>
    <w:p>
      <w:pPr>
        <w:pStyle w:val="37"/>
        <w:numPr>
          <w:ilvl w:val="0"/>
          <w:numId w:val="0"/>
        </w:numPr>
        <w:autoSpaceDE w:val="0"/>
        <w:autoSpaceDN w:val="0"/>
        <w:spacing w:line="360" w:lineRule="auto"/>
        <w:ind w:leftChars="0" w:firstLine="420" w:firstLineChars="200"/>
        <w:contextualSpacing/>
        <w:rPr>
          <w:rFonts w:ascii="宋体" w:hAnsi="宋体" w:cs="宋体"/>
          <w:kern w:val="0"/>
          <w:szCs w:val="21"/>
        </w:rPr>
      </w:pPr>
      <w:r>
        <w:rPr>
          <w:rFonts w:hint="eastAsia" w:ascii="宋体" w:hAnsi="宋体" w:cs="宋体"/>
          <w:kern w:val="0"/>
          <w:szCs w:val="21"/>
          <w:lang w:val="en-US" w:eastAsia="zh-CN"/>
        </w:rPr>
        <w:t>8.</w:t>
      </w:r>
      <w:r>
        <w:rPr>
          <w:rFonts w:hint="eastAsia" w:ascii="宋体" w:hAnsi="宋体" w:cs="宋体"/>
          <w:kern w:val="0"/>
          <w:szCs w:val="21"/>
        </w:rPr>
        <w:t>其他</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tabs>
          <w:tab w:val="left" w:pos="1260"/>
        </w:tabs>
        <w:autoSpaceDE w:val="0"/>
        <w:autoSpaceDN w:val="0"/>
        <w:spacing w:line="360" w:lineRule="auto"/>
        <w:contextualSpacing/>
        <w:jc w:val="center"/>
        <w:rPr>
          <w:rFonts w:ascii="宋体" w:hAnsi="宋体" w:cs="宋体"/>
          <w:kern w:val="0"/>
          <w:szCs w:val="21"/>
        </w:rPr>
      </w:pPr>
      <w:r>
        <w:rPr>
          <w:rFonts w:hint="eastAsia" w:ascii="宋体" w:hAnsi="宋体" w:cs="宋体"/>
          <w:kern w:val="0"/>
          <w:szCs w:val="21"/>
        </w:rPr>
        <w:t>二、招标文件说明</w:t>
      </w:r>
    </w:p>
    <w:p>
      <w:pPr>
        <w:pStyle w:val="37"/>
        <w:numPr>
          <w:ilvl w:val="0"/>
          <w:numId w:val="0"/>
        </w:numPr>
        <w:autoSpaceDE w:val="0"/>
        <w:autoSpaceDN w:val="0"/>
        <w:spacing w:line="360" w:lineRule="auto"/>
        <w:ind w:leftChars="0" w:firstLine="420" w:firstLineChars="200"/>
        <w:contextualSpacing/>
        <w:rPr>
          <w:rFonts w:ascii="宋体" w:hAnsi="宋体" w:cs="宋体"/>
          <w:kern w:val="0"/>
          <w:szCs w:val="21"/>
        </w:rPr>
      </w:pPr>
      <w:r>
        <w:rPr>
          <w:rFonts w:hint="eastAsia" w:ascii="宋体" w:hAnsi="宋体" w:cs="宋体"/>
          <w:kern w:val="0"/>
          <w:szCs w:val="21"/>
          <w:lang w:val="en-US" w:eastAsia="zh-CN"/>
        </w:rPr>
        <w:t>9.</w:t>
      </w:r>
      <w:r>
        <w:rPr>
          <w:rFonts w:hint="eastAsia" w:ascii="宋体" w:hAnsi="宋体" w:cs="宋体"/>
          <w:kern w:val="0"/>
          <w:szCs w:val="21"/>
        </w:rPr>
        <w:t>招标文件构成</w:t>
      </w:r>
    </w:p>
    <w:p>
      <w:pPr>
        <w:pStyle w:val="37"/>
        <w:numPr>
          <w:ilvl w:val="0"/>
          <w:numId w:val="0"/>
        </w:numPr>
        <w:autoSpaceDE w:val="0"/>
        <w:autoSpaceDN w:val="0"/>
        <w:spacing w:line="360" w:lineRule="auto"/>
        <w:ind w:left="420" w:leftChars="0"/>
        <w:contextualSpacing/>
        <w:rPr>
          <w:rFonts w:ascii="宋体" w:hAnsi="宋体" w:cs="宋体"/>
          <w:kern w:val="0"/>
          <w:szCs w:val="21"/>
        </w:rPr>
      </w:pPr>
      <w:r>
        <w:rPr>
          <w:rFonts w:hint="eastAsia" w:ascii="宋体" w:hAnsi="宋体" w:cs="宋体"/>
          <w:kern w:val="0"/>
          <w:szCs w:val="21"/>
          <w:lang w:val="en-US" w:eastAsia="zh-CN"/>
        </w:rPr>
        <w:t>9.1</w:t>
      </w:r>
      <w:r>
        <w:rPr>
          <w:rFonts w:hint="eastAsia" w:ascii="宋体" w:hAnsi="宋体" w:cs="宋体"/>
          <w:kern w:val="0"/>
          <w:szCs w:val="21"/>
        </w:rPr>
        <w:t>招标文件由以下部分组成：</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（1）投标邀请（招标公告）</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（2）项目需求</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（3）投标人须知前附表</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（4）投标人须知</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（5）政府采购政策功能</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（6）资格审查与评标</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（7）合同条款及格式</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（8）投标文件有关格式</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（9）本项目招标文件的澄清、答复、修改、补充内容（如有的话）</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9.2</w:t>
      </w:r>
      <w:r>
        <w:rPr>
          <w:rFonts w:hint="eastAsia" w:ascii="宋体" w:hAnsi="宋体" w:cs="宋体"/>
          <w:kern w:val="0"/>
          <w:szCs w:val="21"/>
        </w:rPr>
        <w:t>投标人应认真阅读、并充分理解招标文件的全部内容（包括所有的补充、修改内容、重要</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事项、格式、条款和技术规范、参数及要求等），按招标文件要求和规定编制投标文件，并保证所提供的全部资料的真实性，否则有可能导致投标被拒绝，其风险由投标人自行承担。</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9.3</w:t>
      </w:r>
      <w:r>
        <w:rPr>
          <w:rFonts w:hint="eastAsia" w:ascii="宋体" w:hAnsi="宋体" w:cs="宋体"/>
          <w:kern w:val="0"/>
          <w:szCs w:val="21"/>
        </w:rPr>
        <w:t>投标人应认真了解本次招标的具体工作要求、工作范围以及职责，了解一切可能影响投标</w:t>
      </w:r>
    </w:p>
    <w:p>
      <w:pPr>
        <w:pStyle w:val="37"/>
        <w:numPr>
          <w:ilvl w:val="0"/>
          <w:numId w:val="0"/>
        </w:numPr>
        <w:autoSpaceDE w:val="0"/>
        <w:autoSpaceDN w:val="0"/>
        <w:spacing w:line="360" w:lineRule="auto"/>
        <w:contextualSpacing/>
        <w:rPr>
          <w:rFonts w:hint="eastAsia" w:ascii="宋体" w:hAnsi="宋体" w:cs="宋体"/>
          <w:kern w:val="0"/>
          <w:szCs w:val="21"/>
        </w:rPr>
      </w:pPr>
      <w:r>
        <w:rPr>
          <w:rFonts w:hint="eastAsia" w:ascii="宋体" w:hAnsi="宋体" w:cs="宋体"/>
          <w:kern w:val="0"/>
          <w:szCs w:val="21"/>
        </w:rPr>
        <w:t>报价的资料。一经中标，不得以不完全了解项目要求、项目情况等为借口而提出额外补偿等要求，否则，由此引起的一切后果由中标人负责。</w:t>
      </w:r>
    </w:p>
    <w:p>
      <w:pPr>
        <w:pStyle w:val="37"/>
        <w:numPr>
          <w:ilvl w:val="0"/>
          <w:numId w:val="0"/>
        </w:num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lang w:val="en-US" w:eastAsia="zh-CN"/>
        </w:rPr>
        <w:t>10.</w:t>
      </w:r>
      <w:r>
        <w:rPr>
          <w:rFonts w:hint="eastAsia" w:ascii="宋体" w:hAnsi="宋体" w:cs="宋体"/>
          <w:kern w:val="0"/>
          <w:szCs w:val="21"/>
        </w:rPr>
        <w:t>现场考察、开标前答疑会</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10.1</w:t>
      </w:r>
      <w:r>
        <w:rPr>
          <w:rFonts w:hint="eastAsia" w:ascii="宋体" w:hAnsi="宋体" w:cs="宋体"/>
          <w:kern w:val="0"/>
          <w:szCs w:val="21"/>
        </w:rPr>
        <w:t>招标人根据采购项目的具体情况，可以在招标文件公告期满后，组织已获取招标文件的</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潜在投标人现场考察或者召开开标前答疑会。</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10.2</w:t>
      </w:r>
      <w:r>
        <w:rPr>
          <w:rFonts w:hint="eastAsia" w:ascii="宋体" w:hAnsi="宋体" w:cs="宋体"/>
          <w:kern w:val="0"/>
          <w:szCs w:val="21"/>
        </w:rPr>
        <w:t>招标人组织现场考察或者召开答疑会的，应当在招标文件中载明，或者在招标文件公告</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期满后在财政部门指定的政府采购信息发布媒体和《全国公共资源交易平台（河南省·许昌市）》发布更正公告。</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10.3</w:t>
      </w:r>
      <w:r>
        <w:rPr>
          <w:rFonts w:hint="eastAsia" w:ascii="宋体" w:hAnsi="宋体" w:cs="宋体"/>
          <w:kern w:val="0"/>
          <w:szCs w:val="21"/>
        </w:rPr>
        <w:t>招标人在考察现场和开标前答疑会口头介绍的情况，除招标人事后形成书面记录、并以</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澄清或修改公告的形式发布、构成招标文件的组成部分以外，其他内容仅供投标人在编制投标文件时参考，招标人不对投标人据此作出的判断和决策负责。</w:t>
      </w:r>
    </w:p>
    <w:p>
      <w:pPr>
        <w:pStyle w:val="37"/>
        <w:numPr>
          <w:ilvl w:val="0"/>
          <w:numId w:val="0"/>
        </w:numPr>
        <w:autoSpaceDE w:val="0"/>
        <w:autoSpaceDN w:val="0"/>
        <w:spacing w:line="360" w:lineRule="auto"/>
        <w:ind w:left="420" w:leftChars="0"/>
        <w:contextualSpacing/>
        <w:rPr>
          <w:rFonts w:ascii="宋体" w:hAnsi="宋体" w:cs="宋体"/>
          <w:kern w:val="0"/>
          <w:szCs w:val="21"/>
        </w:rPr>
      </w:pPr>
      <w:r>
        <w:rPr>
          <w:rFonts w:hint="eastAsia" w:ascii="宋体" w:hAnsi="宋体" w:cs="宋体"/>
          <w:kern w:val="0"/>
          <w:szCs w:val="21"/>
          <w:lang w:val="en-US" w:eastAsia="zh-CN"/>
        </w:rPr>
        <w:t>10.4</w:t>
      </w:r>
      <w:r>
        <w:rPr>
          <w:rFonts w:hint="eastAsia" w:ascii="宋体" w:hAnsi="宋体" w:cs="宋体"/>
          <w:kern w:val="0"/>
          <w:szCs w:val="21"/>
        </w:rPr>
        <w:t>现场考察及参加开标前答疑会所发生的费用及一切责任由投标人自行承担。</w:t>
      </w:r>
    </w:p>
    <w:p>
      <w:pPr>
        <w:pStyle w:val="37"/>
        <w:numPr>
          <w:ilvl w:val="0"/>
          <w:numId w:val="0"/>
        </w:numPr>
        <w:autoSpaceDE w:val="0"/>
        <w:autoSpaceDN w:val="0"/>
        <w:spacing w:line="360" w:lineRule="auto"/>
        <w:ind w:leftChars="0" w:firstLine="420" w:firstLineChars="200"/>
        <w:contextualSpacing/>
        <w:rPr>
          <w:rFonts w:ascii="宋体" w:hAnsi="宋体" w:cs="宋体"/>
          <w:kern w:val="0"/>
          <w:szCs w:val="21"/>
        </w:rPr>
      </w:pPr>
      <w:r>
        <w:rPr>
          <w:rFonts w:hint="eastAsia" w:ascii="宋体" w:hAnsi="宋体" w:cs="宋体"/>
          <w:kern w:val="0"/>
          <w:szCs w:val="21"/>
          <w:lang w:val="en-US" w:eastAsia="zh-CN"/>
        </w:rPr>
        <w:t>11.</w:t>
      </w:r>
      <w:r>
        <w:rPr>
          <w:rFonts w:hint="eastAsia" w:ascii="宋体" w:hAnsi="宋体" w:cs="宋体"/>
          <w:kern w:val="0"/>
          <w:szCs w:val="21"/>
        </w:rPr>
        <w:t>招标文件的澄清或修改</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11.1</w:t>
      </w:r>
      <w:r>
        <w:rPr>
          <w:rFonts w:hint="eastAsia" w:ascii="宋体" w:hAnsi="宋体" w:cs="宋体"/>
          <w:kern w:val="0"/>
          <w:szCs w:val="21"/>
        </w:rPr>
        <w:t>在投标截止期前，无论出于何种原因，招标人可主动地或在解答潜在投标人提出的澄清</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问题时对招标文件进行修改。</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11.2</w:t>
      </w:r>
      <w:r>
        <w:rPr>
          <w:rFonts w:hint="eastAsia" w:ascii="宋体" w:hAnsi="宋体" w:cs="宋体"/>
          <w:kern w:val="0"/>
          <w:szCs w:val="21"/>
        </w:rPr>
        <w:t>招标人可以对已发出的招标文件进行必要的澄清或者修改。澄清或者修改的内容可能影</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响投标文件编制的，招标人将在投标截止时间</w:t>
      </w:r>
      <w:r>
        <w:rPr>
          <w:rFonts w:ascii="宋体" w:hAnsi="宋体" w:cs="宋体"/>
          <w:kern w:val="0"/>
          <w:szCs w:val="21"/>
        </w:rPr>
        <w:t>15</w:t>
      </w:r>
      <w:r>
        <w:rPr>
          <w:rFonts w:hint="eastAsia" w:ascii="宋体" w:hAnsi="宋体" w:cs="宋体"/>
          <w:kern w:val="0"/>
          <w:szCs w:val="21"/>
        </w:rPr>
        <w:t>日前，在财政部门指定的政府采购信息发布媒体和《全国公共资源交易平台（河南省·许昌市）》发布更正公告。</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11.3</w:t>
      </w:r>
      <w:r>
        <w:rPr>
          <w:rFonts w:hint="eastAsia" w:ascii="宋体" w:hAnsi="宋体" w:cs="宋体"/>
          <w:kern w:val="0"/>
          <w:szCs w:val="21"/>
        </w:rPr>
        <w:t>澄清或修改公告的内容为招标文件的组成部分，并对投标人具有约束力。当招标文件与</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澄清或修改公告就同一内容的表述不一致时，以最后发出的文件内容为准。</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11.4</w:t>
      </w:r>
      <w:r>
        <w:rPr>
          <w:rFonts w:hint="eastAsia" w:ascii="宋体" w:hAnsi="宋体" w:cs="宋体"/>
          <w:kern w:val="0"/>
          <w:szCs w:val="21"/>
        </w:rPr>
        <w:t>如果澄清或者修改发出的时间距规定的投标截止时间不足15日，招标人将顺延提交投标</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文件的截止时间。</w:t>
      </w:r>
    </w:p>
    <w:p>
      <w:pPr>
        <w:tabs>
          <w:tab w:val="left" w:pos="1260"/>
        </w:tabs>
        <w:autoSpaceDE w:val="0"/>
        <w:autoSpaceDN w:val="0"/>
        <w:spacing w:line="360" w:lineRule="auto"/>
        <w:contextualSpacing/>
        <w:jc w:val="center"/>
        <w:rPr>
          <w:rFonts w:ascii="宋体" w:hAnsi="宋体" w:cs="宋体"/>
          <w:kern w:val="0"/>
          <w:szCs w:val="21"/>
        </w:rPr>
      </w:pPr>
      <w:r>
        <w:rPr>
          <w:rFonts w:hint="eastAsia" w:ascii="宋体" w:hAnsi="宋体" w:cs="宋体"/>
          <w:kern w:val="0"/>
          <w:szCs w:val="21"/>
        </w:rPr>
        <w:t>三、投标文件的编制</w:t>
      </w:r>
    </w:p>
    <w:p>
      <w:pPr>
        <w:pStyle w:val="37"/>
        <w:numPr>
          <w:ilvl w:val="0"/>
          <w:numId w:val="0"/>
        </w:numPr>
        <w:autoSpaceDE w:val="0"/>
        <w:autoSpaceDN w:val="0"/>
        <w:spacing w:line="360" w:lineRule="auto"/>
        <w:ind w:leftChars="0" w:firstLine="420" w:firstLineChars="200"/>
        <w:contextualSpacing/>
        <w:rPr>
          <w:rFonts w:ascii="宋体" w:hAnsi="宋体" w:cs="宋体"/>
          <w:kern w:val="0"/>
          <w:szCs w:val="21"/>
        </w:rPr>
      </w:pPr>
      <w:r>
        <w:rPr>
          <w:rFonts w:hint="eastAsia" w:ascii="宋体" w:hAnsi="宋体" w:cs="宋体"/>
          <w:kern w:val="0"/>
          <w:szCs w:val="21"/>
          <w:lang w:val="en-US" w:eastAsia="zh-CN"/>
        </w:rPr>
        <w:t>12.</w:t>
      </w:r>
      <w:r>
        <w:rPr>
          <w:rFonts w:hint="eastAsia" w:ascii="宋体" w:hAnsi="宋体" w:cs="宋体"/>
          <w:kern w:val="0"/>
          <w:szCs w:val="21"/>
        </w:rPr>
        <w:t>投标的语言及计量单位</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12.1</w:t>
      </w:r>
      <w:r>
        <w:rPr>
          <w:rFonts w:hint="eastAsia" w:ascii="宋体" w:hAnsi="宋体" w:cs="宋体"/>
          <w:kern w:val="0"/>
          <w:szCs w:val="21"/>
        </w:rPr>
        <w:t>投标人提交的投标文件以及投标人与招标人就有关投标事宜的所有来往书面文件均应使</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用中文。除签名、盖章、专用名称等特殊情形外，以中文以外的文字表述的投标文件视同未提供。</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12.2</w:t>
      </w:r>
      <w:r>
        <w:rPr>
          <w:rFonts w:hint="eastAsia" w:ascii="宋体" w:hAnsi="宋体" w:cs="宋体"/>
          <w:kern w:val="0"/>
          <w:szCs w:val="21"/>
        </w:rPr>
        <w:t>投标计量单位，招标文件已有明确规定的，使用招标文件规定的计量单位；招标文件没</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有规定的，一律采用中华人民共和国法定计量单位。</w:t>
      </w:r>
    </w:p>
    <w:p>
      <w:pPr>
        <w:pStyle w:val="37"/>
        <w:numPr>
          <w:ilvl w:val="0"/>
          <w:numId w:val="0"/>
        </w:numPr>
        <w:autoSpaceDE w:val="0"/>
        <w:autoSpaceDN w:val="0"/>
        <w:spacing w:line="360" w:lineRule="auto"/>
        <w:ind w:leftChars="0" w:firstLine="420" w:firstLineChars="200"/>
        <w:contextualSpacing/>
        <w:rPr>
          <w:rFonts w:ascii="宋体" w:hAnsi="宋体" w:cs="宋体"/>
          <w:kern w:val="0"/>
          <w:szCs w:val="21"/>
        </w:rPr>
      </w:pPr>
      <w:r>
        <w:rPr>
          <w:rFonts w:hint="eastAsia" w:ascii="宋体" w:hAnsi="宋体" w:cs="宋体"/>
          <w:kern w:val="0"/>
          <w:szCs w:val="21"/>
          <w:lang w:val="en-US" w:eastAsia="zh-CN"/>
        </w:rPr>
        <w:t>13.</w:t>
      </w:r>
      <w:r>
        <w:rPr>
          <w:rFonts w:hint="eastAsia" w:ascii="宋体" w:hAnsi="宋体" w:cs="宋体"/>
          <w:kern w:val="0"/>
          <w:szCs w:val="21"/>
        </w:rPr>
        <w:t>投标报价</w:t>
      </w:r>
      <w:r>
        <w:rPr>
          <w:rFonts w:ascii="宋体" w:hAnsi="宋体" w:cs="宋体"/>
          <w:kern w:val="0"/>
          <w:szCs w:val="21"/>
        </w:rPr>
        <w:t xml:space="preserve"> </w:t>
      </w:r>
    </w:p>
    <w:p>
      <w:pPr>
        <w:pStyle w:val="37"/>
        <w:numPr>
          <w:ilvl w:val="0"/>
          <w:numId w:val="0"/>
        </w:numPr>
        <w:autoSpaceDE w:val="0"/>
        <w:autoSpaceDN w:val="0"/>
        <w:spacing w:line="360" w:lineRule="auto"/>
        <w:ind w:left="420" w:leftChars="0"/>
        <w:contextualSpacing/>
        <w:rPr>
          <w:rFonts w:ascii="宋体" w:hAnsi="宋体" w:cs="宋体"/>
          <w:kern w:val="0"/>
          <w:szCs w:val="21"/>
        </w:rPr>
      </w:pPr>
      <w:r>
        <w:rPr>
          <w:rFonts w:hint="eastAsia" w:ascii="宋体" w:hAnsi="宋体" w:cs="宋体"/>
          <w:kern w:val="0"/>
          <w:szCs w:val="21"/>
          <w:lang w:val="en-US" w:eastAsia="zh-CN"/>
        </w:rPr>
        <w:t>13.1</w:t>
      </w:r>
      <w:r>
        <w:rPr>
          <w:rFonts w:hint="eastAsia" w:ascii="宋体" w:hAnsi="宋体" w:cs="宋体"/>
          <w:kern w:val="0"/>
          <w:szCs w:val="21"/>
        </w:rPr>
        <w:t>本次招标项目的投标均以人民币为计算单位。</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13.2</w:t>
      </w:r>
      <w:r>
        <w:rPr>
          <w:rFonts w:hint="eastAsia" w:ascii="宋体" w:hAnsi="宋体" w:cs="宋体"/>
          <w:kern w:val="0"/>
          <w:szCs w:val="21"/>
        </w:rPr>
        <w:t>采购人不得向投标人索要或者接受其给予的赠品、回扣或者与采购无关的其他商品、服</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务。</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13.3</w:t>
      </w:r>
      <w:r>
        <w:rPr>
          <w:rFonts w:hint="eastAsia" w:ascii="宋体" w:hAnsi="宋体" w:cs="宋体"/>
          <w:kern w:val="0"/>
          <w:szCs w:val="21"/>
        </w:rPr>
        <w:t>投标人应对项目要求的全部内容进行报价，少报漏报将导致其投标为非实质性响应予以</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拒绝。</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13.4</w:t>
      </w:r>
      <w:r>
        <w:rPr>
          <w:rFonts w:hint="eastAsia" w:ascii="宋体" w:hAnsi="宋体" w:cs="宋体"/>
          <w:kern w:val="0"/>
          <w:szCs w:val="21"/>
        </w:rPr>
        <w:t>投标人应当按照国家相关规定，结合自身服务水平和承受能力进行报价。投标报价应是</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13.5</w:t>
      </w:r>
      <w:r>
        <w:rPr>
          <w:rFonts w:hint="eastAsia" w:ascii="宋体" w:hAnsi="宋体" w:cs="宋体"/>
          <w:kern w:val="0"/>
          <w:szCs w:val="21"/>
        </w:rPr>
        <w:t>本项目所涉及的运输、施工、安装、集成、调试、验收、备品和工具等费用均包含在投</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标报价中。</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13.6</w:t>
      </w:r>
      <w:r>
        <w:rPr>
          <w:rFonts w:hint="eastAsia" w:ascii="宋体" w:hAnsi="宋体" w:cs="宋体"/>
          <w:kern w:val="0"/>
          <w:szCs w:val="21"/>
        </w:rPr>
        <w:t>本次招标不接受可选择或可调整的投标方案和报价，任何有选择的或可调整的投标方案</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和报价将被视为非实质性响应投标而作无效投标处理。</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13.7</w:t>
      </w:r>
      <w:r>
        <w:rPr>
          <w:rFonts w:hint="eastAsia" w:ascii="宋体" w:hAnsi="宋体" w:cs="宋体"/>
          <w:kern w:val="0"/>
          <w:szCs w:val="21"/>
        </w:rPr>
        <w:t>报价不得高于本项目最高限价，且不低于成本价。本次招标实行“最高限价（项目控制</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金额上限）”,投标人的投标报价高于最高限价（项目控制金额上限）的，该投标人的投标文件将被视为非实质性响应予以拒绝。</w:t>
      </w:r>
    </w:p>
    <w:p>
      <w:pPr>
        <w:pStyle w:val="37"/>
        <w:numPr>
          <w:ilvl w:val="0"/>
          <w:numId w:val="0"/>
        </w:numPr>
        <w:autoSpaceDE w:val="0"/>
        <w:autoSpaceDN w:val="0"/>
        <w:spacing w:line="360" w:lineRule="auto"/>
        <w:ind w:left="420" w:leftChars="0"/>
        <w:contextualSpacing/>
        <w:rPr>
          <w:rFonts w:ascii="宋体" w:hAnsi="宋体" w:cs="宋体"/>
          <w:kern w:val="0"/>
          <w:szCs w:val="21"/>
        </w:rPr>
      </w:pPr>
      <w:r>
        <w:rPr>
          <w:rFonts w:hint="eastAsia" w:ascii="宋体" w:hAnsi="宋体" w:cs="宋体"/>
          <w:kern w:val="0"/>
          <w:szCs w:val="21"/>
          <w:lang w:val="en-US" w:eastAsia="zh-CN"/>
        </w:rPr>
        <w:t>13.8</w:t>
      </w:r>
      <w:r>
        <w:rPr>
          <w:rFonts w:hint="eastAsia" w:ascii="宋体" w:hAnsi="宋体" w:cs="宋体"/>
          <w:kern w:val="0"/>
          <w:szCs w:val="21"/>
        </w:rPr>
        <w:t>最低报价不能作为中标的保证。</w:t>
      </w:r>
    </w:p>
    <w:p>
      <w:pPr>
        <w:pStyle w:val="37"/>
        <w:numPr>
          <w:ilvl w:val="0"/>
          <w:numId w:val="0"/>
        </w:numPr>
        <w:autoSpaceDE w:val="0"/>
        <w:autoSpaceDN w:val="0"/>
        <w:spacing w:line="360" w:lineRule="auto"/>
        <w:ind w:leftChars="0" w:firstLine="420" w:firstLineChars="200"/>
        <w:contextualSpacing/>
        <w:rPr>
          <w:rFonts w:ascii="宋体" w:hAnsi="宋体" w:cs="宋体"/>
          <w:kern w:val="0"/>
          <w:szCs w:val="21"/>
        </w:rPr>
      </w:pPr>
      <w:r>
        <w:rPr>
          <w:rFonts w:hint="eastAsia" w:ascii="宋体" w:hAnsi="宋体" w:cs="宋体"/>
          <w:kern w:val="0"/>
          <w:szCs w:val="21"/>
          <w:lang w:val="en-US" w:eastAsia="zh-CN"/>
        </w:rPr>
        <w:t>14.</w:t>
      </w:r>
      <w:r>
        <w:rPr>
          <w:rFonts w:hint="eastAsia" w:ascii="宋体" w:hAnsi="宋体" w:cs="宋体"/>
          <w:kern w:val="0"/>
          <w:szCs w:val="21"/>
        </w:rPr>
        <w:t>投标有效期</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14.1</w:t>
      </w:r>
      <w:r>
        <w:rPr>
          <w:rFonts w:hint="eastAsia" w:ascii="宋体" w:hAnsi="宋体" w:cs="宋体"/>
          <w:kern w:val="0"/>
          <w:szCs w:val="21"/>
        </w:rPr>
        <w:t>投标有效期从提交投标文件的截止之日起算。本项目投标有效期详见投标人须知前附表。</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投标文件中承诺的投标有效期应当不少于“投标人须知前附表”载明的投标有效期。投标有效期比招标文件规定短的属于非实质性响应，将被认定为无效投标。</w:t>
      </w:r>
    </w:p>
    <w:p>
      <w:pPr>
        <w:pStyle w:val="37"/>
        <w:numPr>
          <w:ilvl w:val="0"/>
          <w:numId w:val="0"/>
        </w:numPr>
        <w:autoSpaceDE w:val="0"/>
        <w:autoSpaceDN w:val="0"/>
        <w:spacing w:line="360" w:lineRule="auto"/>
        <w:ind w:left="420" w:leftChars="0"/>
        <w:contextualSpacing/>
        <w:rPr>
          <w:rFonts w:ascii="宋体" w:hAnsi="宋体" w:cs="宋体"/>
          <w:kern w:val="0"/>
          <w:szCs w:val="21"/>
        </w:rPr>
      </w:pPr>
      <w:r>
        <w:rPr>
          <w:rFonts w:hint="eastAsia" w:ascii="宋体" w:hAnsi="宋体" w:cs="宋体"/>
          <w:kern w:val="0"/>
          <w:szCs w:val="21"/>
          <w:lang w:val="en-US" w:eastAsia="zh-CN"/>
        </w:rPr>
        <w:t>14.2</w:t>
      </w:r>
      <w:r>
        <w:rPr>
          <w:rFonts w:hint="eastAsia" w:ascii="宋体" w:hAnsi="宋体" w:cs="宋体"/>
          <w:kern w:val="0"/>
          <w:szCs w:val="21"/>
        </w:rPr>
        <w:t>投标有效期内投标人撤销投标文件的，招标人将不退还投标保证金。</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14.3</w:t>
      </w:r>
      <w:r>
        <w:rPr>
          <w:rFonts w:hint="eastAsia" w:ascii="宋体" w:hAnsi="宋体" w:cs="宋体"/>
          <w:kern w:val="0"/>
          <w:szCs w:val="21"/>
        </w:rPr>
        <w:t>特殊情况下，在原投标有效期截止之前，招标人可要求投标人延长投标有效期。这种要</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37"/>
        <w:numPr>
          <w:ilvl w:val="0"/>
          <w:numId w:val="0"/>
        </w:numPr>
        <w:autoSpaceDE w:val="0"/>
        <w:autoSpaceDN w:val="0"/>
        <w:spacing w:line="360" w:lineRule="auto"/>
        <w:ind w:left="420" w:leftChars="0"/>
        <w:contextualSpacing/>
        <w:rPr>
          <w:rFonts w:ascii="宋体" w:hAnsi="宋体" w:cs="宋体"/>
          <w:kern w:val="0"/>
          <w:szCs w:val="21"/>
        </w:rPr>
      </w:pPr>
      <w:r>
        <w:rPr>
          <w:rFonts w:hint="eastAsia" w:ascii="宋体" w:hAnsi="宋体" w:cs="宋体"/>
          <w:kern w:val="0"/>
          <w:szCs w:val="21"/>
          <w:lang w:val="en-US" w:eastAsia="zh-CN"/>
        </w:rPr>
        <w:t>14.4</w:t>
      </w:r>
      <w:r>
        <w:rPr>
          <w:rFonts w:hint="eastAsia" w:ascii="宋体" w:hAnsi="宋体" w:cs="宋体"/>
          <w:kern w:val="0"/>
          <w:szCs w:val="21"/>
        </w:rPr>
        <w:t>中标人的投标文件作为项目合同的附件，其有效期至中标人全部合同义务履行完毕为止。</w:t>
      </w:r>
    </w:p>
    <w:p>
      <w:pPr>
        <w:pStyle w:val="37"/>
        <w:numPr>
          <w:ilvl w:val="0"/>
          <w:numId w:val="0"/>
        </w:numPr>
        <w:autoSpaceDE w:val="0"/>
        <w:autoSpaceDN w:val="0"/>
        <w:spacing w:line="360" w:lineRule="auto"/>
        <w:ind w:leftChars="0" w:firstLine="420" w:firstLineChars="200"/>
        <w:contextualSpacing/>
        <w:rPr>
          <w:rFonts w:ascii="宋体" w:hAnsi="宋体" w:cs="宋体"/>
          <w:kern w:val="0"/>
          <w:szCs w:val="21"/>
        </w:rPr>
      </w:pPr>
      <w:r>
        <w:rPr>
          <w:rFonts w:hint="eastAsia" w:ascii="宋体" w:hAnsi="宋体" w:cs="宋体"/>
          <w:kern w:val="0"/>
          <w:szCs w:val="21"/>
          <w:lang w:val="en-US" w:eastAsia="zh-CN"/>
        </w:rPr>
        <w:t>15.</w:t>
      </w:r>
      <w:r>
        <w:rPr>
          <w:rFonts w:hint="eastAsia" w:ascii="宋体" w:hAnsi="宋体" w:cs="宋体"/>
          <w:kern w:val="0"/>
          <w:szCs w:val="21"/>
        </w:rPr>
        <w:t>投标文件构成</w:t>
      </w:r>
    </w:p>
    <w:p>
      <w:pPr>
        <w:pStyle w:val="37"/>
        <w:numPr>
          <w:ilvl w:val="0"/>
          <w:numId w:val="0"/>
        </w:num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lang w:val="en-US" w:eastAsia="zh-CN"/>
        </w:rPr>
        <w:t>15.1</w:t>
      </w:r>
      <w:r>
        <w:rPr>
          <w:rFonts w:hint="eastAsia" w:ascii="宋体" w:hAnsi="宋体" w:cs="宋体"/>
          <w:kern w:val="0"/>
          <w:szCs w:val="21"/>
        </w:rPr>
        <w:t>投标文件的构成应符合法律法规及招标文件的要求。</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15.2</w:t>
      </w:r>
      <w:r>
        <w:rPr>
          <w:rFonts w:hint="eastAsia" w:ascii="宋体" w:hAnsi="宋体" w:cs="宋体"/>
          <w:kern w:val="0"/>
          <w:szCs w:val="21"/>
        </w:rPr>
        <w:t>投标人应当按照招标文件的要求编制投标文件。投标文件应当对招标文件提出的要求和</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条件作出明确响应。</w:t>
      </w:r>
    </w:p>
    <w:p>
      <w:pPr>
        <w:pStyle w:val="37"/>
        <w:numPr>
          <w:ilvl w:val="0"/>
          <w:numId w:val="0"/>
        </w:numPr>
        <w:autoSpaceDE w:val="0"/>
        <w:autoSpaceDN w:val="0"/>
        <w:spacing w:line="360" w:lineRule="auto"/>
        <w:ind w:left="420" w:leftChars="0"/>
        <w:contextualSpacing/>
        <w:rPr>
          <w:rFonts w:ascii="宋体" w:hAnsi="宋体" w:cs="宋体"/>
          <w:kern w:val="0"/>
          <w:szCs w:val="21"/>
        </w:rPr>
      </w:pPr>
      <w:r>
        <w:rPr>
          <w:rFonts w:hint="eastAsia" w:ascii="宋体" w:hAnsi="宋体" w:cs="宋体"/>
          <w:kern w:val="0"/>
          <w:szCs w:val="21"/>
          <w:lang w:val="en-US" w:eastAsia="zh-CN"/>
        </w:rPr>
        <w:t>15.3</w:t>
      </w:r>
      <w:r>
        <w:rPr>
          <w:rFonts w:hint="eastAsia" w:ascii="宋体" w:hAnsi="宋体" w:cs="宋体"/>
          <w:kern w:val="0"/>
          <w:szCs w:val="21"/>
        </w:rPr>
        <w:t>投标文件由资格证明材料、符合性证明材料、其它材料等组成。</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15.4</w:t>
      </w:r>
      <w:r>
        <w:rPr>
          <w:rFonts w:hint="eastAsia" w:ascii="宋体" w:hAnsi="宋体" w:cs="宋体"/>
          <w:kern w:val="0"/>
          <w:szCs w:val="21"/>
        </w:rPr>
        <w:t>投标人根据招标文件的规定和采购项目的实际情况，拟在中标后将中标项目的非主体、</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非关键性工作分包的，应当在投标文件中载明分包承担主体，分包承担主体应当具备相应资质条件且不得再次分包。</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15.5</w:t>
      </w:r>
      <w:r>
        <w:rPr>
          <w:rFonts w:hint="eastAsia" w:ascii="宋体" w:hAnsi="宋体" w:cs="宋体"/>
          <w:kern w:val="0"/>
          <w:szCs w:val="21"/>
        </w:rPr>
        <w:t>投标人登录许昌公共资源交易系统下载“许昌投标文件制作系统SEARUN V1.0”，按招标</w:t>
      </w:r>
    </w:p>
    <w:p>
      <w:pPr>
        <w:pStyle w:val="37"/>
        <w:numPr>
          <w:ilvl w:val="0"/>
          <w:numId w:val="0"/>
        </w:numPr>
        <w:autoSpaceDE w:val="0"/>
        <w:autoSpaceDN w:val="0"/>
        <w:spacing w:line="360" w:lineRule="auto"/>
        <w:contextualSpacing/>
        <w:rPr>
          <w:rFonts w:hint="eastAsia" w:ascii="宋体" w:hAnsi="宋体" w:cs="宋体"/>
          <w:kern w:val="0"/>
          <w:szCs w:val="21"/>
        </w:rPr>
      </w:pPr>
      <w:r>
        <w:rPr>
          <w:rFonts w:hint="eastAsia" w:ascii="宋体" w:hAnsi="宋体" w:cs="宋体"/>
          <w:kern w:val="0"/>
          <w:szCs w:val="21"/>
        </w:rPr>
        <w:t>文件要求根据所投标段制作电子投标文件。 一个标段对应生成一个文件夹（xxxx项目xx标段）, 其中包含2个文件和1个文件夹。后缀名为“</w:t>
      </w:r>
      <w:r>
        <w:rPr>
          <w:rFonts w:ascii="宋体" w:hAnsi="宋体" w:cs="宋体"/>
          <w:kern w:val="0"/>
          <w:szCs w:val="21"/>
        </w:rPr>
        <w:t>.file</w:t>
      </w:r>
      <w:r>
        <w:rPr>
          <w:rFonts w:hint="eastAsia" w:ascii="宋体" w:hAnsi="宋体" w:cs="宋体"/>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电子投标文件制作技术咨询：0374-2961598。</w:t>
      </w:r>
    </w:p>
    <w:p>
      <w:pPr>
        <w:pStyle w:val="37"/>
        <w:numPr>
          <w:ilvl w:val="0"/>
          <w:numId w:val="0"/>
        </w:numPr>
        <w:autoSpaceDE w:val="0"/>
        <w:autoSpaceDN w:val="0"/>
        <w:spacing w:line="360" w:lineRule="auto"/>
        <w:ind w:leftChars="0" w:firstLine="420" w:firstLineChars="200"/>
        <w:contextualSpacing/>
        <w:rPr>
          <w:rFonts w:ascii="宋体" w:hAnsi="宋体" w:cs="宋体"/>
          <w:kern w:val="0"/>
          <w:szCs w:val="21"/>
        </w:rPr>
      </w:pPr>
      <w:r>
        <w:rPr>
          <w:rFonts w:hint="eastAsia" w:ascii="宋体" w:hAnsi="宋体" w:cs="宋体"/>
          <w:kern w:val="0"/>
          <w:szCs w:val="21"/>
          <w:lang w:val="en-US" w:eastAsia="zh-CN"/>
        </w:rPr>
        <w:t>16.</w:t>
      </w:r>
      <w:r>
        <w:rPr>
          <w:rFonts w:hint="eastAsia" w:ascii="宋体" w:hAnsi="宋体" w:cs="宋体"/>
          <w:kern w:val="0"/>
          <w:szCs w:val="21"/>
        </w:rPr>
        <w:t>投标文件格式</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16.1</w:t>
      </w:r>
      <w:r>
        <w:rPr>
          <w:rFonts w:hint="eastAsia" w:ascii="宋体" w:hAnsi="宋体" w:cs="宋体"/>
          <w:kern w:val="0"/>
          <w:szCs w:val="21"/>
        </w:rPr>
        <w:t>投标文件应参照招标文件第七部分（投标文件有关格式）的内容要求、编排顺序和格式</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要求，投标人应按照以上要求将投标文件编上唯一的连贯页码并以A4幅面装订成册，并在投标文件封面上注明：正本/副本、所投项目名称、项目编号、投标人名称、日期等字样。</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16.2</w:t>
      </w:r>
      <w:r>
        <w:rPr>
          <w:rFonts w:hint="eastAsia" w:ascii="宋体" w:hAnsi="宋体" w:cs="宋体"/>
          <w:kern w:val="0"/>
          <w:szCs w:val="21"/>
        </w:rPr>
        <w:t>投标人应按招标文件提供的格式编写投标文件。招标文件未提供标准格式的投标人可自</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行拟定。</w:t>
      </w:r>
    </w:p>
    <w:p>
      <w:pPr>
        <w:pStyle w:val="37"/>
        <w:numPr>
          <w:ilvl w:val="0"/>
          <w:numId w:val="0"/>
        </w:numPr>
        <w:autoSpaceDE w:val="0"/>
        <w:autoSpaceDN w:val="0"/>
        <w:spacing w:line="360" w:lineRule="auto"/>
        <w:ind w:leftChars="0" w:firstLine="420" w:firstLineChars="200"/>
        <w:contextualSpacing/>
        <w:rPr>
          <w:rFonts w:ascii="宋体" w:hAnsi="宋体" w:cs="宋体"/>
          <w:color w:val="000000"/>
          <w:kern w:val="0"/>
          <w:szCs w:val="21"/>
        </w:rPr>
      </w:pPr>
      <w:r>
        <w:rPr>
          <w:rFonts w:hint="eastAsia" w:ascii="宋体" w:hAnsi="宋体" w:cs="宋体"/>
          <w:color w:val="000000"/>
          <w:kern w:val="0"/>
          <w:szCs w:val="21"/>
          <w:lang w:val="en-US" w:eastAsia="zh-CN"/>
        </w:rPr>
        <w:t>17.</w:t>
      </w:r>
      <w:r>
        <w:rPr>
          <w:rFonts w:hint="eastAsia" w:ascii="宋体" w:hAnsi="宋体" w:cs="宋体"/>
          <w:color w:val="000000"/>
          <w:kern w:val="0"/>
          <w:szCs w:val="21"/>
        </w:rPr>
        <w:t>投标保证金</w:t>
      </w:r>
    </w:p>
    <w:p>
      <w:pPr>
        <w:pStyle w:val="37"/>
        <w:numPr>
          <w:ilvl w:val="0"/>
          <w:numId w:val="0"/>
        </w:numPr>
        <w:autoSpaceDE w:val="0"/>
        <w:autoSpaceDN w:val="0"/>
        <w:spacing w:line="360" w:lineRule="auto"/>
        <w:ind w:left="420" w:leftChars="0"/>
        <w:contextualSpacing/>
        <w:rPr>
          <w:rFonts w:ascii="宋体" w:hAnsi="宋体" w:cs="宋体"/>
          <w:color w:val="000000"/>
          <w:kern w:val="0"/>
          <w:szCs w:val="21"/>
        </w:rPr>
      </w:pPr>
      <w:r>
        <w:rPr>
          <w:rFonts w:hint="eastAsia" w:ascii="宋体" w:hAnsi="宋体" w:cs="宋体"/>
          <w:color w:val="000000"/>
          <w:kern w:val="0"/>
          <w:szCs w:val="21"/>
          <w:lang w:val="en-US" w:eastAsia="zh-CN"/>
        </w:rPr>
        <w:t>17.1</w:t>
      </w:r>
      <w:r>
        <w:rPr>
          <w:rFonts w:hint="eastAsia" w:ascii="宋体" w:hAnsi="宋体" w:cs="宋体"/>
          <w:color w:val="000000"/>
          <w:kern w:val="0"/>
          <w:szCs w:val="21"/>
        </w:rPr>
        <w:t>投标保证金的缴纳</w:t>
      </w:r>
    </w:p>
    <w:p>
      <w:pPr>
        <w:numPr>
          <w:ilvl w:val="0"/>
          <w:numId w:val="0"/>
        </w:numPr>
        <w:autoSpaceDE w:val="0"/>
        <w:autoSpaceDN w:val="0"/>
        <w:spacing w:line="360" w:lineRule="auto"/>
        <w:ind w:firstLine="420" w:firstLineChars="200"/>
        <w:contextualSpacing/>
        <w:rPr>
          <w:rFonts w:ascii="宋体" w:hAnsi="宋体" w:cs="宋体"/>
          <w:color w:val="000000"/>
          <w:kern w:val="0"/>
          <w:szCs w:val="21"/>
        </w:rPr>
      </w:pP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1</w:t>
      </w:r>
      <w:r>
        <w:rPr>
          <w:rFonts w:hint="eastAsia" w:ascii="宋体" w:hAnsi="宋体" w:cs="宋体"/>
          <w:color w:val="000000"/>
          <w:kern w:val="0"/>
          <w:szCs w:val="21"/>
          <w:lang w:eastAsia="zh-CN"/>
        </w:rPr>
        <w:t>）</w:t>
      </w:r>
      <w:r>
        <w:rPr>
          <w:rFonts w:hint="eastAsia" w:ascii="宋体" w:hAnsi="宋体" w:cs="宋体"/>
          <w:color w:val="000000"/>
          <w:kern w:val="0"/>
          <w:szCs w:val="21"/>
        </w:rPr>
        <w:t>投标人应按“投标人须知前附表”规定时间及金额提交投标保证金，并作为其投标的一部分。未按要求提交投标保证金的投标文件为无效投标。</w:t>
      </w:r>
    </w:p>
    <w:p>
      <w:pPr>
        <w:autoSpaceDE w:val="0"/>
        <w:autoSpaceDN w:val="0"/>
        <w:spacing w:line="360" w:lineRule="auto"/>
        <w:ind w:firstLine="420" w:firstLineChars="200"/>
        <w:contextualSpacing/>
        <w:rPr>
          <w:rFonts w:ascii="宋体" w:hAnsi="宋体" w:cs="宋体"/>
          <w:color w:val="000000"/>
          <w:kern w:val="0"/>
          <w:szCs w:val="21"/>
        </w:rPr>
      </w:pPr>
      <w:r>
        <w:rPr>
          <w:rFonts w:hint="eastAsia" w:ascii="宋体" w:hAnsi="宋体" w:cs="宋体"/>
          <w:color w:val="000000"/>
          <w:kern w:val="0"/>
          <w:szCs w:val="21"/>
        </w:rPr>
        <w:t>（2）投标保证金用于避免和减少本次招标由于投标人的行为而给采购人带来的损失。</w:t>
      </w:r>
    </w:p>
    <w:p>
      <w:pPr>
        <w:autoSpaceDE w:val="0"/>
        <w:autoSpaceDN w:val="0"/>
        <w:spacing w:line="360" w:lineRule="auto"/>
        <w:ind w:firstLine="420" w:firstLineChars="200"/>
        <w:contextualSpacing/>
        <w:rPr>
          <w:rFonts w:ascii="宋体" w:hAnsi="宋体" w:cs="宋体"/>
          <w:color w:val="000000"/>
          <w:kern w:val="0"/>
          <w:szCs w:val="21"/>
        </w:rPr>
      </w:pPr>
      <w:r>
        <w:rPr>
          <w:rFonts w:hint="eastAsia" w:ascii="宋体" w:hAnsi="宋体" w:cs="宋体"/>
          <w:color w:val="000000"/>
          <w:kern w:val="0"/>
          <w:szCs w:val="21"/>
        </w:rPr>
        <w:t xml:space="preserve">（3）投标保证金的递交方式：银行转帐、银行电汇（均需从投标人注册银行账户转出），不接受以现金方式缴纳的投标保证金。凡以现金方式缴纳投标保证金而影响其投标结果的，由投标人自行负责。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firstLine="420" w:firstLineChars="200"/>
        <w:contextualSpacing/>
        <w:rPr>
          <w:rFonts w:ascii="宋体" w:hAnsi="宋体" w:cs="宋体"/>
          <w:color w:val="000000"/>
          <w:kern w:val="0"/>
          <w:szCs w:val="21"/>
        </w:rPr>
      </w:pPr>
      <w:r>
        <w:rPr>
          <w:rFonts w:hint="eastAsia" w:ascii="宋体" w:hAnsi="宋体" w:cs="宋体"/>
          <w:color w:val="000000"/>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firstLine="420" w:firstLineChars="200"/>
        <w:contextualSpacing/>
        <w:rPr>
          <w:rFonts w:ascii="宋体" w:hAnsi="宋体" w:cs="宋体"/>
          <w:color w:val="000000"/>
          <w:kern w:val="0"/>
          <w:szCs w:val="21"/>
        </w:rPr>
      </w:pPr>
      <w:r>
        <w:rPr>
          <w:rFonts w:hint="eastAsia" w:ascii="宋体" w:hAnsi="宋体" w:cs="宋体"/>
          <w:color w:val="000000"/>
          <w:kern w:val="0"/>
          <w:szCs w:val="21"/>
        </w:rPr>
        <w:t>（5）投标保证金缴纳方式：</w:t>
      </w:r>
    </w:p>
    <w:p>
      <w:pPr>
        <w:autoSpaceDE w:val="0"/>
        <w:autoSpaceDN w:val="0"/>
        <w:spacing w:line="360" w:lineRule="auto"/>
        <w:ind w:left="964"/>
        <w:contextualSpacing/>
        <w:rPr>
          <w:rFonts w:hint="eastAsia" w:ascii="宋体" w:hAnsi="宋体" w:cs="宋体"/>
          <w:color w:val="000000"/>
          <w:kern w:val="0"/>
          <w:szCs w:val="21"/>
        </w:rPr>
      </w:pPr>
      <w:r>
        <w:rPr>
          <w:rFonts w:hint="eastAsia" w:ascii="宋体" w:hAnsi="宋体" w:cs="宋体"/>
          <w:color w:val="000000"/>
          <w:kern w:val="0"/>
          <w:szCs w:val="21"/>
        </w:rPr>
        <w:t>a. 投标人网上下载招标文件后，登录</w:t>
      </w:r>
      <w:r>
        <w:fldChar w:fldCharType="begin"/>
      </w:r>
      <w:r>
        <w:instrText xml:space="preserve"> HYPERLINK "http://221.14.6.70:8088/ggzy" </w:instrText>
      </w:r>
      <w:r>
        <w:fldChar w:fldCharType="separate"/>
      </w:r>
      <w:r>
        <w:rPr>
          <w:rFonts w:hint="eastAsia" w:ascii="宋体" w:hAnsi="宋体" w:cs="宋体"/>
          <w:color w:val="000000"/>
          <w:kern w:val="0"/>
          <w:szCs w:val="21"/>
        </w:rPr>
        <w:t>http://221.14.6.70:8088/ggzy</w:t>
      </w:r>
      <w:r>
        <w:rPr>
          <w:rFonts w:hint="eastAsia" w:ascii="宋体" w:hAnsi="宋体" w:cs="宋体"/>
          <w:color w:val="000000"/>
          <w:kern w:val="0"/>
          <w:szCs w:val="21"/>
        </w:rPr>
        <w:fldChar w:fldCharType="end"/>
      </w:r>
      <w:r>
        <w:rPr>
          <w:rFonts w:hint="eastAsia" w:ascii="宋体" w:hAnsi="宋体" w:cs="宋体"/>
          <w:color w:val="000000"/>
          <w:kern w:val="0"/>
          <w:szCs w:val="21"/>
        </w:rPr>
        <w:t>系统，依次点击</w:t>
      </w:r>
    </w:p>
    <w:p>
      <w:pPr>
        <w:autoSpaceDE w:val="0"/>
        <w:autoSpaceDN w:val="0"/>
        <w:spacing w:line="360" w:lineRule="auto"/>
        <w:contextualSpacing/>
        <w:rPr>
          <w:rFonts w:ascii="宋体" w:hAnsi="宋体" w:cs="宋体"/>
          <w:color w:val="000000"/>
          <w:kern w:val="0"/>
          <w:szCs w:val="21"/>
        </w:rPr>
      </w:pPr>
      <w:r>
        <w:rPr>
          <w:rFonts w:hint="eastAsia" w:ascii="宋体" w:hAnsi="宋体" w:cs="宋体"/>
          <w:color w:val="000000"/>
          <w:kern w:val="0"/>
          <w:szCs w:val="21"/>
        </w:rPr>
        <w:t>“会员向导”→“参与投标”→“费用缴纳说明”→“保证金缴纳说明单”，获取缴费说明单，根据每个标段的缴纳说明单在缴纳截止时间前缴纳；</w:t>
      </w:r>
    </w:p>
    <w:p>
      <w:pPr>
        <w:autoSpaceDE w:val="0"/>
        <w:autoSpaceDN w:val="0"/>
        <w:spacing w:line="360" w:lineRule="auto"/>
        <w:ind w:firstLine="420" w:firstLineChars="200"/>
        <w:contextualSpacing/>
        <w:rPr>
          <w:rFonts w:ascii="宋体" w:hAnsi="宋体" w:cs="宋体"/>
          <w:color w:val="000000"/>
          <w:kern w:val="0"/>
          <w:szCs w:val="21"/>
        </w:rPr>
      </w:pPr>
      <w:r>
        <w:rPr>
          <w:rFonts w:hint="eastAsia" w:ascii="宋体" w:hAnsi="宋体" w:cs="宋体"/>
          <w:color w:val="000000"/>
          <w:kern w:val="0"/>
          <w:szCs w:val="21"/>
        </w:rPr>
        <w:t>b. 成功缴纳后重新登录前述系统，依次点击“会员向导”→“参与投标”→“保证金绑定”→“绑定”进行投标保证金绑定。</w:t>
      </w:r>
    </w:p>
    <w:p>
      <w:pPr>
        <w:autoSpaceDE w:val="0"/>
        <w:autoSpaceDN w:val="0"/>
        <w:spacing w:line="360" w:lineRule="auto"/>
        <w:ind w:firstLine="420" w:firstLineChars="200"/>
        <w:contextualSpacing/>
        <w:rPr>
          <w:rFonts w:ascii="宋体" w:hAnsi="宋体" w:cs="宋体"/>
          <w:color w:val="000000"/>
          <w:kern w:val="0"/>
          <w:szCs w:val="21"/>
        </w:rPr>
      </w:pPr>
      <w:r>
        <w:rPr>
          <w:rFonts w:hint="eastAsia" w:ascii="宋体" w:hAnsi="宋体" w:cs="宋体"/>
          <w:color w:val="000000"/>
          <w:kern w:val="0"/>
          <w:szCs w:val="21"/>
        </w:rPr>
        <w:t>c. 《保证金缴纳绑定操作指南》获取方法：登录许昌公共资源交易系统-组件下载-《保证金缴纳绑定操作指南》。</w:t>
      </w:r>
    </w:p>
    <w:p>
      <w:pPr>
        <w:autoSpaceDE w:val="0"/>
        <w:autoSpaceDN w:val="0"/>
        <w:spacing w:line="360" w:lineRule="auto"/>
        <w:ind w:firstLine="420" w:firstLineChars="200"/>
        <w:contextualSpacing/>
        <w:rPr>
          <w:rFonts w:ascii="宋体" w:hAnsi="宋体" w:cs="仿宋_GB2312"/>
          <w:color w:val="000000"/>
          <w:szCs w:val="21"/>
          <w:lang w:val="zh-CN"/>
        </w:rPr>
      </w:pPr>
      <w:r>
        <w:rPr>
          <w:rFonts w:hint="eastAsia" w:ascii="宋体" w:hAnsi="宋体" w:cs="宋体"/>
          <w:color w:val="000000"/>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firstLine="420" w:firstLineChars="200"/>
        <w:contextualSpacing/>
        <w:rPr>
          <w:rFonts w:ascii="宋体" w:hAnsi="宋体" w:cs="宋体"/>
          <w:color w:val="000000"/>
          <w:kern w:val="0"/>
          <w:szCs w:val="21"/>
        </w:rPr>
      </w:pPr>
      <w:r>
        <w:rPr>
          <w:rFonts w:hint="eastAsia" w:ascii="宋体" w:hAnsi="宋体" w:cs="宋体"/>
          <w:color w:val="000000"/>
          <w:kern w:val="0"/>
          <w:szCs w:val="21"/>
        </w:rPr>
        <w:t>（6） 每个投标人每个项目每个标段只有唯一缴纳账号，切勿重复缴纳或错误缴纳。</w:t>
      </w:r>
    </w:p>
    <w:p>
      <w:pPr>
        <w:autoSpaceDE w:val="0"/>
        <w:autoSpaceDN w:val="0"/>
        <w:spacing w:line="360" w:lineRule="auto"/>
        <w:ind w:firstLine="420" w:firstLineChars="200"/>
        <w:contextualSpacing/>
        <w:rPr>
          <w:rFonts w:ascii="宋体" w:hAnsi="宋体" w:cs="宋体"/>
          <w:color w:val="000000"/>
          <w:kern w:val="0"/>
          <w:szCs w:val="21"/>
        </w:rPr>
      </w:pPr>
      <w:r>
        <w:rPr>
          <w:rFonts w:hint="eastAsia" w:ascii="宋体" w:hAnsi="宋体" w:cs="宋体"/>
          <w:color w:val="000000"/>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firstLine="420" w:firstLineChars="200"/>
        <w:contextualSpacing/>
        <w:rPr>
          <w:rFonts w:ascii="宋体" w:hAnsi="宋体" w:cs="宋体"/>
          <w:color w:val="000000"/>
          <w:kern w:val="0"/>
          <w:szCs w:val="21"/>
        </w:rPr>
      </w:pPr>
      <w:r>
        <w:rPr>
          <w:rFonts w:hint="eastAsia" w:ascii="宋体" w:hAnsi="宋体" w:cs="宋体"/>
          <w:color w:val="000000"/>
          <w:kern w:val="0"/>
          <w:szCs w:val="21"/>
        </w:rPr>
        <w:t>（8） 不同投标人的投标保证金不得从同一单位或者个人的账户转出。</w:t>
      </w:r>
    </w:p>
    <w:p>
      <w:pPr>
        <w:autoSpaceDE w:val="0"/>
        <w:autoSpaceDN w:val="0"/>
        <w:spacing w:line="360" w:lineRule="auto"/>
        <w:ind w:firstLine="420" w:firstLineChars="200"/>
        <w:contextualSpacing/>
        <w:rPr>
          <w:rFonts w:ascii="宋体" w:hAnsi="宋体" w:cs="宋体"/>
          <w:color w:val="000000"/>
          <w:kern w:val="0"/>
          <w:szCs w:val="21"/>
        </w:rPr>
      </w:pPr>
      <w:r>
        <w:rPr>
          <w:rFonts w:hint="eastAsia" w:ascii="宋体" w:hAnsi="宋体" w:cs="宋体"/>
          <w:color w:val="000000"/>
          <w:kern w:val="0"/>
          <w:szCs w:val="21"/>
        </w:rPr>
        <w:t>（9） 未按上述规定操作引起的无效投标，由投标人自行负责。</w:t>
      </w:r>
    </w:p>
    <w:p>
      <w:pPr>
        <w:autoSpaceDE w:val="0"/>
        <w:autoSpaceDN w:val="0"/>
        <w:spacing w:line="360" w:lineRule="auto"/>
        <w:ind w:firstLine="420" w:firstLineChars="200"/>
        <w:contextualSpacing/>
        <w:rPr>
          <w:rFonts w:ascii="宋体" w:hAnsi="宋体" w:cs="宋体"/>
          <w:color w:val="000000"/>
          <w:kern w:val="0"/>
          <w:szCs w:val="21"/>
        </w:rPr>
      </w:pPr>
      <w:r>
        <w:rPr>
          <w:rFonts w:hint="eastAsia" w:ascii="宋体" w:hAnsi="宋体" w:cs="宋体"/>
          <w:color w:val="000000"/>
          <w:kern w:val="0"/>
          <w:szCs w:val="21"/>
        </w:rPr>
        <w:t>（10） 汇款凭证无需备注项目编号和项目名称。</w:t>
      </w:r>
    </w:p>
    <w:p>
      <w:pPr>
        <w:pStyle w:val="37"/>
        <w:numPr>
          <w:ilvl w:val="0"/>
          <w:numId w:val="0"/>
        </w:numPr>
        <w:autoSpaceDE w:val="0"/>
        <w:autoSpaceDN w:val="0"/>
        <w:spacing w:line="360" w:lineRule="auto"/>
        <w:ind w:left="420" w:leftChars="0"/>
        <w:contextualSpacing/>
        <w:rPr>
          <w:rFonts w:ascii="宋体" w:hAnsi="宋体" w:cs="宋体"/>
          <w:color w:val="000000"/>
          <w:kern w:val="0"/>
          <w:szCs w:val="21"/>
        </w:rPr>
      </w:pPr>
      <w:r>
        <w:rPr>
          <w:rFonts w:hint="eastAsia" w:ascii="宋体" w:hAnsi="宋体" w:cs="宋体"/>
          <w:color w:val="000000"/>
          <w:kern w:val="0"/>
          <w:szCs w:val="21"/>
          <w:lang w:val="en-US" w:eastAsia="zh-CN"/>
        </w:rPr>
        <w:t>17.2</w:t>
      </w:r>
      <w:r>
        <w:rPr>
          <w:rFonts w:hint="eastAsia" w:ascii="宋体" w:hAnsi="宋体" w:cs="宋体"/>
          <w:color w:val="000000"/>
          <w:kern w:val="0"/>
          <w:szCs w:val="21"/>
        </w:rPr>
        <w:t>投标保证金的退还</w:t>
      </w:r>
    </w:p>
    <w:p>
      <w:pPr>
        <w:autoSpaceDE w:val="0"/>
        <w:autoSpaceDN w:val="0"/>
        <w:spacing w:line="360" w:lineRule="auto"/>
        <w:ind w:firstLine="420" w:firstLineChars="200"/>
        <w:contextualSpacing/>
        <w:rPr>
          <w:rFonts w:ascii="宋体" w:hAnsi="宋体" w:cs="宋体"/>
          <w:color w:val="000000"/>
          <w:kern w:val="0"/>
          <w:szCs w:val="21"/>
        </w:rPr>
      </w:pPr>
      <w:r>
        <w:rPr>
          <w:rFonts w:hint="eastAsia" w:ascii="宋体" w:hAnsi="宋体" w:cs="宋体"/>
          <w:color w:val="000000"/>
          <w:kern w:val="0"/>
          <w:szCs w:val="21"/>
        </w:rPr>
        <w:t>（1） 退还投标保证金时，区别中标与否，按不同时序由银行按来款途径退还原账户。</w:t>
      </w:r>
    </w:p>
    <w:p>
      <w:pPr>
        <w:autoSpaceDE w:val="0"/>
        <w:autoSpaceDN w:val="0"/>
        <w:spacing w:line="360" w:lineRule="auto"/>
        <w:ind w:firstLine="630" w:firstLineChars="300"/>
        <w:contextualSpacing/>
        <w:rPr>
          <w:rFonts w:ascii="宋体" w:hAnsi="宋体" w:cs="宋体"/>
          <w:color w:val="000000"/>
          <w:kern w:val="0"/>
          <w:szCs w:val="21"/>
        </w:rPr>
      </w:pPr>
      <w:r>
        <w:rPr>
          <w:rFonts w:hint="eastAsia" w:ascii="宋体" w:hAnsi="宋体" w:cs="宋体"/>
          <w:color w:val="000000"/>
          <w:kern w:val="0"/>
          <w:szCs w:val="21"/>
        </w:rPr>
        <w:t>a. 自中标通知书发出之日起，5个工作日内退还非中标人投标保证金及银行同期活期存款利息。</w:t>
      </w:r>
    </w:p>
    <w:p>
      <w:pPr>
        <w:autoSpaceDE w:val="0"/>
        <w:autoSpaceDN w:val="0"/>
        <w:spacing w:line="360" w:lineRule="auto"/>
        <w:ind w:firstLine="630" w:firstLineChars="300"/>
        <w:contextualSpacing/>
        <w:rPr>
          <w:rFonts w:ascii="宋体" w:hAnsi="宋体" w:cs="宋体"/>
          <w:color w:val="000000"/>
          <w:kern w:val="0"/>
          <w:szCs w:val="21"/>
        </w:rPr>
      </w:pPr>
      <w:r>
        <w:rPr>
          <w:rFonts w:hint="eastAsia" w:ascii="宋体" w:hAnsi="宋体" w:cs="宋体"/>
          <w:color w:val="000000"/>
          <w:kern w:val="0"/>
          <w:szCs w:val="21"/>
        </w:rPr>
        <w:t>b. 在法定期限内签订书面合同，中标人执投标保证金退还申请表（单位加盖行政公章）及合同原件到中心业务部室办理退款手续，中心在5个工作日内向中标人退还投标保证金及银行同期活期存款利息）。</w:t>
      </w:r>
    </w:p>
    <w:p>
      <w:pPr>
        <w:autoSpaceDE w:val="0"/>
        <w:autoSpaceDN w:val="0"/>
        <w:spacing w:line="360" w:lineRule="auto"/>
        <w:ind w:firstLine="630" w:firstLineChars="300"/>
        <w:contextualSpacing/>
        <w:rPr>
          <w:rFonts w:ascii="宋体" w:hAnsi="宋体" w:cs="宋体"/>
          <w:color w:val="000000"/>
          <w:kern w:val="0"/>
          <w:szCs w:val="21"/>
        </w:rPr>
      </w:pPr>
      <w:r>
        <w:rPr>
          <w:rFonts w:hint="eastAsia" w:ascii="宋体" w:hAnsi="宋体" w:cs="宋体"/>
          <w:color w:val="000000"/>
          <w:kern w:val="0"/>
          <w:szCs w:val="21"/>
        </w:rPr>
        <w:t>c. 项目废标或招标人终止招标的，在此后5个工作日内退还投标保证金及银行同期活期存利息。</w:t>
      </w:r>
    </w:p>
    <w:p>
      <w:pPr>
        <w:autoSpaceDE w:val="0"/>
        <w:autoSpaceDN w:val="0"/>
        <w:spacing w:line="360" w:lineRule="auto"/>
        <w:ind w:firstLine="630" w:firstLineChars="300"/>
        <w:contextualSpacing/>
        <w:rPr>
          <w:rFonts w:ascii="宋体" w:hAnsi="宋体" w:cs="宋体"/>
          <w:color w:val="000000"/>
          <w:kern w:val="0"/>
          <w:szCs w:val="21"/>
        </w:rPr>
      </w:pPr>
      <w:r>
        <w:rPr>
          <w:rFonts w:hint="eastAsia" w:ascii="宋体" w:hAnsi="宋体" w:cs="宋体"/>
          <w:color w:val="000000"/>
          <w:kern w:val="0"/>
          <w:szCs w:val="21"/>
        </w:rPr>
        <w:t>d. 投标活动中出现质疑、投诉的，中标候选人、质疑人和被质疑人、投诉人和被投诉人的投标保证金暂停退还。</w:t>
      </w:r>
    </w:p>
    <w:p>
      <w:pPr>
        <w:autoSpaceDE w:val="0"/>
        <w:autoSpaceDN w:val="0"/>
        <w:spacing w:line="360" w:lineRule="auto"/>
        <w:ind w:firstLine="630" w:firstLineChars="300"/>
        <w:contextualSpacing/>
        <w:rPr>
          <w:rFonts w:ascii="宋体" w:hAnsi="宋体" w:cs="宋体"/>
          <w:color w:val="000000"/>
          <w:kern w:val="0"/>
          <w:szCs w:val="21"/>
        </w:rPr>
      </w:pPr>
      <w:r>
        <w:rPr>
          <w:rFonts w:hint="eastAsia" w:ascii="宋体" w:hAnsi="宋体" w:cs="宋体"/>
          <w:color w:val="000000"/>
          <w:kern w:val="0"/>
          <w:szCs w:val="21"/>
        </w:rPr>
        <w:t>e. 相关投标人有违法违规行为的项目，其投标保证金暂不退还，待行政监督部门对相关情况处置后，按照有关规定办理。</w:t>
      </w:r>
    </w:p>
    <w:p>
      <w:pPr>
        <w:autoSpaceDE w:val="0"/>
        <w:autoSpaceDN w:val="0"/>
        <w:spacing w:line="360" w:lineRule="auto"/>
        <w:ind w:firstLine="630" w:firstLineChars="300"/>
        <w:contextualSpacing/>
        <w:rPr>
          <w:rFonts w:ascii="宋体" w:hAnsi="宋体" w:cs="宋体"/>
          <w:color w:val="000000"/>
          <w:kern w:val="0"/>
          <w:szCs w:val="21"/>
        </w:rPr>
      </w:pPr>
      <w:r>
        <w:rPr>
          <w:rFonts w:hint="eastAsia" w:ascii="宋体" w:hAnsi="宋体" w:cs="宋体"/>
          <w:color w:val="000000"/>
          <w:kern w:val="0"/>
          <w:szCs w:val="21"/>
        </w:rPr>
        <w:t>f. 退还投标保证金，除另有规定外，一般以转账方式一次性退还至投标保证金的原提交账户。</w:t>
      </w:r>
    </w:p>
    <w:p>
      <w:pPr>
        <w:autoSpaceDE w:val="0"/>
        <w:autoSpaceDN w:val="0"/>
        <w:spacing w:line="360" w:lineRule="auto"/>
        <w:ind w:firstLine="420" w:firstLineChars="200"/>
        <w:contextualSpacing/>
        <w:rPr>
          <w:rFonts w:ascii="宋体" w:hAnsi="宋体" w:cs="宋体"/>
          <w:color w:val="000000"/>
          <w:kern w:val="0"/>
          <w:szCs w:val="21"/>
        </w:rPr>
      </w:pPr>
      <w:r>
        <w:rPr>
          <w:rFonts w:hint="eastAsia" w:ascii="宋体" w:hAnsi="宋体" w:cs="宋体"/>
          <w:color w:val="000000"/>
          <w:kern w:val="0"/>
          <w:szCs w:val="21"/>
        </w:rPr>
        <w:t>（2） 有下列情形之一的，投标保证金不予退还</w:t>
      </w:r>
    </w:p>
    <w:p>
      <w:pPr>
        <w:autoSpaceDE w:val="0"/>
        <w:autoSpaceDN w:val="0"/>
        <w:spacing w:line="360" w:lineRule="auto"/>
        <w:ind w:firstLine="630" w:firstLineChars="300"/>
        <w:contextualSpacing/>
        <w:rPr>
          <w:rFonts w:ascii="宋体" w:hAnsi="宋体" w:cs="宋体"/>
          <w:color w:val="000000"/>
          <w:kern w:val="0"/>
          <w:szCs w:val="21"/>
        </w:rPr>
      </w:pPr>
      <w:r>
        <w:rPr>
          <w:rFonts w:hint="eastAsia" w:ascii="宋体" w:hAnsi="宋体" w:cs="宋体"/>
          <w:color w:val="000000"/>
          <w:kern w:val="0"/>
          <w:szCs w:val="21"/>
        </w:rPr>
        <w:t>a. 在招标文件要求提交投标文件的截止时间后至投标文件有效期满前撤回投标的；</w:t>
      </w:r>
    </w:p>
    <w:p>
      <w:pPr>
        <w:autoSpaceDE w:val="0"/>
        <w:autoSpaceDN w:val="0"/>
        <w:spacing w:line="360" w:lineRule="auto"/>
        <w:ind w:firstLine="630" w:firstLineChars="300"/>
        <w:contextualSpacing/>
        <w:rPr>
          <w:rFonts w:ascii="宋体" w:hAnsi="宋体" w:cs="宋体"/>
          <w:color w:val="000000"/>
          <w:kern w:val="0"/>
          <w:szCs w:val="21"/>
        </w:rPr>
      </w:pPr>
      <w:r>
        <w:rPr>
          <w:rFonts w:hint="eastAsia" w:ascii="宋体" w:hAnsi="宋体" w:cs="宋体"/>
          <w:color w:val="000000"/>
          <w:kern w:val="0"/>
          <w:szCs w:val="21"/>
        </w:rPr>
        <w:t xml:space="preserve">b. 中标通知书发出后，中标人无故放弃中标项目或无正当理由在规定时间内不与招标人签订合同或未按招标文件规定提交履约担保的； </w:t>
      </w:r>
    </w:p>
    <w:p>
      <w:pPr>
        <w:autoSpaceDE w:val="0"/>
        <w:autoSpaceDN w:val="0"/>
        <w:spacing w:line="360" w:lineRule="auto"/>
        <w:ind w:firstLine="630" w:firstLineChars="300"/>
        <w:contextualSpacing/>
        <w:rPr>
          <w:rFonts w:ascii="宋体" w:hAnsi="宋体" w:cs="宋体"/>
          <w:color w:val="000000"/>
          <w:kern w:val="0"/>
          <w:szCs w:val="21"/>
        </w:rPr>
      </w:pPr>
      <w:r>
        <w:rPr>
          <w:rFonts w:hint="eastAsia" w:ascii="宋体" w:hAnsi="宋体" w:cs="宋体"/>
          <w:color w:val="000000"/>
          <w:kern w:val="0"/>
          <w:szCs w:val="21"/>
        </w:rPr>
        <w:t>c. 将中标项目转让给他人，或者在投标文件中未说明，且未经招标人同意，将中标项目分包给他人的；</w:t>
      </w:r>
    </w:p>
    <w:p>
      <w:pPr>
        <w:autoSpaceDE w:val="0"/>
        <w:autoSpaceDN w:val="0"/>
        <w:spacing w:line="360" w:lineRule="auto"/>
        <w:ind w:firstLine="630" w:firstLineChars="300"/>
        <w:contextualSpacing/>
        <w:rPr>
          <w:rFonts w:ascii="宋体" w:hAnsi="宋体" w:cs="宋体"/>
          <w:color w:val="000000"/>
          <w:kern w:val="0"/>
          <w:szCs w:val="21"/>
        </w:rPr>
      </w:pPr>
      <w:r>
        <w:rPr>
          <w:rFonts w:hint="eastAsia" w:ascii="宋体" w:hAnsi="宋体" w:cs="宋体"/>
          <w:color w:val="000000"/>
          <w:kern w:val="0"/>
          <w:szCs w:val="21"/>
        </w:rPr>
        <w:t>d. 投标人在招投标活动中弄虚作假、围标串标，骗取中标并经招投标行政监督部门调查核实的；</w:t>
      </w:r>
    </w:p>
    <w:p>
      <w:pPr>
        <w:autoSpaceDE w:val="0"/>
        <w:autoSpaceDN w:val="0"/>
        <w:spacing w:line="360" w:lineRule="auto"/>
        <w:ind w:firstLine="630" w:firstLineChars="300"/>
        <w:contextualSpacing/>
        <w:rPr>
          <w:rFonts w:ascii="宋体" w:hAnsi="宋体" w:cs="宋体"/>
          <w:color w:val="000000"/>
          <w:kern w:val="0"/>
          <w:szCs w:val="21"/>
        </w:rPr>
      </w:pPr>
      <w:r>
        <w:rPr>
          <w:rFonts w:hint="eastAsia" w:ascii="宋体" w:hAnsi="宋体" w:cs="宋体"/>
          <w:color w:val="000000"/>
          <w:kern w:val="0"/>
          <w:szCs w:val="21"/>
        </w:rPr>
        <w:t>e. 拒绝履行合同义务的；</w:t>
      </w:r>
    </w:p>
    <w:p>
      <w:pPr>
        <w:autoSpaceDE w:val="0"/>
        <w:autoSpaceDN w:val="0"/>
        <w:spacing w:line="360" w:lineRule="auto"/>
        <w:ind w:firstLine="630" w:firstLineChars="300"/>
        <w:contextualSpacing/>
        <w:rPr>
          <w:rFonts w:ascii="宋体" w:hAnsi="宋体" w:cs="宋体"/>
          <w:color w:val="000000"/>
          <w:kern w:val="0"/>
          <w:szCs w:val="21"/>
        </w:rPr>
      </w:pPr>
      <w:r>
        <w:rPr>
          <w:rFonts w:hint="eastAsia" w:ascii="宋体" w:hAnsi="宋体" w:cs="宋体"/>
          <w:color w:val="000000"/>
          <w:kern w:val="0"/>
          <w:szCs w:val="21"/>
        </w:rPr>
        <w:t>f. 相关法律、法规规定不予退还的其它情形。</w:t>
      </w:r>
    </w:p>
    <w:p>
      <w:pPr>
        <w:pStyle w:val="37"/>
        <w:numPr>
          <w:ilvl w:val="0"/>
          <w:numId w:val="0"/>
        </w:numPr>
        <w:autoSpaceDE w:val="0"/>
        <w:autoSpaceDN w:val="0"/>
        <w:spacing w:line="360" w:lineRule="auto"/>
        <w:ind w:left="420" w:leftChars="0"/>
        <w:contextualSpacing/>
        <w:rPr>
          <w:rFonts w:hint="eastAsia" w:ascii="宋体" w:hAnsi="宋体" w:cs="宋体"/>
          <w:color w:val="000000"/>
          <w:kern w:val="0"/>
          <w:szCs w:val="21"/>
        </w:rPr>
      </w:pPr>
      <w:r>
        <w:rPr>
          <w:rFonts w:hint="eastAsia" w:ascii="宋体" w:hAnsi="宋体" w:cs="宋体"/>
          <w:color w:val="000000"/>
          <w:kern w:val="0"/>
          <w:szCs w:val="21"/>
          <w:lang w:val="en-US" w:eastAsia="zh-CN"/>
        </w:rPr>
        <w:t>17.3</w:t>
      </w:r>
      <w:r>
        <w:rPr>
          <w:rFonts w:hint="eastAsia" w:ascii="宋体" w:hAnsi="宋体" w:cs="宋体"/>
          <w:color w:val="000000"/>
          <w:kern w:val="0"/>
          <w:szCs w:val="21"/>
        </w:rPr>
        <w:t>凡投标人投标保证金交纳至同一标段相同子账号的，保证金暂不予退还，并依照《许昌</w:t>
      </w:r>
    </w:p>
    <w:p>
      <w:pPr>
        <w:pStyle w:val="37"/>
        <w:numPr>
          <w:ilvl w:val="0"/>
          <w:numId w:val="0"/>
        </w:numPr>
        <w:autoSpaceDE w:val="0"/>
        <w:autoSpaceDN w:val="0"/>
        <w:spacing w:line="360" w:lineRule="auto"/>
        <w:contextualSpacing/>
        <w:rPr>
          <w:rFonts w:hint="eastAsia" w:ascii="方正小标宋简体" w:hAnsi="宋体" w:eastAsia="方正小标宋简体" w:cs="宋体"/>
          <w:sz w:val="36"/>
          <w:szCs w:val="36"/>
        </w:rPr>
      </w:pPr>
      <w:r>
        <w:rPr>
          <w:rFonts w:hint="eastAsia" w:ascii="宋体" w:hAnsi="宋体" w:cs="宋体"/>
          <w:color w:val="000000"/>
          <w:kern w:val="0"/>
          <w:szCs w:val="21"/>
        </w:rPr>
        <w:t>市公共资源交易当事人不良行为管理暂行办法》（许公管委〔2017〕1号）规定，进行调查、认定、记录，并予以公示公告。对涉嫌串通投标，经调查核实后，记录不良行为，移交有关部门进行查处，不予退还的保证金上缴国库。</w:t>
      </w:r>
    </w:p>
    <w:p>
      <w:pPr>
        <w:ind w:firstLine="2340" w:firstLineChars="650"/>
        <w:rPr>
          <w:rFonts w:hint="eastAsia" w:ascii="方正小标宋简体" w:hAnsi="宋体" w:eastAsia="方正小标宋简体" w:cs="宋体"/>
          <w:sz w:val="36"/>
          <w:szCs w:val="36"/>
        </w:rPr>
      </w:pPr>
    </w:p>
    <w:p>
      <w:pPr>
        <w:ind w:firstLine="2340" w:firstLineChars="650"/>
        <w:rPr>
          <w:rFonts w:hint="eastAsia" w:ascii="方正小标宋简体" w:hAnsi="宋体" w:eastAsia="方正小标宋简体" w:cs="宋体"/>
          <w:sz w:val="36"/>
          <w:szCs w:val="36"/>
        </w:rPr>
      </w:pPr>
    </w:p>
    <w:p>
      <w:pPr>
        <w:ind w:firstLine="2340" w:firstLineChars="650"/>
        <w:rPr>
          <w:rFonts w:hint="eastAsia" w:ascii="方正小标宋简体" w:hAnsi="宋体" w:eastAsia="方正小标宋简体" w:cs="宋体"/>
          <w:sz w:val="36"/>
          <w:szCs w:val="36"/>
        </w:rPr>
      </w:pPr>
    </w:p>
    <w:p>
      <w:pPr>
        <w:ind w:firstLine="2340" w:firstLineChars="650"/>
        <w:rPr>
          <w:rFonts w:hint="eastAsia" w:ascii="方正小标宋简体" w:hAnsi="宋体" w:eastAsia="方正小标宋简体" w:cs="宋体"/>
          <w:sz w:val="36"/>
          <w:szCs w:val="36"/>
        </w:rPr>
      </w:pPr>
    </w:p>
    <w:p>
      <w:pPr>
        <w:ind w:firstLine="2340" w:firstLineChars="650"/>
        <w:rPr>
          <w:rFonts w:hint="eastAsia" w:ascii="方正小标宋简体" w:hAnsi="宋体" w:eastAsia="方正小标宋简体" w:cs="宋体"/>
          <w:sz w:val="36"/>
          <w:szCs w:val="36"/>
        </w:rPr>
      </w:pPr>
    </w:p>
    <w:p>
      <w:pPr>
        <w:ind w:firstLine="2340" w:firstLineChars="650"/>
        <w:rPr>
          <w:rFonts w:hint="eastAsia" w:ascii="方正小标宋简体" w:hAnsi="宋体" w:eastAsia="方正小标宋简体" w:cs="宋体"/>
          <w:sz w:val="36"/>
          <w:szCs w:val="36"/>
        </w:rPr>
      </w:pPr>
    </w:p>
    <w:p>
      <w:pPr>
        <w:ind w:firstLine="2340" w:firstLineChars="650"/>
        <w:rPr>
          <w:rFonts w:hint="eastAsia" w:ascii="方正小标宋简体" w:hAnsi="宋体" w:eastAsia="方正小标宋简体" w:cs="宋体"/>
          <w:sz w:val="36"/>
          <w:szCs w:val="36"/>
        </w:rPr>
      </w:pPr>
    </w:p>
    <w:p>
      <w:pPr>
        <w:ind w:firstLine="2340" w:firstLineChars="650"/>
        <w:rPr>
          <w:rFonts w:hint="eastAsia" w:ascii="方正小标宋简体" w:hAnsi="宋体" w:eastAsia="方正小标宋简体" w:cs="宋体"/>
          <w:sz w:val="36"/>
          <w:szCs w:val="36"/>
        </w:rPr>
      </w:pPr>
    </w:p>
    <w:p>
      <w:pPr>
        <w:ind w:firstLine="2340" w:firstLineChars="650"/>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25"/>
        <w:tblpPr w:leftFromText="180" w:rightFromText="180" w:vertAnchor="text" w:horzAnchor="margin" w:tblpXSpec="center" w:tblpY="555"/>
        <w:tblW w:w="9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9"/>
        <w:gridCol w:w="3785"/>
        <w:gridCol w:w="360"/>
        <w:gridCol w:w="362"/>
        <w:gridCol w:w="1079"/>
        <w:gridCol w:w="2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exact"/>
        </w:trPr>
        <w:tc>
          <w:tcPr>
            <w:tcW w:w="20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414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exact"/>
        </w:trPr>
        <w:tc>
          <w:tcPr>
            <w:tcW w:w="20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751"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exact"/>
        </w:trPr>
        <w:tc>
          <w:tcPr>
            <w:tcW w:w="2089"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5"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账号</w:t>
            </w:r>
          </w:p>
        </w:tc>
        <w:tc>
          <w:tcPr>
            <w:tcW w:w="3244"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exact"/>
        </w:trPr>
        <w:tc>
          <w:tcPr>
            <w:tcW w:w="2089"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51"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exact"/>
        </w:trPr>
        <w:tc>
          <w:tcPr>
            <w:tcW w:w="9840"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3" w:hRule="atLeast"/>
        </w:trPr>
        <w:tc>
          <w:tcPr>
            <w:tcW w:w="9840"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rPr>
          <w:rFonts w:ascii="仿宋_GB2312" w:hAnsi="宋体" w:eastAsia="仿宋_GB2312"/>
          <w:sz w:val="28"/>
          <w:szCs w:val="28"/>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autoSpaceDE w:val="0"/>
        <w:autoSpaceDN w:val="0"/>
        <w:spacing w:line="360" w:lineRule="auto"/>
        <w:contextualSpacing/>
        <w:rPr>
          <w:rFonts w:ascii="宋体" w:hAnsi="宋体" w:cs="宋体"/>
          <w:color w:val="FF0000"/>
          <w:kern w:val="0"/>
          <w:szCs w:val="21"/>
        </w:rPr>
      </w:pPr>
    </w:p>
    <w:p>
      <w:pPr>
        <w:pStyle w:val="37"/>
        <w:numPr>
          <w:ilvl w:val="0"/>
          <w:numId w:val="0"/>
        </w:numPr>
        <w:autoSpaceDE w:val="0"/>
        <w:autoSpaceDN w:val="0"/>
        <w:spacing w:line="360" w:lineRule="auto"/>
        <w:ind w:leftChars="0"/>
        <w:contextualSpacing/>
        <w:rPr>
          <w:rFonts w:ascii="宋体" w:hAnsi="宋体" w:cs="宋体"/>
          <w:kern w:val="0"/>
          <w:szCs w:val="21"/>
        </w:rPr>
      </w:pPr>
      <w:r>
        <w:rPr>
          <w:rFonts w:hint="eastAsia" w:ascii="宋体" w:hAnsi="宋体" w:cs="宋体"/>
          <w:kern w:val="0"/>
          <w:szCs w:val="21"/>
          <w:lang w:val="en-US" w:eastAsia="zh-CN"/>
        </w:rPr>
        <w:t>18.</w:t>
      </w:r>
      <w:r>
        <w:rPr>
          <w:rFonts w:hint="eastAsia" w:ascii="宋体" w:hAnsi="宋体" w:cs="宋体"/>
          <w:kern w:val="0"/>
          <w:szCs w:val="21"/>
        </w:rPr>
        <w:t>投标文件的数量和签署盖章</w:t>
      </w:r>
    </w:p>
    <w:p>
      <w:pPr>
        <w:pStyle w:val="37"/>
        <w:numPr>
          <w:ilvl w:val="0"/>
          <w:numId w:val="0"/>
        </w:numPr>
        <w:autoSpaceDE w:val="0"/>
        <w:autoSpaceDN w:val="0"/>
        <w:spacing w:line="360" w:lineRule="auto"/>
        <w:ind w:left="420" w:leftChars="0"/>
        <w:contextualSpacing/>
        <w:rPr>
          <w:rFonts w:ascii="宋体" w:hAnsi="宋体" w:cs="宋体"/>
          <w:kern w:val="0"/>
          <w:szCs w:val="21"/>
        </w:rPr>
      </w:pPr>
      <w:r>
        <w:rPr>
          <w:rFonts w:hint="eastAsia" w:ascii="宋体" w:hAnsi="宋体" w:cs="宋体"/>
          <w:kern w:val="0"/>
          <w:szCs w:val="21"/>
          <w:lang w:val="en-US" w:eastAsia="zh-CN"/>
        </w:rPr>
        <w:t>18.1</w:t>
      </w:r>
      <w:r>
        <w:rPr>
          <w:rFonts w:hint="eastAsia" w:ascii="宋体" w:hAnsi="宋体" w:cs="宋体"/>
          <w:kern w:val="0"/>
          <w:szCs w:val="21"/>
        </w:rPr>
        <w:t>投标人应提交投标文件份数见“投标人须知前附表”。</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18.2</w:t>
      </w:r>
      <w:r>
        <w:rPr>
          <w:rFonts w:hint="eastAsia" w:ascii="宋体" w:hAnsi="宋体" w:cs="宋体"/>
          <w:kern w:val="0"/>
          <w:szCs w:val="21"/>
        </w:rPr>
        <w:t>在招标文件中已明示需盖章及签名之处，电子投标文件应按招标文件要求加盖投标人电</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子印章和法人电子印章或授权代表电子印章。</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18.3</w:t>
      </w:r>
      <w:r>
        <w:rPr>
          <w:rFonts w:hint="eastAsia" w:ascii="宋体" w:hAnsi="宋体" w:cs="宋体"/>
          <w:kern w:val="0"/>
          <w:szCs w:val="21"/>
        </w:rPr>
        <w:t>纸质投标文件是指投标人电子投标文件制作完成后生成的后缀名为“.PDF”的文件打印</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的投标文件。纸质投标文件正本和副本封面上应清楚标明</w:t>
      </w:r>
      <w:r>
        <w:rPr>
          <w:rFonts w:ascii="宋体" w:hAnsi="宋体" w:cs="宋体"/>
          <w:kern w:val="0"/>
          <w:szCs w:val="21"/>
        </w:rPr>
        <w:t>“</w:t>
      </w:r>
      <w:r>
        <w:rPr>
          <w:rFonts w:hint="eastAsia" w:ascii="宋体" w:hAnsi="宋体" w:cs="宋体"/>
          <w:kern w:val="0"/>
          <w:szCs w:val="21"/>
        </w:rPr>
        <w:t>正本</w:t>
      </w:r>
      <w:r>
        <w:rPr>
          <w:rFonts w:ascii="宋体" w:hAnsi="宋体" w:cs="宋体"/>
          <w:kern w:val="0"/>
          <w:szCs w:val="21"/>
        </w:rPr>
        <w:t>”</w:t>
      </w:r>
      <w:r>
        <w:rPr>
          <w:rFonts w:hint="eastAsia" w:ascii="宋体" w:hAnsi="宋体" w:cs="宋体"/>
          <w:kern w:val="0"/>
          <w:szCs w:val="21"/>
        </w:rPr>
        <w:t>或</w:t>
      </w:r>
      <w:r>
        <w:rPr>
          <w:rFonts w:ascii="宋体" w:hAnsi="宋体" w:cs="宋体"/>
          <w:kern w:val="0"/>
          <w:szCs w:val="21"/>
        </w:rPr>
        <w:t>“</w:t>
      </w:r>
      <w:r>
        <w:rPr>
          <w:rFonts w:hint="eastAsia" w:ascii="宋体" w:hAnsi="宋体" w:cs="宋体"/>
          <w:kern w:val="0"/>
          <w:szCs w:val="21"/>
        </w:rPr>
        <w:t>副本</w:t>
      </w:r>
      <w:r>
        <w:rPr>
          <w:rFonts w:ascii="宋体" w:hAnsi="宋体" w:cs="宋体"/>
          <w:kern w:val="0"/>
          <w:szCs w:val="21"/>
        </w:rPr>
        <w:t>”</w:t>
      </w:r>
      <w:r>
        <w:rPr>
          <w:rFonts w:hint="eastAsia" w:ascii="宋体" w:hAnsi="宋体" w:cs="宋体"/>
          <w:kern w:val="0"/>
          <w:szCs w:val="21"/>
        </w:rPr>
        <w:t>字样；一旦正本和副本内容不一致时，以正本为准。纸质投标文件的正本及所有副本的封面均须由投标人加盖投标人公章。</w:t>
      </w:r>
    </w:p>
    <w:p>
      <w:pPr>
        <w:pStyle w:val="37"/>
        <w:numPr>
          <w:ilvl w:val="0"/>
          <w:numId w:val="0"/>
        </w:numPr>
        <w:autoSpaceDE w:val="0"/>
        <w:autoSpaceDN w:val="0"/>
        <w:spacing w:line="360" w:lineRule="auto"/>
        <w:ind w:left="420" w:leftChars="0"/>
        <w:contextualSpacing/>
        <w:rPr>
          <w:rFonts w:ascii="宋体" w:hAnsi="宋体" w:cs="宋体"/>
          <w:kern w:val="0"/>
          <w:szCs w:val="21"/>
        </w:rPr>
      </w:pPr>
      <w:r>
        <w:rPr>
          <w:rFonts w:hint="eastAsia" w:ascii="宋体" w:hAnsi="宋体" w:cs="宋体"/>
          <w:kern w:val="0"/>
          <w:szCs w:val="21"/>
          <w:lang w:val="en-US" w:eastAsia="zh-CN"/>
        </w:rPr>
        <w:t>18.4</w:t>
      </w:r>
      <w:r>
        <w:rPr>
          <w:rFonts w:hint="eastAsia" w:ascii="宋体" w:hAnsi="宋体" w:cs="宋体"/>
          <w:kern w:val="0"/>
          <w:szCs w:val="21"/>
        </w:rPr>
        <w:t>纸质投标文件副本可以是纸质投标文件的正本复印而成。</w:t>
      </w:r>
    </w:p>
    <w:p>
      <w:pPr>
        <w:tabs>
          <w:tab w:val="left" w:pos="1260"/>
        </w:tabs>
        <w:autoSpaceDE w:val="0"/>
        <w:autoSpaceDN w:val="0"/>
        <w:spacing w:line="360" w:lineRule="auto"/>
        <w:contextualSpacing/>
        <w:rPr>
          <w:rFonts w:ascii="宋体" w:hAnsi="宋体" w:cs="仿宋_GB2312"/>
          <w:szCs w:val="21"/>
          <w:lang w:val="zh-CN"/>
        </w:rPr>
      </w:pPr>
    </w:p>
    <w:p>
      <w:pPr>
        <w:tabs>
          <w:tab w:val="left" w:pos="1260"/>
        </w:tabs>
        <w:autoSpaceDE w:val="0"/>
        <w:autoSpaceDN w:val="0"/>
        <w:spacing w:line="360" w:lineRule="auto"/>
        <w:contextualSpacing/>
        <w:jc w:val="center"/>
        <w:rPr>
          <w:rFonts w:ascii="宋体" w:hAnsi="宋体" w:cs="宋体"/>
          <w:kern w:val="0"/>
          <w:szCs w:val="21"/>
        </w:rPr>
      </w:pPr>
      <w:r>
        <w:rPr>
          <w:rFonts w:hint="eastAsia" w:ascii="宋体" w:hAnsi="宋体" w:cs="宋体"/>
          <w:kern w:val="0"/>
          <w:szCs w:val="21"/>
        </w:rPr>
        <w:t>四、投标文件的递交</w:t>
      </w:r>
    </w:p>
    <w:p>
      <w:pPr>
        <w:pStyle w:val="37"/>
        <w:numPr>
          <w:ilvl w:val="0"/>
          <w:numId w:val="0"/>
        </w:numPr>
        <w:autoSpaceDE w:val="0"/>
        <w:autoSpaceDN w:val="0"/>
        <w:spacing w:line="360" w:lineRule="auto"/>
        <w:ind w:leftChars="0" w:firstLine="420" w:firstLineChars="200"/>
        <w:contextualSpacing/>
        <w:rPr>
          <w:rFonts w:ascii="宋体" w:hAnsi="宋体" w:cs="宋体"/>
          <w:kern w:val="0"/>
          <w:szCs w:val="21"/>
        </w:rPr>
      </w:pPr>
      <w:r>
        <w:rPr>
          <w:rFonts w:hint="eastAsia" w:ascii="宋体" w:hAnsi="宋体" w:cs="宋体"/>
          <w:kern w:val="0"/>
          <w:szCs w:val="21"/>
          <w:lang w:val="en-US" w:eastAsia="zh-CN"/>
        </w:rPr>
        <w:t>19.</w:t>
      </w:r>
      <w:r>
        <w:rPr>
          <w:rFonts w:hint="eastAsia" w:ascii="宋体" w:hAnsi="宋体" w:cs="宋体"/>
          <w:kern w:val="0"/>
          <w:szCs w:val="21"/>
        </w:rPr>
        <w:t>投标文件的密封</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19.1</w:t>
      </w:r>
      <w:r>
        <w:rPr>
          <w:rFonts w:hint="eastAsia" w:ascii="宋体" w:hAnsi="宋体" w:cs="宋体"/>
          <w:kern w:val="0"/>
          <w:szCs w:val="21"/>
        </w:rPr>
        <w:t>投标人应将纸质投标文件“正本”、“ 副本”密封包装。使用电子介质存储的投标文件</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单独密封包装，并随纸质投标文件一并提交。</w:t>
      </w:r>
    </w:p>
    <w:p>
      <w:pPr>
        <w:pStyle w:val="37"/>
        <w:numPr>
          <w:ilvl w:val="0"/>
          <w:numId w:val="0"/>
        </w:numPr>
        <w:autoSpaceDE w:val="0"/>
        <w:autoSpaceDN w:val="0"/>
        <w:spacing w:line="360" w:lineRule="auto"/>
        <w:ind w:left="420" w:leftChars="0"/>
        <w:contextualSpacing/>
        <w:rPr>
          <w:rFonts w:ascii="宋体" w:hAnsi="宋体" w:cs="宋体"/>
          <w:kern w:val="0"/>
          <w:szCs w:val="21"/>
        </w:rPr>
      </w:pPr>
      <w:r>
        <w:rPr>
          <w:rFonts w:hint="eastAsia" w:ascii="宋体" w:hAnsi="宋体" w:cs="宋体"/>
          <w:kern w:val="0"/>
          <w:szCs w:val="21"/>
          <w:lang w:val="en-US" w:eastAsia="zh-CN"/>
        </w:rPr>
        <w:t>19.2</w:t>
      </w:r>
      <w:r>
        <w:rPr>
          <w:rFonts w:hint="eastAsia" w:ascii="宋体" w:hAnsi="宋体" w:cs="宋体"/>
          <w:kern w:val="0"/>
          <w:szCs w:val="21"/>
        </w:rPr>
        <w:t>投标文件如果未按规定密封，招标人将拒绝接收。</w:t>
      </w:r>
    </w:p>
    <w:p>
      <w:pPr>
        <w:pStyle w:val="37"/>
        <w:numPr>
          <w:ilvl w:val="0"/>
          <w:numId w:val="0"/>
        </w:numPr>
        <w:autoSpaceDE w:val="0"/>
        <w:autoSpaceDN w:val="0"/>
        <w:spacing w:line="360" w:lineRule="auto"/>
        <w:ind w:leftChars="0" w:firstLine="420" w:firstLineChars="200"/>
        <w:contextualSpacing/>
        <w:rPr>
          <w:rFonts w:ascii="宋体" w:hAnsi="宋体" w:cs="宋体"/>
          <w:kern w:val="0"/>
          <w:szCs w:val="21"/>
        </w:rPr>
      </w:pPr>
      <w:r>
        <w:rPr>
          <w:rFonts w:hint="eastAsia" w:ascii="宋体" w:hAnsi="宋体" w:cs="宋体"/>
          <w:kern w:val="0"/>
          <w:szCs w:val="21"/>
          <w:lang w:val="en-US" w:eastAsia="zh-CN"/>
        </w:rPr>
        <w:t>20.</w:t>
      </w:r>
      <w:r>
        <w:rPr>
          <w:rFonts w:hint="eastAsia" w:ascii="宋体" w:hAnsi="宋体" w:cs="宋体"/>
          <w:kern w:val="0"/>
          <w:szCs w:val="21"/>
        </w:rPr>
        <w:t>投标截止时间</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20.1</w:t>
      </w:r>
      <w:r>
        <w:rPr>
          <w:rFonts w:hint="eastAsia" w:ascii="宋体" w:hAnsi="宋体" w:cs="宋体"/>
          <w:kern w:val="0"/>
          <w:szCs w:val="21"/>
        </w:rPr>
        <w:t>投标人必须在“投标邀请”和“投标人须知前附表”中规定的投标截止时间前，将所有</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投标文件送达招标文件指定的开标地点。</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20.2</w:t>
      </w:r>
      <w:r>
        <w:rPr>
          <w:rFonts w:hint="eastAsia" w:ascii="宋体" w:hAnsi="宋体" w:cs="宋体"/>
          <w:kern w:val="0"/>
          <w:szCs w:val="21"/>
        </w:rPr>
        <w:t>招标人收到投标文件后，应当如实记载投标文件的送达时间和密封情况，签收保存，并</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向投标人出具签收回执。任何单位和个人不得在开标前开启投标文件。</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20.3</w:t>
      </w:r>
      <w:r>
        <w:rPr>
          <w:rFonts w:hint="eastAsia" w:ascii="宋体" w:hAnsi="宋体" w:cs="宋体"/>
          <w:kern w:val="0"/>
          <w:szCs w:val="21"/>
        </w:rPr>
        <w:t>招标人可以按本须知第1</w:t>
      </w:r>
      <w:r>
        <w:rPr>
          <w:rFonts w:hint="eastAsia" w:ascii="宋体" w:hAnsi="宋体" w:cs="宋体"/>
          <w:kern w:val="0"/>
          <w:szCs w:val="21"/>
          <w:lang w:val="en-US" w:eastAsia="zh-CN"/>
        </w:rPr>
        <w:t>1</w:t>
      </w:r>
      <w:r>
        <w:rPr>
          <w:rFonts w:hint="eastAsia" w:ascii="宋体" w:hAnsi="宋体" w:cs="宋体"/>
          <w:kern w:val="0"/>
          <w:szCs w:val="21"/>
        </w:rPr>
        <w:t>条规定，通过修改招标文件自行决定酌情延长投标截止期。在</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此情况下，招标人和投标人受投标截止期制约的所有权利和义务均应延长至新的截止日期和时间。投标人按招标人修改通知规定的时间递交投标文件。</w:t>
      </w:r>
    </w:p>
    <w:p>
      <w:pPr>
        <w:pStyle w:val="37"/>
        <w:numPr>
          <w:ilvl w:val="0"/>
          <w:numId w:val="0"/>
        </w:numPr>
        <w:autoSpaceDE w:val="0"/>
        <w:autoSpaceDN w:val="0"/>
        <w:spacing w:line="360" w:lineRule="auto"/>
        <w:ind w:leftChars="0" w:firstLine="420" w:firstLineChars="200"/>
        <w:contextualSpacing/>
        <w:rPr>
          <w:rFonts w:ascii="宋体" w:hAnsi="宋体" w:cs="宋体"/>
          <w:kern w:val="0"/>
          <w:szCs w:val="21"/>
        </w:rPr>
      </w:pPr>
      <w:r>
        <w:rPr>
          <w:rFonts w:hint="eastAsia" w:ascii="宋体" w:hAnsi="宋体" w:cs="宋体"/>
          <w:kern w:val="0"/>
          <w:szCs w:val="21"/>
          <w:lang w:val="en-US" w:eastAsia="zh-CN"/>
        </w:rPr>
        <w:t>21.</w:t>
      </w:r>
      <w:r>
        <w:rPr>
          <w:rFonts w:hint="eastAsia" w:ascii="宋体" w:hAnsi="宋体" w:cs="宋体"/>
          <w:kern w:val="0"/>
          <w:szCs w:val="21"/>
        </w:rPr>
        <w:t>迟交的投标文件</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投标截止时间之后送达/上传的投标文件，招标人将拒绝接收。</w:t>
      </w:r>
    </w:p>
    <w:p>
      <w:pPr>
        <w:pStyle w:val="37"/>
        <w:numPr>
          <w:ilvl w:val="0"/>
          <w:numId w:val="0"/>
        </w:numPr>
        <w:autoSpaceDE w:val="0"/>
        <w:autoSpaceDN w:val="0"/>
        <w:spacing w:line="360" w:lineRule="auto"/>
        <w:ind w:leftChars="0" w:firstLine="420" w:firstLineChars="200"/>
        <w:contextualSpacing/>
        <w:rPr>
          <w:rFonts w:ascii="宋体" w:hAnsi="宋体" w:cs="宋体"/>
          <w:kern w:val="0"/>
          <w:szCs w:val="21"/>
        </w:rPr>
      </w:pPr>
      <w:r>
        <w:rPr>
          <w:rFonts w:hint="eastAsia" w:ascii="宋体" w:hAnsi="宋体" w:cs="宋体"/>
          <w:kern w:val="0"/>
          <w:szCs w:val="21"/>
          <w:lang w:val="en-US" w:eastAsia="zh-CN"/>
        </w:rPr>
        <w:t>22.</w:t>
      </w:r>
      <w:r>
        <w:rPr>
          <w:rFonts w:hint="eastAsia" w:ascii="宋体" w:hAnsi="宋体" w:cs="宋体"/>
          <w:kern w:val="0"/>
          <w:szCs w:val="21"/>
        </w:rPr>
        <w:t>投标文件的修改和撤回</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22.1</w:t>
      </w:r>
      <w:r>
        <w:rPr>
          <w:rFonts w:hint="eastAsia" w:ascii="宋体" w:hAnsi="宋体" w:cs="宋体"/>
          <w:kern w:val="0"/>
          <w:szCs w:val="21"/>
        </w:rPr>
        <w:t>投标人在投标截止时间前，对所递交的纸质投标文件进行补充、修改或者撤回的，须书</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面通知招标人。</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投标人应当在投标截止时间前完成电子投标文件的提交，可以补充、修改或撤回。投标截止时间前未完成电子投标文件提交、取得“投标文件提交回执单”的，视为撤回投标文件。</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22.2</w:t>
      </w:r>
      <w:r>
        <w:rPr>
          <w:rFonts w:hint="eastAsia" w:ascii="宋体" w:hAnsi="宋体" w:cs="宋体"/>
          <w:kern w:val="0"/>
          <w:szCs w:val="21"/>
        </w:rPr>
        <w:t>投标人补充、修改的内容并作为投标文件的组成部分。补充或修改应当按招标文件要求</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签署、盖章、密封、递交，并应注明“修改</w:t>
      </w:r>
      <w:r>
        <w:rPr>
          <w:rFonts w:ascii="宋体" w:hAnsi="宋体" w:cs="宋体"/>
          <w:kern w:val="0"/>
          <w:szCs w:val="21"/>
        </w:rPr>
        <w:t>”</w:t>
      </w:r>
      <w:r>
        <w:rPr>
          <w:rFonts w:hint="eastAsia" w:ascii="宋体" w:hAnsi="宋体" w:cs="宋体"/>
          <w:kern w:val="0"/>
          <w:szCs w:val="21"/>
        </w:rPr>
        <w:t>或“补充</w:t>
      </w:r>
      <w:r>
        <w:rPr>
          <w:rFonts w:ascii="宋体" w:hAnsi="宋体" w:cs="宋体"/>
          <w:kern w:val="0"/>
          <w:szCs w:val="21"/>
        </w:rPr>
        <w:t>”</w:t>
      </w:r>
      <w:r>
        <w:rPr>
          <w:rFonts w:hint="eastAsia" w:ascii="宋体" w:hAnsi="宋体" w:cs="宋体"/>
          <w:kern w:val="0"/>
          <w:szCs w:val="21"/>
        </w:rPr>
        <w:t>字样。</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22.3</w:t>
      </w:r>
      <w:r>
        <w:rPr>
          <w:rFonts w:hint="eastAsia" w:ascii="宋体" w:hAnsi="宋体" w:cs="宋体"/>
          <w:kern w:val="0"/>
          <w:szCs w:val="21"/>
        </w:rPr>
        <w:t>投标人在递交纸质投标文件后，可以撤回其投标，但投标人必须在规定的投标截止时间</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前以书面形式告知招标人。</w:t>
      </w:r>
    </w:p>
    <w:p>
      <w:pPr>
        <w:pStyle w:val="37"/>
        <w:numPr>
          <w:ilvl w:val="0"/>
          <w:numId w:val="0"/>
        </w:numPr>
        <w:autoSpaceDE w:val="0"/>
        <w:autoSpaceDN w:val="0"/>
        <w:spacing w:line="360" w:lineRule="auto"/>
        <w:ind w:left="420" w:leftChars="0"/>
        <w:contextualSpacing/>
        <w:rPr>
          <w:rFonts w:ascii="宋体" w:hAnsi="宋体" w:cs="宋体"/>
          <w:kern w:val="0"/>
          <w:szCs w:val="21"/>
        </w:rPr>
      </w:pPr>
      <w:r>
        <w:rPr>
          <w:rFonts w:hint="eastAsia" w:ascii="宋体" w:hAnsi="宋体" w:cs="宋体"/>
          <w:kern w:val="0"/>
          <w:szCs w:val="21"/>
          <w:lang w:val="en-US" w:eastAsia="zh-CN"/>
        </w:rPr>
        <w:t>22.4</w:t>
      </w:r>
      <w:r>
        <w:rPr>
          <w:rFonts w:hint="eastAsia" w:ascii="宋体" w:hAnsi="宋体" w:cs="宋体"/>
          <w:kern w:val="0"/>
          <w:szCs w:val="21"/>
        </w:rPr>
        <w:t>投标人不得在投标有效期内撤销投标文件，否则招标人将不退还其投标保证金。</w:t>
      </w:r>
    </w:p>
    <w:p>
      <w:pPr>
        <w:pStyle w:val="37"/>
        <w:numPr>
          <w:ilvl w:val="0"/>
          <w:numId w:val="0"/>
        </w:numPr>
        <w:autoSpaceDE w:val="0"/>
        <w:autoSpaceDN w:val="0"/>
        <w:spacing w:line="360" w:lineRule="auto"/>
        <w:ind w:leftChars="0" w:firstLine="420" w:firstLineChars="200"/>
        <w:contextualSpacing/>
        <w:rPr>
          <w:rFonts w:ascii="宋体" w:hAnsi="宋体" w:cs="宋体"/>
          <w:kern w:val="0"/>
          <w:szCs w:val="21"/>
        </w:rPr>
      </w:pPr>
      <w:r>
        <w:rPr>
          <w:rFonts w:hint="eastAsia" w:ascii="宋体" w:hAnsi="宋体" w:cs="宋体"/>
          <w:kern w:val="0"/>
          <w:szCs w:val="21"/>
          <w:lang w:val="en-US" w:eastAsia="zh-CN"/>
        </w:rPr>
        <w:t>23.</w:t>
      </w:r>
      <w:r>
        <w:rPr>
          <w:rFonts w:hint="eastAsia" w:ascii="宋体" w:hAnsi="宋体" w:cs="宋体"/>
          <w:kern w:val="0"/>
          <w:szCs w:val="21"/>
        </w:rPr>
        <w:t>除投标人须知前附表另有规定外，投标人所提交的电子投标文件、纸质投标文件及电子介质存储的备份文件不予退还。</w:t>
      </w:r>
    </w:p>
    <w:p>
      <w:pPr>
        <w:tabs>
          <w:tab w:val="left" w:pos="1260"/>
        </w:tabs>
        <w:autoSpaceDE w:val="0"/>
        <w:autoSpaceDN w:val="0"/>
        <w:spacing w:line="360" w:lineRule="auto"/>
        <w:contextualSpacing/>
        <w:jc w:val="center"/>
        <w:rPr>
          <w:rFonts w:ascii="宋体" w:hAnsi="宋体" w:cs="宋体"/>
          <w:kern w:val="0"/>
          <w:szCs w:val="21"/>
        </w:rPr>
      </w:pPr>
      <w:r>
        <w:rPr>
          <w:rFonts w:hint="eastAsia" w:ascii="宋体" w:hAnsi="宋体" w:cs="宋体"/>
          <w:kern w:val="0"/>
          <w:szCs w:val="21"/>
        </w:rPr>
        <w:t>五、开标和评标</w:t>
      </w:r>
    </w:p>
    <w:p>
      <w:pPr>
        <w:pStyle w:val="37"/>
        <w:numPr>
          <w:ilvl w:val="0"/>
          <w:numId w:val="0"/>
        </w:numPr>
        <w:autoSpaceDE w:val="0"/>
        <w:autoSpaceDN w:val="0"/>
        <w:spacing w:line="360" w:lineRule="auto"/>
        <w:ind w:leftChars="0" w:firstLine="420" w:firstLineChars="200"/>
        <w:contextualSpacing/>
        <w:rPr>
          <w:rFonts w:ascii="宋体" w:hAnsi="宋体" w:cs="宋体"/>
          <w:kern w:val="0"/>
          <w:szCs w:val="21"/>
        </w:rPr>
      </w:pPr>
      <w:r>
        <w:rPr>
          <w:rFonts w:hint="eastAsia" w:ascii="宋体" w:hAnsi="宋体" w:cs="宋体"/>
          <w:kern w:val="0"/>
          <w:szCs w:val="21"/>
          <w:lang w:val="en-US" w:eastAsia="zh-CN"/>
        </w:rPr>
        <w:t>24.</w:t>
      </w:r>
      <w:r>
        <w:rPr>
          <w:rFonts w:hint="eastAsia" w:ascii="宋体" w:hAnsi="宋体" w:cs="宋体"/>
          <w:kern w:val="0"/>
          <w:szCs w:val="21"/>
        </w:rPr>
        <w:t>开标</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24.1</w:t>
      </w:r>
      <w:r>
        <w:rPr>
          <w:rFonts w:hint="eastAsia" w:ascii="宋体" w:hAnsi="宋体" w:cs="宋体"/>
          <w:kern w:val="0"/>
          <w:szCs w:val="21"/>
        </w:rPr>
        <w:t>招标人将按招标文件规定的时间和地点组织公开开标。开标由代理机构主持，邀请投标</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 xml:space="preserve">人参加。 </w:t>
      </w:r>
      <w:r>
        <w:rPr>
          <w:rFonts w:hint="eastAsia"/>
        </w:rPr>
        <w:t>投标人全权代表必须到场并签名以证明其出席；采购人将对其进行身份的符合性检查，即出席代表、被授权人开标现场递交与投标文件中一致的授权委托书、身份证原件和投标保证金缴纳回执。评标委员会成员不得参加开标活动。</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24.2</w:t>
      </w:r>
      <w:r>
        <w:rPr>
          <w:rFonts w:hint="eastAsia" w:ascii="宋体" w:hAnsi="宋体" w:cs="宋体"/>
          <w:kern w:val="0"/>
          <w:szCs w:val="21"/>
        </w:rPr>
        <w:t>招标人应当对开标、评标现场活动进行全程录音录像。录音录像应当清晰可辨，音像资</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料作为采购文件一并存档。</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24.3</w:t>
      </w:r>
      <w:r>
        <w:rPr>
          <w:rFonts w:hint="eastAsia" w:ascii="宋体" w:hAnsi="宋体" w:cs="宋体"/>
          <w:kern w:val="0"/>
          <w:szCs w:val="21"/>
        </w:rPr>
        <w:t>开标时，由投标人或者其推选的代表检查纸质投标文件和备份文件（使用电子介质存储）</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（1）电子投标文件的解密</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全流程电子化交易项目电子投标文件采用双重加密。解密需分标段进行两次解密。</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b. 代理机构解密：代理机构</w:t>
      </w:r>
      <w:r>
        <w:rPr>
          <w:rFonts w:ascii="宋体" w:hAnsi="宋体" w:cs="宋体"/>
          <w:kern w:val="0"/>
          <w:szCs w:val="21"/>
        </w:rPr>
        <w:t>按</w:t>
      </w:r>
      <w:r>
        <w:rPr>
          <w:rFonts w:hint="eastAsia" w:ascii="宋体" w:hAnsi="宋体" w:cs="宋体"/>
          <w:kern w:val="0"/>
          <w:szCs w:val="21"/>
        </w:rPr>
        <w:t>电子</w:t>
      </w:r>
      <w:r>
        <w:rPr>
          <w:rFonts w:ascii="宋体" w:hAnsi="宋体" w:cs="宋体"/>
          <w:kern w:val="0"/>
          <w:szCs w:val="21"/>
        </w:rPr>
        <w:t>投标</w:t>
      </w:r>
      <w:r>
        <w:rPr>
          <w:rFonts w:hint="eastAsia" w:ascii="宋体" w:hAnsi="宋体" w:cs="宋体"/>
          <w:kern w:val="0"/>
          <w:szCs w:val="21"/>
        </w:rPr>
        <w:t>文件到达交易系统</w:t>
      </w:r>
      <w:r>
        <w:rPr>
          <w:rFonts w:ascii="宋体" w:hAnsi="宋体" w:cs="宋体"/>
          <w:kern w:val="0"/>
          <w:szCs w:val="21"/>
        </w:rPr>
        <w:t>的先后顺序</w:t>
      </w:r>
      <w:r>
        <w:rPr>
          <w:rFonts w:hint="eastAsia" w:ascii="宋体" w:hAnsi="宋体" w:cs="宋体"/>
          <w:kern w:val="0"/>
          <w:szCs w:val="21"/>
        </w:rPr>
        <w:t>，使用本单位CA数字证书进行再次解密。</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（2） 电子投标文件解密异常情况处理</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a. 因电子交易系统异常无法解密电子投标文件的，使用纸质投标文件以人工方式进行。</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pStyle w:val="37"/>
        <w:numPr>
          <w:ilvl w:val="0"/>
          <w:numId w:val="0"/>
        </w:numPr>
        <w:autoSpaceDE w:val="0"/>
        <w:autoSpaceDN w:val="0"/>
        <w:spacing w:line="360" w:lineRule="auto"/>
        <w:ind w:left="420" w:leftChars="0"/>
        <w:contextualSpacing/>
        <w:rPr>
          <w:rFonts w:ascii="宋体" w:hAnsi="宋体" w:cs="宋体"/>
          <w:kern w:val="0"/>
          <w:szCs w:val="21"/>
        </w:rPr>
      </w:pPr>
      <w:r>
        <w:rPr>
          <w:rFonts w:hint="eastAsia" w:ascii="宋体" w:hAnsi="宋体" w:cs="宋体"/>
          <w:kern w:val="0"/>
          <w:szCs w:val="21"/>
          <w:lang w:val="en-US" w:eastAsia="zh-CN"/>
        </w:rPr>
        <w:t>24.4</w:t>
      </w:r>
      <w:r>
        <w:rPr>
          <w:rFonts w:hint="eastAsia" w:ascii="宋体" w:hAnsi="宋体" w:cs="宋体"/>
          <w:kern w:val="0"/>
          <w:szCs w:val="21"/>
        </w:rPr>
        <w:t>投标人不足3家的，不得开标。</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24.5</w:t>
      </w:r>
      <w:r>
        <w:rPr>
          <w:rFonts w:hint="eastAsia" w:ascii="宋体" w:hAnsi="宋体" w:cs="宋体"/>
          <w:kern w:val="0"/>
          <w:szCs w:val="21"/>
        </w:rPr>
        <w:t>开标过程由采购代理机构负责记录，由参加开标的各投标人代表和相关工作人员签字确</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认后随采购文件一并存档。</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24.6</w:t>
      </w:r>
      <w:r>
        <w:rPr>
          <w:rFonts w:hint="eastAsia" w:ascii="宋体" w:hAnsi="宋体" w:cs="宋体"/>
          <w:kern w:val="0"/>
          <w:szCs w:val="21"/>
        </w:rPr>
        <w:t>投标人代表对开标过程和开标记录有疑义，以及认为采购人、采购代理机构相关工作人</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员有需要回避的情形的，应当场提出询问或者回避申请。采购人、采购代理机构对投标人代表提出的询问或者回避申请应当及时处理。</w:t>
      </w:r>
    </w:p>
    <w:p>
      <w:pPr>
        <w:pStyle w:val="37"/>
        <w:numPr>
          <w:ilvl w:val="0"/>
          <w:numId w:val="0"/>
        </w:numPr>
        <w:autoSpaceDE w:val="0"/>
        <w:autoSpaceDN w:val="0"/>
        <w:spacing w:line="360" w:lineRule="auto"/>
        <w:ind w:left="420" w:leftChars="0"/>
        <w:contextualSpacing/>
        <w:rPr>
          <w:rFonts w:ascii="宋体" w:hAnsi="宋体" w:cs="宋体"/>
          <w:kern w:val="0"/>
          <w:szCs w:val="21"/>
        </w:rPr>
      </w:pPr>
      <w:r>
        <w:rPr>
          <w:rFonts w:hint="eastAsia" w:ascii="宋体" w:hAnsi="宋体" w:cs="宋体"/>
          <w:kern w:val="0"/>
          <w:szCs w:val="21"/>
          <w:lang w:val="en-US" w:eastAsia="zh-CN"/>
        </w:rPr>
        <w:t>24.7</w:t>
      </w:r>
      <w:r>
        <w:rPr>
          <w:rFonts w:hint="eastAsia" w:ascii="宋体" w:hAnsi="宋体" w:cs="宋体"/>
          <w:kern w:val="0"/>
          <w:szCs w:val="21"/>
        </w:rPr>
        <w:t>投标人未参加开标的，视同认可开标结果。</w:t>
      </w:r>
    </w:p>
    <w:p>
      <w:pPr>
        <w:pStyle w:val="37"/>
        <w:numPr>
          <w:ilvl w:val="0"/>
          <w:numId w:val="0"/>
        </w:numPr>
        <w:autoSpaceDE w:val="0"/>
        <w:autoSpaceDN w:val="0"/>
        <w:spacing w:line="360" w:lineRule="auto"/>
        <w:ind w:leftChars="0" w:firstLine="420" w:firstLineChars="200"/>
        <w:contextualSpacing/>
        <w:rPr>
          <w:rFonts w:ascii="宋体" w:hAnsi="宋体" w:cs="宋体"/>
          <w:kern w:val="0"/>
          <w:szCs w:val="21"/>
        </w:rPr>
      </w:pPr>
      <w:r>
        <w:rPr>
          <w:rFonts w:hint="eastAsia" w:ascii="宋体" w:hAnsi="宋体" w:cs="宋体"/>
          <w:kern w:val="0"/>
          <w:szCs w:val="21"/>
          <w:lang w:val="en-US" w:eastAsia="zh-CN"/>
        </w:rPr>
        <w:t>25.</w:t>
      </w:r>
      <w:r>
        <w:rPr>
          <w:rFonts w:hint="eastAsia" w:ascii="宋体" w:hAnsi="宋体" w:cs="宋体"/>
          <w:kern w:val="0"/>
          <w:szCs w:val="21"/>
        </w:rPr>
        <w:t>资格审查</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开标结束后，采购人依法对投标人的资格进行审查。合格投标人不足3家的，不得评标。</w:t>
      </w:r>
    </w:p>
    <w:p>
      <w:pPr>
        <w:pStyle w:val="37"/>
        <w:numPr>
          <w:ilvl w:val="0"/>
          <w:numId w:val="0"/>
        </w:numPr>
        <w:autoSpaceDE w:val="0"/>
        <w:autoSpaceDN w:val="0"/>
        <w:spacing w:line="360" w:lineRule="auto"/>
        <w:ind w:leftChars="0" w:firstLine="420" w:firstLineChars="200"/>
        <w:contextualSpacing/>
        <w:rPr>
          <w:rFonts w:ascii="宋体" w:hAnsi="宋体" w:cs="宋体"/>
          <w:kern w:val="0"/>
          <w:szCs w:val="21"/>
        </w:rPr>
      </w:pPr>
      <w:r>
        <w:rPr>
          <w:rFonts w:hint="eastAsia" w:ascii="宋体" w:hAnsi="宋体" w:cs="宋体"/>
          <w:kern w:val="0"/>
          <w:szCs w:val="21"/>
          <w:lang w:val="en-US" w:eastAsia="zh-CN"/>
        </w:rPr>
        <w:t>26.</w:t>
      </w:r>
      <w:r>
        <w:rPr>
          <w:rFonts w:hint="eastAsia" w:ascii="宋体" w:hAnsi="宋体" w:cs="宋体"/>
          <w:kern w:val="0"/>
          <w:szCs w:val="21"/>
        </w:rPr>
        <w:t>评标委员会的组成</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26.1</w:t>
      </w:r>
      <w:r>
        <w:rPr>
          <w:rFonts w:hint="eastAsia" w:ascii="宋体" w:hAnsi="宋体" w:cs="宋体"/>
          <w:kern w:val="0"/>
          <w:szCs w:val="21"/>
        </w:rPr>
        <w:t>招标人将依法组建评标委员会，评标委员会由采购人代表和评审专家组成，成员人数应</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当为5人以上单数，其中评审专家的人数不少于评标委员会成员总数的三分之二。评审专家依法从政府采购评审专家库中随机抽取。</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采购项目符合下列情形之一的，评标委员会成员人数应当为7人以上单数：</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（1）采购预算金额在1000万元以上；</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（2）技术复杂；</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（3）社会影响较大。</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26.2</w:t>
      </w:r>
      <w:r>
        <w:rPr>
          <w:rFonts w:hint="eastAsia" w:ascii="宋体" w:hAnsi="宋体" w:cs="宋体"/>
          <w:kern w:val="0"/>
          <w:szCs w:val="21"/>
        </w:rPr>
        <w:t>评审专家对本单位的采购项目只能作为采购人代表参与评标。采购代理机构工作人员不</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得参加由本机构代理的政府采购项目的评标。</w:t>
      </w:r>
    </w:p>
    <w:p>
      <w:pPr>
        <w:pStyle w:val="37"/>
        <w:numPr>
          <w:ilvl w:val="0"/>
          <w:numId w:val="0"/>
        </w:numPr>
        <w:autoSpaceDE w:val="0"/>
        <w:autoSpaceDN w:val="0"/>
        <w:spacing w:line="360" w:lineRule="auto"/>
        <w:ind w:left="420" w:leftChars="0"/>
        <w:contextualSpacing/>
        <w:rPr>
          <w:rFonts w:ascii="宋体" w:hAnsi="宋体" w:cs="宋体"/>
          <w:kern w:val="0"/>
          <w:szCs w:val="21"/>
        </w:rPr>
      </w:pPr>
      <w:r>
        <w:rPr>
          <w:rFonts w:hint="eastAsia" w:ascii="宋体" w:hAnsi="宋体" w:cs="宋体"/>
          <w:kern w:val="0"/>
          <w:szCs w:val="21"/>
          <w:lang w:val="en-US" w:eastAsia="zh-CN"/>
        </w:rPr>
        <w:t>26.3</w:t>
      </w:r>
      <w:r>
        <w:rPr>
          <w:rFonts w:hint="eastAsia" w:ascii="宋体" w:hAnsi="宋体" w:cs="宋体"/>
          <w:kern w:val="0"/>
          <w:szCs w:val="21"/>
        </w:rPr>
        <w:t>评审专家与投标人存在下列利害关系之一的,应当回避:</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（1）参加采购活动前三年内,与供应商存在劳动关系,或者担任过供应商的董事、监事,或者是供应商的控股股东或实际控制人；</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（2）与供应商的法定代表人或者负责人有夫妻、直系血亲、三代以内旁系血亲或者近姻亲关系；</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（3）与供应商有其他可能影响政府采购活动公平、公正进行的关系。</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26.4</w:t>
      </w:r>
      <w:r>
        <w:rPr>
          <w:rFonts w:hint="eastAsia" w:ascii="宋体" w:hAnsi="宋体" w:cs="宋体"/>
          <w:kern w:val="0"/>
          <w:szCs w:val="21"/>
        </w:rPr>
        <w:t>评审专家发现本人与参加采购活动的供应商有利害关系的,应当主动提出回避。采购人或</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者代理机构发现评审专家与参加采购活动的供应商有利害关系的,应当要求其回避。</w:t>
      </w:r>
    </w:p>
    <w:p>
      <w:pPr>
        <w:pStyle w:val="37"/>
        <w:numPr>
          <w:ilvl w:val="0"/>
          <w:numId w:val="0"/>
        </w:numPr>
        <w:autoSpaceDE w:val="0"/>
        <w:autoSpaceDN w:val="0"/>
        <w:spacing w:line="360" w:lineRule="auto"/>
        <w:ind w:left="420" w:leftChars="0"/>
        <w:contextualSpacing/>
        <w:rPr>
          <w:rFonts w:ascii="宋体" w:hAnsi="宋体" w:cs="宋体"/>
          <w:kern w:val="0"/>
          <w:szCs w:val="21"/>
        </w:rPr>
      </w:pPr>
      <w:r>
        <w:rPr>
          <w:rFonts w:hint="eastAsia" w:ascii="宋体" w:hAnsi="宋体" w:cs="宋体"/>
          <w:kern w:val="0"/>
          <w:szCs w:val="21"/>
          <w:lang w:val="en-US" w:eastAsia="zh-CN"/>
        </w:rPr>
        <w:t>26.5</w:t>
      </w:r>
      <w:r>
        <w:rPr>
          <w:rFonts w:hint="eastAsia" w:ascii="宋体" w:hAnsi="宋体" w:cs="宋体"/>
          <w:kern w:val="0"/>
          <w:szCs w:val="21"/>
        </w:rPr>
        <w:t>采购人不得担任评标小组长。</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26.6</w:t>
      </w:r>
      <w:r>
        <w:rPr>
          <w:rFonts w:hint="eastAsia" w:ascii="宋体" w:hAnsi="宋体" w:cs="宋体"/>
          <w:kern w:val="0"/>
          <w:szCs w:val="21"/>
        </w:rPr>
        <w:t>采购人可以在评标前说明项目背景和采购需求，说明内容不得含有歧视性、倾向性意见，</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不得超出招标文件所述范围。说明应当提交书面材料，并随采购文件一并存档。</w:t>
      </w:r>
    </w:p>
    <w:p>
      <w:pPr>
        <w:pStyle w:val="37"/>
        <w:numPr>
          <w:ilvl w:val="0"/>
          <w:numId w:val="0"/>
        </w:num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lang w:val="en-US" w:eastAsia="zh-CN"/>
        </w:rPr>
        <w:t>26.7</w:t>
      </w:r>
      <w:r>
        <w:rPr>
          <w:rFonts w:hint="eastAsia" w:ascii="宋体" w:hAnsi="宋体" w:cs="宋体"/>
          <w:kern w:val="0"/>
          <w:szCs w:val="21"/>
        </w:rPr>
        <w:t>评标委员会成员名单在评标结果公告前应当保密。</w:t>
      </w:r>
    </w:p>
    <w:p>
      <w:pPr>
        <w:pStyle w:val="37"/>
        <w:numPr>
          <w:ilvl w:val="0"/>
          <w:numId w:val="0"/>
        </w:numPr>
        <w:autoSpaceDE w:val="0"/>
        <w:autoSpaceDN w:val="0"/>
        <w:spacing w:line="360" w:lineRule="auto"/>
        <w:ind w:leftChars="0" w:firstLine="420" w:firstLineChars="200"/>
        <w:contextualSpacing/>
        <w:rPr>
          <w:rFonts w:ascii="宋体" w:hAnsi="宋体" w:cs="宋体"/>
          <w:kern w:val="0"/>
          <w:szCs w:val="21"/>
        </w:rPr>
      </w:pPr>
      <w:r>
        <w:rPr>
          <w:rFonts w:hint="eastAsia" w:ascii="宋体" w:hAnsi="宋体" w:cs="宋体"/>
          <w:kern w:val="0"/>
          <w:szCs w:val="21"/>
          <w:lang w:val="en-US" w:eastAsia="zh-CN"/>
        </w:rPr>
        <w:t>27.</w:t>
      </w:r>
      <w:r>
        <w:rPr>
          <w:rFonts w:hint="eastAsia" w:ascii="宋体" w:hAnsi="宋体" w:cs="宋体"/>
          <w:kern w:val="0"/>
          <w:szCs w:val="21"/>
        </w:rPr>
        <w:t>符合性审查</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27.1</w:t>
      </w:r>
      <w:r>
        <w:rPr>
          <w:rFonts w:hint="eastAsia" w:ascii="宋体" w:hAnsi="宋体" w:cs="宋体"/>
          <w:kern w:val="0"/>
          <w:szCs w:val="21"/>
        </w:rPr>
        <w:t>评标委员会依据有关法律法规和招标文件的规定，对符合资格的投标人的投标文件进行</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符合性审查，以确定其是否满足招标文件的实质性要求。</w:t>
      </w:r>
    </w:p>
    <w:p>
      <w:pPr>
        <w:pStyle w:val="37"/>
        <w:numPr>
          <w:ilvl w:val="0"/>
          <w:numId w:val="0"/>
        </w:numPr>
        <w:autoSpaceDE w:val="0"/>
        <w:autoSpaceDN w:val="0"/>
        <w:spacing w:line="360" w:lineRule="auto"/>
        <w:ind w:left="420" w:leftChars="0"/>
        <w:contextualSpacing/>
        <w:rPr>
          <w:rFonts w:ascii="宋体" w:hAnsi="宋体" w:cs="宋体"/>
          <w:kern w:val="0"/>
          <w:szCs w:val="21"/>
        </w:rPr>
      </w:pPr>
      <w:r>
        <w:rPr>
          <w:rFonts w:hint="eastAsia" w:ascii="宋体" w:hAnsi="宋体" w:cs="宋体"/>
          <w:kern w:val="0"/>
          <w:szCs w:val="21"/>
          <w:lang w:val="en-US" w:eastAsia="zh-CN"/>
        </w:rPr>
        <w:t>27.2</w:t>
      </w:r>
      <w:r>
        <w:rPr>
          <w:rFonts w:hint="eastAsia" w:ascii="宋体" w:hAnsi="宋体" w:cs="宋体"/>
          <w:kern w:val="0"/>
          <w:szCs w:val="21"/>
        </w:rPr>
        <w:t>审查、评价投标文件是否符合招标文件的商务、技术等实质性要求。</w:t>
      </w:r>
    </w:p>
    <w:p>
      <w:pPr>
        <w:pStyle w:val="37"/>
        <w:numPr>
          <w:ilvl w:val="0"/>
          <w:numId w:val="0"/>
        </w:numPr>
        <w:autoSpaceDE w:val="0"/>
        <w:autoSpaceDN w:val="0"/>
        <w:spacing w:line="360" w:lineRule="auto"/>
        <w:ind w:left="420" w:leftChars="0"/>
        <w:contextualSpacing/>
        <w:rPr>
          <w:rFonts w:ascii="宋体" w:hAnsi="宋体" w:cs="宋体"/>
          <w:kern w:val="0"/>
          <w:szCs w:val="21"/>
        </w:rPr>
      </w:pPr>
      <w:r>
        <w:rPr>
          <w:rFonts w:hint="eastAsia" w:ascii="宋体" w:hAnsi="宋体" w:cs="宋体"/>
          <w:kern w:val="0"/>
          <w:szCs w:val="21"/>
          <w:lang w:val="en-US" w:eastAsia="zh-CN"/>
        </w:rPr>
        <w:t>27.3</w:t>
      </w:r>
      <w:r>
        <w:rPr>
          <w:rFonts w:hint="eastAsia" w:ascii="宋体" w:hAnsi="宋体" w:cs="宋体"/>
          <w:kern w:val="0"/>
          <w:szCs w:val="21"/>
        </w:rPr>
        <w:t>可要求投标人对投标文件有关事项作出澄清或者说明。</w:t>
      </w:r>
    </w:p>
    <w:p>
      <w:pPr>
        <w:pStyle w:val="37"/>
        <w:numPr>
          <w:ilvl w:val="0"/>
          <w:numId w:val="0"/>
        </w:numPr>
        <w:autoSpaceDE w:val="0"/>
        <w:autoSpaceDN w:val="0"/>
        <w:spacing w:line="360" w:lineRule="auto"/>
        <w:ind w:leftChars="0" w:firstLine="420" w:firstLineChars="200"/>
        <w:contextualSpacing/>
        <w:rPr>
          <w:rFonts w:ascii="宋体" w:hAnsi="宋体" w:cs="宋体"/>
          <w:kern w:val="0"/>
          <w:szCs w:val="21"/>
        </w:rPr>
      </w:pPr>
      <w:r>
        <w:rPr>
          <w:rFonts w:hint="eastAsia" w:ascii="宋体" w:hAnsi="宋体" w:cs="宋体"/>
          <w:kern w:val="0"/>
          <w:szCs w:val="21"/>
          <w:lang w:val="en-US" w:eastAsia="zh-CN"/>
        </w:rPr>
        <w:t>28.</w:t>
      </w:r>
      <w:r>
        <w:rPr>
          <w:rFonts w:hint="eastAsia" w:ascii="宋体" w:hAnsi="宋体" w:cs="宋体"/>
          <w:kern w:val="0"/>
          <w:szCs w:val="21"/>
        </w:rPr>
        <w:t>投标文件的澄清</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28.1</w:t>
      </w:r>
      <w:r>
        <w:rPr>
          <w:rFonts w:hint="eastAsia" w:ascii="宋体" w:hAnsi="宋体" w:cs="宋体"/>
          <w:kern w:val="0"/>
          <w:szCs w:val="21"/>
        </w:rPr>
        <w:t>对于投标文件中含义不明确、同类问题表述不一致或者有明显文字和计算错误的内容，</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评标委员会应当以书面形式要求投标人作出必要的澄清、说明或者补正。</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28.2</w:t>
      </w:r>
      <w:r>
        <w:rPr>
          <w:rFonts w:hint="eastAsia" w:ascii="宋体" w:hAnsi="宋体" w:cs="宋体"/>
          <w:kern w:val="0"/>
          <w:szCs w:val="21"/>
        </w:rPr>
        <w:t>投标人的澄清、说明或者补正应当采用书面形式，并加盖公章，或者由法定代表人或其</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授权的代表签字。投标人的澄清、说明或者补正不得超出投标文件的范围或者改变投标文件的实质性内容。</w:t>
      </w:r>
    </w:p>
    <w:p>
      <w:pPr>
        <w:pStyle w:val="37"/>
        <w:numPr>
          <w:ilvl w:val="0"/>
          <w:numId w:val="0"/>
        </w:numPr>
        <w:autoSpaceDE w:val="0"/>
        <w:autoSpaceDN w:val="0"/>
        <w:spacing w:line="360" w:lineRule="auto"/>
        <w:ind w:left="420" w:leftChars="0"/>
        <w:contextualSpacing/>
        <w:rPr>
          <w:rFonts w:ascii="宋体" w:hAnsi="宋体" w:cs="宋体"/>
          <w:kern w:val="0"/>
          <w:szCs w:val="21"/>
        </w:rPr>
      </w:pPr>
      <w:r>
        <w:rPr>
          <w:rFonts w:hint="eastAsia" w:ascii="宋体" w:hAnsi="宋体" w:cs="宋体"/>
          <w:kern w:val="0"/>
          <w:szCs w:val="21"/>
          <w:lang w:val="en-US" w:eastAsia="zh-CN"/>
        </w:rPr>
        <w:t>28.3</w:t>
      </w:r>
      <w:r>
        <w:rPr>
          <w:rFonts w:hint="eastAsia" w:ascii="宋体" w:hAnsi="宋体" w:cs="宋体"/>
          <w:kern w:val="0"/>
          <w:szCs w:val="21"/>
        </w:rPr>
        <w:t>投标人的澄清文件是其投标文件的组成部分。</w:t>
      </w:r>
    </w:p>
    <w:p>
      <w:pPr>
        <w:pStyle w:val="37"/>
        <w:numPr>
          <w:ilvl w:val="0"/>
          <w:numId w:val="0"/>
        </w:numPr>
        <w:autoSpaceDE w:val="0"/>
        <w:autoSpaceDN w:val="0"/>
        <w:spacing w:line="360" w:lineRule="auto"/>
        <w:ind w:leftChars="0" w:firstLine="420" w:firstLineChars="200"/>
        <w:contextualSpacing/>
        <w:rPr>
          <w:rFonts w:ascii="宋体" w:hAnsi="宋体" w:cs="宋体"/>
          <w:kern w:val="0"/>
          <w:szCs w:val="21"/>
        </w:rPr>
      </w:pPr>
      <w:r>
        <w:rPr>
          <w:rFonts w:hint="eastAsia" w:ascii="宋体" w:hAnsi="宋体" w:cs="宋体"/>
          <w:kern w:val="0"/>
          <w:szCs w:val="21"/>
          <w:lang w:val="en-US" w:eastAsia="zh-CN"/>
        </w:rPr>
        <w:t>29.</w:t>
      </w:r>
      <w:r>
        <w:rPr>
          <w:rFonts w:hint="eastAsia" w:ascii="宋体" w:hAnsi="宋体" w:cs="宋体"/>
          <w:kern w:val="0"/>
          <w:szCs w:val="21"/>
        </w:rPr>
        <w:t>投标文件报价出现前后不一致的修正</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（1）投标文件中开标一览表(报价表)内容与投标文件中相应内容不一致的，以开标一览表(报价表)为准；</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（2）大写金额和小写金额不一致的，以大写金额为准；</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（3） 单价金额小数点或者百分比有明显错位的，以开标一览表的总价为准，并修改单价；</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pStyle w:val="37"/>
        <w:numPr>
          <w:ilvl w:val="0"/>
          <w:numId w:val="0"/>
        </w:numPr>
        <w:autoSpaceDE w:val="0"/>
        <w:autoSpaceDN w:val="0"/>
        <w:spacing w:line="360" w:lineRule="auto"/>
        <w:ind w:leftChars="0" w:firstLine="420" w:firstLineChars="200"/>
        <w:contextualSpacing/>
        <w:rPr>
          <w:rFonts w:ascii="宋体" w:hAnsi="宋体" w:cs="宋体"/>
          <w:kern w:val="0"/>
          <w:szCs w:val="21"/>
        </w:rPr>
      </w:pPr>
      <w:r>
        <w:rPr>
          <w:rFonts w:hint="eastAsia" w:ascii="宋体" w:hAnsi="宋体" w:cs="宋体"/>
          <w:kern w:val="0"/>
          <w:szCs w:val="21"/>
          <w:lang w:val="en-US" w:eastAsia="zh-CN"/>
        </w:rPr>
        <w:t>30.</w:t>
      </w:r>
      <w:r>
        <w:rPr>
          <w:rFonts w:hint="eastAsia" w:ascii="宋体" w:hAnsi="宋体" w:cs="宋体"/>
          <w:kern w:val="0"/>
          <w:szCs w:val="21"/>
        </w:rPr>
        <w:t>投标无效情形</w:t>
      </w:r>
    </w:p>
    <w:p>
      <w:pPr>
        <w:pStyle w:val="37"/>
        <w:numPr>
          <w:ilvl w:val="0"/>
          <w:numId w:val="0"/>
        </w:numPr>
        <w:autoSpaceDE w:val="0"/>
        <w:autoSpaceDN w:val="0"/>
        <w:spacing w:line="360" w:lineRule="auto"/>
        <w:ind w:left="420" w:leftChars="0"/>
        <w:contextualSpacing/>
        <w:rPr>
          <w:rFonts w:ascii="宋体" w:hAnsi="宋体" w:cs="宋体"/>
          <w:kern w:val="0"/>
          <w:szCs w:val="21"/>
        </w:rPr>
      </w:pPr>
      <w:r>
        <w:rPr>
          <w:rFonts w:hint="eastAsia" w:ascii="宋体" w:hAnsi="宋体" w:cs="宋体"/>
          <w:kern w:val="0"/>
          <w:szCs w:val="21"/>
          <w:lang w:val="en-US" w:eastAsia="zh-CN"/>
        </w:rPr>
        <w:t>30.1</w:t>
      </w:r>
      <w:r>
        <w:rPr>
          <w:rFonts w:hint="eastAsia" w:ascii="宋体" w:hAnsi="宋体" w:cs="宋体"/>
          <w:kern w:val="0"/>
          <w:szCs w:val="21"/>
        </w:rPr>
        <w:t>投标文件属下列情况之一的，按照无效投标处理：</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（1）未按照招标文件的规定提交投标保证金的；</w:t>
      </w:r>
      <w:r>
        <w:rPr>
          <w:rFonts w:ascii="宋体" w:hAnsi="宋体" w:cs="宋体"/>
          <w:kern w:val="0"/>
          <w:szCs w:val="21"/>
        </w:rPr>
        <w:t xml:space="preserve"> </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（2） 投标文件未按招标文件要求签署、盖章的；</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（3） 不具备招标文件中规定的资格要求的；</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（4） 报价超过招标文件中规定的预算金额或者最高限价的；</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 xml:space="preserve">（5） </w:t>
      </w:r>
      <w:r>
        <w:rPr>
          <w:rFonts w:ascii="宋体" w:hAnsi="宋体" w:cs="宋体"/>
          <w:kern w:val="0"/>
          <w:szCs w:val="21"/>
        </w:rPr>
        <w:t>投标文件含有采购人不能接受的附加条件的</w:t>
      </w:r>
      <w:r>
        <w:rPr>
          <w:rFonts w:hint="eastAsia" w:ascii="宋体" w:hAnsi="宋体" w:cs="宋体"/>
          <w:kern w:val="0"/>
          <w:szCs w:val="21"/>
        </w:rPr>
        <w:t>。</w:t>
      </w:r>
    </w:p>
    <w:p>
      <w:pPr>
        <w:pStyle w:val="37"/>
        <w:numPr>
          <w:ilvl w:val="0"/>
          <w:numId w:val="0"/>
        </w:numPr>
        <w:autoSpaceDE w:val="0"/>
        <w:autoSpaceDN w:val="0"/>
        <w:spacing w:line="360" w:lineRule="auto"/>
        <w:ind w:left="420" w:leftChars="0"/>
        <w:contextualSpacing/>
        <w:rPr>
          <w:rFonts w:ascii="宋体" w:hAnsi="宋体" w:cs="宋体"/>
          <w:kern w:val="0"/>
          <w:szCs w:val="21"/>
        </w:rPr>
      </w:pPr>
      <w:r>
        <w:rPr>
          <w:rFonts w:hint="eastAsia" w:ascii="宋体" w:hAnsi="宋体" w:cs="宋体"/>
          <w:kern w:val="0"/>
          <w:szCs w:val="21"/>
          <w:lang w:val="en-US" w:eastAsia="zh-CN"/>
        </w:rPr>
        <w:t>30.2</w:t>
      </w:r>
      <w:r>
        <w:rPr>
          <w:rFonts w:hint="eastAsia" w:ascii="宋体" w:hAnsi="宋体" w:cs="宋体"/>
          <w:kern w:val="0"/>
          <w:szCs w:val="21"/>
        </w:rPr>
        <w:t>有下列情形之一的，视为投标人串通投标，其投标无效：</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（1） 不同投标人的投标文件由同一单位或者个人编制；</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（2） 不同投标人委托同一单位或者个人办理投标事宜；</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（3） 不同投标人的投标文件载明的项目管理成员或者联系人员为同一人；</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（4） 不同投标人的投标文件异常一致或者投标报价呈规律性差异；</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（5） 不同投标人的投标文件相互混装；</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（6） 不同投标人的投标保证金从同一单位或者个人的账户转出。</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30.3</w:t>
      </w:r>
      <w:r>
        <w:rPr>
          <w:rFonts w:hint="eastAsia" w:ascii="宋体" w:hAnsi="宋体" w:cs="宋体"/>
          <w:kern w:val="0"/>
          <w:szCs w:val="21"/>
        </w:rPr>
        <w:t>投标人应当遵循公平竞争的原则，不得恶意串通，不得妨碍其他投标人的竞争行为，不</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得损害采购人或者其他投标人的合法权益。在评标过程中发现投标人有上述情形的，评标委员会应当认定其投标无效，并书面报告本级财政部门。</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30.4</w:t>
      </w:r>
      <w:r>
        <w:rPr>
          <w:rFonts w:hint="eastAsia" w:ascii="宋体" w:hAnsi="宋体" w:cs="宋体"/>
          <w:kern w:val="0"/>
          <w:szCs w:val="21"/>
        </w:rPr>
        <w:t>评标委员会认为投标人的报价明显低于其他通过符合性审查投标人的报价，有可能影响</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产品质量或者不能诚信履约的，应当要求其在评标现场合理的时间内提供书面说明，必要时提交相关证明材料；投标人不能证明其报价合理性的，评标委员会应当将其作为无效投标处理。</w:t>
      </w:r>
    </w:p>
    <w:p>
      <w:pPr>
        <w:pStyle w:val="37"/>
        <w:numPr>
          <w:ilvl w:val="0"/>
          <w:numId w:val="0"/>
        </w:numPr>
        <w:autoSpaceDE w:val="0"/>
        <w:autoSpaceDN w:val="0"/>
        <w:spacing w:line="360" w:lineRule="auto"/>
        <w:ind w:left="420" w:leftChars="0"/>
        <w:contextualSpacing/>
        <w:rPr>
          <w:rFonts w:ascii="宋体" w:hAnsi="宋体" w:cs="宋体"/>
          <w:kern w:val="0"/>
          <w:szCs w:val="21"/>
        </w:rPr>
      </w:pPr>
      <w:r>
        <w:rPr>
          <w:rFonts w:hint="eastAsia" w:ascii="宋体" w:hAnsi="宋体" w:cs="宋体"/>
          <w:kern w:val="0"/>
          <w:szCs w:val="21"/>
          <w:lang w:val="en-US" w:eastAsia="zh-CN"/>
        </w:rPr>
        <w:t>30.5</w:t>
      </w:r>
      <w:r>
        <w:rPr>
          <w:rFonts w:ascii="宋体" w:hAnsi="宋体" w:cs="宋体"/>
          <w:kern w:val="0"/>
          <w:szCs w:val="21"/>
        </w:rPr>
        <w:t>法律、法规和招标文件规定的其他无效情形。</w:t>
      </w:r>
    </w:p>
    <w:p>
      <w:pPr>
        <w:pStyle w:val="37"/>
        <w:numPr>
          <w:ilvl w:val="0"/>
          <w:numId w:val="0"/>
        </w:numPr>
        <w:autoSpaceDE w:val="0"/>
        <w:autoSpaceDN w:val="0"/>
        <w:spacing w:line="360" w:lineRule="auto"/>
        <w:ind w:leftChars="0" w:firstLine="420" w:firstLineChars="200"/>
        <w:contextualSpacing/>
        <w:rPr>
          <w:rFonts w:ascii="宋体" w:hAnsi="宋体" w:cs="宋体"/>
          <w:kern w:val="0"/>
          <w:szCs w:val="21"/>
        </w:rPr>
      </w:pPr>
      <w:r>
        <w:rPr>
          <w:rFonts w:hint="eastAsia" w:ascii="宋体" w:hAnsi="宋体" w:cs="宋体"/>
          <w:kern w:val="0"/>
          <w:szCs w:val="21"/>
          <w:lang w:val="en-US" w:eastAsia="zh-CN"/>
        </w:rPr>
        <w:t>36.</w:t>
      </w:r>
      <w:r>
        <w:rPr>
          <w:rFonts w:hint="eastAsia" w:ascii="宋体" w:hAnsi="宋体" w:cs="宋体"/>
          <w:kern w:val="0"/>
          <w:szCs w:val="21"/>
        </w:rPr>
        <w:t>相同品牌投标人的认定</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36.1</w:t>
      </w:r>
      <w:r>
        <w:rPr>
          <w:rFonts w:hint="eastAsia" w:ascii="宋体" w:hAnsi="宋体" w:cs="宋体"/>
          <w:kern w:val="0"/>
          <w:szCs w:val="21"/>
        </w:rPr>
        <w:t>采用最低评标价法的采购项目，提供相同品牌产品的不同投标人参加同一合同项下投标</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36.2</w:t>
      </w:r>
      <w:r>
        <w:rPr>
          <w:rFonts w:hint="eastAsia" w:ascii="宋体" w:hAnsi="宋体" w:cs="宋体"/>
          <w:kern w:val="0"/>
          <w:szCs w:val="21"/>
        </w:rPr>
        <w:t>使用综合评分法的采购项目，提供相同品牌产品且通过资格审查、符合性审查的不同投</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7"/>
        <w:numPr>
          <w:ilvl w:val="0"/>
          <w:numId w:val="0"/>
        </w:numPr>
        <w:autoSpaceDE w:val="0"/>
        <w:autoSpaceDN w:val="0"/>
        <w:spacing w:line="360" w:lineRule="auto"/>
        <w:ind w:leftChars="0" w:firstLine="420" w:firstLineChars="200"/>
        <w:contextualSpacing/>
        <w:rPr>
          <w:rFonts w:ascii="宋体" w:hAnsi="宋体" w:cs="宋体"/>
          <w:kern w:val="0"/>
          <w:szCs w:val="21"/>
        </w:rPr>
      </w:pPr>
      <w:r>
        <w:rPr>
          <w:rFonts w:hint="eastAsia" w:ascii="宋体" w:hAnsi="宋体" w:cs="宋体"/>
          <w:kern w:val="0"/>
          <w:szCs w:val="21"/>
          <w:lang w:val="en-US" w:eastAsia="zh-CN"/>
        </w:rPr>
        <w:t>37.</w:t>
      </w:r>
      <w:r>
        <w:rPr>
          <w:rFonts w:hint="eastAsia" w:ascii="宋体" w:hAnsi="宋体" w:cs="宋体"/>
          <w:kern w:val="0"/>
          <w:szCs w:val="21"/>
        </w:rPr>
        <w:t>投标文件的比较与评价</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评标委员会按照招标文件中规定的评标方法和标准，对符合性审查合格的投标文件进行商务和技术评估，综合比较与评价。</w:t>
      </w:r>
    </w:p>
    <w:p>
      <w:pPr>
        <w:pStyle w:val="37"/>
        <w:numPr>
          <w:ilvl w:val="0"/>
          <w:numId w:val="0"/>
        </w:numPr>
        <w:autoSpaceDE w:val="0"/>
        <w:autoSpaceDN w:val="0"/>
        <w:spacing w:line="360" w:lineRule="auto"/>
        <w:ind w:leftChars="0" w:firstLine="420" w:firstLineChars="200"/>
        <w:contextualSpacing/>
        <w:rPr>
          <w:rFonts w:ascii="宋体" w:hAnsi="宋体" w:cs="宋体"/>
          <w:kern w:val="0"/>
          <w:szCs w:val="21"/>
        </w:rPr>
      </w:pPr>
      <w:r>
        <w:rPr>
          <w:rFonts w:hint="eastAsia" w:ascii="宋体" w:hAnsi="宋体" w:cs="宋体"/>
          <w:kern w:val="0"/>
          <w:szCs w:val="21"/>
          <w:lang w:val="en-US" w:eastAsia="zh-CN"/>
        </w:rPr>
        <w:t>38.</w:t>
      </w:r>
      <w:r>
        <w:rPr>
          <w:rFonts w:hint="eastAsia" w:ascii="宋体" w:hAnsi="宋体" w:cs="宋体"/>
          <w:kern w:val="0"/>
          <w:szCs w:val="21"/>
        </w:rPr>
        <w:t>评标方法、评标标准</w:t>
      </w:r>
    </w:p>
    <w:p>
      <w:pPr>
        <w:pStyle w:val="37"/>
        <w:numPr>
          <w:ilvl w:val="0"/>
          <w:numId w:val="0"/>
        </w:num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lang w:val="en-US" w:eastAsia="zh-CN"/>
        </w:rPr>
        <w:t>38.1</w:t>
      </w:r>
      <w:r>
        <w:rPr>
          <w:rFonts w:hint="eastAsia" w:ascii="宋体" w:hAnsi="宋体" w:cs="宋体"/>
          <w:kern w:val="0"/>
          <w:szCs w:val="21"/>
        </w:rPr>
        <w:t>评标方法分为最低评标价法和综合评分法。</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（1） 最低评标价法</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a. 最低评标价法，是指投标文件满足招标文件全部实质性要求，且投标报价最低的投标人为中标候选人的评标方法。</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（2） 综合评分法，是指投标文件满足招标文件全部实质性要求，且按照评审因素的量化指标评审得分最高的投标人为中标候选人的评标方法。</w:t>
      </w:r>
    </w:p>
    <w:p>
      <w:pPr>
        <w:pStyle w:val="37"/>
        <w:numPr>
          <w:ilvl w:val="0"/>
          <w:numId w:val="0"/>
        </w:numPr>
        <w:autoSpaceDE w:val="0"/>
        <w:autoSpaceDN w:val="0"/>
        <w:spacing w:line="360" w:lineRule="auto"/>
        <w:ind w:left="420" w:leftChars="0"/>
        <w:contextualSpacing/>
        <w:rPr>
          <w:rFonts w:ascii="宋体" w:hAnsi="宋体" w:cs="宋体"/>
          <w:kern w:val="0"/>
          <w:szCs w:val="21"/>
        </w:rPr>
      </w:pPr>
      <w:r>
        <w:rPr>
          <w:rFonts w:hint="eastAsia" w:ascii="宋体" w:hAnsi="宋体" w:cs="宋体"/>
          <w:kern w:val="0"/>
          <w:szCs w:val="21"/>
          <w:lang w:val="en-US" w:eastAsia="zh-CN"/>
        </w:rPr>
        <w:t>38.2</w:t>
      </w:r>
      <w:r>
        <w:rPr>
          <w:rFonts w:hint="eastAsia" w:ascii="宋体" w:hAnsi="宋体" w:cs="宋体"/>
          <w:kern w:val="0"/>
          <w:szCs w:val="21"/>
        </w:rPr>
        <w:t>价格分</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投标报价得分=(评标基准价/投标报价)×100</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评标总得分=F1×A1+F2×A2+……+Fn×An</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F1、F2……Fn分别为各项评审因素的得分;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A1、A2、……An 分别为各项评审因素所占的权重(A1+A2+……+An=1)。</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（2） 评标过程中，不得去掉报价中的最高报价和最低报价。</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（3） 因落实政府采购政策进行价格调整的，以调整后的价格计算评标基准价和投标报价。</w:t>
      </w:r>
    </w:p>
    <w:p>
      <w:pPr>
        <w:pStyle w:val="37"/>
        <w:numPr>
          <w:ilvl w:val="0"/>
          <w:numId w:val="0"/>
        </w:numPr>
        <w:autoSpaceDE w:val="0"/>
        <w:autoSpaceDN w:val="0"/>
        <w:spacing w:line="360" w:lineRule="auto"/>
        <w:ind w:left="420" w:leftChars="0"/>
        <w:contextualSpacing/>
        <w:rPr>
          <w:rFonts w:ascii="宋体" w:hAnsi="宋体" w:cs="宋体"/>
          <w:kern w:val="0"/>
          <w:szCs w:val="21"/>
        </w:rPr>
      </w:pPr>
      <w:r>
        <w:rPr>
          <w:rFonts w:hint="eastAsia" w:ascii="宋体" w:hAnsi="宋体" w:cs="宋体"/>
          <w:kern w:val="0"/>
          <w:szCs w:val="21"/>
          <w:lang w:val="en-US" w:eastAsia="zh-CN"/>
        </w:rPr>
        <w:t>38.3</w:t>
      </w:r>
      <w:r>
        <w:rPr>
          <w:rFonts w:hint="eastAsia" w:ascii="宋体" w:hAnsi="宋体" w:cs="宋体"/>
          <w:kern w:val="0"/>
          <w:szCs w:val="21"/>
        </w:rPr>
        <w:t>本次评标具体评标方法、评标标准见（第六章 资格审查与评标）。</w:t>
      </w:r>
    </w:p>
    <w:p>
      <w:pPr>
        <w:pStyle w:val="37"/>
        <w:numPr>
          <w:ilvl w:val="0"/>
          <w:numId w:val="0"/>
        </w:numPr>
        <w:autoSpaceDE w:val="0"/>
        <w:autoSpaceDN w:val="0"/>
        <w:spacing w:line="360" w:lineRule="auto"/>
        <w:ind w:leftChars="0" w:firstLine="420" w:firstLineChars="200"/>
        <w:contextualSpacing/>
        <w:rPr>
          <w:rFonts w:ascii="宋体" w:hAnsi="宋体" w:cs="宋体"/>
          <w:kern w:val="0"/>
          <w:szCs w:val="21"/>
        </w:rPr>
      </w:pPr>
      <w:r>
        <w:rPr>
          <w:rFonts w:hint="eastAsia" w:ascii="宋体" w:hAnsi="宋体" w:cs="宋体"/>
          <w:kern w:val="0"/>
          <w:szCs w:val="21"/>
          <w:lang w:val="en-US" w:eastAsia="zh-CN"/>
        </w:rPr>
        <w:t>39.</w:t>
      </w:r>
      <w:r>
        <w:rPr>
          <w:rFonts w:hint="eastAsia" w:ascii="宋体" w:hAnsi="宋体" w:cs="宋体"/>
          <w:kern w:val="0"/>
          <w:szCs w:val="21"/>
        </w:rPr>
        <w:t>推荐中标候选人</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39.1</w:t>
      </w:r>
      <w:r>
        <w:rPr>
          <w:rFonts w:hint="eastAsia" w:ascii="宋体" w:hAnsi="宋体" w:cs="宋体"/>
          <w:kern w:val="0"/>
          <w:szCs w:val="21"/>
        </w:rPr>
        <w:t>采用最低评标价法的，评标结果按投标报价由低到高顺序排列。投标报价相同的并列。</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投标文件满足招标文件全部实质性要求且投标报价最低的投标人为排名第一的中标候选人。</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39.2</w:t>
      </w:r>
      <w:r>
        <w:rPr>
          <w:rFonts w:hint="eastAsia" w:ascii="宋体" w:hAnsi="宋体" w:cs="宋体"/>
          <w:kern w:val="0"/>
          <w:szCs w:val="21"/>
        </w:rPr>
        <w:t>采用综合评分法的，评标结果按评审后得分由高到低顺序排列。得分相同的，按投标报</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价由低到高顺序排列。得分且投标报价相同的并列。投标文件满足招标文件全部实质性要求，且按照评审因素的量化指标评审得分最高的投标人为排名第一的中标候选人。</w:t>
      </w:r>
    </w:p>
    <w:p>
      <w:pPr>
        <w:pStyle w:val="37"/>
        <w:numPr>
          <w:ilvl w:val="0"/>
          <w:numId w:val="0"/>
        </w:numPr>
        <w:autoSpaceDE w:val="0"/>
        <w:autoSpaceDN w:val="0"/>
        <w:spacing w:line="360" w:lineRule="auto"/>
        <w:ind w:leftChars="0" w:firstLine="420" w:firstLineChars="200"/>
        <w:contextualSpacing/>
        <w:rPr>
          <w:rFonts w:ascii="宋体" w:hAnsi="宋体" w:cs="宋体"/>
          <w:kern w:val="0"/>
          <w:szCs w:val="21"/>
        </w:rPr>
      </w:pPr>
      <w:r>
        <w:rPr>
          <w:rFonts w:hint="eastAsia" w:ascii="宋体" w:hAnsi="宋体" w:cs="宋体"/>
          <w:kern w:val="0"/>
          <w:szCs w:val="21"/>
          <w:lang w:val="en-US" w:eastAsia="zh-CN"/>
        </w:rPr>
        <w:t>40.</w:t>
      </w:r>
      <w:r>
        <w:rPr>
          <w:rFonts w:hint="eastAsia" w:ascii="宋体" w:hAnsi="宋体" w:cs="宋体"/>
          <w:kern w:val="0"/>
          <w:szCs w:val="21"/>
        </w:rPr>
        <w:t>评审意见无效情形</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评标委员会及其成员有下列行为之一的，其评审意见无效：</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（1） 确定参与评标至评标结束前私自接触投标人；</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（2） 接受投标人提出的与投标文件不一致的澄清或者说明，《投标人须知》26条规定的情形除外；</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（3） 违反评标纪律发表倾向性意见或者征询采购人的倾向性意见；</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（4） 对需要专业判断的主观评审因素协商评分；</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（5） 在评标过程中擅离职守，影响评标程序正常进行的；</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（6） 记录、复制或者带走任何评标资料；</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（7） 其他不遵守评标纪律的行为。</w:t>
      </w:r>
    </w:p>
    <w:p>
      <w:pPr>
        <w:pStyle w:val="37"/>
        <w:numPr>
          <w:ilvl w:val="0"/>
          <w:numId w:val="0"/>
        </w:numPr>
        <w:autoSpaceDE w:val="0"/>
        <w:autoSpaceDN w:val="0"/>
        <w:spacing w:line="360" w:lineRule="auto"/>
        <w:ind w:leftChars="0" w:firstLine="420" w:firstLineChars="200"/>
        <w:contextualSpacing/>
        <w:rPr>
          <w:rFonts w:ascii="宋体" w:hAnsi="宋体" w:cs="宋体"/>
          <w:kern w:val="0"/>
          <w:szCs w:val="21"/>
        </w:rPr>
      </w:pPr>
      <w:r>
        <w:rPr>
          <w:rFonts w:hint="eastAsia" w:ascii="宋体" w:hAnsi="宋体" w:cs="宋体"/>
          <w:kern w:val="0"/>
          <w:szCs w:val="21"/>
          <w:lang w:val="en-US" w:eastAsia="zh-CN"/>
        </w:rPr>
        <w:t>41.</w:t>
      </w:r>
      <w:r>
        <w:rPr>
          <w:rFonts w:hint="eastAsia" w:ascii="宋体" w:hAnsi="宋体" w:cs="宋体"/>
          <w:kern w:val="0"/>
          <w:szCs w:val="21"/>
        </w:rPr>
        <w:t>保密</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41.1</w:t>
      </w:r>
      <w:r>
        <w:rPr>
          <w:rFonts w:hint="eastAsia" w:ascii="宋体" w:hAnsi="宋体" w:cs="宋体"/>
          <w:kern w:val="0"/>
          <w:szCs w:val="21"/>
        </w:rPr>
        <w:t>评审专家应当遵守评审工作纪律，不得泄露评审文件、评审情况和评审中获悉的商业秘</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密。</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41.2</w:t>
      </w:r>
      <w:r>
        <w:rPr>
          <w:rFonts w:hint="eastAsia" w:ascii="宋体" w:hAnsi="宋体" w:cs="宋体"/>
          <w:kern w:val="0"/>
          <w:szCs w:val="21"/>
        </w:rPr>
        <w:t>采购人、采购代理机构应当采取必要措施，保证评标在严格保密的情况下进行。有关人</w:t>
      </w:r>
    </w:p>
    <w:p>
      <w:pPr>
        <w:pStyle w:val="37"/>
        <w:numPr>
          <w:ilvl w:val="0"/>
          <w:numId w:val="0"/>
        </w:numPr>
        <w:autoSpaceDE w:val="0"/>
        <w:autoSpaceDN w:val="0"/>
        <w:spacing w:line="360" w:lineRule="auto"/>
        <w:contextualSpacing/>
        <w:rPr>
          <w:rFonts w:ascii="宋体" w:hAnsi="宋体" w:cs="仿宋_GB2312"/>
          <w:szCs w:val="21"/>
          <w:lang w:val="zh-CN"/>
        </w:rPr>
      </w:pPr>
      <w:r>
        <w:rPr>
          <w:rFonts w:hint="eastAsia" w:ascii="宋体" w:hAnsi="宋体" w:cs="宋体"/>
          <w:kern w:val="0"/>
          <w:szCs w:val="21"/>
        </w:rPr>
        <w:t>员对评标情况以及在评标过程中获悉的国家秘密、商业秘密负有保密责任。</w:t>
      </w:r>
    </w:p>
    <w:p>
      <w:pPr>
        <w:tabs>
          <w:tab w:val="left" w:pos="1260"/>
        </w:tabs>
        <w:autoSpaceDE w:val="0"/>
        <w:autoSpaceDN w:val="0"/>
        <w:spacing w:line="360" w:lineRule="auto"/>
        <w:contextualSpacing/>
        <w:jc w:val="center"/>
        <w:rPr>
          <w:rFonts w:ascii="宋体" w:hAnsi="宋体" w:cs="宋体"/>
          <w:kern w:val="0"/>
          <w:szCs w:val="21"/>
        </w:rPr>
      </w:pPr>
      <w:r>
        <w:rPr>
          <w:rFonts w:hint="eastAsia" w:ascii="宋体" w:hAnsi="宋体" w:cs="宋体"/>
          <w:kern w:val="0"/>
          <w:szCs w:val="21"/>
        </w:rPr>
        <w:t>六、定标和授予合同</w:t>
      </w:r>
    </w:p>
    <w:p>
      <w:pPr>
        <w:pStyle w:val="37"/>
        <w:numPr>
          <w:ilvl w:val="0"/>
          <w:numId w:val="0"/>
        </w:numPr>
        <w:autoSpaceDE w:val="0"/>
        <w:autoSpaceDN w:val="0"/>
        <w:spacing w:line="360" w:lineRule="auto"/>
        <w:ind w:leftChars="0" w:firstLine="420" w:firstLineChars="200"/>
        <w:contextualSpacing/>
        <w:rPr>
          <w:rFonts w:ascii="宋体" w:hAnsi="宋体" w:cs="宋体"/>
          <w:kern w:val="0"/>
          <w:szCs w:val="21"/>
        </w:rPr>
      </w:pPr>
      <w:r>
        <w:rPr>
          <w:rFonts w:hint="eastAsia" w:ascii="宋体" w:hAnsi="宋体" w:cs="宋体"/>
          <w:kern w:val="0"/>
          <w:szCs w:val="21"/>
          <w:lang w:val="en-US" w:eastAsia="zh-CN"/>
        </w:rPr>
        <w:t>42.</w:t>
      </w:r>
      <w:r>
        <w:rPr>
          <w:rFonts w:hint="eastAsia" w:ascii="宋体" w:hAnsi="宋体" w:cs="宋体"/>
          <w:kern w:val="0"/>
          <w:szCs w:val="21"/>
        </w:rPr>
        <w:t>确定中标人</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42.1</w:t>
      </w:r>
      <w:r>
        <w:rPr>
          <w:rFonts w:hint="eastAsia" w:ascii="宋体" w:hAnsi="宋体" w:cs="宋体"/>
          <w:kern w:val="0"/>
          <w:szCs w:val="21"/>
        </w:rPr>
        <w:t>采购人应当自收到评标报告之日起5个工作日内，在评标报告确定的中标候选人名单中按</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顺序确定中标人。中标候选人并列的，由采购人采取随机抽取的方式确定。</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42.2</w:t>
      </w:r>
      <w:r>
        <w:rPr>
          <w:rFonts w:hint="eastAsia" w:ascii="宋体" w:hAnsi="宋体" w:cs="宋体"/>
          <w:kern w:val="0"/>
          <w:szCs w:val="21"/>
        </w:rPr>
        <w:t>采购人在收到评标报告5个工作日内未按评标报告推荐的中标候选人顺序确定中标人，又</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不能说明合法理由的，视同按评标报告推荐的顺序确定排名第一的中标候选人为中标人。</w:t>
      </w:r>
    </w:p>
    <w:p>
      <w:pPr>
        <w:pStyle w:val="37"/>
        <w:numPr>
          <w:ilvl w:val="0"/>
          <w:numId w:val="0"/>
        </w:numPr>
        <w:autoSpaceDE w:val="0"/>
        <w:autoSpaceDN w:val="0"/>
        <w:spacing w:line="360" w:lineRule="auto"/>
        <w:ind w:leftChars="0" w:firstLine="420" w:firstLineChars="200"/>
        <w:contextualSpacing/>
        <w:rPr>
          <w:rFonts w:ascii="宋体" w:hAnsi="宋体" w:cs="宋体"/>
          <w:kern w:val="0"/>
          <w:szCs w:val="21"/>
        </w:rPr>
      </w:pPr>
      <w:r>
        <w:rPr>
          <w:rFonts w:hint="eastAsia" w:ascii="宋体" w:hAnsi="宋体" w:cs="宋体"/>
          <w:kern w:val="0"/>
          <w:szCs w:val="21"/>
          <w:lang w:val="en-US" w:eastAsia="zh-CN"/>
        </w:rPr>
        <w:t>43.</w:t>
      </w:r>
      <w:r>
        <w:rPr>
          <w:rFonts w:hint="eastAsia" w:ascii="宋体" w:hAnsi="宋体" w:cs="宋体"/>
          <w:kern w:val="0"/>
          <w:szCs w:val="21"/>
        </w:rPr>
        <w:t>中标公告、发出中标通知书</w:t>
      </w:r>
    </w:p>
    <w:p>
      <w:pPr>
        <w:pStyle w:val="37"/>
        <w:numPr>
          <w:ilvl w:val="0"/>
          <w:numId w:val="0"/>
        </w:numPr>
        <w:autoSpaceDE w:val="0"/>
        <w:autoSpaceDN w:val="0"/>
        <w:spacing w:line="360" w:lineRule="auto"/>
        <w:ind w:left="420" w:leftChars="0"/>
        <w:contextualSpacing/>
        <w:rPr>
          <w:rFonts w:ascii="宋体" w:hAnsi="宋体" w:cs="宋体"/>
          <w:kern w:val="0"/>
          <w:szCs w:val="21"/>
        </w:rPr>
      </w:pPr>
      <w:r>
        <w:rPr>
          <w:rFonts w:hint="eastAsia" w:ascii="宋体" w:hAnsi="宋体" w:cs="宋体"/>
          <w:kern w:val="0"/>
          <w:szCs w:val="21"/>
          <w:lang w:val="en-US" w:eastAsia="zh-CN"/>
        </w:rPr>
        <w:t>43.1</w:t>
      </w:r>
      <w:r>
        <w:rPr>
          <w:rFonts w:hint="eastAsia" w:ascii="宋体" w:hAnsi="宋体" w:cs="宋体"/>
          <w:kern w:val="0"/>
          <w:szCs w:val="21"/>
        </w:rPr>
        <w:t>采购人确认中标人后，招标人在公告中标结果的同时，向中标人发出中标通知书。</w:t>
      </w:r>
    </w:p>
    <w:p>
      <w:pPr>
        <w:pStyle w:val="37"/>
        <w:numPr>
          <w:ilvl w:val="0"/>
          <w:numId w:val="0"/>
        </w:numPr>
        <w:autoSpaceDE w:val="0"/>
        <w:autoSpaceDN w:val="0"/>
        <w:spacing w:line="360" w:lineRule="auto"/>
        <w:ind w:left="420" w:leftChars="0"/>
        <w:contextualSpacing/>
        <w:rPr>
          <w:rFonts w:ascii="宋体" w:hAnsi="宋体" w:cs="宋体"/>
          <w:kern w:val="0"/>
          <w:szCs w:val="21"/>
        </w:rPr>
      </w:pPr>
      <w:r>
        <w:rPr>
          <w:rFonts w:hint="eastAsia" w:ascii="宋体" w:hAnsi="宋体" w:cs="宋体"/>
          <w:kern w:val="0"/>
          <w:szCs w:val="21"/>
          <w:lang w:val="en-US" w:eastAsia="zh-CN"/>
        </w:rPr>
        <w:t>43.2</w:t>
      </w:r>
      <w:r>
        <w:rPr>
          <w:rFonts w:hint="eastAsia" w:ascii="宋体" w:hAnsi="宋体" w:cs="宋体"/>
          <w:kern w:val="0"/>
          <w:szCs w:val="21"/>
        </w:rPr>
        <w:t>中标通知书发出后，采购人不得违法改变中标结果，中标人无正当理由不得放弃中标。</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43.3</w:t>
      </w:r>
      <w:r>
        <w:rPr>
          <w:rFonts w:hint="eastAsia" w:ascii="宋体" w:hAnsi="宋体" w:cs="宋体"/>
          <w:kern w:val="0"/>
          <w:szCs w:val="21"/>
        </w:rPr>
        <w:t>中标人在接到中标通知时，须向代理机构发送投标报价及分项报价一览表（包含主要中</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标标的的名称、规格型号、数量、单价、服务要求等）电子文档，并同时通知代理机构联系人。</w:t>
      </w:r>
    </w:p>
    <w:p>
      <w:pPr>
        <w:pStyle w:val="37"/>
        <w:numPr>
          <w:ilvl w:val="0"/>
          <w:numId w:val="0"/>
        </w:numPr>
        <w:autoSpaceDE w:val="0"/>
        <w:autoSpaceDN w:val="0"/>
        <w:spacing w:line="360" w:lineRule="auto"/>
        <w:ind w:leftChars="0" w:firstLine="420" w:firstLineChars="200"/>
        <w:contextualSpacing/>
        <w:rPr>
          <w:rFonts w:ascii="宋体" w:hAnsi="宋体" w:cs="宋体"/>
          <w:kern w:val="0"/>
          <w:szCs w:val="21"/>
        </w:rPr>
      </w:pPr>
      <w:r>
        <w:rPr>
          <w:rFonts w:hint="eastAsia" w:ascii="宋体" w:hAnsi="宋体" w:cs="宋体"/>
          <w:kern w:val="0"/>
          <w:szCs w:val="21"/>
          <w:lang w:val="en-US" w:eastAsia="zh-CN"/>
        </w:rPr>
        <w:t>44.</w:t>
      </w:r>
      <w:r>
        <w:rPr>
          <w:rFonts w:hint="eastAsia" w:ascii="宋体" w:hAnsi="宋体" w:cs="宋体"/>
          <w:kern w:val="0"/>
          <w:szCs w:val="21"/>
        </w:rPr>
        <w:t>质疑提出与答复</w:t>
      </w:r>
    </w:p>
    <w:p>
      <w:pPr>
        <w:pStyle w:val="37"/>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44.1</w:t>
      </w:r>
      <w:r>
        <w:rPr>
          <w:rFonts w:hint="eastAsia" w:ascii="宋体" w:hAnsi="宋体" w:cs="宋体"/>
          <w:kern w:val="0"/>
          <w:szCs w:val="21"/>
        </w:rPr>
        <w:t>供应商认为采购文件、采购过程和中标结果使自己的权益受到损害的，可以依法向采购</w:t>
      </w:r>
    </w:p>
    <w:p>
      <w:pPr>
        <w:pStyle w:val="37"/>
        <w:numPr>
          <w:ilvl w:val="0"/>
          <w:numId w:val="0"/>
        </w:numPr>
        <w:autoSpaceDE w:val="0"/>
        <w:autoSpaceDN w:val="0"/>
        <w:spacing w:line="360" w:lineRule="auto"/>
        <w:contextualSpacing/>
        <w:rPr>
          <w:rFonts w:ascii="宋体" w:hAnsi="宋体" w:cs="宋体"/>
          <w:kern w:val="0"/>
          <w:szCs w:val="21"/>
        </w:rPr>
      </w:pPr>
      <w:r>
        <w:rPr>
          <w:rFonts w:hint="eastAsia" w:ascii="宋体" w:hAnsi="宋体" w:cs="宋体"/>
          <w:kern w:val="0"/>
          <w:szCs w:val="21"/>
        </w:rPr>
        <w:t>人、采购代理机构提出质疑。</w:t>
      </w:r>
      <w:r>
        <w:rPr>
          <w:rFonts w:ascii="宋体" w:hAnsi="宋体" w:cs="宋体"/>
          <w:kern w:val="0"/>
          <w:szCs w:val="21"/>
        </w:rPr>
        <w:t>提出质疑的供应商应当是参与</w:t>
      </w:r>
      <w:r>
        <w:rPr>
          <w:rFonts w:hint="eastAsia" w:ascii="宋体" w:hAnsi="宋体" w:cs="宋体"/>
          <w:kern w:val="0"/>
          <w:szCs w:val="21"/>
        </w:rPr>
        <w:t>本</w:t>
      </w:r>
      <w:r>
        <w:rPr>
          <w:rFonts w:ascii="宋体" w:hAnsi="宋体" w:cs="宋体"/>
          <w:kern w:val="0"/>
          <w:szCs w:val="21"/>
        </w:rPr>
        <w:t>项目采购活动的供应商。</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（1） 对采购文件提出质疑的，</w:t>
      </w:r>
      <w:r>
        <w:rPr>
          <w:rFonts w:ascii="宋体" w:hAnsi="宋体" w:cs="宋体"/>
          <w:kern w:val="0"/>
          <w:szCs w:val="21"/>
        </w:rPr>
        <w:t>潜在</w:t>
      </w:r>
      <w:r>
        <w:rPr>
          <w:rFonts w:hint="eastAsia" w:ascii="宋体" w:hAnsi="宋体" w:cs="宋体"/>
          <w:kern w:val="0"/>
          <w:szCs w:val="21"/>
        </w:rPr>
        <w:t>投标人应</w:t>
      </w:r>
      <w:r>
        <w:rPr>
          <w:rFonts w:ascii="宋体" w:hAnsi="宋体" w:cs="宋体"/>
          <w:kern w:val="0"/>
          <w:szCs w:val="21"/>
        </w:rPr>
        <w:t>已依法获取采购文件</w:t>
      </w:r>
      <w:r>
        <w:rPr>
          <w:rFonts w:hint="eastAsia" w:ascii="宋体" w:hAnsi="宋体" w:cs="宋体"/>
          <w:kern w:val="0"/>
          <w:szCs w:val="21"/>
        </w:rPr>
        <w:t>，且应当在</w:t>
      </w:r>
      <w:r>
        <w:rPr>
          <w:rFonts w:ascii="宋体" w:hAnsi="宋体" w:cs="宋体"/>
          <w:kern w:val="0"/>
          <w:szCs w:val="21"/>
        </w:rPr>
        <w:t>获取采购文件或者采购文件公告期限届满之日起7个工作日内</w:t>
      </w:r>
      <w:r>
        <w:rPr>
          <w:rFonts w:hint="eastAsia" w:ascii="宋体" w:hAnsi="宋体" w:cs="宋体"/>
          <w:kern w:val="0"/>
          <w:szCs w:val="21"/>
        </w:rPr>
        <w:t>通过《全国公共资源交易平台（河南省·许昌市）》一次性提出，如未提出视为全面接受；</w:t>
      </w:r>
      <w:r>
        <w:rPr>
          <w:rFonts w:hint="eastAsia" w:ascii="宋体" w:hAnsi="宋体" w:cs="宋体"/>
          <w:kern w:val="0"/>
          <w:szCs w:val="21"/>
        </w:rPr>
        <w:br w:type="textWrapping"/>
      </w:r>
      <w:r>
        <w:rPr>
          <w:rFonts w:hint="eastAsia" w:ascii="宋体" w:hAnsi="宋体" w:cs="宋体"/>
          <w:kern w:val="0"/>
          <w:szCs w:val="21"/>
          <w:lang w:val="en-US" w:eastAsia="zh-CN"/>
        </w:rPr>
        <w:t xml:space="preserve">    </w:t>
      </w:r>
      <w:r>
        <w:rPr>
          <w:rFonts w:hint="eastAsia" w:ascii="宋体" w:hAnsi="宋体" w:cs="宋体"/>
          <w:kern w:val="0"/>
          <w:szCs w:val="21"/>
        </w:rPr>
        <w:t>（2） 对采购过程提出质疑的，为各采购程序环节结束之日起七个工作日内，以书面形式向采购人和采购代理机构一次性提出；</w:t>
      </w:r>
      <w:r>
        <w:rPr>
          <w:rFonts w:hint="eastAsia" w:ascii="宋体" w:hAnsi="宋体" w:cs="宋体"/>
          <w:kern w:val="0"/>
          <w:szCs w:val="21"/>
        </w:rPr>
        <w:br w:type="textWrapping"/>
      </w:r>
      <w:r>
        <w:rPr>
          <w:rFonts w:hint="eastAsia" w:ascii="宋体" w:hAnsi="宋体" w:cs="宋体"/>
          <w:kern w:val="0"/>
          <w:szCs w:val="21"/>
          <w:lang w:val="en-US" w:eastAsia="zh-CN"/>
        </w:rPr>
        <w:t xml:space="preserve">    </w:t>
      </w:r>
      <w:r>
        <w:rPr>
          <w:rFonts w:hint="eastAsia" w:ascii="宋体" w:hAnsi="宋体" w:cs="宋体"/>
          <w:kern w:val="0"/>
          <w:szCs w:val="21"/>
        </w:rPr>
        <w:t>（3） 对中标结果提出质疑的，为中标结果公告期限届满之日起七个工作日内，以书面形式向采购人和采购代理机构一次性提出。</w:t>
      </w:r>
    </w:p>
    <w:p>
      <w:pPr>
        <w:pStyle w:val="37"/>
        <w:numPr>
          <w:ilvl w:val="0"/>
          <w:numId w:val="0"/>
        </w:numPr>
        <w:autoSpaceDE w:val="0"/>
        <w:autoSpaceDN w:val="0"/>
        <w:spacing w:line="360" w:lineRule="auto"/>
        <w:ind w:left="420" w:leftChars="0"/>
        <w:contextualSpacing/>
        <w:rPr>
          <w:rFonts w:ascii="宋体" w:hAnsi="宋体" w:cs="宋体"/>
          <w:kern w:val="0"/>
          <w:szCs w:val="21"/>
        </w:rPr>
      </w:pPr>
      <w:r>
        <w:rPr>
          <w:rFonts w:hint="eastAsia" w:ascii="宋体" w:hAnsi="宋体" w:cs="宋体"/>
          <w:kern w:val="0"/>
          <w:szCs w:val="21"/>
          <w:lang w:val="en-US" w:eastAsia="zh-CN"/>
        </w:rPr>
        <w:t>44.2</w:t>
      </w:r>
      <w:r>
        <w:rPr>
          <w:rFonts w:ascii="宋体" w:hAnsi="宋体" w:cs="宋体"/>
          <w:kern w:val="0"/>
          <w:szCs w:val="21"/>
        </w:rPr>
        <w:t>采购人、采购代理机构认为供应商质疑不成立，或者成立但未对中标结果构成影响的，</w:t>
      </w:r>
    </w:p>
    <w:p>
      <w:pPr>
        <w:pStyle w:val="37"/>
        <w:numPr>
          <w:ilvl w:val="0"/>
          <w:numId w:val="0"/>
        </w:numPr>
        <w:autoSpaceDE w:val="0"/>
        <w:autoSpaceDN w:val="0"/>
        <w:spacing w:line="360" w:lineRule="auto"/>
        <w:contextualSpacing/>
        <w:rPr>
          <w:rFonts w:ascii="宋体" w:hAnsi="宋体" w:cs="宋体"/>
          <w:kern w:val="0"/>
          <w:szCs w:val="21"/>
        </w:rPr>
      </w:pPr>
      <w:r>
        <w:rPr>
          <w:rFonts w:ascii="宋体" w:hAnsi="宋体" w:cs="宋体"/>
          <w:kern w:val="0"/>
          <w:szCs w:val="21"/>
        </w:rPr>
        <w:t>继续开展采购活动；认为供应商质疑成立且影响或者可能影响中标结果的，按照下列情况处理：</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 xml:space="preserve">（1） </w:t>
      </w:r>
      <w:r>
        <w:rPr>
          <w:rFonts w:ascii="宋体" w:hAnsi="宋体" w:cs="宋体"/>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 xml:space="preserve">（2） </w:t>
      </w:r>
      <w:r>
        <w:rPr>
          <w:rFonts w:ascii="宋体" w:hAnsi="宋体" w:cs="宋体"/>
          <w:kern w:val="0"/>
          <w:szCs w:val="21"/>
        </w:rPr>
        <w:t>对采购过程、中标结果提出的质疑，合格供应商符合法定数量时，可以从合格的中标</w:t>
      </w:r>
      <w:r>
        <w:rPr>
          <w:rFonts w:hint="eastAsia" w:ascii="宋体" w:hAnsi="宋体" w:cs="宋体"/>
          <w:kern w:val="0"/>
          <w:szCs w:val="21"/>
        </w:rPr>
        <w:t>候选人</w:t>
      </w:r>
      <w:r>
        <w:rPr>
          <w:rFonts w:ascii="宋体" w:hAnsi="宋体" w:cs="宋体"/>
          <w:kern w:val="0"/>
          <w:szCs w:val="21"/>
        </w:rPr>
        <w:t>中另行确定中标供应商的，应当依法另行确定中标供应商；否则应当重新开展采购活动。</w:t>
      </w:r>
    </w:p>
    <w:p>
      <w:pPr>
        <w:pStyle w:val="37"/>
        <w:numPr>
          <w:ilvl w:val="0"/>
          <w:numId w:val="0"/>
        </w:numPr>
        <w:autoSpaceDE w:val="0"/>
        <w:autoSpaceDN w:val="0"/>
        <w:spacing w:line="360" w:lineRule="auto"/>
        <w:ind w:leftChars="0" w:firstLine="420" w:firstLineChars="200"/>
        <w:contextualSpacing/>
        <w:rPr>
          <w:rFonts w:ascii="宋体" w:hAnsi="宋体" w:cs="宋体"/>
          <w:kern w:val="0"/>
          <w:szCs w:val="21"/>
        </w:rPr>
      </w:pPr>
      <w:r>
        <w:rPr>
          <w:rFonts w:hint="eastAsia" w:ascii="宋体" w:hAnsi="宋体" w:cs="宋体"/>
          <w:kern w:val="0"/>
          <w:szCs w:val="21"/>
          <w:lang w:val="en-US" w:eastAsia="zh-CN"/>
        </w:rPr>
        <w:t>45.</w:t>
      </w:r>
      <w:r>
        <w:rPr>
          <w:rFonts w:hint="eastAsia" w:ascii="宋体" w:hAnsi="宋体" w:cs="宋体"/>
          <w:kern w:val="0"/>
          <w:szCs w:val="21"/>
        </w:rPr>
        <w:t>签订合同</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pStyle w:val="37"/>
        <w:numPr>
          <w:ilvl w:val="0"/>
          <w:numId w:val="0"/>
        </w:numPr>
        <w:autoSpaceDE w:val="0"/>
        <w:autoSpaceDN w:val="0"/>
        <w:spacing w:line="360" w:lineRule="auto"/>
        <w:ind w:leftChars="0" w:firstLine="420" w:firstLineChars="200"/>
        <w:contextualSpacing/>
        <w:rPr>
          <w:rFonts w:ascii="宋体" w:hAnsi="宋体" w:cs="宋体"/>
          <w:kern w:val="0"/>
          <w:szCs w:val="21"/>
        </w:rPr>
      </w:pPr>
      <w:r>
        <w:rPr>
          <w:rFonts w:hint="eastAsia" w:ascii="宋体" w:hAnsi="宋体" w:cs="宋体"/>
          <w:kern w:val="0"/>
          <w:szCs w:val="21"/>
          <w:lang w:val="en-US" w:eastAsia="zh-CN"/>
        </w:rPr>
        <w:t>46.</w:t>
      </w:r>
      <w:r>
        <w:rPr>
          <w:rFonts w:hint="eastAsia" w:ascii="宋体" w:hAnsi="宋体" w:cs="宋体"/>
          <w:kern w:val="0"/>
          <w:szCs w:val="21"/>
        </w:rPr>
        <w:t>履约保证金</w:t>
      </w:r>
    </w:p>
    <w:p>
      <w:pPr>
        <w:autoSpaceDE w:val="0"/>
        <w:autoSpaceDN w:val="0"/>
        <w:spacing w:line="360" w:lineRule="auto"/>
        <w:ind w:firstLine="420" w:firstLineChars="200"/>
        <w:contextualSpacing/>
        <w:rPr>
          <w:rFonts w:ascii="宋体" w:hAnsi="宋体" w:cs="宋体"/>
          <w:kern w:val="0"/>
          <w:sz w:val="32"/>
          <w:szCs w:val="32"/>
        </w:rPr>
      </w:pPr>
      <w:r>
        <w:rPr>
          <w:rFonts w:hint="eastAsia" w:ascii="宋体" w:hAnsi="宋体" w:cs="宋体"/>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p>
    <w:p>
      <w:pPr>
        <w:tabs>
          <w:tab w:val="left" w:pos="1260"/>
        </w:tabs>
        <w:autoSpaceDE w:val="0"/>
        <w:autoSpaceDN w:val="0"/>
        <w:adjustRightInd w:val="0"/>
        <w:spacing w:line="360" w:lineRule="auto"/>
        <w:contextualSpacing/>
        <w:jc w:val="center"/>
        <w:rPr>
          <w:rFonts w:ascii="宋体" w:hAnsi="宋体" w:cs="宋体"/>
          <w:kern w:val="0"/>
          <w:sz w:val="36"/>
          <w:szCs w:val="36"/>
        </w:rPr>
      </w:pPr>
      <w:r>
        <w:rPr>
          <w:rFonts w:hint="eastAsia" w:ascii="宋体" w:hAnsi="宋体" w:cs="宋体"/>
          <w:kern w:val="0"/>
          <w:sz w:val="32"/>
          <w:szCs w:val="32"/>
        </w:rPr>
        <w:t>第五章 政府采购政策功能</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一、节能能源、保护环境</w:t>
      </w:r>
    </w:p>
    <w:p>
      <w:pPr>
        <w:pStyle w:val="13"/>
        <w:spacing w:line="360" w:lineRule="auto"/>
        <w:ind w:firstLine="420" w:firstLineChars="200"/>
        <w:contextualSpacing/>
        <w:rPr>
          <w:rFonts w:ascii="宋体" w:hAnsi="宋体" w:cs="仿宋_GB2312"/>
          <w:sz w:val="21"/>
          <w:szCs w:val="21"/>
        </w:rPr>
      </w:pPr>
      <w:r>
        <w:rPr>
          <w:rFonts w:hint="eastAsia" w:ascii="宋体" w:hAnsi="宋体" w:cs="仿宋_GB2312"/>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ascii="宋体" w:hAnsi="宋体" w:cs="仿宋_GB2312"/>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20" w:firstLineChars="200"/>
        <w:contextualSpacing/>
        <w:rPr>
          <w:rFonts w:ascii="宋体" w:hAnsi="宋体" w:cs="仿宋_GB2312"/>
          <w:sz w:val="21"/>
          <w:szCs w:val="21"/>
        </w:rPr>
      </w:pPr>
      <w:r>
        <w:rPr>
          <w:rFonts w:hint="eastAsia" w:ascii="宋体" w:hAnsi="宋体" w:cs="仿宋_GB2312"/>
          <w:sz w:val="21"/>
          <w:szCs w:val="21"/>
        </w:rPr>
        <w:t>本次采购货物中属于强制采购的节能产品，投标人所投产品必须是《节能产品政府采购清单》内产品，投标文件中应提供最新一期《节能产品政府采购清单》中产品所在页并加盖投标人公章的原件扫描件（或图片）。投标人所投其他产品若属于“节能产品政府采购清单”优先采购产品，在同等条件下，优先采购清单中的产品。</w:t>
      </w:r>
    </w:p>
    <w:p>
      <w:pPr>
        <w:pStyle w:val="13"/>
        <w:spacing w:line="360" w:lineRule="auto"/>
        <w:ind w:firstLine="420" w:firstLineChars="200"/>
        <w:contextualSpacing/>
        <w:rPr>
          <w:rFonts w:ascii="宋体" w:hAnsi="宋体" w:cs="仿宋_GB2312"/>
          <w:sz w:val="21"/>
          <w:szCs w:val="21"/>
        </w:rPr>
      </w:pPr>
      <w:r>
        <w:rPr>
          <w:rFonts w:hint="eastAsia" w:ascii="宋体" w:hAnsi="宋体" w:cs="仿宋_GB2312"/>
          <w:sz w:val="21"/>
          <w:szCs w:val="21"/>
        </w:rPr>
        <w:t>采购人拟采购的产品属于政府强制采购节能产品范围，但本期节能清单中无对应细化分类或节能清单中的产品无法满足工作需要的，可在节能清单之外采购。</w:t>
      </w:r>
    </w:p>
    <w:p>
      <w:pPr>
        <w:spacing w:line="360" w:lineRule="auto"/>
        <w:ind w:firstLine="420" w:firstLineChars="200"/>
        <w:contextualSpacing/>
        <w:rPr>
          <w:rFonts w:ascii="宋体" w:hAnsi="宋体" w:eastAsia="宋体" w:cs="仿宋_GB2312"/>
          <w:szCs w:val="21"/>
        </w:rPr>
      </w:pPr>
      <w:r>
        <w:rPr>
          <w:rFonts w:hint="eastAsia" w:ascii="宋体" w:hAnsi="宋体" w:eastAsia="宋体" w:cs="仿宋_GB2312"/>
          <w:szCs w:val="21"/>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20" w:firstLineChars="200"/>
        <w:contextualSpacing/>
        <w:rPr>
          <w:rFonts w:ascii="宋体" w:hAnsi="宋体" w:eastAsia="宋体" w:cs="仿宋_GB2312"/>
          <w:szCs w:val="21"/>
        </w:rPr>
      </w:pPr>
      <w:r>
        <w:rPr>
          <w:rFonts w:hint="eastAsia" w:ascii="宋体" w:hAnsi="宋体" w:eastAsia="宋体" w:cs="仿宋_GB2312"/>
          <w:szCs w:val="21"/>
        </w:rPr>
        <w:t>3、对于同时列入环保清单和节能产品政府采购清单的产品，应当优先于只列入其中一个清单的产品。</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4、上述“节能产品政府采购清单”、“环境标志产品政府采购清单”，在采购公告发布前已经过期的以及尚在公示期的均不得作为评标时的依据。</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二、促进中小企业发展</w:t>
      </w:r>
    </w:p>
    <w:p>
      <w:pPr>
        <w:topLinePunct/>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4、中小企业投标应提供《中小企业声明函》，如为联合投标的，联合体各方需分别填写《中小企业声明函》。</w:t>
      </w:r>
    </w:p>
    <w:p>
      <w:pPr>
        <w:topLinePunct/>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三、支持监狱企业发展</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按照财政部、司法部发布的《关于政府采购支持监狱企业发展有关问题的通知》（</w:t>
      </w:r>
      <w:bookmarkStart w:id="0" w:name="OLE_LINK6"/>
      <w:r>
        <w:rPr>
          <w:rFonts w:hint="eastAsia" w:ascii="宋体" w:hAnsi="宋体" w:cs="仿宋_GB2312"/>
          <w:szCs w:val="21"/>
          <w:lang w:val="zh-CN"/>
        </w:rPr>
        <w:t>财库[2014]68号</w:t>
      </w:r>
      <w:bookmarkEnd w:id="0"/>
      <w:r>
        <w:rPr>
          <w:rFonts w:hint="eastAsia" w:ascii="宋体" w:hAnsi="宋体" w:cs="仿宋_GB2312"/>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四、促进残疾人就业</w:t>
      </w:r>
    </w:p>
    <w:p>
      <w:pPr>
        <w:pStyle w:val="13"/>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olor w:val="000000"/>
          <w:sz w:val="21"/>
          <w:szCs w:val="21"/>
        </w:rPr>
        <w:t>残疾人福利性单位属于小型、微型企业的，不重复享受政策。</w:t>
      </w:r>
    </w:p>
    <w:p>
      <w:pPr>
        <w:pStyle w:val="13"/>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ascii="宋体" w:hAnsi="宋体" w:cs="仿宋_GB2312"/>
          <w:szCs w:val="24"/>
          <w:lang w:val="zh-CN"/>
        </w:rPr>
      </w:pPr>
      <w:r>
        <w:rPr>
          <w:rFonts w:hint="eastAsia" w:ascii="宋体" w:hAnsi="宋体" w:cs="仿宋_GB2312"/>
          <w:sz w:val="21"/>
          <w:szCs w:val="21"/>
          <w:lang w:val="zh-CN"/>
        </w:rPr>
        <w:t>3、中标人为残疾人福利性单位的，招标人应当随中标结果同时公告其《残疾人福利性单位声明函》，接受社会监督。</w:t>
      </w:r>
    </w:p>
    <w:p>
      <w:pPr>
        <w:pStyle w:val="13"/>
        <w:spacing w:line="360" w:lineRule="auto"/>
        <w:ind w:left="281" w:hanging="280" w:hangingChars="78"/>
        <w:contextualSpacing/>
        <w:jc w:val="center"/>
        <w:rPr>
          <w:rFonts w:cs="宋体" w:asciiTheme="majorEastAsia" w:hAnsiTheme="majorEastAsia" w:eastAsiaTheme="majorEastAsia"/>
          <w:kern w:val="0"/>
          <w:sz w:val="36"/>
          <w:szCs w:val="36"/>
        </w:rPr>
      </w:pPr>
    </w:p>
    <w:p>
      <w:pPr>
        <w:pStyle w:val="13"/>
        <w:spacing w:line="360" w:lineRule="auto"/>
        <w:ind w:left="281" w:hanging="280" w:hangingChars="78"/>
        <w:contextualSpacing/>
        <w:jc w:val="center"/>
        <w:rPr>
          <w:rFonts w:cs="宋体" w:asciiTheme="majorEastAsia" w:hAnsiTheme="majorEastAsia" w:eastAsiaTheme="majorEastAsia"/>
          <w:kern w:val="0"/>
          <w:sz w:val="36"/>
          <w:szCs w:val="36"/>
        </w:rPr>
      </w:pPr>
    </w:p>
    <w:p>
      <w:pPr>
        <w:pStyle w:val="13"/>
        <w:spacing w:line="360" w:lineRule="auto"/>
        <w:ind w:left="281" w:hanging="280" w:hangingChars="78"/>
        <w:contextualSpacing/>
        <w:jc w:val="center"/>
        <w:rPr>
          <w:rFonts w:cs="宋体" w:asciiTheme="majorEastAsia" w:hAnsiTheme="majorEastAsia" w:eastAsiaTheme="majorEastAsia"/>
          <w:kern w:val="0"/>
          <w:sz w:val="36"/>
          <w:szCs w:val="36"/>
        </w:rPr>
      </w:pPr>
    </w:p>
    <w:p>
      <w:pPr>
        <w:pStyle w:val="13"/>
        <w:spacing w:line="360" w:lineRule="auto"/>
        <w:ind w:left="281" w:hanging="280" w:hangingChars="78"/>
        <w:contextualSpacing/>
        <w:jc w:val="center"/>
        <w:rPr>
          <w:rFonts w:cs="宋体" w:asciiTheme="majorEastAsia" w:hAnsiTheme="majorEastAsia" w:eastAsiaTheme="majorEastAsia"/>
          <w:kern w:val="0"/>
          <w:sz w:val="36"/>
          <w:szCs w:val="36"/>
        </w:rPr>
      </w:pPr>
    </w:p>
    <w:p>
      <w:pPr>
        <w:pStyle w:val="13"/>
        <w:spacing w:line="360" w:lineRule="auto"/>
        <w:ind w:left="281" w:hanging="280" w:hangingChars="78"/>
        <w:contextualSpacing/>
        <w:jc w:val="center"/>
        <w:rPr>
          <w:rFonts w:cs="宋体" w:asciiTheme="majorEastAsia" w:hAnsiTheme="majorEastAsia" w:eastAsiaTheme="majorEastAsia"/>
          <w:kern w:val="0"/>
          <w:sz w:val="36"/>
          <w:szCs w:val="36"/>
        </w:rPr>
      </w:pPr>
    </w:p>
    <w:p>
      <w:pPr>
        <w:pStyle w:val="13"/>
        <w:spacing w:line="360" w:lineRule="auto"/>
        <w:ind w:left="281" w:hanging="280" w:hangingChars="78"/>
        <w:contextualSpacing/>
        <w:jc w:val="center"/>
        <w:rPr>
          <w:rFonts w:cs="宋体" w:asciiTheme="majorEastAsia" w:hAnsiTheme="majorEastAsia" w:eastAsiaTheme="majorEastAsia"/>
          <w:kern w:val="0"/>
          <w:sz w:val="36"/>
          <w:szCs w:val="36"/>
        </w:rPr>
      </w:pPr>
    </w:p>
    <w:p>
      <w:pPr>
        <w:pStyle w:val="13"/>
        <w:spacing w:line="360" w:lineRule="auto"/>
        <w:ind w:left="281" w:hanging="280" w:hangingChars="78"/>
        <w:contextualSpacing/>
        <w:jc w:val="center"/>
        <w:rPr>
          <w:rFonts w:cs="宋体" w:asciiTheme="majorEastAsia" w:hAnsiTheme="majorEastAsia" w:eastAsiaTheme="majorEastAsia"/>
          <w:kern w:val="0"/>
          <w:sz w:val="36"/>
          <w:szCs w:val="36"/>
        </w:rPr>
      </w:pPr>
    </w:p>
    <w:p>
      <w:pPr>
        <w:pStyle w:val="13"/>
        <w:spacing w:line="360" w:lineRule="auto"/>
        <w:ind w:left="281" w:hanging="280" w:hangingChars="78"/>
        <w:contextualSpacing/>
        <w:jc w:val="center"/>
        <w:rPr>
          <w:rFonts w:cs="宋体" w:asciiTheme="majorEastAsia" w:hAnsiTheme="majorEastAsia" w:eastAsiaTheme="majorEastAsia"/>
          <w:kern w:val="0"/>
          <w:sz w:val="36"/>
          <w:szCs w:val="36"/>
        </w:rPr>
      </w:pPr>
    </w:p>
    <w:p>
      <w:pPr>
        <w:pStyle w:val="13"/>
        <w:spacing w:line="360" w:lineRule="auto"/>
        <w:ind w:left="281" w:hanging="280" w:hangingChars="78"/>
        <w:contextualSpacing/>
        <w:jc w:val="center"/>
        <w:rPr>
          <w:rFonts w:cs="宋体" w:asciiTheme="majorEastAsia" w:hAnsiTheme="majorEastAsia" w:eastAsiaTheme="majorEastAsia"/>
          <w:kern w:val="0"/>
          <w:sz w:val="36"/>
          <w:szCs w:val="36"/>
        </w:rPr>
      </w:pPr>
    </w:p>
    <w:p>
      <w:pPr>
        <w:pStyle w:val="13"/>
        <w:spacing w:line="360" w:lineRule="auto"/>
        <w:ind w:left="281" w:hanging="280" w:hangingChars="78"/>
        <w:contextualSpacing/>
        <w:jc w:val="center"/>
        <w:rPr>
          <w:rFonts w:cs="宋体" w:asciiTheme="majorEastAsia" w:hAnsiTheme="majorEastAsia" w:eastAsiaTheme="majorEastAsia"/>
          <w:kern w:val="0"/>
          <w:sz w:val="36"/>
          <w:szCs w:val="36"/>
        </w:rPr>
      </w:pPr>
    </w:p>
    <w:p>
      <w:pPr>
        <w:pStyle w:val="13"/>
        <w:spacing w:line="360" w:lineRule="auto"/>
        <w:ind w:left="281" w:hanging="280" w:hangingChars="78"/>
        <w:contextualSpacing/>
        <w:jc w:val="center"/>
        <w:rPr>
          <w:rFonts w:cs="宋体" w:asciiTheme="majorEastAsia" w:hAnsiTheme="majorEastAsia" w:eastAsiaTheme="majorEastAsia"/>
          <w:kern w:val="0"/>
          <w:sz w:val="36"/>
          <w:szCs w:val="36"/>
        </w:rPr>
      </w:pPr>
    </w:p>
    <w:p>
      <w:pPr>
        <w:pStyle w:val="13"/>
        <w:spacing w:line="360" w:lineRule="auto"/>
        <w:ind w:left="281" w:hanging="280" w:hangingChars="78"/>
        <w:contextualSpacing/>
        <w:jc w:val="center"/>
        <w:rPr>
          <w:rFonts w:cs="宋体" w:asciiTheme="majorEastAsia" w:hAnsiTheme="majorEastAsia" w:eastAsiaTheme="majorEastAsia"/>
          <w:kern w:val="0"/>
          <w:sz w:val="36"/>
          <w:szCs w:val="36"/>
        </w:rPr>
      </w:pPr>
    </w:p>
    <w:p>
      <w:pPr>
        <w:pStyle w:val="13"/>
        <w:spacing w:line="360" w:lineRule="auto"/>
        <w:ind w:left="281" w:hanging="280" w:hangingChars="78"/>
        <w:contextualSpacing/>
        <w:jc w:val="center"/>
        <w:rPr>
          <w:rFonts w:cs="宋体" w:asciiTheme="majorEastAsia" w:hAnsiTheme="majorEastAsia" w:eastAsiaTheme="majorEastAsia"/>
          <w:kern w:val="0"/>
          <w:sz w:val="36"/>
          <w:szCs w:val="36"/>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kern w:val="0"/>
          <w:sz w:val="32"/>
          <w:szCs w:val="32"/>
        </w:rPr>
      </w:pPr>
    </w:p>
    <w:p>
      <w:pPr>
        <w:tabs>
          <w:tab w:val="left" w:pos="1260"/>
        </w:tabs>
        <w:autoSpaceDE w:val="0"/>
        <w:autoSpaceDN w:val="0"/>
        <w:adjustRightInd w:val="0"/>
        <w:spacing w:line="360" w:lineRule="auto"/>
        <w:contextualSpacing/>
        <w:jc w:val="center"/>
        <w:rPr>
          <w:rFonts w:cs="仿宋_GB2312" w:asciiTheme="minorEastAsia" w:hAnsiTheme="minorEastAsia"/>
          <w:lang w:val="zh-CN"/>
        </w:rPr>
      </w:pPr>
      <w:r>
        <w:rPr>
          <w:rFonts w:hint="eastAsia" w:cs="宋体" w:asciiTheme="majorEastAsia" w:hAnsiTheme="majorEastAsia" w:eastAsiaTheme="majorEastAsia"/>
          <w:kern w:val="0"/>
          <w:sz w:val="32"/>
          <w:szCs w:val="32"/>
        </w:rPr>
        <w:t>第六章 资格审查与评标</w:t>
      </w:r>
    </w:p>
    <w:p>
      <w:pPr>
        <w:pStyle w:val="13"/>
        <w:spacing w:line="360" w:lineRule="auto"/>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一、资格审查</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（一）</w:t>
      </w:r>
      <w:r>
        <w:rPr>
          <w:rFonts w:cs="仿宋_GB2312" w:asciiTheme="minorEastAsia" w:hAnsiTheme="minorEastAsia" w:eastAsiaTheme="minorEastAsia"/>
          <w:sz w:val="21"/>
          <w:szCs w:val="21"/>
          <w:lang w:val="zh-CN"/>
        </w:rPr>
        <w:t>开标结束后，</w:t>
      </w:r>
      <w:r>
        <w:rPr>
          <w:rFonts w:hint="eastAsia" w:cs="仿宋_GB2312" w:asciiTheme="minorEastAsia" w:hAnsiTheme="minorEastAsia" w:eastAsiaTheme="minorEastAsia"/>
          <w:sz w:val="21"/>
          <w:szCs w:val="21"/>
          <w:lang w:val="zh-CN"/>
        </w:rPr>
        <w:t>采购人（采购代理机构）依法对投标人资格进行审查</w:t>
      </w:r>
      <w:r>
        <w:rPr>
          <w:rFonts w:cs="仿宋_GB2312" w:asciiTheme="minorEastAsia" w:hAnsiTheme="minorEastAsia" w:eastAsiaTheme="minorEastAsia"/>
          <w:sz w:val="21"/>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5"/>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szCs w:val="21"/>
              </w:rPr>
            </w:pPr>
            <w:r>
              <w:rPr>
                <w:rFonts w:hint="eastAsia" w:asciiTheme="minorEastAsia" w:hAnsiTheme="minorEastAsia"/>
                <w:szCs w:val="21"/>
              </w:rPr>
              <w:t>资格审查</w:t>
            </w:r>
            <w:r>
              <w:rPr>
                <w:rFonts w:asciiTheme="minorEastAsia" w:hAnsiTheme="minorEastAsia"/>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szCs w:val="21"/>
              </w:rPr>
            </w:pPr>
            <w:r>
              <w:rPr>
                <w:rFonts w:hint="eastAsia" w:asciiTheme="minorEastAsia" w:hAnsiTheme="minorEastAsia"/>
                <w:szCs w:val="21"/>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Cs/>
                <w:szCs w:val="21"/>
              </w:rPr>
              <w:t>2、法人或者其他组织的营业执照等证明文件，自然人的身份证明</w:t>
            </w:r>
          </w:p>
          <w:p>
            <w:pPr>
              <w:spacing w:line="360" w:lineRule="auto"/>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rPr>
                <w:rFonts w:asciiTheme="minorEastAsia" w:hAnsiTheme="minorEastAsia"/>
                <w:bCs/>
                <w:szCs w:val="21"/>
              </w:rPr>
            </w:pPr>
            <w:r>
              <w:rPr>
                <w:rFonts w:hint="eastAsia" w:asciiTheme="minorEastAsia" w:hAnsiTheme="minorEastAsia"/>
                <w:bCs/>
                <w:szCs w:val="21"/>
              </w:rPr>
              <w:t>（3）执业许可证。（非专业服务机构投标提供）</w:t>
            </w:r>
          </w:p>
          <w:p>
            <w:pPr>
              <w:spacing w:line="360" w:lineRule="auto"/>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rPr>
                <w:rFonts w:asciiTheme="minorEastAsia" w:hAnsiTheme="minorEastAsia"/>
                <w:szCs w:val="21"/>
              </w:rPr>
            </w:pPr>
            <w:r>
              <w:rPr>
                <w:rFonts w:hint="eastAsia" w:asciiTheme="minorEastAsia" w:hAnsiTheme="minorEastAsia"/>
                <w:bCs/>
                <w:szCs w:val="21"/>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Cs/>
                <w:szCs w:val="21"/>
              </w:rPr>
              <w:t>3、财务状况报告相关材料</w:t>
            </w:r>
          </w:p>
          <w:p>
            <w:pPr>
              <w:spacing w:line="360" w:lineRule="auto"/>
              <w:rPr>
                <w:rFonts w:asciiTheme="minorEastAsia" w:hAnsiTheme="minorEastAsia"/>
                <w:bCs/>
                <w:szCs w:val="21"/>
              </w:rPr>
            </w:pPr>
            <w:r>
              <w:rPr>
                <w:rFonts w:hint="eastAsia" w:asciiTheme="minorEastAsia" w:hAnsiTheme="minorEastAsia"/>
                <w:bCs/>
                <w:szCs w:val="21"/>
              </w:rPr>
              <w:t>（1）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szCs w:val="21"/>
              </w:rPr>
            </w:pPr>
            <w:r>
              <w:rPr>
                <w:rFonts w:hint="eastAsia" w:asciiTheme="minorEastAsia" w:hAnsiTheme="minorEastAsia"/>
                <w:bCs/>
                <w:szCs w:val="21"/>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Cs/>
                <w:szCs w:val="21"/>
              </w:rPr>
              <w:t>4、依法缴纳税收相关材料</w:t>
            </w:r>
          </w:p>
          <w:p>
            <w:pPr>
              <w:spacing w:line="360" w:lineRule="auto"/>
              <w:rPr>
                <w:rFonts w:asciiTheme="minorEastAsia" w:hAnsiTheme="minorEastAsia"/>
                <w:szCs w:val="21"/>
              </w:rPr>
            </w:pPr>
            <w:r>
              <w:rPr>
                <w:rFonts w:hint="eastAsia" w:asciiTheme="minorEastAsia" w:hAnsiTheme="minorEastAsia"/>
                <w:bCs/>
                <w:szCs w:val="21"/>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Cs/>
                <w:szCs w:val="21"/>
              </w:rPr>
              <w:t>5、依法缴纳社会保障资金的证明材料</w:t>
            </w:r>
          </w:p>
          <w:p>
            <w:pPr>
              <w:spacing w:line="360" w:lineRule="auto"/>
              <w:rPr>
                <w:rFonts w:asciiTheme="minorEastAsia" w:hAnsiTheme="minorEastAsia"/>
                <w:bCs/>
                <w:szCs w:val="21"/>
              </w:rPr>
            </w:pPr>
            <w:r>
              <w:rPr>
                <w:rFonts w:hint="eastAsia" w:asciiTheme="minorEastAsia" w:hAnsiTheme="minorEastAsia"/>
                <w:bCs/>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Cs/>
                <w:szCs w:val="21"/>
              </w:rPr>
              <w:t>6、履行合同所必须的设备和专业技术能力的证明材料</w:t>
            </w:r>
          </w:p>
          <w:p>
            <w:pPr>
              <w:spacing w:line="360" w:lineRule="auto"/>
              <w:rPr>
                <w:rFonts w:asciiTheme="minorEastAsia" w:hAnsiTheme="minorEastAsia"/>
                <w:szCs w:val="21"/>
              </w:rPr>
            </w:pPr>
            <w:r>
              <w:rPr>
                <w:rFonts w:hint="eastAsia" w:asciiTheme="minorEastAsia" w:hAnsiTheme="minorEastAsia"/>
                <w:bCs/>
                <w:szCs w:val="21"/>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Cs/>
                <w:szCs w:val="21"/>
              </w:rPr>
              <w:t>7、参加政府采购活动前3年内在经营活动中没有重大违法记录的声明</w:t>
            </w:r>
          </w:p>
          <w:p>
            <w:pPr>
              <w:spacing w:line="360" w:lineRule="auto"/>
              <w:rPr>
                <w:rFonts w:asciiTheme="minorEastAsia" w:hAnsiTheme="minorEastAsia"/>
                <w:bCs/>
                <w:szCs w:val="21"/>
              </w:rPr>
            </w:pP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numPr>
                <w:ilvl w:val="0"/>
                <w:numId w:val="7"/>
              </w:numPr>
              <w:spacing w:line="360" w:lineRule="auto"/>
              <w:rPr>
                <w:rFonts w:hint="eastAsia" w:ascii="宋体" w:hAnsi="宋体" w:eastAsia="宋体" w:cs="仿宋_GB2312"/>
                <w:color w:val="000000"/>
                <w:kern w:val="2"/>
                <w:sz w:val="21"/>
                <w:szCs w:val="21"/>
                <w:shd w:val="clear" w:color="auto" w:fill="FFFFFF"/>
                <w:lang w:val="en-US" w:eastAsia="zh-CN" w:bidi="ar-SA"/>
              </w:rPr>
            </w:pPr>
            <w:r>
              <w:rPr>
                <w:rFonts w:hint="eastAsia" w:ascii="宋体" w:hAnsi="宋体" w:eastAsia="宋体" w:cs="仿宋_GB2312"/>
                <w:color w:val="000000"/>
                <w:kern w:val="2"/>
                <w:sz w:val="21"/>
                <w:szCs w:val="21"/>
                <w:shd w:val="clear" w:color="auto" w:fill="FFFFFF"/>
                <w:lang w:val="en-US" w:eastAsia="zh-CN" w:bidi="ar-SA"/>
              </w:rPr>
              <w:t xml:space="preserve">未被列入“信用中国”网站(www.creditchina.gov.cn)失信被执行人、重大税收违法案件当事人名单、政府采购严重违法失信名单的投标人；“中国政府采购网” (www.ccgp.gov.cn)政府采购严重违法失信行为记录名单的投标人；“国家企业信用信息公示系统”网站（www.gsxt.gov.cn）严重违法失信企业名单（黑名单）的投标人（投标人须提供网站查询截图）； </w:t>
            </w:r>
          </w:p>
          <w:p>
            <w:pPr>
              <w:numPr>
                <w:ilvl w:val="0"/>
                <w:numId w:val="0"/>
              </w:numPr>
              <w:spacing w:line="360" w:lineRule="auto"/>
              <w:rPr>
                <w:rFonts w:asciiTheme="minorEastAsia" w:hAnsiTheme="minorEastAsia"/>
                <w:bCs/>
                <w:szCs w:val="21"/>
              </w:rPr>
            </w:pPr>
            <w:r>
              <w:rPr>
                <w:rFonts w:hint="eastAsia" w:asciiTheme="minorEastAsia" w:hAnsiTheme="minorEastAsia"/>
                <w:bCs/>
                <w:szCs w:val="21"/>
              </w:rPr>
              <w:t>注：政府采购活动中查询及使用投标人信用记录的具体要求为：投标人未被列入失信被执行人、重大税收违法案件当事人名单、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、政府采购严重违法失信行为记录名单（联合体形式投标的，联合体成员存在不良信用记录，视同联合体存在不良信用记录）。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（1）查询渠道：“信用中国”网站（www.creditchina.gov.cn）</w:t>
            </w:r>
            <w:r>
              <w:rPr>
                <w:rFonts w:hint="eastAsia" w:asciiTheme="minorEastAsia" w:hAnsiTheme="minorEastAsia"/>
                <w:bCs/>
                <w:szCs w:val="21"/>
                <w:lang w:eastAsia="zh-CN"/>
              </w:rPr>
              <w:t>、</w:t>
            </w:r>
            <w:r>
              <w:rPr>
                <w:rFonts w:hint="eastAsia" w:asciiTheme="minorEastAsia" w:hAnsiTheme="minorEastAsia"/>
                <w:bCs/>
                <w:szCs w:val="21"/>
              </w:rPr>
              <w:t>“中国政府采购网”（www.ccgp.gov.cn）</w:t>
            </w:r>
            <w:r>
              <w:rPr>
                <w:rFonts w:hint="eastAsia" w:asciiTheme="minorEastAsia" w:hAnsiTheme="minorEastAsia"/>
                <w:bCs/>
                <w:szCs w:val="21"/>
                <w:lang w:eastAsia="zh-CN"/>
              </w:rPr>
              <w:t>、</w:t>
            </w:r>
            <w:r>
              <w:rPr>
                <w:rFonts w:hint="eastAsia" w:ascii="宋体" w:hAnsi="宋体" w:eastAsia="宋体" w:cs="仿宋_GB2312"/>
                <w:color w:val="000000"/>
                <w:kern w:val="2"/>
                <w:sz w:val="21"/>
                <w:szCs w:val="21"/>
                <w:shd w:val="clear" w:color="auto" w:fill="FFFFFF"/>
                <w:lang w:val="en-US" w:eastAsia="zh-CN" w:bidi="ar-SA"/>
              </w:rPr>
              <w:t>“国家企业信用信息公示系统”网站（www.gsxt.gov.cn）；</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szCs w:val="21"/>
                <w:lang w:val="zh-CN"/>
              </w:rPr>
            </w:pPr>
            <w:r>
              <w:rPr>
                <w:rFonts w:hint="eastAsia" w:asciiTheme="minorEastAsia" w:hAnsiTheme="minorEastAsia"/>
                <w:bCs/>
                <w:szCs w:val="21"/>
              </w:rPr>
              <w:t>9、</w:t>
            </w:r>
            <w:r>
              <w:rPr>
                <w:rFonts w:hint="eastAsia" w:cs="仿宋_GB2312" w:asciiTheme="minorEastAsia" w:hAnsiTheme="minorEastAsia"/>
                <w:szCs w:val="21"/>
                <w:lang w:val="zh-CN"/>
              </w:rPr>
              <w:t>报价</w:t>
            </w:r>
          </w:p>
          <w:p>
            <w:pPr>
              <w:spacing w:line="360" w:lineRule="auto"/>
              <w:rPr>
                <w:rFonts w:asciiTheme="minorEastAsia" w:hAnsiTheme="minorEastAsia"/>
                <w:bCs/>
                <w:szCs w:val="21"/>
              </w:rPr>
            </w:pPr>
            <w:r>
              <w:rPr>
                <w:rFonts w:hint="eastAsia" w:cs="仿宋_GB2312" w:asciiTheme="minorEastAsia" w:hAnsiTheme="minorEastAsia"/>
                <w:szCs w:val="21"/>
                <w:lang w:val="zh-CN"/>
              </w:rPr>
              <w:t>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Cs/>
                <w:szCs w:val="21"/>
              </w:rPr>
            </w:pPr>
            <w:r>
              <w:rPr>
                <w:rFonts w:hint="eastAsia" w:asciiTheme="minorEastAsia" w:hAnsiTheme="minorEastAsia"/>
                <w:bCs/>
                <w:szCs w:val="21"/>
              </w:rPr>
              <w:t>10、联合体协议</w:t>
            </w:r>
          </w:p>
          <w:p>
            <w:pPr>
              <w:spacing w:line="360" w:lineRule="auto"/>
              <w:rPr>
                <w:rFonts w:asciiTheme="minorEastAsia" w:hAnsiTheme="minorEastAsia"/>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szCs w:val="21"/>
              </w:rPr>
            </w:pPr>
            <w:r>
              <w:rPr>
                <w:rFonts w:hint="eastAsia" w:asciiTheme="minorEastAsia" w:hAnsiTheme="minorEastAsia"/>
                <w:szCs w:val="21"/>
              </w:rPr>
              <w:t>11、投标保证金</w:t>
            </w:r>
          </w:p>
          <w:p>
            <w:pPr>
              <w:spacing w:line="360" w:lineRule="auto"/>
              <w:rPr>
                <w:rFonts w:asciiTheme="minorEastAsia" w:hAnsiTheme="minorEastAsia"/>
                <w:szCs w:val="21"/>
              </w:rPr>
            </w:pPr>
            <w:r>
              <w:rPr>
                <w:rFonts w:hint="eastAsia" w:asciiTheme="minorEastAsia" w:hAnsiTheme="minorEastAsia"/>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szCs w:val="21"/>
              </w:rPr>
            </w:pPr>
            <w:r>
              <w:rPr>
                <w:rFonts w:hint="eastAsia" w:asciiTheme="minorEastAsia" w:hAnsiTheme="minorEastAsia"/>
                <w:szCs w:val="21"/>
              </w:rPr>
              <w:t>12、法定代表人身份证明或提供法定代表人授权委托书及被授权人身份证明。</w:t>
            </w:r>
          </w:p>
        </w:tc>
      </w:tr>
    </w:tbl>
    <w:p>
      <w:pPr>
        <w:pStyle w:val="13"/>
        <w:spacing w:line="360" w:lineRule="auto"/>
        <w:ind w:firstLine="480" w:firstLineChars="200"/>
        <w:contextualSpacing/>
        <w:rPr>
          <w:rFonts w:cs="仿宋_GB2312" w:asciiTheme="minorEastAsia" w:hAnsiTheme="minorEastAsia" w:eastAsiaTheme="minorEastAsia"/>
          <w:szCs w:val="24"/>
          <w:lang w:val="zh-CN"/>
        </w:rPr>
      </w:pPr>
    </w:p>
    <w:p>
      <w:pPr>
        <w:pStyle w:val="13"/>
        <w:spacing w:line="360" w:lineRule="auto"/>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二、评标</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（二）</w:t>
      </w:r>
      <w:r>
        <w:rPr>
          <w:rFonts w:cs="仿宋_GB2312" w:asciiTheme="minorEastAsia" w:hAnsiTheme="minorEastAsia" w:eastAsiaTheme="minorEastAsia"/>
          <w:sz w:val="21"/>
          <w:szCs w:val="21"/>
          <w:lang w:val="zh-CN"/>
        </w:rPr>
        <w:t>评标委员会负责具体评标事务，并独立履行下列职责</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w:t>
      </w:r>
      <w:r>
        <w:rPr>
          <w:rFonts w:cs="仿宋_GB2312" w:asciiTheme="minorEastAsia" w:hAnsiTheme="minorEastAsia" w:eastAsiaTheme="minorEastAsia"/>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cs="仿宋_GB2312" w:asciiTheme="minorEastAsia" w:hAnsiTheme="minorEastAsia" w:eastAsiaTheme="minorEastAsia"/>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3、</w:t>
      </w:r>
      <w:r>
        <w:rPr>
          <w:rFonts w:cs="仿宋_GB2312" w:asciiTheme="minorEastAsia" w:hAnsiTheme="minorEastAsia" w:eastAsiaTheme="minorEastAsia"/>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清单》所列的政府强制采购节能产品，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（3）</w:t>
      </w:r>
      <w:r>
        <w:rPr>
          <w:rFonts w:cs="仿宋_GB2312" w:asciiTheme="minorEastAsia" w:hAnsiTheme="minorEastAsia" w:eastAsiaTheme="minorEastAsia"/>
          <w:sz w:val="21"/>
          <w:szCs w:val="21"/>
          <w:lang w:val="zh-CN"/>
        </w:rPr>
        <w:t>关于相同品牌产品</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（4）关于强制性产品认证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2)投标人所投产品如被列入</w:t>
      </w:r>
      <w:r>
        <w:rPr>
          <w:rFonts w:cs="仿宋_GB2312" w:asciiTheme="minorEastAsia" w:hAnsiTheme="minorEastAsia"/>
          <w:szCs w:val="21"/>
          <w:lang w:val="zh-CN"/>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中国信息安全认证中心官网（</w:t>
      </w:r>
      <w:r>
        <w:rPr>
          <w:rFonts w:cs="仿宋_GB2312" w:asciiTheme="minorEastAsia" w:hAnsiTheme="minorEastAsia"/>
          <w:szCs w:val="21"/>
          <w:lang w:val="zh-CN"/>
        </w:rPr>
        <w:t>http://www.isccc.gov.cn/index.shtml</w:t>
      </w:r>
      <w:r>
        <w:rPr>
          <w:rFonts w:hint="eastAsia" w:cs="仿宋_GB2312" w:asciiTheme="minorEastAsia" w:hAnsiTheme="minorEastAsia"/>
          <w:szCs w:val="21"/>
          <w:lang w:val="zh-CN"/>
        </w:rPr>
        <w:t>）产品查询结果截图并加盖投标人公章或中国信息安全认证中心颁发的《中国国家信息安全产品认证证书》加盖投标人公章的原件扫描件（或图片）。</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widowControl/>
        <w:shd w:val="clear" w:color="auto"/>
        <w:spacing w:line="360" w:lineRule="atLeast"/>
        <w:ind w:firstLine="315" w:firstLineChars="150"/>
        <w:jc w:val="left"/>
        <w:rPr>
          <w:rFonts w:cs="仿宋_GB2312" w:asciiTheme="minorEastAsia" w:hAnsiTheme="minorEastAsia"/>
          <w:sz w:val="24"/>
          <w:szCs w:val="24"/>
          <w:lang w:val="zh-CN"/>
        </w:rPr>
      </w:pPr>
      <w:r>
        <w:rPr>
          <w:rFonts w:hint="eastAsia" w:cs="仿宋_GB2312" w:asciiTheme="minorEastAsia" w:hAnsiTheme="minorEastAsia"/>
          <w:szCs w:val="21"/>
          <w:lang w:val="zh-CN"/>
        </w:rPr>
        <w:t>（6）评标标准</w:t>
      </w:r>
    </w:p>
    <w:p>
      <w:pPr>
        <w:tabs>
          <w:tab w:val="left" w:pos="1260"/>
        </w:tabs>
        <w:autoSpaceDE w:val="0"/>
        <w:autoSpaceDN w:val="0"/>
        <w:spacing w:line="360" w:lineRule="auto"/>
        <w:ind w:firstLine="480" w:firstLineChars="200"/>
        <w:contextualSpacing/>
        <w:rPr>
          <w:rFonts w:hint="eastAsia" w:cs="仿宋_GB2312" w:asciiTheme="minorEastAsia" w:hAnsiTheme="minorEastAsia"/>
          <w:szCs w:val="21"/>
          <w:lang w:val="zh-CN"/>
        </w:rPr>
      </w:pPr>
      <w:r>
        <w:rPr>
          <w:rFonts w:cs="仿宋_GB2312" w:asciiTheme="minorEastAsia" w:hAnsiTheme="minorEastAsia"/>
          <w:sz w:val="24"/>
          <w:szCs w:val="24"/>
          <w:lang w:val="zh-CN"/>
        </w:rPr>
        <w:t>（</w:t>
      </w:r>
      <w:r>
        <w:rPr>
          <w:rFonts w:hint="eastAsia" w:cs="仿宋_GB2312" w:asciiTheme="minorEastAsia" w:hAnsiTheme="minorEastAsia"/>
          <w:szCs w:val="21"/>
          <w:lang w:val="zh-CN"/>
        </w:rPr>
        <w:t>一）评标方法：最低评标价法□ 综合评分法☑</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（二）综合评分法评标标准：</w:t>
      </w:r>
    </w:p>
    <w:tbl>
      <w:tblPr>
        <w:tblStyle w:val="25"/>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6"/>
        <w:gridCol w:w="5953"/>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jc w:val="center"/>
        </w:trPr>
        <w:tc>
          <w:tcPr>
            <w:tcW w:w="2046" w:type="dxa"/>
            <w:vAlign w:val="center"/>
          </w:tcPr>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分值构成</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(总分100分)</w:t>
            </w:r>
          </w:p>
        </w:tc>
        <w:tc>
          <w:tcPr>
            <w:tcW w:w="6920" w:type="dxa"/>
            <w:gridSpan w:val="2"/>
            <w:vAlign w:val="center"/>
          </w:tcPr>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szCs w:val="21"/>
                <w:lang w:val="zh-CN"/>
              </w:rPr>
            </w:pPr>
            <w:r>
              <w:rPr>
                <w:rFonts w:hint="eastAsia" w:cs="仿宋_GB2312" w:asciiTheme="minorEastAsia" w:hAnsiTheme="minorEastAsia"/>
                <w:szCs w:val="21"/>
                <w:lang w:val="zh-CN"/>
              </w:rPr>
              <w:t>价格分值：30分</w:t>
            </w:r>
          </w:p>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szCs w:val="21"/>
                <w:lang w:val="zh-CN"/>
              </w:rPr>
            </w:pPr>
            <w:r>
              <w:rPr>
                <w:rFonts w:hint="eastAsia" w:cs="仿宋_GB2312" w:asciiTheme="minorEastAsia" w:hAnsiTheme="minorEastAsia"/>
                <w:szCs w:val="21"/>
                <w:lang w:val="zh-CN"/>
              </w:rPr>
              <w:t>商务部分：</w:t>
            </w:r>
            <w:r>
              <w:rPr>
                <w:rFonts w:hint="eastAsia" w:cs="仿宋_GB2312" w:asciiTheme="minorEastAsia" w:hAnsiTheme="minorEastAsia"/>
                <w:szCs w:val="21"/>
                <w:lang w:val="en-US" w:eastAsia="zh-CN"/>
              </w:rPr>
              <w:t>45</w:t>
            </w:r>
            <w:r>
              <w:rPr>
                <w:rFonts w:hint="eastAsia" w:cs="仿宋_GB2312" w:asciiTheme="minorEastAsia" w:hAnsiTheme="minorEastAsia"/>
                <w:szCs w:val="21"/>
                <w:lang w:val="zh-CN"/>
              </w:rPr>
              <w:t>分</w:t>
            </w:r>
          </w:p>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szCs w:val="21"/>
                <w:lang w:val="zh-CN"/>
              </w:rPr>
            </w:pPr>
            <w:r>
              <w:rPr>
                <w:rFonts w:hint="eastAsia" w:cs="仿宋_GB2312" w:asciiTheme="minorEastAsia" w:hAnsiTheme="minorEastAsia"/>
                <w:szCs w:val="21"/>
                <w:lang w:val="zh-CN"/>
              </w:rPr>
              <w:t>技术部分：</w:t>
            </w:r>
            <w:r>
              <w:rPr>
                <w:rFonts w:hint="eastAsia" w:cs="仿宋_GB2312" w:asciiTheme="minorEastAsia" w:hAnsiTheme="minorEastAsia"/>
                <w:szCs w:val="21"/>
                <w:lang w:val="en-US" w:eastAsia="zh-CN"/>
              </w:rPr>
              <w:t>25</w:t>
            </w:r>
            <w:r>
              <w:rPr>
                <w:rFonts w:hint="eastAsia" w:cs="仿宋_GB2312" w:asciiTheme="minorEastAsia" w:hAnsiTheme="minorEastAsia"/>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tcBorders>
              <w:bottom w:val="single" w:color="auto" w:sz="4" w:space="0"/>
            </w:tcBorders>
            <w:vAlign w:val="center"/>
          </w:tcPr>
          <w:p>
            <w:pPr>
              <w:tabs>
                <w:tab w:val="left" w:pos="1260"/>
              </w:tabs>
              <w:autoSpaceDE w:val="0"/>
              <w:autoSpaceDN w:val="0"/>
              <w:spacing w:line="360" w:lineRule="auto"/>
              <w:contextualSpacing/>
              <w:jc w:val="center"/>
              <w:rPr>
                <w:rFonts w:hint="eastAsia" w:cs="仿宋_GB2312" w:asciiTheme="minorEastAsia" w:hAnsiTheme="minorEastAsia"/>
                <w:szCs w:val="21"/>
                <w:lang w:val="zh-CN"/>
              </w:rPr>
            </w:pPr>
            <w:r>
              <w:rPr>
                <w:rFonts w:hint="eastAsia" w:cs="仿宋_GB2312" w:asciiTheme="minorEastAsia" w:hAnsiTheme="minorEastAsia"/>
                <w:szCs w:val="21"/>
                <w:lang w:val="zh-CN"/>
              </w:rPr>
              <w:t>（一）价格部分（满分30分）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tcBorders>
              <w:top w:val="single" w:color="auto" w:sz="4" w:space="0"/>
            </w:tcBorders>
            <w:vAlign w:val="center"/>
          </w:tcPr>
          <w:p>
            <w:pPr>
              <w:tabs>
                <w:tab w:val="left" w:pos="1260"/>
              </w:tabs>
              <w:autoSpaceDE w:val="0"/>
              <w:autoSpaceDN w:val="0"/>
              <w:spacing w:line="360" w:lineRule="auto"/>
              <w:contextualSpacing/>
              <w:jc w:val="center"/>
              <w:rPr>
                <w:rFonts w:hint="eastAsia" w:cs="仿宋_GB2312" w:asciiTheme="minorEastAsia" w:hAnsiTheme="minorEastAsia"/>
                <w:szCs w:val="21"/>
                <w:lang w:val="zh-CN"/>
              </w:rPr>
            </w:pPr>
            <w:r>
              <w:rPr>
                <w:rFonts w:hint="eastAsia" w:cs="仿宋_GB2312" w:asciiTheme="minorEastAsia" w:hAnsiTheme="minorEastAsia"/>
                <w:szCs w:val="21"/>
                <w:lang w:val="zh-CN"/>
              </w:rPr>
              <w:t>评分因素</w:t>
            </w:r>
          </w:p>
        </w:tc>
        <w:tc>
          <w:tcPr>
            <w:tcW w:w="5953" w:type="dxa"/>
            <w:tcBorders>
              <w:top w:val="single" w:color="auto" w:sz="4" w:space="0"/>
            </w:tcBorders>
            <w:vAlign w:val="center"/>
          </w:tcPr>
          <w:p>
            <w:pPr>
              <w:tabs>
                <w:tab w:val="left" w:pos="1260"/>
              </w:tabs>
              <w:autoSpaceDE w:val="0"/>
              <w:autoSpaceDN w:val="0"/>
              <w:spacing w:line="360" w:lineRule="auto"/>
              <w:contextualSpacing/>
              <w:jc w:val="center"/>
              <w:rPr>
                <w:rFonts w:hint="eastAsia" w:cs="仿宋_GB2312" w:asciiTheme="minorEastAsia" w:hAnsiTheme="minorEastAsia"/>
                <w:szCs w:val="21"/>
                <w:lang w:val="zh-CN"/>
              </w:rPr>
            </w:pPr>
            <w:r>
              <w:rPr>
                <w:rFonts w:hint="eastAsia" w:cs="仿宋_GB2312" w:asciiTheme="minorEastAsia" w:hAnsiTheme="minorEastAsia"/>
                <w:szCs w:val="21"/>
                <w:lang w:val="zh-CN"/>
              </w:rPr>
              <w:t>评分标准</w:t>
            </w:r>
          </w:p>
        </w:tc>
        <w:tc>
          <w:tcPr>
            <w:tcW w:w="967" w:type="dxa"/>
            <w:tcBorders>
              <w:top w:val="single" w:color="auto" w:sz="4" w:space="0"/>
            </w:tcBorders>
            <w:vAlign w:val="center"/>
          </w:tcPr>
          <w:p>
            <w:pPr>
              <w:tabs>
                <w:tab w:val="left" w:pos="1260"/>
              </w:tabs>
              <w:autoSpaceDE w:val="0"/>
              <w:autoSpaceDN w:val="0"/>
              <w:spacing w:line="360" w:lineRule="auto"/>
              <w:contextualSpacing/>
              <w:jc w:val="center"/>
              <w:rPr>
                <w:rFonts w:hint="eastAsia" w:cs="仿宋_GB2312" w:asciiTheme="minorEastAsia" w:hAnsiTheme="minorEastAsia"/>
                <w:szCs w:val="21"/>
                <w:lang w:val="zh-CN"/>
              </w:rPr>
            </w:pPr>
            <w:r>
              <w:rPr>
                <w:rFonts w:hint="eastAsia" w:cs="仿宋_GB2312" w:asciiTheme="minorEastAsia" w:hAnsiTheme="minorEastAsia"/>
                <w:szCs w:val="21"/>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2046" w:type="dxa"/>
            <w:tcBorders>
              <w:top w:val="single" w:color="auto" w:sz="4" w:space="0"/>
            </w:tcBorders>
            <w:vAlign w:val="center"/>
          </w:tcPr>
          <w:p>
            <w:pPr>
              <w:tabs>
                <w:tab w:val="left" w:pos="1260"/>
              </w:tabs>
              <w:autoSpaceDE w:val="0"/>
              <w:autoSpaceDN w:val="0"/>
              <w:spacing w:line="360" w:lineRule="auto"/>
              <w:contextualSpacing/>
              <w:jc w:val="center"/>
              <w:rPr>
                <w:rFonts w:hint="eastAsia" w:cs="仿宋_GB2312" w:asciiTheme="minorEastAsia" w:hAnsiTheme="minorEastAsia"/>
                <w:szCs w:val="21"/>
                <w:lang w:val="zh-CN"/>
              </w:rPr>
            </w:pPr>
            <w:r>
              <w:rPr>
                <w:rFonts w:hint="eastAsia" w:cs="仿宋_GB2312" w:asciiTheme="minorEastAsia" w:hAnsiTheme="minorEastAsia"/>
                <w:szCs w:val="21"/>
                <w:lang w:val="zh-CN"/>
              </w:rPr>
              <w:t>投标报价</w:t>
            </w:r>
          </w:p>
          <w:p>
            <w:pPr>
              <w:tabs>
                <w:tab w:val="left" w:pos="1260"/>
              </w:tabs>
              <w:autoSpaceDE w:val="0"/>
              <w:autoSpaceDN w:val="0"/>
              <w:spacing w:line="360" w:lineRule="auto"/>
              <w:contextualSpacing/>
              <w:jc w:val="center"/>
              <w:rPr>
                <w:rFonts w:hint="eastAsia" w:cs="仿宋_GB2312" w:asciiTheme="minorEastAsia" w:hAnsiTheme="minorEastAsia"/>
                <w:szCs w:val="21"/>
                <w:lang w:val="zh-CN"/>
              </w:rPr>
            </w:pPr>
            <w:r>
              <w:rPr>
                <w:rFonts w:hint="eastAsia" w:cs="仿宋_GB2312" w:asciiTheme="minorEastAsia" w:hAnsiTheme="minorEastAsia"/>
                <w:szCs w:val="21"/>
                <w:lang w:val="zh-CN"/>
              </w:rPr>
              <w:t>评分标准</w:t>
            </w:r>
          </w:p>
        </w:tc>
        <w:tc>
          <w:tcPr>
            <w:tcW w:w="5953" w:type="dxa"/>
            <w:tcBorders>
              <w:top w:val="single" w:color="auto" w:sz="4" w:space="0"/>
            </w:tcBorders>
            <w:vAlign w:val="center"/>
          </w:tcPr>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szCs w:val="21"/>
                <w:lang w:val="en-US" w:eastAsia="zh-CN"/>
              </w:rPr>
            </w:pPr>
            <w:r>
              <w:rPr>
                <w:rFonts w:hint="eastAsia" w:cs="仿宋_GB2312" w:asciiTheme="minorEastAsia" w:hAnsiTheme="minorEastAsia"/>
                <w:szCs w:val="21"/>
                <w:lang w:val="zh-CN" w:eastAsia="zh-CN"/>
              </w:rPr>
              <w:t>依据许昌市建安区公路管理局文件（建安路［</w:t>
            </w:r>
            <w:r>
              <w:rPr>
                <w:rFonts w:hint="eastAsia" w:cs="仿宋_GB2312" w:asciiTheme="minorEastAsia" w:hAnsiTheme="minorEastAsia"/>
                <w:szCs w:val="21"/>
                <w:lang w:val="en-US" w:eastAsia="zh-CN"/>
              </w:rPr>
              <w:t>2018</w:t>
            </w:r>
            <w:r>
              <w:rPr>
                <w:rFonts w:hint="eastAsia" w:cs="仿宋_GB2312" w:asciiTheme="minorEastAsia" w:hAnsiTheme="minorEastAsia"/>
                <w:szCs w:val="21"/>
                <w:lang w:val="zh-CN" w:eastAsia="zh-CN"/>
              </w:rPr>
              <w:t>］</w:t>
            </w:r>
            <w:r>
              <w:rPr>
                <w:rFonts w:hint="eastAsia" w:cs="仿宋_GB2312" w:asciiTheme="minorEastAsia" w:hAnsiTheme="minorEastAsia"/>
                <w:szCs w:val="21"/>
                <w:lang w:val="en-US" w:eastAsia="zh-CN"/>
              </w:rPr>
              <w:t>59号</w:t>
            </w:r>
            <w:r>
              <w:rPr>
                <w:rFonts w:hint="eastAsia" w:cs="仿宋_GB2312" w:asciiTheme="minorEastAsia" w:hAnsiTheme="minorEastAsia"/>
                <w:szCs w:val="21"/>
                <w:lang w:val="zh-CN" w:eastAsia="zh-CN"/>
              </w:rPr>
              <w:t>）的要求</w:t>
            </w:r>
            <w:r>
              <w:rPr>
                <w:rFonts w:hint="eastAsia" w:cs="仿宋_GB2312" w:asciiTheme="minorEastAsia" w:hAnsiTheme="minorEastAsia"/>
                <w:szCs w:val="21"/>
                <w:lang w:val="en-US" w:eastAsia="zh-CN"/>
              </w:rPr>
              <w:t>，经许昌市建安区财政局投资评审中心对该项目的评审，最终审定建安区公路管理局国省干线公路标线的</w:t>
            </w:r>
            <w:r>
              <w:rPr>
                <w:rFonts w:hint="eastAsia" w:cs="仿宋_GB2312" w:asciiTheme="minorEastAsia" w:hAnsiTheme="minorEastAsia"/>
                <w:szCs w:val="21"/>
                <w:lang w:val="zh-CN" w:eastAsia="zh-CN"/>
              </w:rPr>
              <w:t>预算金额</w:t>
            </w:r>
            <w:r>
              <w:rPr>
                <w:rFonts w:hint="eastAsia" w:cs="仿宋_GB2312" w:asciiTheme="minorEastAsia" w:hAnsiTheme="minorEastAsia"/>
                <w:szCs w:val="21"/>
                <w:lang w:val="en-US" w:eastAsia="zh-CN"/>
              </w:rPr>
              <w:t>按实际工作量以最终评审价为准。</w:t>
            </w:r>
          </w:p>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szCs w:val="21"/>
                <w:lang w:val="zh-CN" w:eastAsia="zh-CN"/>
              </w:rPr>
            </w:pPr>
            <w:r>
              <w:rPr>
                <w:rFonts w:hint="eastAsia" w:cs="仿宋_GB2312" w:asciiTheme="minorEastAsia" w:hAnsiTheme="minorEastAsia"/>
                <w:szCs w:val="21"/>
                <w:lang w:val="zh-CN" w:eastAsia="zh-CN"/>
              </w:rPr>
              <w:t>投标报价：</w:t>
            </w:r>
            <w:r>
              <w:rPr>
                <w:rFonts w:hint="eastAsia" w:cs="仿宋_GB2312" w:asciiTheme="minorEastAsia" w:hAnsiTheme="minorEastAsia"/>
                <w:b/>
                <w:bCs/>
                <w:szCs w:val="21"/>
                <w:lang w:val="zh-CN" w:eastAsia="zh-CN"/>
              </w:rPr>
              <w:t>按实际工作量以最终评审价为准</w:t>
            </w:r>
            <w:r>
              <w:rPr>
                <w:rFonts w:hint="eastAsia" w:cs="仿宋_GB2312" w:asciiTheme="minorEastAsia" w:hAnsiTheme="minorEastAsia"/>
                <w:szCs w:val="21"/>
                <w:lang w:val="zh-CN" w:eastAsia="zh-CN"/>
              </w:rPr>
              <w:t>。未响应的为无效投标。</w:t>
            </w:r>
          </w:p>
        </w:tc>
        <w:tc>
          <w:tcPr>
            <w:tcW w:w="967" w:type="dxa"/>
            <w:tcBorders>
              <w:top w:val="single" w:color="auto" w:sz="4" w:space="0"/>
            </w:tcBorders>
            <w:vAlign w:val="center"/>
          </w:tcPr>
          <w:p>
            <w:pPr>
              <w:tabs>
                <w:tab w:val="left" w:pos="1260"/>
              </w:tabs>
              <w:autoSpaceDE w:val="0"/>
              <w:autoSpaceDN w:val="0"/>
              <w:spacing w:line="360" w:lineRule="auto"/>
              <w:contextualSpacing/>
              <w:jc w:val="center"/>
              <w:rPr>
                <w:rFonts w:hint="eastAsia" w:cs="仿宋_GB2312" w:asciiTheme="minorEastAsia" w:hAnsiTheme="minorEastAsia"/>
                <w:szCs w:val="21"/>
                <w:lang w:val="zh-CN"/>
              </w:rPr>
            </w:pPr>
            <w:r>
              <w:rPr>
                <w:rFonts w:hint="eastAsia" w:cs="仿宋_GB2312" w:asciiTheme="minorEastAsia" w:hAnsiTheme="minorEastAsia"/>
                <w:szCs w:val="21"/>
                <w:lang w:val="zh-CN"/>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jc w:val="center"/>
              <w:textAlignment w:val="auto"/>
              <w:outlineLvl w:val="9"/>
              <w:rPr>
                <w:rFonts w:hint="eastAsia" w:cs="仿宋_GB2312" w:asciiTheme="minorEastAsia" w:hAnsiTheme="minorEastAsia"/>
                <w:szCs w:val="21"/>
                <w:lang w:val="zh-CN"/>
              </w:rPr>
            </w:pPr>
            <w:r>
              <w:rPr>
                <w:rFonts w:hint="eastAsia" w:cs="仿宋_GB2312" w:asciiTheme="minorEastAsia" w:hAnsiTheme="minorEastAsia"/>
                <w:szCs w:val="21"/>
                <w:lang w:val="zh-CN"/>
              </w:rPr>
              <w:t>（二）商务部分（满分</w:t>
            </w:r>
            <w:r>
              <w:rPr>
                <w:rFonts w:hint="eastAsia" w:cs="仿宋_GB2312" w:asciiTheme="minorEastAsia" w:hAnsiTheme="minorEastAsia"/>
                <w:szCs w:val="21"/>
                <w:lang w:val="en-US" w:eastAsia="zh-CN"/>
              </w:rPr>
              <w:t>45</w:t>
            </w:r>
            <w:r>
              <w:rPr>
                <w:rFonts w:hint="eastAsia" w:cs="仿宋_GB2312" w:asciiTheme="minorEastAsia" w:hAnsiTheme="minorEastAsia"/>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tcBorders>
              <w:bottom w:val="single" w:color="auto" w:sz="4" w:space="0"/>
            </w:tcBorders>
            <w:vAlign w:val="center"/>
          </w:tcPr>
          <w:p>
            <w:pPr>
              <w:tabs>
                <w:tab w:val="left" w:pos="1260"/>
              </w:tabs>
              <w:autoSpaceDE w:val="0"/>
              <w:autoSpaceDN w:val="0"/>
              <w:spacing w:line="360" w:lineRule="auto"/>
              <w:contextualSpacing/>
              <w:jc w:val="center"/>
              <w:rPr>
                <w:rFonts w:hint="eastAsia" w:cs="仿宋_GB2312" w:asciiTheme="minorEastAsia" w:hAnsiTheme="minorEastAsia"/>
                <w:szCs w:val="21"/>
                <w:lang w:val="zh-CN"/>
              </w:rPr>
            </w:pPr>
            <w:r>
              <w:rPr>
                <w:rFonts w:hint="eastAsia" w:cs="仿宋_GB2312" w:asciiTheme="minorEastAsia" w:hAnsiTheme="minorEastAsia"/>
                <w:szCs w:val="21"/>
                <w:lang w:val="zh-CN"/>
              </w:rPr>
              <w:t>评分因素</w:t>
            </w:r>
          </w:p>
        </w:tc>
        <w:tc>
          <w:tcPr>
            <w:tcW w:w="5953" w:type="dxa"/>
            <w:vAlign w:val="center"/>
          </w:tcPr>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szCs w:val="21"/>
                <w:lang w:val="zh-CN"/>
              </w:rPr>
            </w:pPr>
            <w:r>
              <w:rPr>
                <w:rFonts w:hint="eastAsia" w:cs="仿宋_GB2312" w:asciiTheme="minorEastAsia" w:hAnsiTheme="minorEastAsia"/>
                <w:szCs w:val="21"/>
                <w:lang w:val="zh-CN"/>
              </w:rPr>
              <w:t>评分标准</w:t>
            </w:r>
          </w:p>
        </w:tc>
        <w:tc>
          <w:tcPr>
            <w:tcW w:w="967" w:type="dxa"/>
            <w:vAlign w:val="center"/>
          </w:tcPr>
          <w:p>
            <w:pPr>
              <w:tabs>
                <w:tab w:val="left" w:pos="1260"/>
              </w:tabs>
              <w:autoSpaceDE w:val="0"/>
              <w:autoSpaceDN w:val="0"/>
              <w:spacing w:line="360" w:lineRule="auto"/>
              <w:contextualSpacing/>
              <w:jc w:val="center"/>
              <w:rPr>
                <w:rFonts w:hint="eastAsia" w:cs="仿宋_GB2312" w:asciiTheme="minorEastAsia" w:hAnsiTheme="minorEastAsia"/>
                <w:szCs w:val="21"/>
                <w:lang w:val="zh-CN"/>
              </w:rPr>
            </w:pPr>
            <w:r>
              <w:rPr>
                <w:rFonts w:hint="eastAsia" w:cs="仿宋_GB2312" w:asciiTheme="minorEastAsia" w:hAnsiTheme="minorEastAsia"/>
                <w:szCs w:val="21"/>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046" w:type="dxa"/>
            <w:vAlign w:val="center"/>
          </w:tcPr>
          <w:p>
            <w:pPr>
              <w:tabs>
                <w:tab w:val="left" w:pos="1260"/>
              </w:tabs>
              <w:autoSpaceDE w:val="0"/>
              <w:autoSpaceDN w:val="0"/>
              <w:spacing w:line="360" w:lineRule="auto"/>
              <w:contextualSpacing/>
              <w:jc w:val="center"/>
              <w:rPr>
                <w:rFonts w:hint="eastAsia" w:cs="仿宋_GB2312" w:asciiTheme="minorEastAsia" w:hAnsiTheme="minorEastAsia"/>
                <w:szCs w:val="21"/>
                <w:lang w:val="zh-CN"/>
              </w:rPr>
            </w:pPr>
            <w:r>
              <w:rPr>
                <w:rFonts w:hint="eastAsia" w:cs="仿宋_GB2312" w:asciiTheme="minorEastAsia" w:hAnsiTheme="minorEastAsia"/>
                <w:szCs w:val="21"/>
                <w:lang w:val="zh-CN"/>
              </w:rPr>
              <w:t>信誉状况</w:t>
            </w:r>
          </w:p>
          <w:p>
            <w:pPr>
              <w:tabs>
                <w:tab w:val="left" w:pos="1260"/>
              </w:tabs>
              <w:autoSpaceDE w:val="0"/>
              <w:autoSpaceDN w:val="0"/>
              <w:spacing w:line="360" w:lineRule="auto"/>
              <w:contextualSpacing/>
              <w:rPr>
                <w:rFonts w:hint="eastAsia" w:cs="仿宋_GB2312" w:asciiTheme="minorEastAsia" w:hAnsiTheme="minorEastAsia"/>
                <w:szCs w:val="21"/>
                <w:lang w:val="zh-CN"/>
              </w:rPr>
            </w:pPr>
          </w:p>
        </w:tc>
        <w:tc>
          <w:tcPr>
            <w:tcW w:w="5953" w:type="dxa"/>
            <w:vAlign w:val="center"/>
          </w:tcPr>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1、投标人提供有工商企业信用信息公示报告（国家企业信用信息公示系统http://www.gsxt.gov.cn）并不存在不良信息者得2分。（以网页截图为准）</w:t>
            </w:r>
          </w:p>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2、投标人提供有企业所在地税务主管部门出具的纳税情况证明并不存在不良信息者得1分，未提供或有不良信息者不得分。（提供近三个月的纳税证明）</w:t>
            </w:r>
          </w:p>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3.企业信用评价（1分）</w:t>
            </w:r>
          </w:p>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信用等级评为AAA级的，得1分；信用等级评为AA级的，得0.5分，其他等级不得分。</w:t>
            </w:r>
          </w:p>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注：信用等级以信用评估报告为准，信用评估报告在报价文件中提供复印件，要求如下：</w:t>
            </w:r>
          </w:p>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1）河南省供应商应提供经河南省信用建设促进会备案认可的信用评级机构出具的信用评估报告原件；信用评级机构以“信用河南网”（网址http://www.xyhnw.com/）公布的“河南省社会信用服务机构备案及考评合格机构公告”为准。</w:t>
            </w:r>
          </w:p>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（2）外省供应商应提供经省级以上社会信用管理部门备案认可的信用评级机构出具的信用评估报告原件，并同时出具信用评级机构相应的资质材料。</w:t>
            </w:r>
          </w:p>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szCs w:val="21"/>
                <w:lang w:val="zh-CN"/>
              </w:rPr>
            </w:pPr>
            <w:r>
              <w:rPr>
                <w:rFonts w:hint="eastAsia" w:cs="仿宋_GB2312" w:asciiTheme="minorEastAsia" w:hAnsiTheme="minorEastAsia"/>
                <w:szCs w:val="21"/>
                <w:lang w:val="en-US" w:eastAsia="zh-CN"/>
              </w:rPr>
              <w:t>不符合以上要求的，不得分。</w:t>
            </w:r>
          </w:p>
        </w:tc>
        <w:tc>
          <w:tcPr>
            <w:tcW w:w="967" w:type="dxa"/>
            <w:vAlign w:val="center"/>
          </w:tcPr>
          <w:p>
            <w:pPr>
              <w:tabs>
                <w:tab w:val="left" w:pos="1260"/>
              </w:tabs>
              <w:autoSpaceDE w:val="0"/>
              <w:autoSpaceDN w:val="0"/>
              <w:spacing w:line="360" w:lineRule="auto"/>
              <w:contextualSpacing/>
              <w:jc w:val="center"/>
              <w:rPr>
                <w:rFonts w:hint="eastAsia" w:cs="仿宋_GB2312" w:asciiTheme="minorEastAsia" w:hAnsiTheme="minorEastAsia"/>
                <w:szCs w:val="21"/>
                <w:lang w:val="zh-CN"/>
              </w:rPr>
            </w:pPr>
            <w:r>
              <w:rPr>
                <w:rFonts w:hint="eastAsia" w:cs="仿宋_GB2312" w:asciiTheme="minorEastAsia" w:hAnsiTheme="minorEastAsia"/>
                <w:szCs w:val="21"/>
                <w:lang w:val="en-US" w:eastAsia="zh-CN"/>
              </w:rPr>
              <w:t>4</w:t>
            </w:r>
            <w:r>
              <w:rPr>
                <w:rFonts w:hint="eastAsia" w:cs="仿宋_GB2312" w:asciiTheme="minorEastAsia" w:hAnsiTheme="minorEastAsia"/>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vAlign w:val="center"/>
          </w:tcPr>
          <w:p>
            <w:pPr>
              <w:tabs>
                <w:tab w:val="left" w:pos="1260"/>
              </w:tabs>
              <w:autoSpaceDE w:val="0"/>
              <w:autoSpaceDN w:val="0"/>
              <w:spacing w:line="360" w:lineRule="auto"/>
              <w:contextualSpacing/>
              <w:jc w:val="center"/>
              <w:rPr>
                <w:rFonts w:hint="eastAsia" w:cs="仿宋_GB2312" w:asciiTheme="minorEastAsia" w:hAnsiTheme="minorEastAsia"/>
                <w:szCs w:val="21"/>
                <w:lang w:val="zh-CN"/>
              </w:rPr>
            </w:pPr>
            <w:r>
              <w:rPr>
                <w:rFonts w:hint="eastAsia" w:cs="仿宋_GB2312" w:asciiTheme="minorEastAsia" w:hAnsiTheme="minorEastAsia"/>
                <w:szCs w:val="21"/>
                <w:lang w:val="zh-CN"/>
              </w:rPr>
              <w:t>人员配备</w:t>
            </w:r>
          </w:p>
        </w:tc>
        <w:tc>
          <w:tcPr>
            <w:tcW w:w="5953" w:type="dxa"/>
            <w:vAlign w:val="center"/>
          </w:tcPr>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1、具有公路工程专业二级及以上注册建造师资格的得2分。</w:t>
            </w:r>
          </w:p>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2、项目技术负责人为中级工程师并提供缴纳社保证明的得2分。</w:t>
            </w:r>
          </w:p>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3、人员配备（八大员）：具有材料员、安全员、预算员、质检员、施工员、资料员、机械员、劳务员，每有一项并提供缴纳社保证明的得0.5分，满分4分。</w:t>
            </w:r>
          </w:p>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4、专业设备配备：提供交通标线施工机械（2万元以上）每台1分，最高2分（交通标线施工机械生产厂家需提供营业执照、产品宣传页及书面承诺所投入本项目的设备数量；非交通标线施工机械生产厂家的，需提供购买原始发票）。</w:t>
            </w:r>
          </w:p>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szCs w:val="21"/>
                <w:lang w:val="zh-CN"/>
              </w:rPr>
            </w:pPr>
            <w:r>
              <w:rPr>
                <w:rFonts w:hint="eastAsia" w:cs="仿宋_GB2312" w:asciiTheme="minorEastAsia" w:hAnsiTheme="minorEastAsia"/>
                <w:szCs w:val="21"/>
                <w:lang w:val="en-US" w:eastAsia="zh-CN"/>
              </w:rPr>
              <w:t>5、供应商自有的交通标线厚度检测设备（或仪器）和逆反射系数检测设备的，有一项得1分，共2分，须提供购买原始发票。</w:t>
            </w:r>
          </w:p>
        </w:tc>
        <w:tc>
          <w:tcPr>
            <w:tcW w:w="967" w:type="dxa"/>
            <w:vAlign w:val="center"/>
          </w:tcPr>
          <w:p>
            <w:pPr>
              <w:tabs>
                <w:tab w:val="left" w:pos="1260"/>
              </w:tabs>
              <w:autoSpaceDE w:val="0"/>
              <w:autoSpaceDN w:val="0"/>
              <w:spacing w:line="360" w:lineRule="auto"/>
              <w:contextualSpacing/>
              <w:jc w:val="center"/>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vAlign w:val="center"/>
          </w:tcPr>
          <w:p>
            <w:pPr>
              <w:tabs>
                <w:tab w:val="left" w:pos="1260"/>
              </w:tabs>
              <w:autoSpaceDE w:val="0"/>
              <w:autoSpaceDN w:val="0"/>
              <w:spacing w:line="360" w:lineRule="auto"/>
              <w:contextualSpacing/>
              <w:jc w:val="center"/>
              <w:rPr>
                <w:rFonts w:hint="eastAsia" w:cs="仿宋_GB2312" w:asciiTheme="minorEastAsia" w:hAnsiTheme="minorEastAsia"/>
                <w:szCs w:val="21"/>
                <w:lang w:val="zh-CN"/>
              </w:rPr>
            </w:pPr>
            <w:r>
              <w:rPr>
                <w:rFonts w:hint="eastAsia" w:cs="仿宋_GB2312" w:asciiTheme="minorEastAsia" w:hAnsiTheme="minorEastAsia"/>
                <w:szCs w:val="21"/>
                <w:lang w:val="zh-CN"/>
              </w:rPr>
              <w:t>企业业绩</w:t>
            </w:r>
          </w:p>
        </w:tc>
        <w:tc>
          <w:tcPr>
            <w:tcW w:w="5953" w:type="dxa"/>
            <w:vAlign w:val="center"/>
          </w:tcPr>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投标人2015年以来具有交通标线业绩合同且合同金额不低于200万元的，每有一项得1分，最多得3分。</w:t>
            </w:r>
          </w:p>
        </w:tc>
        <w:tc>
          <w:tcPr>
            <w:tcW w:w="967" w:type="dxa"/>
            <w:vAlign w:val="center"/>
          </w:tcPr>
          <w:p>
            <w:pPr>
              <w:tabs>
                <w:tab w:val="left" w:pos="1260"/>
              </w:tabs>
              <w:autoSpaceDE w:val="0"/>
              <w:autoSpaceDN w:val="0"/>
              <w:spacing w:line="360" w:lineRule="auto"/>
              <w:contextualSpacing/>
              <w:jc w:val="center"/>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2" w:hRule="atLeast"/>
          <w:jc w:val="center"/>
        </w:trPr>
        <w:tc>
          <w:tcPr>
            <w:tcW w:w="2046" w:type="dxa"/>
            <w:vAlign w:val="center"/>
          </w:tcPr>
          <w:p>
            <w:pPr>
              <w:tabs>
                <w:tab w:val="left" w:pos="1260"/>
              </w:tabs>
              <w:autoSpaceDE w:val="0"/>
              <w:autoSpaceDN w:val="0"/>
              <w:spacing w:line="360" w:lineRule="auto"/>
              <w:contextualSpacing/>
              <w:jc w:val="center"/>
              <w:rPr>
                <w:rFonts w:hint="eastAsia" w:cs="仿宋_GB2312" w:asciiTheme="minorEastAsia" w:hAnsiTheme="minorEastAsia"/>
                <w:szCs w:val="21"/>
                <w:lang w:val="zh-CN"/>
              </w:rPr>
            </w:pPr>
            <w:r>
              <w:rPr>
                <w:rFonts w:hint="eastAsia" w:cs="仿宋_GB2312" w:asciiTheme="minorEastAsia" w:hAnsiTheme="minorEastAsia"/>
                <w:szCs w:val="21"/>
                <w:lang w:val="zh-CN"/>
              </w:rPr>
              <w:t>企业实力</w:t>
            </w:r>
          </w:p>
          <w:p>
            <w:pPr>
              <w:tabs>
                <w:tab w:val="left" w:pos="1260"/>
              </w:tabs>
              <w:autoSpaceDE w:val="0"/>
              <w:autoSpaceDN w:val="0"/>
              <w:spacing w:line="360" w:lineRule="auto"/>
              <w:contextualSpacing/>
              <w:rPr>
                <w:rFonts w:hint="eastAsia" w:cs="仿宋_GB2312" w:asciiTheme="minorEastAsia" w:hAnsiTheme="minorEastAsia"/>
                <w:szCs w:val="21"/>
                <w:lang w:val="zh-CN"/>
              </w:rPr>
            </w:pPr>
          </w:p>
        </w:tc>
        <w:tc>
          <w:tcPr>
            <w:tcW w:w="5953" w:type="dxa"/>
            <w:vAlign w:val="center"/>
          </w:tcPr>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1、通过 ISO9001：2008质量管理体系认证,认证范围应包含：公路交通工程（公路安全设施）。（1分）</w:t>
            </w:r>
          </w:p>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2、通过 ISO14001：2004环境管理体系认证,认证范围应包含：公路交通工程（公路安全设施）。（1分）</w:t>
            </w:r>
          </w:p>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3、通过职业健康安全管理体系认证，认证范围应包含：公路交通工程（公路安全设施）。（1分）</w:t>
            </w:r>
          </w:p>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4、提供连续两年的国家安全设施质量监督检测中心或交通运输部科学研究院颁发的标线涂料（白色、黄色）检测报告及批量生产合格证书。（2分）</w:t>
            </w:r>
          </w:p>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5.提供所承接的交通设施工程获得的相关主管部门荣誉证书，每一项得0.5分，最高得2分。</w:t>
            </w:r>
          </w:p>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6、投标单位是标线涂料的生产厂家的得3分，非生产厂家的不得分。</w:t>
            </w:r>
          </w:p>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7、热熔反光型涂料性能（以最近一次检测报告为准）7分</w:t>
            </w:r>
          </w:p>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 xml:space="preserve">检测报告检测参数中技术指标要求 </w:t>
            </w:r>
          </w:p>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 xml:space="preserve">（1）密度≥1.8得0.2分；密度≥1.9得0.4分；密度≥1.95得0.7分；密度≥2.0得1分。 </w:t>
            </w:r>
          </w:p>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 xml:space="preserve">（2）软化点90~得0.4分；软化点94（含）~105得0.6分，软化点105（含）~125得1分。 </w:t>
            </w:r>
          </w:p>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 xml:space="preserve">（3）抗压强度≥12得0.3分；抗压强度≥15得0.6分；抗压强度≥20得1分。 </w:t>
            </w:r>
          </w:p>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 xml:space="preserve">（4）白色：亮度因数≥0.35得0.4分；亮度因数≥0.5得0.8分；亮度因数≥0.4得1.2分；亮度因数≥0.75得1.5分。 </w:t>
            </w:r>
          </w:p>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 xml:space="preserve">（5）黄色：亮度因数≥0.27得0.4分；亮度因数≥0.3得0.8分；亮度因数≥0.35得1.2分；亮度因数≥0.45得1.5分。 </w:t>
            </w:r>
          </w:p>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（6）耐磨性≤75得0.3分；耐磨性≤65得0.6分；耐磨性≤60得1分。</w:t>
            </w:r>
          </w:p>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8、常温反光型涂料性能（以最近一次检测报告为准）5分</w:t>
            </w:r>
          </w:p>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（1）粘度≥101得0.2分，粘度≥131得0.4分，粘度≥161得0.6分，粘度≥191得0.8分，粘度≥231得1分。</w:t>
            </w:r>
          </w:p>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（2）密度≥1.2得0.5分；密度≥1.4得1分。</w:t>
            </w:r>
          </w:p>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（3）白色涂料亮度因数≥0.76得0.3分，白色涂料亮度因数≥0.81得0.6分，白色涂料亮度因数≥0.86得1分。</w:t>
            </w:r>
          </w:p>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（4）耐磨性≤39得0.2分；耐磨性≤34得0.4分；耐磨性≤29得0.6分，耐磨性≤24得0.8分，耐磨性≤20得1分。</w:t>
            </w:r>
          </w:p>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szCs w:val="21"/>
                <w:lang w:val="zh-CN"/>
              </w:rPr>
            </w:pPr>
            <w:r>
              <w:rPr>
                <w:rFonts w:hint="eastAsia" w:cs="仿宋_GB2312" w:asciiTheme="minorEastAsia" w:hAnsiTheme="minorEastAsia"/>
                <w:szCs w:val="21"/>
                <w:lang w:val="en-US" w:eastAsia="zh-CN"/>
              </w:rPr>
              <w:t>（5）固体含量≥61得0.3分，固体含量≥66得0.5分，固体含量≥71得0.8分，固体含量≥76得1分。</w:t>
            </w:r>
          </w:p>
        </w:tc>
        <w:tc>
          <w:tcPr>
            <w:tcW w:w="967" w:type="dxa"/>
            <w:vAlign w:val="center"/>
          </w:tcPr>
          <w:p>
            <w:pPr>
              <w:tabs>
                <w:tab w:val="left" w:pos="1260"/>
              </w:tabs>
              <w:autoSpaceDE w:val="0"/>
              <w:autoSpaceDN w:val="0"/>
              <w:spacing w:line="360" w:lineRule="auto"/>
              <w:contextualSpacing/>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lang w:val="en-US" w:eastAsia="zh-CN"/>
              </w:rPr>
              <w:t>22分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vAlign w:val="center"/>
          </w:tcPr>
          <w:p>
            <w:pPr>
              <w:pStyle w:val="2"/>
              <w:ind w:firstLine="630" w:firstLineChars="300"/>
              <w:rPr>
                <w:rFonts w:hint="eastAsia" w:cs="仿宋_GB2312" w:asciiTheme="minorEastAsia" w:hAnsiTheme="minorEastAsia" w:eastAsiaTheme="minorEastAsia"/>
                <w:kern w:val="2"/>
                <w:sz w:val="21"/>
                <w:szCs w:val="21"/>
                <w:lang w:val="en-US" w:eastAsia="zh-CN" w:bidi="ar-SA"/>
              </w:rPr>
            </w:pPr>
            <w:r>
              <w:rPr>
                <w:rFonts w:hint="eastAsia" w:cs="仿宋_GB2312" w:asciiTheme="minorEastAsia" w:hAnsiTheme="minorEastAsia" w:eastAsiaTheme="minorEastAsia"/>
                <w:kern w:val="2"/>
                <w:sz w:val="21"/>
                <w:szCs w:val="21"/>
                <w:lang w:val="en-US" w:eastAsia="zh-CN" w:bidi="ar-SA"/>
              </w:rPr>
              <w:t>服务承诺</w:t>
            </w:r>
          </w:p>
          <w:p>
            <w:pPr>
              <w:spacing w:line="360" w:lineRule="exact"/>
              <w:jc w:val="center"/>
              <w:rPr>
                <w:rFonts w:hint="eastAsia" w:cs="仿宋_GB2312" w:asciiTheme="minorEastAsia" w:hAnsiTheme="minorEastAsia" w:eastAsiaTheme="minorEastAsia"/>
                <w:kern w:val="2"/>
                <w:sz w:val="21"/>
                <w:szCs w:val="21"/>
                <w:lang w:val="en-US" w:eastAsia="zh-CN" w:bidi="ar-SA"/>
              </w:rPr>
            </w:pPr>
          </w:p>
        </w:tc>
        <w:tc>
          <w:tcPr>
            <w:tcW w:w="5953" w:type="dxa"/>
            <w:vAlign w:val="center"/>
          </w:tcPr>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1、投标人针对招标项目的特点和要求，结合自身条件和潜力为招标人排忧解难；由评委根据标书的具体内容在0-2分区间酌情打分。</w:t>
            </w:r>
          </w:p>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2、具有本地化的售后服务得2分（投标人注册地不在许昌市，需有本地化的售后服务机构，否则不得分）</w:t>
            </w:r>
          </w:p>
        </w:tc>
        <w:tc>
          <w:tcPr>
            <w:tcW w:w="967" w:type="dxa"/>
            <w:vAlign w:val="center"/>
          </w:tcPr>
          <w:p>
            <w:pPr>
              <w:jc w:val="center"/>
              <w:rPr>
                <w:rFonts w:hint="eastAsia" w:cs="仿宋_GB2312" w:asciiTheme="minorEastAsia" w:hAnsiTheme="minorEastAsia" w:eastAsiaTheme="minorEastAsia"/>
                <w:kern w:val="2"/>
                <w:sz w:val="21"/>
                <w:szCs w:val="21"/>
                <w:lang w:val="en-US" w:eastAsia="zh-CN" w:bidi="ar-SA"/>
              </w:rPr>
            </w:pPr>
            <w:r>
              <w:rPr>
                <w:rFonts w:hint="eastAsia" w:cs="仿宋_GB2312" w:asciiTheme="minorEastAsia" w:hAnsiTheme="minorEastAsia" w:eastAsiaTheme="minorEastAsia"/>
                <w:kern w:val="2"/>
                <w:sz w:val="21"/>
                <w:szCs w:val="21"/>
                <w:lang w:val="en-US" w:eastAsia="zh-CN" w:bidi="ar-SA"/>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jc w:val="center"/>
              <w:textAlignment w:val="auto"/>
              <w:outlineLvl w:val="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（三）技术部分（满分25分）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vAlign w:val="center"/>
          </w:tcPr>
          <w:p>
            <w:pPr>
              <w:tabs>
                <w:tab w:val="left" w:pos="1260"/>
              </w:tabs>
              <w:autoSpaceDE w:val="0"/>
              <w:autoSpaceDN w:val="0"/>
              <w:spacing w:line="360" w:lineRule="auto"/>
              <w:contextualSpacing/>
              <w:jc w:val="center"/>
              <w:rPr>
                <w:rFonts w:hint="eastAsia" w:cs="仿宋_GB2312" w:asciiTheme="minorEastAsia" w:hAnsiTheme="minorEastAsia" w:eastAsiaTheme="minorEastAsia"/>
                <w:kern w:val="2"/>
                <w:sz w:val="21"/>
                <w:szCs w:val="21"/>
                <w:lang w:val="en-US" w:eastAsia="zh-CN" w:bidi="ar-SA"/>
              </w:rPr>
            </w:pPr>
            <w:r>
              <w:rPr>
                <w:rFonts w:hint="eastAsia" w:cs="仿宋_GB2312" w:asciiTheme="minorEastAsia" w:hAnsiTheme="minorEastAsia" w:eastAsiaTheme="minorEastAsia"/>
                <w:kern w:val="2"/>
                <w:sz w:val="21"/>
                <w:szCs w:val="21"/>
                <w:lang w:val="en-US" w:eastAsia="zh-CN" w:bidi="ar-SA"/>
              </w:rPr>
              <w:t>评分因素</w:t>
            </w:r>
          </w:p>
        </w:tc>
        <w:tc>
          <w:tcPr>
            <w:tcW w:w="5953" w:type="dxa"/>
            <w:vAlign w:val="center"/>
          </w:tcPr>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评分标准</w:t>
            </w:r>
          </w:p>
        </w:tc>
        <w:tc>
          <w:tcPr>
            <w:tcW w:w="967" w:type="dxa"/>
            <w:vAlign w:val="center"/>
          </w:tcPr>
          <w:p>
            <w:pPr>
              <w:tabs>
                <w:tab w:val="left" w:pos="1260"/>
              </w:tabs>
              <w:autoSpaceDE w:val="0"/>
              <w:autoSpaceDN w:val="0"/>
              <w:spacing w:line="360" w:lineRule="auto"/>
              <w:contextualSpacing/>
              <w:jc w:val="center"/>
              <w:rPr>
                <w:rFonts w:hint="eastAsia" w:cs="仿宋_GB2312" w:asciiTheme="minorEastAsia" w:hAnsiTheme="minorEastAsia" w:eastAsiaTheme="minorEastAsia"/>
                <w:kern w:val="2"/>
                <w:sz w:val="21"/>
                <w:szCs w:val="21"/>
                <w:lang w:val="zh-CN" w:eastAsia="zh-CN" w:bidi="ar-SA"/>
              </w:rPr>
            </w:pPr>
            <w:r>
              <w:rPr>
                <w:rFonts w:hint="eastAsia" w:cs="仿宋_GB2312" w:asciiTheme="minorEastAsia" w:hAnsiTheme="minorEastAsia" w:eastAsiaTheme="minorEastAsia"/>
                <w:kern w:val="2"/>
                <w:sz w:val="21"/>
                <w:szCs w:val="21"/>
                <w:lang w:val="zh-CN" w:eastAsia="zh-CN" w:bidi="ar-SA"/>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vAlign w:val="center"/>
          </w:tcPr>
          <w:p>
            <w:pPr>
              <w:tabs>
                <w:tab w:val="left" w:pos="1260"/>
              </w:tabs>
              <w:autoSpaceDE w:val="0"/>
              <w:autoSpaceDN w:val="0"/>
              <w:spacing w:line="360" w:lineRule="auto"/>
              <w:contextualSpacing/>
              <w:jc w:val="center"/>
              <w:rPr>
                <w:rFonts w:hint="eastAsia" w:cs="仿宋_GB2312" w:asciiTheme="minorEastAsia" w:hAnsiTheme="minorEastAsia" w:eastAsiaTheme="minorEastAsia"/>
                <w:kern w:val="2"/>
                <w:sz w:val="21"/>
                <w:szCs w:val="21"/>
                <w:lang w:val="en-US" w:eastAsia="zh-CN" w:bidi="ar-SA"/>
              </w:rPr>
            </w:pPr>
            <w:r>
              <w:rPr>
                <w:rFonts w:hint="eastAsia" w:cs="仿宋_GB2312" w:asciiTheme="minorEastAsia" w:hAnsiTheme="minorEastAsia" w:eastAsiaTheme="minorEastAsia"/>
                <w:kern w:val="2"/>
                <w:sz w:val="21"/>
                <w:szCs w:val="21"/>
                <w:lang w:val="en-US" w:eastAsia="zh-CN" w:bidi="ar-SA"/>
              </w:rPr>
              <w:t>投标文件</w:t>
            </w:r>
          </w:p>
          <w:p>
            <w:pPr>
              <w:tabs>
                <w:tab w:val="left" w:pos="1260"/>
              </w:tabs>
              <w:autoSpaceDE w:val="0"/>
              <w:autoSpaceDN w:val="0"/>
              <w:spacing w:line="360" w:lineRule="auto"/>
              <w:contextualSpacing/>
              <w:jc w:val="center"/>
              <w:rPr>
                <w:rFonts w:hint="eastAsia" w:cs="仿宋_GB2312" w:asciiTheme="minorEastAsia" w:hAnsiTheme="minorEastAsia" w:eastAsiaTheme="minorEastAsia"/>
                <w:kern w:val="2"/>
                <w:sz w:val="21"/>
                <w:szCs w:val="21"/>
                <w:lang w:val="en-US" w:eastAsia="zh-CN" w:bidi="ar-SA"/>
              </w:rPr>
            </w:pPr>
            <w:r>
              <w:rPr>
                <w:rFonts w:hint="eastAsia" w:cs="仿宋_GB2312" w:asciiTheme="minorEastAsia" w:hAnsiTheme="minorEastAsia" w:eastAsiaTheme="minorEastAsia"/>
                <w:kern w:val="2"/>
                <w:sz w:val="21"/>
                <w:szCs w:val="21"/>
                <w:lang w:val="en-US" w:eastAsia="zh-CN" w:bidi="ar-SA"/>
              </w:rPr>
              <w:t>规范程度</w:t>
            </w:r>
          </w:p>
        </w:tc>
        <w:tc>
          <w:tcPr>
            <w:tcW w:w="5953" w:type="dxa"/>
            <w:vAlign w:val="center"/>
          </w:tcPr>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1、装订规范、文字清晰、无差错 3分。</w:t>
            </w:r>
          </w:p>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2、所提供资料准确完整 2 分。</w:t>
            </w:r>
          </w:p>
        </w:tc>
        <w:tc>
          <w:tcPr>
            <w:tcW w:w="967" w:type="dxa"/>
            <w:vAlign w:val="center"/>
          </w:tcPr>
          <w:p>
            <w:pPr>
              <w:tabs>
                <w:tab w:val="left" w:pos="1260"/>
              </w:tabs>
              <w:autoSpaceDE w:val="0"/>
              <w:autoSpaceDN w:val="0"/>
              <w:spacing w:line="360" w:lineRule="auto"/>
              <w:contextualSpacing/>
              <w:jc w:val="center"/>
              <w:rPr>
                <w:rFonts w:hint="eastAsia" w:cs="仿宋_GB2312" w:asciiTheme="minorEastAsia" w:hAnsiTheme="minorEastAsia" w:eastAsiaTheme="minorEastAsia"/>
                <w:kern w:val="2"/>
                <w:sz w:val="21"/>
                <w:szCs w:val="21"/>
                <w:lang w:val="zh-CN" w:eastAsia="zh-CN" w:bidi="ar-SA"/>
              </w:rPr>
            </w:pPr>
            <w:r>
              <w:rPr>
                <w:rFonts w:hint="eastAsia" w:cs="仿宋_GB2312" w:asciiTheme="minorEastAsia" w:hAnsiTheme="minorEastAsia" w:eastAsiaTheme="minorEastAsia"/>
                <w:kern w:val="2"/>
                <w:sz w:val="21"/>
                <w:szCs w:val="21"/>
                <w:lang w:val="en-US" w:eastAsia="zh-CN" w:bidi="ar-SA"/>
              </w:rPr>
              <w:t>5</w:t>
            </w:r>
            <w:r>
              <w:rPr>
                <w:rFonts w:hint="eastAsia" w:cs="仿宋_GB2312" w:asciiTheme="minorEastAsia" w:hAnsiTheme="minorEastAsia" w:eastAsiaTheme="minorEastAsia"/>
                <w:kern w:val="2"/>
                <w:sz w:val="21"/>
                <w:szCs w:val="21"/>
                <w:lang w:val="zh-CN"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vAlign w:val="center"/>
          </w:tcPr>
          <w:p>
            <w:pPr>
              <w:tabs>
                <w:tab w:val="left" w:pos="1260"/>
              </w:tabs>
              <w:autoSpaceDE w:val="0"/>
              <w:autoSpaceDN w:val="0"/>
              <w:spacing w:line="360" w:lineRule="auto"/>
              <w:contextualSpacing/>
              <w:jc w:val="center"/>
              <w:rPr>
                <w:rFonts w:hint="eastAsia" w:cs="仿宋_GB2312" w:asciiTheme="minorEastAsia" w:hAnsiTheme="minorEastAsia" w:eastAsiaTheme="minorEastAsia"/>
                <w:kern w:val="2"/>
                <w:sz w:val="21"/>
                <w:szCs w:val="21"/>
                <w:lang w:val="en-US" w:eastAsia="zh-CN" w:bidi="ar-SA"/>
              </w:rPr>
            </w:pPr>
            <w:r>
              <w:rPr>
                <w:rFonts w:hint="eastAsia" w:cs="仿宋_GB2312" w:asciiTheme="minorEastAsia" w:hAnsiTheme="minorEastAsia"/>
                <w:kern w:val="2"/>
                <w:sz w:val="21"/>
                <w:szCs w:val="21"/>
                <w:lang w:val="en-US" w:eastAsia="zh-CN" w:bidi="ar-SA"/>
              </w:rPr>
              <w:t>项目实施方案</w:t>
            </w:r>
          </w:p>
        </w:tc>
        <w:tc>
          <w:tcPr>
            <w:tcW w:w="5953" w:type="dxa"/>
            <w:vAlign w:val="center"/>
          </w:tcPr>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1、符合环保施工要求的。依据施工组织方案里的不适用的漆桶密封完好情况、确保标线之外涂料不散落措施、垃圾清理措施等（0-4分）。</w:t>
            </w:r>
          </w:p>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2、施工保通措施科学的。依据施工组织方案里的高峰时期不施工，其他根据交通流量科学施工等措施（0-4分）。</w:t>
            </w:r>
          </w:p>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3、旧标线清除方法科学的。依据施工组织方案里的旧标线清除彻底又对路面损害小的措施（0-4分）。</w:t>
            </w:r>
          </w:p>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4、施工安全措施科学的，依据施工组织方案里的施工安全要求，既能保证施工人员安全又能保证他人安全措施（0-4分）。</w:t>
            </w:r>
          </w:p>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5、确保施划标线符合国标要求的。依据施工组织方案国标要求施划标线措施及确保施标线科学的措施（0-4分）。</w:t>
            </w:r>
          </w:p>
        </w:tc>
        <w:tc>
          <w:tcPr>
            <w:tcW w:w="967" w:type="dxa"/>
            <w:vAlign w:val="center"/>
          </w:tcPr>
          <w:p>
            <w:pPr>
              <w:tabs>
                <w:tab w:val="left" w:pos="1260"/>
              </w:tabs>
              <w:autoSpaceDE w:val="0"/>
              <w:autoSpaceDN w:val="0"/>
              <w:spacing w:line="360" w:lineRule="auto"/>
              <w:contextualSpacing/>
              <w:jc w:val="center"/>
              <w:rPr>
                <w:rFonts w:hint="eastAsia" w:cs="仿宋_GB2312" w:asciiTheme="minorEastAsia" w:hAnsiTheme="minorEastAsia" w:eastAsiaTheme="minorEastAsia"/>
                <w:kern w:val="2"/>
                <w:sz w:val="21"/>
                <w:szCs w:val="21"/>
                <w:lang w:val="zh-CN" w:eastAsia="zh-CN" w:bidi="ar-SA"/>
              </w:rPr>
            </w:pPr>
            <w:r>
              <w:rPr>
                <w:rFonts w:hint="eastAsia" w:cs="仿宋_GB2312" w:asciiTheme="minorEastAsia" w:hAnsiTheme="minorEastAsia" w:eastAsiaTheme="minorEastAsia"/>
                <w:kern w:val="2"/>
                <w:sz w:val="21"/>
                <w:szCs w:val="21"/>
                <w:lang w:val="en-US" w:eastAsia="zh-CN" w:bidi="ar-SA"/>
              </w:rPr>
              <w:t>20</w:t>
            </w:r>
            <w:r>
              <w:rPr>
                <w:rFonts w:hint="eastAsia" w:cs="仿宋_GB2312" w:asciiTheme="minorEastAsia" w:hAnsiTheme="minorEastAsia" w:eastAsiaTheme="minorEastAsia"/>
                <w:kern w:val="2"/>
                <w:sz w:val="21"/>
                <w:szCs w:val="21"/>
                <w:lang w:val="zh-CN" w:eastAsia="zh-CN" w:bidi="ar-SA"/>
              </w:rPr>
              <w:t>分</w:t>
            </w:r>
          </w:p>
        </w:tc>
      </w:tr>
    </w:tbl>
    <w:p>
      <w:pPr>
        <w:pStyle w:val="13"/>
        <w:spacing w:line="360" w:lineRule="auto"/>
        <w:ind w:firstLine="48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其中：价格分计算（落实政府采购政策价格调整部分）</w:t>
      </w:r>
    </w:p>
    <w:tbl>
      <w:tblPr>
        <w:tblStyle w:val="2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color w:val="000000"/>
                <w:szCs w:val="21"/>
                <w:lang w:val="en-GB"/>
              </w:rPr>
            </w:pPr>
            <w:r>
              <w:rPr>
                <w:rFonts w:hint="eastAsia" w:ascii="宋体" w:hAnsi="宋体"/>
                <w:color w:val="000000"/>
                <w:szCs w:val="21"/>
                <w:lang w:val="en-GB"/>
              </w:rPr>
              <w:t>序号</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情形</w:t>
            </w:r>
          </w:p>
        </w:tc>
        <w:tc>
          <w:tcPr>
            <w:tcW w:w="2552" w:type="dxa"/>
            <w:vAlign w:val="center"/>
          </w:tcPr>
          <w:p>
            <w:pPr>
              <w:jc w:val="center"/>
              <w:rPr>
                <w:rFonts w:ascii="宋体" w:hAnsi="宋体"/>
                <w:color w:val="000000"/>
                <w:szCs w:val="21"/>
                <w:lang w:val="en-GB"/>
              </w:rPr>
            </w:pPr>
            <w:r>
              <w:rPr>
                <w:rFonts w:hint="eastAsia" w:ascii="宋体" w:hAnsi="宋体"/>
                <w:color w:val="000000"/>
                <w:szCs w:val="21"/>
              </w:rPr>
              <w:t>价格扣除</w:t>
            </w:r>
            <w:r>
              <w:rPr>
                <w:rFonts w:hint="eastAsia" w:ascii="宋体" w:hAnsi="宋体"/>
                <w:color w:val="000000"/>
                <w:szCs w:val="21"/>
                <w:lang w:val="en-GB"/>
              </w:rPr>
              <w:t>比例</w:t>
            </w:r>
          </w:p>
        </w:tc>
        <w:tc>
          <w:tcPr>
            <w:tcW w:w="2835" w:type="dxa"/>
            <w:vAlign w:val="center"/>
          </w:tcPr>
          <w:p>
            <w:pPr>
              <w:jc w:val="center"/>
              <w:rPr>
                <w:rFonts w:ascii="宋体" w:hAnsi="宋体"/>
                <w:color w:val="000000"/>
                <w:szCs w:val="21"/>
                <w:lang w:val="en-GB"/>
              </w:rPr>
            </w:pPr>
            <w:r>
              <w:rPr>
                <w:rFonts w:hint="eastAsia" w:ascii="宋体" w:hAnsi="宋体"/>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color w:val="000000"/>
                <w:szCs w:val="21"/>
                <w:lang w:val="en-GB"/>
              </w:rPr>
            </w:pPr>
            <w:r>
              <w:rPr>
                <w:rFonts w:hint="eastAsia" w:ascii="宋体" w:hAnsi="宋体"/>
                <w:color w:val="000000"/>
                <w:szCs w:val="21"/>
                <w:lang w:val="en-GB"/>
              </w:rPr>
              <w:t>1</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非联合体投标人</w:t>
            </w:r>
          </w:p>
          <w:p>
            <w:pPr>
              <w:jc w:val="center"/>
              <w:rPr>
                <w:rFonts w:ascii="宋体" w:hAnsi="宋体"/>
                <w:color w:val="000000"/>
                <w:szCs w:val="21"/>
                <w:lang w:val="en-GB"/>
              </w:rPr>
            </w:pPr>
            <w:r>
              <w:rPr>
                <w:rFonts w:hint="eastAsia" w:ascii="宋体" w:hAnsi="宋体"/>
                <w:color w:val="000000"/>
                <w:szCs w:val="21"/>
                <w:lang w:val="en-GB"/>
              </w:rPr>
              <w:t>（投标人须为中小企业）</w:t>
            </w:r>
          </w:p>
        </w:tc>
        <w:tc>
          <w:tcPr>
            <w:tcW w:w="2552" w:type="dxa"/>
            <w:vAlign w:val="center"/>
          </w:tcPr>
          <w:p>
            <w:pPr>
              <w:jc w:val="center"/>
              <w:rPr>
                <w:rFonts w:ascii="宋体" w:hAnsi="宋体"/>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color w:val="000000"/>
                <w:szCs w:val="21"/>
                <w:lang w:val="en-GB"/>
              </w:rPr>
            </w:pPr>
            <w:r>
              <w:rPr>
                <w:rFonts w:hint="eastAsia" w:ascii="宋体" w:hAnsi="宋体"/>
                <w:color w:val="000000"/>
                <w:szCs w:val="21"/>
                <w:lang w:val="en-GB"/>
              </w:rPr>
              <w:t>2</w:t>
            </w:r>
          </w:p>
        </w:tc>
        <w:tc>
          <w:tcPr>
            <w:tcW w:w="2823" w:type="dxa"/>
            <w:vAlign w:val="center"/>
          </w:tcPr>
          <w:p>
            <w:pPr>
              <w:jc w:val="center"/>
              <w:rPr>
                <w:rFonts w:ascii="宋体" w:hAnsi="宋体"/>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color w:val="000000"/>
                <w:szCs w:val="21"/>
                <w:lang w:val="en-GB"/>
              </w:rPr>
            </w:pPr>
            <w:r>
              <w:rPr>
                <w:rFonts w:hint="eastAsia" w:ascii="宋体" w:hAnsi="宋体"/>
                <w:color w:val="000000"/>
                <w:szCs w:val="21"/>
                <w:lang w:val="en-GB"/>
              </w:rPr>
              <w:t>3</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color w:val="000000"/>
                <w:szCs w:val="21"/>
                <w:lang w:val="en-GB"/>
              </w:rPr>
            </w:pPr>
            <w:r>
              <w:rPr>
                <w:rFonts w:hint="eastAsia" w:ascii="宋体" w:hAnsi="宋体"/>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color w:val="000000"/>
                <w:szCs w:val="21"/>
                <w:lang w:val="en-GB"/>
              </w:rPr>
            </w:pPr>
            <w:r>
              <w:rPr>
                <w:rFonts w:hint="eastAsia" w:ascii="宋体" w:hAnsi="宋体"/>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备注：</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a、不接受联合体投标的项目，本表中第2项、第3项情形不适用。</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d、残疾人福利性单位属于小型、微型企业的，不重复享受政策。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（7）</w:t>
      </w:r>
      <w:r>
        <w:rPr>
          <w:rFonts w:cs="仿宋_GB2312" w:asciiTheme="minorEastAsia" w:hAnsiTheme="minorEastAsia" w:eastAsiaTheme="minorEastAsia"/>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（8）</w:t>
      </w:r>
      <w:r>
        <w:rPr>
          <w:rFonts w:cs="仿宋_GB2312" w:asciiTheme="minorEastAsia" w:hAnsiTheme="minorEastAsia"/>
          <w:szCs w:val="21"/>
          <w:lang w:val="zh-CN"/>
        </w:rPr>
        <w:t>评标委员会</w:t>
      </w:r>
      <w:r>
        <w:rPr>
          <w:rFonts w:hint="eastAsia" w:cs="仿宋_GB2312" w:asciiTheme="minorEastAsia" w:hAnsiTheme="minorEastAsia"/>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0" w:firstLineChars="200"/>
        <w:contextualSpacing/>
        <w:rPr>
          <w:rFonts w:hint="eastAsia" w:cs="宋体" w:asciiTheme="majorEastAsia" w:hAnsiTheme="majorEastAsia" w:eastAsiaTheme="majorEastAsia"/>
          <w:kern w:val="0"/>
          <w:sz w:val="32"/>
          <w:szCs w:val="32"/>
        </w:rPr>
      </w:pPr>
      <w:r>
        <w:rPr>
          <w:rFonts w:hint="eastAsia" w:cs="仿宋_GB2312" w:asciiTheme="minorEastAsia" w:hAnsiTheme="minorEastAsia"/>
          <w:szCs w:val="21"/>
          <w:lang w:val="zh-CN"/>
        </w:rPr>
        <w:t>4、</w:t>
      </w:r>
      <w:r>
        <w:rPr>
          <w:rFonts w:cs="仿宋_GB2312" w:asciiTheme="minorEastAsia" w:hAnsiTheme="minorEastAsia"/>
          <w:szCs w:val="21"/>
          <w:lang w:val="zh-CN"/>
        </w:rPr>
        <w:t>确定中标候选人名单，以及根据采购人委托直接确定中标人</w:t>
      </w:r>
      <w:r>
        <w:rPr>
          <w:rFonts w:hint="eastAsia" w:cs="仿宋_GB2312" w:asciiTheme="minorEastAsia" w:hAnsiTheme="minorEastAsia"/>
          <w:szCs w:val="21"/>
          <w:lang w:val="zh-CN"/>
        </w:rPr>
        <w:t>。</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kern w:val="0"/>
          <w:sz w:val="36"/>
          <w:szCs w:val="36"/>
        </w:rPr>
      </w:pPr>
      <w:r>
        <w:rPr>
          <w:rFonts w:hint="eastAsia" w:cs="宋体" w:asciiTheme="majorEastAsia" w:hAnsiTheme="majorEastAsia" w:eastAsiaTheme="majorEastAsia"/>
          <w:kern w:val="0"/>
          <w:sz w:val="32"/>
          <w:szCs w:val="32"/>
        </w:rPr>
        <w:t>第七章 合同条款及格式</w:t>
      </w:r>
    </w:p>
    <w:p>
      <w:pPr>
        <w:spacing w:line="360" w:lineRule="auto"/>
        <w:jc w:val="center"/>
        <w:rPr>
          <w:rFonts w:ascii="宋体" w:hAnsi="宋体" w:cs="微软雅黑"/>
          <w:bCs/>
          <w:szCs w:val="21"/>
        </w:rPr>
      </w:pPr>
      <w:r>
        <w:rPr>
          <w:rFonts w:hint="eastAsia" w:ascii="宋体" w:hAnsi="宋体" w:cs="微软雅黑"/>
          <w:bCs/>
          <w:szCs w:val="21"/>
        </w:rPr>
        <w:t>（此合同仅供参考。以最终采购人与中标人签定的合同条款为准进行公示，</w:t>
      </w:r>
    </w:p>
    <w:p>
      <w:pPr>
        <w:spacing w:line="360" w:lineRule="auto"/>
        <w:jc w:val="center"/>
        <w:rPr>
          <w:rFonts w:ascii="宋体" w:hAnsi="宋体" w:cs="微软雅黑"/>
          <w:bCs/>
          <w:szCs w:val="21"/>
        </w:rPr>
      </w:pPr>
      <w:r>
        <w:rPr>
          <w:rFonts w:hint="eastAsia" w:ascii="宋体" w:hAnsi="宋体" w:cs="微软雅黑"/>
          <w:bCs/>
          <w:szCs w:val="21"/>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tabs>
          <w:tab w:val="left" w:pos="1260"/>
        </w:tabs>
        <w:autoSpaceDE w:val="0"/>
        <w:autoSpaceDN w:val="0"/>
        <w:adjustRightInd w:val="0"/>
        <w:spacing w:line="360" w:lineRule="auto"/>
        <w:contextualSpacing/>
        <w:rPr>
          <w:rFonts w:cs="宋体" w:asciiTheme="majorEastAsia" w:hAnsiTheme="majorEastAsia" w:eastAsiaTheme="majorEastAsia"/>
          <w:kern w:val="0"/>
          <w:sz w:val="32"/>
          <w:szCs w:val="32"/>
        </w:rPr>
      </w:pPr>
    </w:p>
    <w:p>
      <w:pPr>
        <w:pStyle w:val="2"/>
        <w:ind w:left="0" w:leftChars="0" w:firstLine="0" w:firstLineChars="0"/>
        <w:rPr>
          <w:rFonts w:cs="宋体" w:asciiTheme="majorEastAsia" w:hAnsiTheme="majorEastAsia" w:eastAsiaTheme="majorEastAsia"/>
          <w:kern w:val="0"/>
          <w:sz w:val="32"/>
          <w:szCs w:val="32"/>
        </w:rPr>
      </w:pPr>
    </w:p>
    <w:p>
      <w:pPr>
        <w:pStyle w:val="2"/>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numPr>
          <w:ilvl w:val="0"/>
          <w:numId w:val="0"/>
        </w:numPr>
        <w:tabs>
          <w:tab w:val="left" w:pos="1260"/>
        </w:tabs>
        <w:autoSpaceDE w:val="0"/>
        <w:autoSpaceDN w:val="0"/>
        <w:adjustRightInd w:val="0"/>
        <w:spacing w:line="360" w:lineRule="auto"/>
        <w:contextualSpacing/>
        <w:jc w:val="both"/>
        <w:rPr>
          <w:rFonts w:hint="eastAsia" w:ascii="Calibri" w:hAnsi="Calibri" w:eastAsia="宋体" w:cs="Times New Roman"/>
          <w:b/>
          <w:bCs w:val="0"/>
          <w:kern w:val="44"/>
          <w:sz w:val="44"/>
          <w:szCs w:val="20"/>
          <w:lang w:val="en-US" w:eastAsia="zh-CN" w:bidi="ar-SA"/>
        </w:rPr>
      </w:pPr>
    </w:p>
    <w:p>
      <w:pPr>
        <w:numPr>
          <w:ilvl w:val="0"/>
          <w:numId w:val="8"/>
        </w:numPr>
        <w:tabs>
          <w:tab w:val="left" w:pos="1260"/>
        </w:tabs>
        <w:autoSpaceDE w:val="0"/>
        <w:autoSpaceDN w:val="0"/>
        <w:adjustRightInd w:val="0"/>
        <w:spacing w:line="360" w:lineRule="auto"/>
        <w:contextualSpacing/>
        <w:jc w:val="center"/>
        <w:rPr>
          <w:rFonts w:hint="eastAsia" w:ascii="Calibri" w:hAnsi="Calibri" w:eastAsia="宋体" w:cs="Times New Roman"/>
          <w:b/>
          <w:bCs w:val="0"/>
          <w:kern w:val="44"/>
          <w:sz w:val="44"/>
          <w:szCs w:val="20"/>
          <w:lang w:val="en-US" w:eastAsia="zh-CN" w:bidi="ar-SA"/>
        </w:rPr>
      </w:pPr>
      <w:r>
        <w:rPr>
          <w:rFonts w:hint="eastAsia" w:ascii="Calibri" w:hAnsi="Calibri" w:eastAsia="宋体" w:cs="Times New Roman"/>
          <w:b/>
          <w:bCs w:val="0"/>
          <w:kern w:val="44"/>
          <w:sz w:val="44"/>
          <w:szCs w:val="20"/>
          <w:lang w:val="en-US" w:eastAsia="zh-CN" w:bidi="ar-SA"/>
        </w:rPr>
        <w:t>投标文件有关格式</w:t>
      </w:r>
    </w:p>
    <w:p>
      <w:pPr>
        <w:pStyle w:val="2"/>
        <w:widowControl w:val="0"/>
        <w:numPr>
          <w:ilvl w:val="0"/>
          <w:numId w:val="0"/>
        </w:numPr>
        <w:spacing w:after="120"/>
        <w:jc w:val="both"/>
        <w:rPr>
          <w:rFonts w:hint="eastAsia"/>
          <w:lang w:val="en-US" w:eastAsia="zh-CN"/>
        </w:rPr>
      </w:pPr>
    </w:p>
    <w:p>
      <w:pPr>
        <w:pStyle w:val="2"/>
        <w:widowControl w:val="0"/>
        <w:numPr>
          <w:ilvl w:val="0"/>
          <w:numId w:val="0"/>
        </w:numPr>
        <w:spacing w:after="120"/>
        <w:jc w:val="both"/>
        <w:rPr>
          <w:rFonts w:hint="eastAsia"/>
          <w:lang w:val="en-US" w:eastAsia="zh-CN"/>
        </w:rPr>
      </w:pPr>
    </w:p>
    <w:p>
      <w:pPr>
        <w:pStyle w:val="2"/>
        <w:widowControl w:val="0"/>
        <w:numPr>
          <w:ilvl w:val="0"/>
          <w:numId w:val="0"/>
        </w:numPr>
        <w:spacing w:after="120"/>
        <w:jc w:val="both"/>
        <w:rPr>
          <w:rFonts w:hint="eastAsia"/>
          <w:lang w:val="en-US" w:eastAsia="zh-CN"/>
        </w:rPr>
      </w:pPr>
    </w:p>
    <w:p>
      <w:pPr>
        <w:pStyle w:val="2"/>
        <w:widowControl w:val="0"/>
        <w:numPr>
          <w:ilvl w:val="0"/>
          <w:numId w:val="0"/>
        </w:numPr>
        <w:spacing w:after="120"/>
        <w:jc w:val="both"/>
        <w:rPr>
          <w:rFonts w:hint="eastAsia"/>
          <w:lang w:val="en-US" w:eastAsia="zh-CN"/>
        </w:rPr>
      </w:pPr>
    </w:p>
    <w:p>
      <w:pPr>
        <w:pStyle w:val="2"/>
        <w:widowControl w:val="0"/>
        <w:numPr>
          <w:ilvl w:val="0"/>
          <w:numId w:val="0"/>
        </w:numPr>
        <w:spacing w:after="120"/>
        <w:jc w:val="both"/>
        <w:rPr>
          <w:rFonts w:hint="eastAsia"/>
          <w:lang w:val="en-US" w:eastAsia="zh-CN"/>
        </w:rPr>
      </w:pPr>
    </w:p>
    <w:p>
      <w:pPr>
        <w:pStyle w:val="2"/>
        <w:widowControl w:val="0"/>
        <w:numPr>
          <w:ilvl w:val="0"/>
          <w:numId w:val="0"/>
        </w:numPr>
        <w:spacing w:after="120"/>
        <w:jc w:val="both"/>
        <w:rPr>
          <w:rFonts w:hint="eastAsia"/>
          <w:lang w:val="en-US" w:eastAsia="zh-CN"/>
        </w:rPr>
      </w:pPr>
    </w:p>
    <w:p>
      <w:pPr>
        <w:pStyle w:val="2"/>
        <w:widowControl w:val="0"/>
        <w:numPr>
          <w:ilvl w:val="0"/>
          <w:numId w:val="0"/>
        </w:numPr>
        <w:spacing w:after="120"/>
        <w:jc w:val="both"/>
        <w:rPr>
          <w:rFonts w:hint="eastAsia"/>
          <w:lang w:val="en-US" w:eastAsia="zh-CN"/>
        </w:rPr>
      </w:pPr>
    </w:p>
    <w:p>
      <w:pPr>
        <w:pStyle w:val="2"/>
        <w:widowControl w:val="0"/>
        <w:numPr>
          <w:ilvl w:val="0"/>
          <w:numId w:val="0"/>
        </w:numPr>
        <w:spacing w:after="120"/>
        <w:jc w:val="both"/>
        <w:rPr>
          <w:rFonts w:hint="eastAsia"/>
          <w:lang w:val="en-US" w:eastAsia="zh-CN"/>
        </w:rPr>
      </w:pPr>
    </w:p>
    <w:p>
      <w:pPr>
        <w:pStyle w:val="2"/>
        <w:widowControl w:val="0"/>
        <w:numPr>
          <w:ilvl w:val="0"/>
          <w:numId w:val="0"/>
        </w:numPr>
        <w:spacing w:after="120"/>
        <w:jc w:val="both"/>
        <w:rPr>
          <w:rFonts w:hint="eastAsia"/>
          <w:lang w:val="en-US" w:eastAsia="zh-CN"/>
        </w:rPr>
      </w:pPr>
    </w:p>
    <w:p>
      <w:pPr>
        <w:pStyle w:val="2"/>
        <w:widowControl w:val="0"/>
        <w:numPr>
          <w:ilvl w:val="0"/>
          <w:numId w:val="0"/>
        </w:numPr>
        <w:spacing w:after="120"/>
        <w:jc w:val="both"/>
        <w:rPr>
          <w:rFonts w:hint="eastAsia"/>
          <w:lang w:val="en-US" w:eastAsia="zh-CN"/>
        </w:rPr>
      </w:pPr>
    </w:p>
    <w:p>
      <w:pPr>
        <w:spacing w:line="1200" w:lineRule="exact"/>
        <w:jc w:val="center"/>
        <w:rPr>
          <w:rFonts w:hint="eastAsia" w:ascii="Calibri" w:hAnsi="Calibri" w:eastAsia="黑体" w:cs="Times New Roman"/>
          <w:sz w:val="72"/>
          <w:szCs w:val="72"/>
        </w:rPr>
      </w:pPr>
    </w:p>
    <w:p>
      <w:pPr>
        <w:spacing w:line="1200" w:lineRule="exact"/>
        <w:jc w:val="center"/>
        <w:rPr>
          <w:rFonts w:hint="eastAsia" w:ascii="Calibri" w:hAnsi="Calibri" w:eastAsia="黑体" w:cs="Times New Roman"/>
          <w:sz w:val="72"/>
          <w:szCs w:val="72"/>
        </w:rPr>
      </w:pPr>
    </w:p>
    <w:p>
      <w:pPr>
        <w:spacing w:line="1200" w:lineRule="exact"/>
        <w:jc w:val="center"/>
        <w:rPr>
          <w:rFonts w:ascii="Calibri" w:hAnsi="Calibri" w:eastAsia="黑体" w:cs="Times New Roman"/>
          <w:sz w:val="72"/>
          <w:szCs w:val="72"/>
        </w:rPr>
      </w:pPr>
      <w:r>
        <w:rPr>
          <w:rFonts w:hint="eastAsia" w:ascii="Calibri" w:hAnsi="Calibri" w:eastAsia="黑体" w:cs="Times New Roman"/>
          <w:sz w:val="72"/>
          <w:szCs w:val="72"/>
        </w:rPr>
        <w:t>建安区</w:t>
      </w:r>
      <w:r>
        <w:rPr>
          <w:rFonts w:ascii="Calibri" w:hAnsi="Calibri" w:eastAsia="黑体" w:cs="Times New Roman"/>
          <w:sz w:val="72"/>
          <w:szCs w:val="72"/>
        </w:rPr>
        <w:t>政府采购</w:t>
      </w:r>
    </w:p>
    <w:p>
      <w:pPr>
        <w:jc w:val="center"/>
        <w:rPr>
          <w:rFonts w:ascii="Calibri" w:hAnsi="Calibri" w:eastAsia="黑体" w:cs="Times New Roman"/>
          <w:sz w:val="72"/>
          <w:szCs w:val="72"/>
        </w:rPr>
      </w:pPr>
    </w:p>
    <w:p>
      <w:pPr>
        <w:spacing w:line="1200" w:lineRule="exact"/>
        <w:jc w:val="center"/>
        <w:rPr>
          <w:rFonts w:ascii="Calibri" w:hAnsi="Calibri" w:eastAsia="黑体" w:cs="Times New Roman"/>
          <w:sz w:val="72"/>
          <w:szCs w:val="72"/>
        </w:rPr>
      </w:pPr>
      <w:r>
        <w:rPr>
          <w:rFonts w:ascii="Calibri" w:hAnsi="Calibri" w:eastAsia="黑体" w:cs="Times New Roman"/>
          <w:sz w:val="72"/>
          <w:szCs w:val="72"/>
        </w:rPr>
        <w:t>投</w:t>
      </w:r>
    </w:p>
    <w:p>
      <w:pPr>
        <w:spacing w:line="1200" w:lineRule="exact"/>
        <w:jc w:val="center"/>
        <w:rPr>
          <w:rFonts w:ascii="Calibri" w:hAnsi="Calibri" w:eastAsia="黑体" w:cs="Times New Roman"/>
          <w:sz w:val="72"/>
          <w:szCs w:val="72"/>
        </w:rPr>
      </w:pPr>
      <w:r>
        <w:rPr>
          <w:rFonts w:ascii="Calibri" w:hAnsi="Calibri" w:eastAsia="黑体" w:cs="Times New Roman"/>
          <w:sz w:val="72"/>
          <w:szCs w:val="72"/>
        </w:rPr>
        <w:t>标</w:t>
      </w:r>
    </w:p>
    <w:p>
      <w:pPr>
        <w:spacing w:line="1200" w:lineRule="exact"/>
        <w:jc w:val="center"/>
        <w:rPr>
          <w:rFonts w:ascii="Calibri" w:hAnsi="Calibri" w:eastAsia="黑体" w:cs="Times New Roman"/>
          <w:sz w:val="72"/>
          <w:szCs w:val="72"/>
        </w:rPr>
      </w:pPr>
      <w:r>
        <w:rPr>
          <w:rFonts w:ascii="Calibri" w:hAnsi="Calibri" w:eastAsia="黑体" w:cs="Times New Roman"/>
          <w:sz w:val="72"/>
          <w:szCs w:val="72"/>
        </w:rPr>
        <w:t>文</w:t>
      </w:r>
    </w:p>
    <w:p>
      <w:pPr>
        <w:spacing w:line="1200" w:lineRule="exact"/>
        <w:jc w:val="center"/>
        <w:rPr>
          <w:rFonts w:ascii="Calibri" w:hAnsi="Calibri" w:eastAsia="黑体" w:cs="Times New Roman"/>
          <w:sz w:val="72"/>
          <w:szCs w:val="72"/>
        </w:rPr>
      </w:pPr>
      <w:r>
        <w:rPr>
          <w:rFonts w:ascii="Calibri" w:hAnsi="Calibri" w:eastAsia="黑体" w:cs="Times New Roman"/>
          <w:sz w:val="72"/>
          <w:szCs w:val="72"/>
        </w:rPr>
        <w:t>件</w:t>
      </w:r>
    </w:p>
    <w:p>
      <w:pPr>
        <w:jc w:val="center"/>
        <w:rPr>
          <w:rFonts w:ascii="Calibri" w:hAnsi="Calibri" w:eastAsia="黑体" w:cs="Times New Roman"/>
          <w:sz w:val="28"/>
          <w:szCs w:val="28"/>
        </w:rPr>
      </w:pPr>
    </w:p>
    <w:p>
      <w:pPr>
        <w:jc w:val="center"/>
        <w:rPr>
          <w:rFonts w:ascii="Calibri" w:hAnsi="Calibri" w:eastAsia="黑体" w:cs="Times New Roman"/>
          <w:sz w:val="52"/>
          <w:szCs w:val="52"/>
        </w:rPr>
      </w:pPr>
      <w:r>
        <w:rPr>
          <w:rFonts w:ascii="Calibri" w:hAnsi="Calibri" w:eastAsia="黑体" w:cs="Times New Roman"/>
          <w:sz w:val="52"/>
          <w:szCs w:val="52"/>
        </w:rPr>
        <w:t>（正本/副本）</w:t>
      </w:r>
    </w:p>
    <w:p>
      <w:pPr>
        <w:jc w:val="center"/>
        <w:rPr>
          <w:rFonts w:ascii="Calibri" w:hAnsi="Calibri" w:eastAsia="黑体" w:cs="Times New Roman"/>
          <w:sz w:val="44"/>
          <w:szCs w:val="44"/>
        </w:rPr>
      </w:pPr>
    </w:p>
    <w:p>
      <w:pPr>
        <w:ind w:firstLine="440" w:firstLineChars="100"/>
        <w:rPr>
          <w:rFonts w:ascii="Calibri" w:hAnsi="Calibri" w:eastAsia="黑体" w:cs="Times New Roman"/>
          <w:sz w:val="44"/>
          <w:szCs w:val="44"/>
        </w:rPr>
      </w:pPr>
      <w:r>
        <w:rPr>
          <w:rFonts w:ascii="Calibri" w:hAnsi="Calibri" w:eastAsia="黑体" w:cs="Times New Roman"/>
          <w:sz w:val="44"/>
          <w:szCs w:val="44"/>
        </w:rPr>
        <w:t xml:space="preserve">项目编号： </w:t>
      </w:r>
    </w:p>
    <w:p>
      <w:pPr>
        <w:tabs>
          <w:tab w:val="center" w:pos="5039"/>
        </w:tabs>
        <w:ind w:firstLine="440" w:firstLineChars="100"/>
        <w:rPr>
          <w:rFonts w:ascii="Calibri" w:hAnsi="Calibri" w:eastAsia="黑体" w:cs="Times New Roman"/>
          <w:sz w:val="44"/>
          <w:szCs w:val="44"/>
        </w:rPr>
      </w:pPr>
      <w:r>
        <w:rPr>
          <w:rFonts w:ascii="Calibri" w:hAnsi="Calibri" w:eastAsia="黑体" w:cs="Times New Roman"/>
          <w:sz w:val="44"/>
          <w:szCs w:val="44"/>
        </w:rPr>
        <w:t>项目名称：</w:t>
      </w:r>
      <w:r>
        <w:rPr>
          <w:rFonts w:ascii="Calibri" w:hAnsi="Calibri" w:eastAsia="黑体" w:cs="Times New Roman"/>
          <w:sz w:val="44"/>
          <w:szCs w:val="44"/>
        </w:rPr>
        <w:tab/>
      </w:r>
    </w:p>
    <w:p>
      <w:pPr>
        <w:rPr>
          <w:rFonts w:ascii="Calibri" w:hAnsi="Calibri" w:eastAsia="黑体" w:cs="Times New Roman"/>
          <w:sz w:val="44"/>
          <w:szCs w:val="44"/>
        </w:rPr>
      </w:pPr>
      <w:r>
        <w:rPr>
          <w:rFonts w:ascii="Calibri" w:hAnsi="Calibri" w:eastAsia="黑体" w:cs="Times New Roman"/>
          <w:sz w:val="44"/>
          <w:szCs w:val="44"/>
        </w:rPr>
        <w:t xml:space="preserve">  投标单位：</w:t>
      </w:r>
    </w:p>
    <w:p>
      <w:pPr>
        <w:jc w:val="center"/>
        <w:rPr>
          <w:rFonts w:ascii="Calibri" w:hAnsi="Calibri" w:eastAsia="黑体" w:cs="Times New Roman"/>
          <w:sz w:val="44"/>
          <w:szCs w:val="44"/>
        </w:rPr>
      </w:pPr>
      <w:r>
        <w:rPr>
          <w:rFonts w:ascii="Calibri" w:hAnsi="Calibri" w:eastAsia="黑体" w:cs="Times New Roman"/>
          <w:sz w:val="44"/>
          <w:szCs w:val="44"/>
        </w:rPr>
        <w:t>（盖章）</w:t>
      </w:r>
    </w:p>
    <w:p>
      <w:pPr>
        <w:pStyle w:val="13"/>
        <w:spacing w:line="360" w:lineRule="auto"/>
        <w:rPr>
          <w:rFonts w:asciiTheme="majorEastAsia" w:hAnsiTheme="majorEastAsia" w:eastAsiaTheme="majorEastAsia"/>
          <w:snapToGrid w:val="0"/>
          <w:kern w:val="0"/>
          <w:sz w:val="28"/>
          <w:szCs w:val="28"/>
        </w:rPr>
      </w:pPr>
    </w:p>
    <w:p>
      <w:pPr>
        <w:pStyle w:val="13"/>
        <w:spacing w:line="360" w:lineRule="auto"/>
        <w:rPr>
          <w:rFonts w:asciiTheme="majorEastAsia" w:hAnsiTheme="majorEastAsia" w:eastAsiaTheme="majorEastAsia"/>
          <w:snapToGrid w:val="0"/>
          <w:kern w:val="0"/>
          <w:sz w:val="28"/>
          <w:szCs w:val="28"/>
        </w:rPr>
      </w:pPr>
    </w:p>
    <w:p>
      <w:pPr>
        <w:pStyle w:val="13"/>
        <w:spacing w:line="360" w:lineRule="auto"/>
        <w:jc w:val="center"/>
        <w:rPr>
          <w:rFonts w:hint="eastAsia" w:asciiTheme="majorEastAsia" w:hAnsiTheme="majorEastAsia" w:eastAsiaTheme="majorEastAsia"/>
          <w:snapToGrid w:val="0"/>
          <w:color w:val="0C0C0C" w:themeColor="text1" w:themeTint="F2"/>
          <w:kern w:val="0"/>
          <w:sz w:val="28"/>
          <w:szCs w:val="28"/>
        </w:rPr>
      </w:pPr>
    </w:p>
    <w:p>
      <w:pPr>
        <w:pStyle w:val="13"/>
        <w:spacing w:line="360" w:lineRule="auto"/>
        <w:jc w:val="center"/>
        <w:rPr>
          <w:rFonts w:asciiTheme="majorEastAsia" w:hAnsiTheme="majorEastAsia" w:eastAsiaTheme="majorEastAsia"/>
          <w:snapToGrid w:val="0"/>
          <w:color w:val="0C0C0C" w:themeColor="text1" w:themeTint="F2"/>
          <w:kern w:val="0"/>
          <w:sz w:val="28"/>
          <w:szCs w:val="28"/>
        </w:rPr>
      </w:pPr>
      <w:r>
        <w:rPr>
          <w:rFonts w:hint="eastAsia" w:asciiTheme="majorEastAsia" w:hAnsiTheme="majorEastAsia" w:eastAsiaTheme="majorEastAsia"/>
          <w:snapToGrid w:val="0"/>
          <w:color w:val="0C0C0C" w:themeColor="text1" w:themeTint="F2"/>
          <w:kern w:val="0"/>
          <w:sz w:val="28"/>
          <w:szCs w:val="28"/>
        </w:rPr>
        <w:t>一、开标一览表</w:t>
      </w:r>
    </w:p>
    <w:p>
      <w:pPr>
        <w:pStyle w:val="13"/>
        <w:spacing w:line="360" w:lineRule="auto"/>
        <w:jc w:val="center"/>
        <w:rPr>
          <w:rFonts w:asciiTheme="majorEastAsia" w:hAnsiTheme="majorEastAsia" w:eastAsiaTheme="majorEastAsia"/>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p>
    <w:tbl>
      <w:tblPr>
        <w:tblStyle w:val="25"/>
        <w:tblW w:w="9488" w:type="dxa"/>
        <w:tblInd w:w="0" w:type="dxa"/>
        <w:tblLayout w:type="fixed"/>
        <w:tblCellMar>
          <w:top w:w="0" w:type="dxa"/>
          <w:left w:w="108" w:type="dxa"/>
          <w:bottom w:w="0" w:type="dxa"/>
          <w:right w:w="108" w:type="dxa"/>
        </w:tblCellMar>
      </w:tblPr>
      <w:tblGrid>
        <w:gridCol w:w="700"/>
        <w:gridCol w:w="1636"/>
        <w:gridCol w:w="2050"/>
        <w:gridCol w:w="2472"/>
        <w:gridCol w:w="1525"/>
        <w:gridCol w:w="1105"/>
      </w:tblGrid>
      <w:tr>
        <w:tblPrEx>
          <w:tblLayout w:type="fixed"/>
          <w:tblCellMar>
            <w:top w:w="0" w:type="dxa"/>
            <w:left w:w="108" w:type="dxa"/>
            <w:bottom w:w="0" w:type="dxa"/>
            <w:right w:w="108" w:type="dxa"/>
          </w:tblCellMar>
        </w:tblPrEx>
        <w:trPr>
          <w:trHeight w:val="851" w:hRule="atLeast"/>
        </w:trPr>
        <w:tc>
          <w:tcPr>
            <w:tcW w:w="70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cs="宋体" w:asciiTheme="minorEastAsia" w:hAnsiTheme="minorEastAsia"/>
                <w:szCs w:val="21"/>
                <w:lang w:val="zh-CN"/>
              </w:rPr>
            </w:pPr>
            <w:r>
              <w:rPr>
                <w:rFonts w:hint="eastAsia" w:cs="宋体" w:asciiTheme="minorEastAsia" w:hAnsiTheme="minorEastAsia"/>
                <w:szCs w:val="21"/>
                <w:lang w:val="zh-CN"/>
              </w:rPr>
              <w:t>标段</w:t>
            </w:r>
          </w:p>
        </w:tc>
        <w:tc>
          <w:tcPr>
            <w:tcW w:w="163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cs="宋体" w:asciiTheme="minorEastAsia" w:hAnsiTheme="minorEastAsia"/>
                <w:szCs w:val="21"/>
                <w:lang w:val="zh-CN"/>
              </w:rPr>
            </w:pPr>
            <w:r>
              <w:rPr>
                <w:rFonts w:hint="eastAsia" w:cs="宋体" w:asciiTheme="minorEastAsia" w:hAnsiTheme="minorEastAsia"/>
                <w:szCs w:val="21"/>
                <w:lang w:val="zh-CN"/>
              </w:rPr>
              <w:t>项目名称</w:t>
            </w:r>
          </w:p>
        </w:tc>
        <w:tc>
          <w:tcPr>
            <w:tcW w:w="20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cs="宋体" w:asciiTheme="minorEastAsia" w:hAnsiTheme="minorEastAsia"/>
                <w:szCs w:val="21"/>
                <w:lang w:val="zh-CN"/>
              </w:rPr>
            </w:pPr>
            <w:r>
              <w:rPr>
                <w:rFonts w:hint="eastAsia" w:cs="宋体" w:asciiTheme="minorEastAsia" w:hAnsiTheme="minorEastAsia"/>
                <w:szCs w:val="21"/>
                <w:lang w:val="zh-CN"/>
              </w:rPr>
              <w:t>投标报价</w:t>
            </w:r>
          </w:p>
        </w:tc>
        <w:tc>
          <w:tcPr>
            <w:tcW w:w="247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hint="eastAsia" w:cs="宋体" w:asciiTheme="minorEastAsia" w:hAnsiTheme="minorEastAsia"/>
                <w:szCs w:val="21"/>
                <w:lang w:val="zh-CN"/>
              </w:rPr>
            </w:pPr>
            <w:r>
              <w:rPr>
                <w:rFonts w:hint="eastAsia" w:cs="宋体" w:asciiTheme="minorEastAsia" w:hAnsiTheme="minorEastAsia"/>
                <w:szCs w:val="21"/>
                <w:lang w:val="en-US" w:eastAsia="zh-CN"/>
              </w:rPr>
              <w:t>投标</w:t>
            </w:r>
            <w:r>
              <w:rPr>
                <w:rFonts w:hint="eastAsia" w:cs="宋体" w:asciiTheme="minorEastAsia" w:hAnsiTheme="minorEastAsia"/>
                <w:szCs w:val="21"/>
                <w:lang w:val="zh-CN"/>
              </w:rPr>
              <w:t>报价承诺</w:t>
            </w:r>
          </w:p>
          <w:p>
            <w:pPr>
              <w:autoSpaceDE w:val="0"/>
              <w:autoSpaceDN w:val="0"/>
              <w:adjustRightInd w:val="0"/>
              <w:spacing w:line="480" w:lineRule="exact"/>
              <w:jc w:val="center"/>
              <w:rPr>
                <w:rFonts w:hint="eastAsia" w:cs="宋体" w:asciiTheme="minorEastAsia" w:hAnsiTheme="minorEastAsia" w:eastAsiaTheme="minorEastAsia"/>
                <w:szCs w:val="21"/>
                <w:lang w:val="en-US" w:eastAsia="zh-CN"/>
              </w:rPr>
            </w:pPr>
            <w:r>
              <w:rPr>
                <w:rFonts w:hint="eastAsia" w:cs="宋体" w:asciiTheme="minorEastAsia" w:hAnsiTheme="minorEastAsia"/>
                <w:szCs w:val="21"/>
                <w:lang w:val="en-US" w:eastAsia="zh-CN"/>
              </w:rPr>
              <w:t>（响应或不响应招标文件要求）</w:t>
            </w:r>
          </w:p>
        </w:tc>
        <w:tc>
          <w:tcPr>
            <w:tcW w:w="1525"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cs="宋体" w:asciiTheme="minorEastAsia" w:hAnsiTheme="minorEastAsia"/>
                <w:szCs w:val="21"/>
                <w:lang w:val="zh-CN"/>
              </w:rPr>
            </w:pPr>
            <w:r>
              <w:rPr>
                <w:rFonts w:hint="eastAsia" w:cs="宋体" w:asciiTheme="minorEastAsia" w:hAnsiTheme="minorEastAsia"/>
                <w:szCs w:val="21"/>
                <w:lang w:val="zh-CN"/>
              </w:rPr>
              <w:t>服务期限</w:t>
            </w:r>
          </w:p>
        </w:tc>
        <w:tc>
          <w:tcPr>
            <w:tcW w:w="1105"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cs="宋体" w:asciiTheme="minorEastAsia" w:hAnsiTheme="minorEastAsia"/>
                <w:szCs w:val="21"/>
                <w:lang w:val="zh-CN"/>
              </w:rPr>
            </w:pPr>
            <w:r>
              <w:rPr>
                <w:rFonts w:hint="eastAsia" w:cs="宋体" w:asciiTheme="minorEastAsia" w:hAnsiTheme="minorEastAsia"/>
                <w:szCs w:val="21"/>
                <w:lang w:val="zh-CN"/>
              </w:rPr>
              <w:t>备注</w:t>
            </w:r>
          </w:p>
        </w:tc>
      </w:tr>
      <w:tr>
        <w:tblPrEx>
          <w:tblLayout w:type="fixed"/>
          <w:tblCellMar>
            <w:top w:w="0" w:type="dxa"/>
            <w:left w:w="108" w:type="dxa"/>
            <w:bottom w:w="0" w:type="dxa"/>
            <w:right w:w="108" w:type="dxa"/>
          </w:tblCellMar>
        </w:tblPrEx>
        <w:trPr>
          <w:trHeight w:val="851" w:hRule="atLeast"/>
        </w:trPr>
        <w:tc>
          <w:tcPr>
            <w:tcW w:w="7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63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20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　　　　　</w:t>
            </w:r>
          </w:p>
        </w:tc>
        <w:tc>
          <w:tcPr>
            <w:tcW w:w="2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cs="宋体" w:asciiTheme="minorEastAsia" w:hAnsiTheme="minorEastAsia"/>
                <w:szCs w:val="21"/>
                <w:lang w:val="zh-CN"/>
              </w:rPr>
            </w:pPr>
          </w:p>
        </w:tc>
        <w:tc>
          <w:tcPr>
            <w:tcW w:w="15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cs="宋体" w:asciiTheme="minorEastAsia" w:hAnsiTheme="minorEastAsia" w:eastAsiaTheme="minorEastAsia"/>
                <w:szCs w:val="21"/>
                <w:lang w:val="en-US" w:eastAsia="zh-CN"/>
              </w:rPr>
            </w:pPr>
          </w:p>
        </w:tc>
        <w:tc>
          <w:tcPr>
            <w:tcW w:w="11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p>
    <w:p>
      <w:pPr>
        <w:autoSpaceDE w:val="0"/>
        <w:autoSpaceDN w:val="0"/>
        <w:adjustRightInd w:val="0"/>
        <w:spacing w:line="480" w:lineRule="auto"/>
        <w:rPr>
          <w:rFonts w:hint="eastAsia" w:cs="宋体" w:asciiTheme="minorEastAsia" w:hAnsiTheme="minorEastAsia" w:eastAsiaTheme="minorEastAsia"/>
          <w:szCs w:val="21"/>
          <w:lang w:val="zh-CN" w:eastAsia="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en-US" w:eastAsia="zh-CN"/>
        </w:rPr>
        <w:t>日</w:t>
      </w:r>
    </w:p>
    <w:p>
      <w:pPr>
        <w:autoSpaceDE w:val="0"/>
        <w:autoSpaceDN w:val="0"/>
        <w:adjustRightInd w:val="0"/>
        <w:spacing w:line="360" w:lineRule="auto"/>
        <w:rPr>
          <w:rFonts w:hint="eastAsia" w:ascii="仿宋_GB2312" w:hAnsi="宋体" w:eastAsia="仿宋_GB2312"/>
          <w:sz w:val="24"/>
          <w:szCs w:val="24"/>
          <w:lang w:eastAsia="zh-CN"/>
        </w:rPr>
      </w:pPr>
      <w:r>
        <w:rPr>
          <w:rFonts w:hint="eastAsia" w:ascii="宋体" w:hAnsi="宋体"/>
          <w:b/>
          <w:bCs/>
          <w:sz w:val="30"/>
          <w:szCs w:val="30"/>
          <w:lang w:val="zh-CN"/>
        </w:rPr>
        <w:t>说明：</w:t>
      </w:r>
      <w:r>
        <w:rPr>
          <w:rFonts w:hint="eastAsia" w:ascii="仿宋_GB2312" w:hAnsi="宋体" w:eastAsia="仿宋_GB2312"/>
          <w:bCs/>
          <w:sz w:val="24"/>
          <w:szCs w:val="24"/>
          <w:lang w:val="zh-CN"/>
        </w:rPr>
        <w:t>1、</w:t>
      </w:r>
      <w:r>
        <w:rPr>
          <w:rFonts w:hint="eastAsia" w:ascii="仿宋_GB2312" w:hAnsi="宋体" w:eastAsia="仿宋_GB2312"/>
          <w:bCs/>
          <w:sz w:val="24"/>
          <w:szCs w:val="24"/>
          <w:lang w:val="en-US" w:eastAsia="zh-CN"/>
        </w:rPr>
        <w:t>日期后</w:t>
      </w:r>
      <w:r>
        <w:rPr>
          <w:rFonts w:hint="eastAsia" w:ascii="仿宋_GB2312" w:hAnsi="宋体" w:eastAsia="仿宋_GB2312"/>
          <w:bCs/>
          <w:sz w:val="24"/>
          <w:szCs w:val="24"/>
          <w:lang w:val="zh-CN"/>
        </w:rPr>
        <w:t>“</w:t>
      </w:r>
      <w:r>
        <w:rPr>
          <w:rFonts w:hint="eastAsia" w:ascii="仿宋_GB2312" w:hAnsi="宋体" w:eastAsia="仿宋_GB2312"/>
          <w:bCs/>
          <w:sz w:val="24"/>
          <w:szCs w:val="24"/>
          <w:lang w:val="en-US" w:eastAsia="zh-CN"/>
        </w:rPr>
        <w:t>年</w:t>
      </w:r>
      <w:r>
        <w:rPr>
          <w:rFonts w:hint="eastAsia" w:ascii="仿宋_GB2312" w:hAnsi="宋体" w:eastAsia="仿宋_GB2312"/>
          <w:bCs/>
          <w:sz w:val="24"/>
          <w:szCs w:val="24"/>
          <w:lang w:val="zh-CN"/>
        </w:rPr>
        <w:t>”</w:t>
      </w:r>
      <w:r>
        <w:rPr>
          <w:rFonts w:hint="eastAsia" w:ascii="仿宋_GB2312" w:hAnsi="宋体" w:eastAsia="仿宋_GB2312"/>
          <w:sz w:val="24"/>
          <w:szCs w:val="24"/>
        </w:rPr>
        <w:t>一栏为报价型须在“年”前面填写相应的阿拉伯数字</w:t>
      </w:r>
      <w:r>
        <w:rPr>
          <w:rFonts w:hint="eastAsia" w:ascii="仿宋_GB2312" w:hAnsi="宋体" w:eastAsia="仿宋_GB2312"/>
          <w:sz w:val="24"/>
          <w:szCs w:val="24"/>
          <w:lang w:eastAsia="zh-CN"/>
        </w:rPr>
        <w:t>。</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hint="eastAsia" w:cs="黑体" w:asciiTheme="minorEastAsia" w:hAnsiTheme="minorEastAsia"/>
          <w:bCs/>
          <w:sz w:val="28"/>
          <w:szCs w:val="28"/>
          <w:lang w:val="zh-CN"/>
        </w:rPr>
      </w:pPr>
    </w:p>
    <w:p>
      <w:pPr>
        <w:pStyle w:val="2"/>
        <w:rPr>
          <w:rFonts w:hint="eastAsia" w:cs="黑体" w:asciiTheme="minorEastAsia" w:hAnsiTheme="minorEastAsia"/>
          <w:bCs/>
          <w:sz w:val="28"/>
          <w:szCs w:val="28"/>
          <w:lang w:val="zh-CN"/>
        </w:rPr>
      </w:pPr>
    </w:p>
    <w:p>
      <w:pPr>
        <w:pStyle w:val="2"/>
        <w:ind w:left="0" w:leftChars="0" w:firstLine="0" w:firstLineChars="0"/>
        <w:rPr>
          <w:rFonts w:hint="eastAsia" w:cs="黑体" w:asciiTheme="minorEastAsia" w:hAnsiTheme="minorEastAsia"/>
          <w:bCs/>
          <w:sz w:val="28"/>
          <w:szCs w:val="28"/>
          <w:lang w:val="zh-CN"/>
        </w:rPr>
      </w:pPr>
    </w:p>
    <w:p>
      <w:pPr>
        <w:pStyle w:val="2"/>
        <w:ind w:left="0" w:leftChars="0" w:firstLine="0" w:firstLineChars="0"/>
        <w:rPr>
          <w:rFonts w:hint="eastAsia" w:cs="黑体" w:asciiTheme="minorEastAsia" w:hAnsiTheme="minorEastAsia"/>
          <w:bCs/>
          <w:sz w:val="28"/>
          <w:szCs w:val="28"/>
          <w:lang w:val="zh-CN"/>
        </w:rPr>
      </w:pPr>
    </w:p>
    <w:p>
      <w:pPr>
        <w:pStyle w:val="2"/>
        <w:ind w:left="0" w:leftChars="0" w:firstLine="0" w:firstLineChars="0"/>
        <w:rPr>
          <w:rFonts w:hint="eastAsia" w:cs="黑体" w:asciiTheme="minorEastAsia" w:hAnsiTheme="minorEastAsia"/>
          <w:bCs/>
          <w:sz w:val="28"/>
          <w:szCs w:val="28"/>
          <w:lang w:val="zh-CN"/>
        </w:rPr>
      </w:pPr>
    </w:p>
    <w:p>
      <w:pPr>
        <w:autoSpaceDE w:val="0"/>
        <w:autoSpaceDN w:val="0"/>
        <w:adjustRightInd w:val="0"/>
        <w:spacing w:line="360" w:lineRule="auto"/>
        <w:jc w:val="center"/>
        <w:rPr>
          <w:rFonts w:cs="黑体" w:asciiTheme="minorEastAsia" w:hAnsiTheme="minorEastAsia"/>
          <w:bCs/>
          <w:sz w:val="28"/>
          <w:szCs w:val="28"/>
          <w:lang w:val="zh-CN"/>
        </w:rPr>
      </w:pPr>
      <w:r>
        <w:rPr>
          <w:rFonts w:hint="eastAsia" w:cs="黑体" w:asciiTheme="minorEastAsia" w:hAnsiTheme="minorEastAsia"/>
          <w:bCs/>
          <w:sz w:val="28"/>
          <w:szCs w:val="28"/>
          <w:lang w:val="zh-CN"/>
        </w:rPr>
        <w:t>二、资格审查证明材料</w:t>
      </w:r>
    </w:p>
    <w:p>
      <w:pPr>
        <w:pStyle w:val="13"/>
        <w:spacing w:line="360" w:lineRule="auto"/>
        <w:jc w:val="center"/>
        <w:rPr>
          <w:rFonts w:asciiTheme="majorEastAsia" w:hAnsiTheme="majorEastAsia" w:eastAsiaTheme="majorEastAsia"/>
          <w:snapToGrid w:val="0"/>
          <w:kern w:val="0"/>
          <w:szCs w:val="24"/>
        </w:rPr>
      </w:pPr>
      <w:r>
        <w:rPr>
          <w:rFonts w:hint="eastAsia" w:asciiTheme="majorEastAsia" w:hAnsiTheme="majorEastAsia" w:eastAsiaTheme="majorEastAsia"/>
          <w:snapToGrid w:val="0"/>
          <w:kern w:val="0"/>
          <w:szCs w:val="24"/>
        </w:rPr>
        <w:t>2.1 投 标 函</w:t>
      </w:r>
    </w:p>
    <w:p>
      <w:pPr>
        <w:pStyle w:val="13"/>
        <w:spacing w:line="360" w:lineRule="auto"/>
        <w:jc w:val="center"/>
        <w:rPr>
          <w:rFonts w:asciiTheme="majorEastAsia" w:hAnsiTheme="majorEastAsia" w:eastAsiaTheme="majorEastAsia"/>
          <w:snapToGrid w:val="0"/>
          <w:kern w:val="0"/>
          <w:sz w:val="28"/>
          <w:szCs w:val="28"/>
        </w:rPr>
      </w:pPr>
    </w:p>
    <w:p>
      <w:pPr>
        <w:adjustRightInd w:val="0"/>
        <w:spacing w:line="360" w:lineRule="auto"/>
        <w:contextualSpacing/>
        <w:rPr>
          <w:rFonts w:asciiTheme="minorEastAsia" w:hAnsiTheme="minorEastAsia"/>
          <w:snapToGrid w:val="0"/>
          <w:kern w:val="0"/>
          <w:szCs w:val="21"/>
        </w:rPr>
      </w:pPr>
      <w:r>
        <w:rPr>
          <w:rFonts w:hint="eastAsia" w:asciiTheme="minorEastAsia" w:hAnsiTheme="minorEastAsia"/>
          <w:snapToGrid w:val="0"/>
          <w:kern w:val="0"/>
          <w:szCs w:val="21"/>
        </w:rPr>
        <w:t>致：（采购人）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三、我方明白并同意，在规定的开标日之后，投标有效期之内撤销投标的，则贵方将不予退还投标保证金。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投标人法定代表人（或法定代表人授权代表）签字或盖章：</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jc w:val="right"/>
        <w:rPr>
          <w:rFonts w:cs="宋体" w:asciiTheme="minorEastAsia" w:hAnsiTheme="minorEastAsia"/>
          <w:szCs w:val="21"/>
        </w:rPr>
      </w:pPr>
    </w:p>
    <w:p>
      <w:pPr>
        <w:adjustRightInd w:val="0"/>
        <w:snapToGrid w:val="0"/>
        <w:spacing w:line="360" w:lineRule="auto"/>
        <w:jc w:val="right"/>
        <w:rPr>
          <w:rFonts w:cs="宋体" w:asciiTheme="minorEastAsia" w:hAnsiTheme="minorEastAsia"/>
          <w:szCs w:val="21"/>
        </w:rPr>
      </w:pPr>
      <w:r>
        <w:rPr>
          <w:rFonts w:hint="eastAsia" w:cs="宋体" w:asciiTheme="minorEastAsia" w:hAnsiTheme="minorEastAsia"/>
          <w:szCs w:val="21"/>
        </w:rPr>
        <w:t>日期：    年    月    日</w:t>
      </w:r>
    </w:p>
    <w:p>
      <w:pPr>
        <w:pStyle w:val="2"/>
        <w:ind w:left="0" w:leftChars="0" w:firstLine="0" w:firstLineChars="0"/>
        <w:rPr>
          <w:rFonts w:hint="eastAsia" w:asciiTheme="majorEastAsia" w:hAnsiTheme="majorEastAsia" w:eastAsiaTheme="majorEastAsia"/>
          <w:bCs/>
          <w:color w:val="000000"/>
          <w:sz w:val="24"/>
          <w:szCs w:val="24"/>
        </w:rPr>
      </w:pPr>
    </w:p>
    <w:p>
      <w:pPr>
        <w:pStyle w:val="2"/>
        <w:rPr>
          <w:rFonts w:hint="eastAsia" w:asciiTheme="majorEastAsia" w:hAnsiTheme="majorEastAsia" w:eastAsiaTheme="majorEastAsia"/>
          <w:bCs/>
          <w:color w:val="000000"/>
          <w:sz w:val="24"/>
          <w:szCs w:val="24"/>
        </w:rPr>
      </w:pPr>
    </w:p>
    <w:p>
      <w:pPr>
        <w:spacing w:line="480" w:lineRule="exact"/>
        <w:jc w:val="center"/>
        <w:rPr>
          <w:rFonts w:hint="eastAsia" w:asciiTheme="majorEastAsia" w:hAnsiTheme="majorEastAsia" w:eastAsiaTheme="majorEastAsia"/>
          <w:bCs/>
          <w:color w:val="000000"/>
          <w:sz w:val="24"/>
          <w:szCs w:val="24"/>
        </w:rPr>
      </w:pPr>
    </w:p>
    <w:p>
      <w:pPr>
        <w:spacing w:line="480" w:lineRule="exact"/>
        <w:jc w:val="center"/>
        <w:rPr>
          <w:rFonts w:hint="eastAsia" w:asciiTheme="majorEastAsia" w:hAnsiTheme="majorEastAsia" w:eastAsiaTheme="majorEastAsia"/>
          <w:bCs/>
          <w:color w:val="000000"/>
          <w:sz w:val="24"/>
          <w:szCs w:val="24"/>
        </w:rPr>
      </w:pPr>
    </w:p>
    <w:p>
      <w:pPr>
        <w:spacing w:line="480" w:lineRule="exact"/>
        <w:jc w:val="center"/>
        <w:rPr>
          <w:rFonts w:asciiTheme="majorEastAsia" w:hAnsiTheme="majorEastAsia" w:eastAsiaTheme="majorEastAsia"/>
          <w:bCs/>
          <w:color w:val="000000"/>
          <w:sz w:val="24"/>
          <w:szCs w:val="24"/>
        </w:rPr>
      </w:pPr>
      <w:r>
        <w:rPr>
          <w:rFonts w:hint="eastAsia" w:asciiTheme="majorEastAsia" w:hAnsiTheme="majorEastAsia" w:eastAsiaTheme="majorEastAsia"/>
          <w:bCs/>
          <w:color w:val="000000"/>
          <w:sz w:val="24"/>
          <w:szCs w:val="24"/>
        </w:rPr>
        <w:t>2.2 法定代表人</w:t>
      </w:r>
      <w:r>
        <w:rPr>
          <w:rFonts w:asciiTheme="majorEastAsia" w:hAnsiTheme="majorEastAsia" w:eastAsiaTheme="majorEastAsia"/>
          <w:bCs/>
          <w:color w:val="000000"/>
          <w:sz w:val="24"/>
          <w:szCs w:val="24"/>
        </w:rPr>
        <w:t>资</w:t>
      </w:r>
      <w:r>
        <w:rPr>
          <w:rFonts w:hint="eastAsia" w:asciiTheme="majorEastAsia" w:hAnsiTheme="majorEastAsia" w:eastAsiaTheme="majorEastAsia"/>
          <w:bCs/>
          <w:color w:val="000000"/>
          <w:sz w:val="24"/>
          <w:szCs w:val="24"/>
        </w:rPr>
        <w:t>格</w:t>
      </w:r>
      <w:r>
        <w:rPr>
          <w:rFonts w:asciiTheme="majorEastAsia" w:hAnsiTheme="majorEastAsia" w:eastAsiaTheme="majorEastAsia"/>
          <w:bCs/>
          <w:color w:val="000000"/>
          <w:sz w:val="24"/>
          <w:szCs w:val="24"/>
        </w:rPr>
        <w:t>证</w:t>
      </w:r>
      <w:r>
        <w:rPr>
          <w:rFonts w:hint="eastAsia" w:asciiTheme="majorEastAsia" w:hAnsiTheme="majorEastAsia" w:eastAsiaTheme="majorEastAsia"/>
          <w:bCs/>
          <w:color w:val="000000"/>
          <w:sz w:val="24"/>
          <w:szCs w:val="24"/>
        </w:rPr>
        <w:t>明</w:t>
      </w:r>
      <w:r>
        <w:rPr>
          <w:rFonts w:asciiTheme="majorEastAsia" w:hAnsiTheme="majorEastAsia" w:eastAsiaTheme="majorEastAsia"/>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39"/>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39"/>
        <w:spacing w:line="480" w:lineRule="auto"/>
        <w:ind w:firstLine="472" w:firstLineChars="225"/>
        <w:jc w:val="left"/>
        <w:rPr>
          <w:rFonts w:asciiTheme="minorEastAsia" w:hAnsiTheme="minorEastAsia"/>
          <w:color w:val="000000"/>
          <w:sz w:val="21"/>
          <w:szCs w:val="21"/>
        </w:rPr>
      </w:pPr>
    </w:p>
    <w:p>
      <w:pPr>
        <w:pStyle w:val="39"/>
        <w:spacing w:line="480" w:lineRule="auto"/>
        <w:ind w:firstLine="472" w:firstLineChars="225"/>
        <w:jc w:val="left"/>
        <w:rPr>
          <w:rFonts w:asciiTheme="minorEastAsia" w:hAnsiTheme="minorEastAsia"/>
          <w:color w:val="000000"/>
          <w:sz w:val="21"/>
          <w:szCs w:val="21"/>
        </w:rPr>
      </w:pPr>
    </w:p>
    <w:p>
      <w:pPr>
        <w:pStyle w:val="39"/>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39"/>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2"/>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1"/>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hint="eastAsia" w:ascii="宋体" w:hAnsi="宋体"/>
          <w:bCs/>
          <w:color w:val="000000"/>
          <w:sz w:val="24"/>
          <w:szCs w:val="24"/>
        </w:rPr>
      </w:pPr>
      <w:r>
        <w:rPr>
          <w:rFonts w:hint="eastAsia" w:asciiTheme="minorEastAsia" w:hAnsiTheme="minorEastAsia"/>
          <w:bCs/>
          <w:color w:val="000000"/>
          <w:kern w:val="12"/>
          <w:szCs w:val="21"/>
        </w:rPr>
        <w:t>说明：法定代表人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hint="eastAsia" w:ascii="宋体" w:hAnsi="宋体"/>
          <w:bCs/>
          <w:color w:val="000000"/>
          <w:sz w:val="24"/>
          <w:szCs w:val="24"/>
        </w:rPr>
      </w:pPr>
    </w:p>
    <w:p>
      <w:pPr>
        <w:spacing w:line="480" w:lineRule="exact"/>
        <w:jc w:val="center"/>
        <w:rPr>
          <w:rFonts w:hint="eastAsia" w:ascii="宋体" w:hAnsi="宋体"/>
          <w:bCs/>
          <w:color w:val="000000"/>
          <w:sz w:val="24"/>
          <w:szCs w:val="24"/>
        </w:rPr>
      </w:pPr>
    </w:p>
    <w:p>
      <w:pPr>
        <w:spacing w:line="480" w:lineRule="exact"/>
        <w:jc w:val="center"/>
        <w:rPr>
          <w:rFonts w:hint="eastAsia" w:ascii="宋体" w:hAnsi="宋体"/>
          <w:bCs/>
          <w:color w:val="000000"/>
          <w:sz w:val="24"/>
          <w:szCs w:val="24"/>
        </w:rPr>
      </w:pPr>
    </w:p>
    <w:p>
      <w:pPr>
        <w:spacing w:line="480" w:lineRule="exact"/>
        <w:jc w:val="center"/>
        <w:rPr>
          <w:rFonts w:ascii="宋体" w:hAnsi="宋体"/>
          <w:bCs/>
          <w:color w:val="000000"/>
          <w:sz w:val="24"/>
          <w:szCs w:val="24"/>
        </w:rPr>
      </w:pPr>
      <w:r>
        <w:rPr>
          <w:rFonts w:hint="eastAsia" w:ascii="宋体" w:hAnsi="宋体"/>
          <w:bCs/>
          <w:color w:val="000000"/>
          <w:sz w:val="24"/>
          <w:szCs w:val="24"/>
        </w:rPr>
        <w:t>2.3 法定代表人授权书</w:t>
      </w:r>
    </w:p>
    <w:p>
      <w:pPr>
        <w:spacing w:line="480" w:lineRule="exact"/>
        <w:jc w:val="center"/>
        <w:rPr>
          <w:rFonts w:ascii="宋体" w:hAnsi="宋体"/>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法定代表人：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法定代表人授权代表：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1" w:name="_资格证明文件"/>
            <w:bookmarkEnd w:id="1"/>
            <w:bookmarkStart w:id="2" w:name="_Toc364329026"/>
            <w:r>
              <w:rPr>
                <w:rFonts w:hint="eastAsia" w:asciiTheme="minorEastAsia" w:hAnsiTheme="minorEastAsia"/>
                <w:szCs w:val="21"/>
              </w:rPr>
              <w:t>法定代表人授权代表身份证（正面）</w:t>
            </w:r>
            <w:bookmarkEnd w:id="2"/>
          </w:p>
        </w:tc>
        <w:tc>
          <w:tcPr>
            <w:tcW w:w="4492" w:type="dxa"/>
            <w:gridSpan w:val="2"/>
            <w:vAlign w:val="center"/>
          </w:tcPr>
          <w:p>
            <w:pPr>
              <w:jc w:val="center"/>
              <w:rPr>
                <w:rFonts w:asciiTheme="minorEastAsia" w:hAnsiTheme="minorEastAsia"/>
                <w:szCs w:val="21"/>
              </w:rPr>
            </w:pPr>
            <w:bookmarkStart w:id="3" w:name="_Toc364329027"/>
            <w:r>
              <w:rPr>
                <w:rFonts w:hint="eastAsia" w:asciiTheme="minorEastAsia" w:hAnsiTheme="minorEastAsia"/>
                <w:szCs w:val="21"/>
              </w:rPr>
              <w:t>法定代表人授权代表身份证（反面）</w:t>
            </w:r>
            <w:bookmarkEnd w:id="3"/>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hint="eastAsia" w:ascii="宋体" w:hAnsi="宋体"/>
          <w:bCs/>
          <w:color w:val="000000"/>
          <w:sz w:val="24"/>
          <w:szCs w:val="24"/>
        </w:rPr>
      </w:pPr>
    </w:p>
    <w:p>
      <w:pPr>
        <w:widowControl/>
        <w:spacing w:before="100" w:beforeAutospacing="1" w:after="100" w:afterAutospacing="1" w:line="360" w:lineRule="auto"/>
        <w:jc w:val="center"/>
        <w:rPr>
          <w:rFonts w:ascii="宋体" w:hAnsi="宋体"/>
          <w:bCs/>
          <w:color w:val="000000"/>
          <w:sz w:val="24"/>
          <w:szCs w:val="24"/>
        </w:rPr>
      </w:pPr>
      <w:r>
        <w:rPr>
          <w:rFonts w:hint="eastAsia" w:ascii="宋体" w:hAnsi="宋体"/>
          <w:bCs/>
          <w:color w:val="000000"/>
          <w:sz w:val="24"/>
          <w:szCs w:val="24"/>
        </w:rPr>
        <w:t>2.4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pStyle w:val="2"/>
        <w:ind w:left="0" w:leftChars="0" w:firstLine="0" w:firstLineChars="0"/>
        <w:rPr>
          <w:rFonts w:cs="宋体" w:asciiTheme="minorEastAsia" w:hAnsiTheme="minorEastAsia"/>
          <w:sz w:val="24"/>
          <w:szCs w:val="24"/>
          <w:lang w:val="zh-CN"/>
        </w:rPr>
      </w:pPr>
    </w:p>
    <w:p>
      <w:pPr>
        <w:pStyle w:val="2"/>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Cs/>
          <w:color w:val="000000"/>
          <w:sz w:val="24"/>
          <w:szCs w:val="24"/>
        </w:rPr>
      </w:pPr>
      <w:r>
        <w:rPr>
          <w:rFonts w:hint="eastAsia" w:ascii="宋体" w:hAnsi="宋体"/>
          <w:bCs/>
          <w:color w:val="000000"/>
          <w:sz w:val="24"/>
          <w:szCs w:val="24"/>
        </w:rPr>
        <w:t>2.5 投标保证金</w:t>
      </w:r>
    </w:p>
    <w:p>
      <w:pPr>
        <w:autoSpaceDE w:val="0"/>
        <w:autoSpaceDN w:val="0"/>
        <w:adjustRightInd w:val="0"/>
        <w:spacing w:line="360" w:lineRule="auto"/>
        <w:jc w:val="center"/>
        <w:outlineLvl w:val="0"/>
        <w:rPr>
          <w:rFonts w:hAnsi="宋体" w:eastAsia="宋体"/>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许昌公共资源交易中心保证金缴纳回执</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r>
        <w:rPr>
          <w:rFonts w:hint="eastAsia" w:ascii="宋体" w:cs="宋体"/>
          <w:szCs w:val="21"/>
          <w:lang w:val="zh-CN"/>
        </w:rPr>
        <w:t>（注：开标现场单独提供一份“许昌市建安区公共资源交易中心保证金缴纳回执”以备查询）</w:t>
      </w: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hint="eastAsia" w:cs="宋体" w:asciiTheme="minorEastAsia" w:hAnsiTheme="minorEastAsia"/>
          <w:sz w:val="24"/>
          <w:szCs w:val="24"/>
          <w:lang w:val="en-US" w:eastAsia="zh-CN"/>
        </w:rPr>
      </w:pPr>
    </w:p>
    <w:p>
      <w:pPr>
        <w:autoSpaceDE w:val="0"/>
        <w:autoSpaceDN w:val="0"/>
        <w:adjustRightInd w:val="0"/>
        <w:spacing w:line="360" w:lineRule="auto"/>
        <w:jc w:val="center"/>
        <w:rPr>
          <w:rFonts w:hint="eastAsia" w:cs="宋体" w:asciiTheme="minorEastAsia" w:hAnsiTheme="minorEastAsia"/>
          <w:sz w:val="24"/>
          <w:szCs w:val="24"/>
          <w:lang w:val="en-US" w:eastAsia="zh-CN"/>
        </w:rPr>
      </w:pPr>
    </w:p>
    <w:p>
      <w:pPr>
        <w:autoSpaceDE w:val="0"/>
        <w:autoSpaceDN w:val="0"/>
        <w:adjustRightInd w:val="0"/>
        <w:spacing w:line="360" w:lineRule="auto"/>
        <w:jc w:val="center"/>
        <w:rPr>
          <w:rFonts w:hint="eastAsia" w:cs="宋体" w:asciiTheme="minorEastAsia" w:hAnsiTheme="minorEastAsia" w:eastAsiaTheme="minorEastAsia"/>
          <w:sz w:val="24"/>
          <w:szCs w:val="24"/>
          <w:lang w:val="en-US" w:eastAsia="zh-CN"/>
        </w:rPr>
      </w:pPr>
      <w:r>
        <w:rPr>
          <w:rFonts w:hint="eastAsia" w:cs="宋体" w:asciiTheme="minorEastAsia" w:hAnsiTheme="minorEastAsia"/>
          <w:sz w:val="24"/>
          <w:szCs w:val="24"/>
          <w:lang w:val="en-US" w:eastAsia="zh-CN"/>
        </w:rPr>
        <w:t>2.6 企业实力</w:t>
      </w:r>
    </w:p>
    <w:p>
      <w:pPr>
        <w:autoSpaceDE w:val="0"/>
        <w:autoSpaceDN w:val="0"/>
        <w:adjustRightInd w:val="0"/>
        <w:spacing w:line="360" w:lineRule="auto"/>
        <w:outlineLvl w:val="0"/>
        <w:rPr>
          <w:rFonts w:ascii="宋体" w:cs="宋体"/>
          <w:sz w:val="24"/>
          <w:lang w:val="zh-CN"/>
        </w:rPr>
      </w:pPr>
    </w:p>
    <w:p>
      <w:pPr>
        <w:pStyle w:val="2"/>
        <w:rPr>
          <w:lang w:val="zh-CN"/>
        </w:rPr>
      </w:pPr>
    </w:p>
    <w:p>
      <w:pPr>
        <w:pStyle w:val="2"/>
        <w:rPr>
          <w:lang w:val="zh-CN"/>
        </w:rPr>
      </w:pPr>
    </w:p>
    <w:p>
      <w:pPr>
        <w:autoSpaceDE w:val="0"/>
        <w:autoSpaceDN w:val="0"/>
        <w:adjustRightInd w:val="0"/>
        <w:spacing w:line="360" w:lineRule="auto"/>
        <w:jc w:val="center"/>
        <w:outlineLvl w:val="0"/>
        <w:rPr>
          <w:rFonts w:ascii="宋体" w:hAnsi="宋体"/>
          <w:bCs/>
          <w:color w:val="000000"/>
          <w:sz w:val="24"/>
          <w:szCs w:val="24"/>
        </w:rPr>
      </w:pPr>
      <w:r>
        <w:rPr>
          <w:rFonts w:hint="eastAsia" w:ascii="宋体" w:hAnsi="宋体"/>
          <w:bCs/>
          <w:color w:val="000000"/>
          <w:sz w:val="24"/>
          <w:szCs w:val="24"/>
        </w:rPr>
        <w:t>2.</w:t>
      </w:r>
      <w:r>
        <w:rPr>
          <w:rFonts w:hint="eastAsia" w:ascii="宋体" w:hAnsi="宋体"/>
          <w:bCs/>
          <w:color w:val="000000"/>
          <w:sz w:val="24"/>
          <w:szCs w:val="24"/>
          <w:lang w:val="en-US" w:eastAsia="zh-CN"/>
        </w:rPr>
        <w:t>7</w:t>
      </w:r>
      <w:r>
        <w:rPr>
          <w:rFonts w:hint="eastAsia" w:ascii="宋体" w:hAnsi="宋体"/>
          <w:bCs/>
          <w:color w:val="000000"/>
          <w:sz w:val="24"/>
          <w:szCs w:val="24"/>
        </w:rPr>
        <w:t xml:space="preserve">其他资格证书或材料 </w:t>
      </w:r>
    </w:p>
    <w:p>
      <w:pPr>
        <w:autoSpaceDE w:val="0"/>
        <w:autoSpaceDN w:val="0"/>
        <w:adjustRightInd w:val="0"/>
        <w:spacing w:line="360" w:lineRule="auto"/>
        <w:jc w:val="center"/>
        <w:outlineLvl w:val="0"/>
        <w:rPr>
          <w:rFonts w:hAnsi="宋体" w:eastAsia="宋体"/>
          <w:snapToGrid w:val="0"/>
          <w:kern w:val="0"/>
          <w:sz w:val="36"/>
          <w:szCs w:val="36"/>
        </w:rPr>
      </w:pPr>
    </w:p>
    <w:p>
      <w:pPr>
        <w:autoSpaceDE w:val="0"/>
        <w:autoSpaceDN w:val="0"/>
        <w:adjustRightInd w:val="0"/>
        <w:spacing w:line="360" w:lineRule="auto"/>
        <w:jc w:val="center"/>
        <w:outlineLvl w:val="0"/>
        <w:rPr>
          <w:rFonts w:hAnsi="宋体" w:eastAsia="宋体"/>
          <w:snapToGrid w:val="0"/>
          <w:kern w:val="0"/>
          <w:sz w:val="36"/>
          <w:szCs w:val="36"/>
        </w:rPr>
      </w:pPr>
    </w:p>
    <w:p>
      <w:pPr>
        <w:autoSpaceDE w:val="0"/>
        <w:autoSpaceDN w:val="0"/>
        <w:adjustRightInd w:val="0"/>
        <w:spacing w:line="360" w:lineRule="auto"/>
        <w:jc w:val="center"/>
        <w:outlineLvl w:val="0"/>
        <w:rPr>
          <w:rFonts w:hAnsi="宋体" w:eastAsia="宋体"/>
          <w:snapToGrid w:val="0"/>
          <w:kern w:val="0"/>
          <w:sz w:val="36"/>
          <w:szCs w:val="36"/>
        </w:rPr>
      </w:pPr>
    </w:p>
    <w:p>
      <w:pPr>
        <w:autoSpaceDE w:val="0"/>
        <w:autoSpaceDN w:val="0"/>
        <w:adjustRightInd w:val="0"/>
        <w:spacing w:line="360" w:lineRule="auto"/>
        <w:jc w:val="both"/>
        <w:rPr>
          <w:rFonts w:cs="黑体" w:asciiTheme="minorEastAsia" w:hAnsiTheme="minorEastAsia"/>
          <w:bCs/>
          <w:sz w:val="44"/>
          <w:szCs w:val="44"/>
          <w:lang w:val="zh-CN"/>
        </w:rPr>
      </w:pPr>
    </w:p>
    <w:p>
      <w:pPr>
        <w:autoSpaceDE w:val="0"/>
        <w:autoSpaceDN w:val="0"/>
        <w:adjustRightInd w:val="0"/>
        <w:spacing w:line="360" w:lineRule="auto"/>
        <w:jc w:val="both"/>
        <w:rPr>
          <w:rFonts w:cs="黑体" w:asciiTheme="minorEastAsia" w:hAnsiTheme="minorEastAsia"/>
          <w:bCs/>
          <w:sz w:val="44"/>
          <w:szCs w:val="44"/>
          <w:lang w:val="zh-CN"/>
        </w:rPr>
      </w:pPr>
    </w:p>
    <w:p>
      <w:pPr>
        <w:autoSpaceDE w:val="0"/>
        <w:autoSpaceDN w:val="0"/>
        <w:adjustRightInd w:val="0"/>
        <w:spacing w:line="360" w:lineRule="auto"/>
        <w:jc w:val="center"/>
        <w:rPr>
          <w:rFonts w:cs="黑体" w:asciiTheme="minorEastAsia" w:hAnsiTheme="minorEastAsia"/>
          <w:bCs/>
          <w:sz w:val="28"/>
          <w:szCs w:val="28"/>
          <w:lang w:val="zh-CN"/>
        </w:rPr>
      </w:pPr>
      <w:r>
        <w:rPr>
          <w:rFonts w:hint="eastAsia" w:cs="黑体" w:asciiTheme="minorEastAsia" w:hAnsiTheme="minorEastAsia"/>
          <w:bCs/>
          <w:sz w:val="28"/>
          <w:szCs w:val="28"/>
          <w:lang w:val="zh-CN"/>
        </w:rPr>
        <w:t>三、符合性审查证明材料</w:t>
      </w:r>
    </w:p>
    <w:p>
      <w:pPr>
        <w:autoSpaceDE w:val="0"/>
        <w:autoSpaceDN w:val="0"/>
        <w:adjustRightInd w:val="0"/>
        <w:spacing w:line="360" w:lineRule="auto"/>
        <w:jc w:val="center"/>
        <w:outlineLvl w:val="0"/>
        <w:rPr>
          <w:rFonts w:ascii="宋体" w:hAnsi="宋体"/>
          <w:bCs/>
          <w:color w:val="000000"/>
          <w:sz w:val="24"/>
          <w:szCs w:val="24"/>
        </w:rPr>
      </w:pPr>
    </w:p>
    <w:p>
      <w:pPr>
        <w:autoSpaceDE w:val="0"/>
        <w:autoSpaceDN w:val="0"/>
        <w:adjustRightInd w:val="0"/>
        <w:spacing w:line="360" w:lineRule="auto"/>
        <w:jc w:val="center"/>
        <w:outlineLvl w:val="0"/>
        <w:rPr>
          <w:rFonts w:ascii="宋体" w:hAnsi="宋体"/>
          <w:bCs/>
          <w:color w:val="000000"/>
          <w:sz w:val="24"/>
          <w:szCs w:val="24"/>
        </w:rPr>
      </w:pPr>
    </w:p>
    <w:p>
      <w:pPr>
        <w:autoSpaceDE w:val="0"/>
        <w:autoSpaceDN w:val="0"/>
        <w:adjustRightInd w:val="0"/>
        <w:spacing w:line="360" w:lineRule="auto"/>
        <w:jc w:val="center"/>
        <w:outlineLvl w:val="0"/>
        <w:rPr>
          <w:rFonts w:ascii="宋体" w:hAnsi="宋体"/>
          <w:bCs/>
          <w:color w:val="000000"/>
          <w:sz w:val="24"/>
          <w:szCs w:val="24"/>
        </w:rPr>
      </w:pPr>
    </w:p>
    <w:p>
      <w:pPr>
        <w:autoSpaceDE w:val="0"/>
        <w:autoSpaceDN w:val="0"/>
        <w:adjustRightInd w:val="0"/>
        <w:spacing w:line="360" w:lineRule="auto"/>
        <w:jc w:val="center"/>
        <w:outlineLvl w:val="0"/>
        <w:rPr>
          <w:rFonts w:ascii="宋体" w:hAnsi="宋体"/>
          <w:bCs/>
          <w:color w:val="000000"/>
          <w:sz w:val="24"/>
          <w:szCs w:val="24"/>
        </w:rPr>
      </w:pPr>
    </w:p>
    <w:p>
      <w:pPr>
        <w:autoSpaceDE w:val="0"/>
        <w:autoSpaceDN w:val="0"/>
        <w:adjustRightInd w:val="0"/>
        <w:spacing w:line="360" w:lineRule="auto"/>
        <w:jc w:val="center"/>
        <w:outlineLvl w:val="0"/>
        <w:rPr>
          <w:rFonts w:ascii="宋体" w:hAnsi="宋体"/>
          <w:bCs/>
          <w:color w:val="000000"/>
          <w:sz w:val="24"/>
          <w:szCs w:val="24"/>
        </w:rPr>
      </w:pPr>
    </w:p>
    <w:p>
      <w:pPr>
        <w:autoSpaceDE w:val="0"/>
        <w:autoSpaceDN w:val="0"/>
        <w:adjustRightInd w:val="0"/>
        <w:spacing w:line="360" w:lineRule="auto"/>
        <w:jc w:val="center"/>
        <w:outlineLvl w:val="0"/>
        <w:rPr>
          <w:rFonts w:ascii="宋体" w:hAnsi="宋体"/>
          <w:bCs/>
          <w:color w:val="000000"/>
          <w:sz w:val="24"/>
          <w:szCs w:val="24"/>
        </w:rPr>
      </w:pPr>
    </w:p>
    <w:p>
      <w:pPr>
        <w:autoSpaceDE w:val="0"/>
        <w:autoSpaceDN w:val="0"/>
        <w:adjustRightInd w:val="0"/>
        <w:spacing w:line="360" w:lineRule="auto"/>
        <w:jc w:val="both"/>
        <w:outlineLvl w:val="0"/>
        <w:rPr>
          <w:rFonts w:ascii="宋体" w:hAnsi="宋体"/>
          <w:bCs/>
          <w:color w:val="000000"/>
          <w:sz w:val="24"/>
          <w:szCs w:val="24"/>
        </w:rPr>
      </w:pPr>
    </w:p>
    <w:p>
      <w:pPr>
        <w:pStyle w:val="2"/>
        <w:rPr>
          <w:rFonts w:ascii="宋体" w:hAnsi="宋体"/>
          <w:bCs/>
          <w:color w:val="000000"/>
          <w:sz w:val="24"/>
          <w:szCs w:val="24"/>
        </w:rPr>
      </w:pPr>
    </w:p>
    <w:p>
      <w:pPr>
        <w:pStyle w:val="2"/>
        <w:rPr>
          <w:rFonts w:ascii="宋体" w:hAnsi="宋体"/>
          <w:bCs/>
          <w:color w:val="000000"/>
          <w:sz w:val="24"/>
          <w:szCs w:val="24"/>
        </w:rPr>
      </w:pPr>
    </w:p>
    <w:p>
      <w:pPr>
        <w:pStyle w:val="2"/>
        <w:rPr>
          <w:rFonts w:ascii="宋体" w:hAnsi="宋体"/>
          <w:bCs/>
          <w:color w:val="000000"/>
          <w:sz w:val="24"/>
          <w:szCs w:val="24"/>
        </w:rPr>
      </w:pPr>
    </w:p>
    <w:p>
      <w:pPr>
        <w:pStyle w:val="2"/>
        <w:rPr>
          <w:rFonts w:ascii="宋体" w:hAnsi="宋体"/>
          <w:bCs/>
          <w:color w:val="000000"/>
          <w:sz w:val="24"/>
          <w:szCs w:val="24"/>
        </w:rPr>
      </w:pPr>
    </w:p>
    <w:p>
      <w:pPr>
        <w:autoSpaceDE w:val="0"/>
        <w:autoSpaceDN w:val="0"/>
        <w:adjustRightInd w:val="0"/>
        <w:spacing w:line="360" w:lineRule="auto"/>
        <w:jc w:val="center"/>
        <w:outlineLvl w:val="0"/>
        <w:rPr>
          <w:rFonts w:ascii="宋体" w:hAnsi="宋体"/>
          <w:bCs/>
          <w:color w:val="000000"/>
          <w:sz w:val="24"/>
          <w:szCs w:val="24"/>
        </w:rPr>
      </w:pPr>
    </w:p>
    <w:p>
      <w:pPr>
        <w:autoSpaceDE w:val="0"/>
        <w:autoSpaceDN w:val="0"/>
        <w:adjustRightInd w:val="0"/>
        <w:spacing w:line="360" w:lineRule="auto"/>
        <w:jc w:val="center"/>
        <w:outlineLvl w:val="0"/>
        <w:rPr>
          <w:rFonts w:ascii="宋体" w:hAnsi="宋体"/>
          <w:bCs/>
          <w:color w:val="000000"/>
          <w:sz w:val="24"/>
          <w:szCs w:val="24"/>
        </w:rPr>
      </w:pPr>
    </w:p>
    <w:p>
      <w:pPr>
        <w:autoSpaceDE w:val="0"/>
        <w:autoSpaceDN w:val="0"/>
        <w:adjustRightInd w:val="0"/>
        <w:spacing w:line="360" w:lineRule="auto"/>
        <w:jc w:val="center"/>
        <w:outlineLvl w:val="0"/>
        <w:rPr>
          <w:rFonts w:hint="eastAsia" w:ascii="宋体" w:hAnsi="宋体"/>
          <w:bCs/>
          <w:color w:val="000000"/>
          <w:sz w:val="24"/>
          <w:szCs w:val="24"/>
        </w:rPr>
      </w:pPr>
    </w:p>
    <w:p>
      <w:pPr>
        <w:autoSpaceDE w:val="0"/>
        <w:autoSpaceDN w:val="0"/>
        <w:adjustRightInd w:val="0"/>
        <w:spacing w:line="360" w:lineRule="auto"/>
        <w:jc w:val="center"/>
        <w:outlineLvl w:val="0"/>
        <w:rPr>
          <w:rFonts w:hint="eastAsia" w:ascii="宋体" w:hAnsi="宋体"/>
          <w:bCs/>
          <w:color w:val="000000"/>
          <w:sz w:val="24"/>
          <w:szCs w:val="24"/>
        </w:rPr>
      </w:pPr>
      <w:r>
        <w:rPr>
          <w:rFonts w:hint="eastAsia" w:ascii="宋体" w:hAnsi="宋体"/>
          <w:bCs/>
          <w:color w:val="000000"/>
          <w:sz w:val="24"/>
          <w:szCs w:val="24"/>
        </w:rPr>
        <w:t>3.1本项目</w:t>
      </w:r>
      <w:r>
        <w:rPr>
          <w:rFonts w:hint="eastAsia" w:ascii="宋体" w:hAnsi="宋体"/>
          <w:bCs/>
          <w:color w:val="000000"/>
          <w:sz w:val="24"/>
          <w:szCs w:val="24"/>
          <w:lang w:eastAsia="zh-CN"/>
        </w:rPr>
        <w:t>组成</w:t>
      </w:r>
      <w:r>
        <w:rPr>
          <w:rFonts w:hint="eastAsia" w:ascii="宋体" w:hAnsi="宋体"/>
          <w:bCs/>
          <w:color w:val="000000"/>
          <w:sz w:val="24"/>
          <w:szCs w:val="24"/>
        </w:rPr>
        <w:t>人员情况一览表</w:t>
      </w:r>
    </w:p>
    <w:p>
      <w:pPr>
        <w:tabs>
          <w:tab w:val="left" w:pos="525"/>
          <w:tab w:val="left" w:pos="1155"/>
        </w:tabs>
        <w:adjustRightInd w:val="0"/>
        <w:spacing w:line="500" w:lineRule="exact"/>
        <w:ind w:left="103"/>
        <w:jc w:val="center"/>
        <w:rPr>
          <w:rFonts w:ascii="宋体" w:hAnsi="宋体"/>
          <w:b/>
          <w:szCs w:val="28"/>
        </w:rPr>
      </w:pPr>
    </w:p>
    <w:tbl>
      <w:tblPr>
        <w:tblStyle w:val="25"/>
        <w:tblW w:w="9086" w:type="dxa"/>
        <w:tblInd w:w="2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054"/>
        <w:gridCol w:w="739"/>
        <w:gridCol w:w="762"/>
        <w:gridCol w:w="763"/>
        <w:gridCol w:w="1192"/>
        <w:gridCol w:w="1287"/>
        <w:gridCol w:w="1278"/>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715" w:type="dxa"/>
            <w:vAlign w:val="center"/>
          </w:tcPr>
          <w:p>
            <w:pPr>
              <w:tabs>
                <w:tab w:val="left" w:pos="525"/>
                <w:tab w:val="left" w:pos="1155"/>
              </w:tabs>
              <w:adjustRightInd w:val="0"/>
              <w:spacing w:line="500" w:lineRule="exact"/>
              <w:jc w:val="center"/>
              <w:rPr>
                <w:rFonts w:ascii="宋体" w:hAnsi="宋体"/>
                <w:sz w:val="24"/>
              </w:rPr>
            </w:pPr>
            <w:r>
              <w:rPr>
                <w:rFonts w:hint="eastAsia" w:ascii="宋体" w:hAnsi="宋体"/>
                <w:sz w:val="24"/>
              </w:rPr>
              <w:t>序号</w:t>
            </w:r>
          </w:p>
        </w:tc>
        <w:tc>
          <w:tcPr>
            <w:tcW w:w="1054" w:type="dxa"/>
            <w:vAlign w:val="center"/>
          </w:tcPr>
          <w:p>
            <w:pPr>
              <w:tabs>
                <w:tab w:val="left" w:pos="525"/>
                <w:tab w:val="left" w:pos="1155"/>
              </w:tabs>
              <w:adjustRightInd w:val="0"/>
              <w:spacing w:line="500" w:lineRule="exact"/>
              <w:jc w:val="center"/>
              <w:rPr>
                <w:rFonts w:ascii="宋体" w:hAnsi="宋体"/>
                <w:sz w:val="24"/>
              </w:rPr>
            </w:pPr>
            <w:r>
              <w:rPr>
                <w:rFonts w:hint="eastAsia" w:ascii="宋体" w:hAnsi="宋体"/>
                <w:sz w:val="24"/>
              </w:rPr>
              <w:t>姓名</w:t>
            </w:r>
          </w:p>
        </w:tc>
        <w:tc>
          <w:tcPr>
            <w:tcW w:w="739" w:type="dxa"/>
            <w:vAlign w:val="center"/>
          </w:tcPr>
          <w:p>
            <w:pPr>
              <w:tabs>
                <w:tab w:val="left" w:pos="525"/>
                <w:tab w:val="left" w:pos="1155"/>
              </w:tabs>
              <w:adjustRightInd w:val="0"/>
              <w:spacing w:line="500" w:lineRule="exact"/>
              <w:jc w:val="center"/>
              <w:rPr>
                <w:rFonts w:ascii="宋体" w:hAnsi="宋体"/>
                <w:sz w:val="24"/>
              </w:rPr>
            </w:pPr>
            <w:r>
              <w:rPr>
                <w:rFonts w:hint="eastAsia" w:ascii="宋体" w:hAnsi="宋体"/>
                <w:sz w:val="24"/>
              </w:rPr>
              <w:t>性别</w:t>
            </w:r>
          </w:p>
        </w:tc>
        <w:tc>
          <w:tcPr>
            <w:tcW w:w="762" w:type="dxa"/>
            <w:vAlign w:val="center"/>
          </w:tcPr>
          <w:p>
            <w:pPr>
              <w:tabs>
                <w:tab w:val="left" w:pos="525"/>
                <w:tab w:val="left" w:pos="1155"/>
              </w:tabs>
              <w:adjustRightInd w:val="0"/>
              <w:spacing w:line="500" w:lineRule="exact"/>
              <w:jc w:val="center"/>
              <w:rPr>
                <w:rFonts w:ascii="宋体" w:hAnsi="宋体"/>
                <w:sz w:val="24"/>
              </w:rPr>
            </w:pPr>
            <w:r>
              <w:rPr>
                <w:rFonts w:hint="eastAsia" w:ascii="宋体" w:hAnsi="宋体"/>
                <w:sz w:val="24"/>
              </w:rPr>
              <w:t>年龄</w:t>
            </w:r>
          </w:p>
        </w:tc>
        <w:tc>
          <w:tcPr>
            <w:tcW w:w="763" w:type="dxa"/>
            <w:vAlign w:val="center"/>
          </w:tcPr>
          <w:p>
            <w:pPr>
              <w:tabs>
                <w:tab w:val="left" w:pos="525"/>
                <w:tab w:val="left" w:pos="1155"/>
              </w:tabs>
              <w:adjustRightInd w:val="0"/>
              <w:spacing w:line="500" w:lineRule="exact"/>
              <w:jc w:val="center"/>
              <w:rPr>
                <w:rFonts w:ascii="宋体" w:hAnsi="宋体"/>
                <w:sz w:val="24"/>
              </w:rPr>
            </w:pPr>
            <w:r>
              <w:rPr>
                <w:rFonts w:hint="eastAsia" w:ascii="宋体" w:hAnsi="宋体"/>
                <w:sz w:val="24"/>
              </w:rPr>
              <w:t>学历</w:t>
            </w:r>
          </w:p>
        </w:tc>
        <w:tc>
          <w:tcPr>
            <w:tcW w:w="1192" w:type="dxa"/>
            <w:vAlign w:val="center"/>
          </w:tcPr>
          <w:p>
            <w:pPr>
              <w:tabs>
                <w:tab w:val="left" w:pos="525"/>
                <w:tab w:val="left" w:pos="1155"/>
              </w:tabs>
              <w:adjustRightInd w:val="0"/>
              <w:spacing w:line="500" w:lineRule="exact"/>
              <w:jc w:val="center"/>
              <w:rPr>
                <w:rFonts w:ascii="宋体" w:hAnsi="宋体"/>
                <w:sz w:val="24"/>
              </w:rPr>
            </w:pPr>
            <w:r>
              <w:rPr>
                <w:rFonts w:hint="eastAsia" w:ascii="宋体" w:hAnsi="宋体"/>
                <w:sz w:val="24"/>
              </w:rPr>
              <w:t>职称或</w:t>
            </w:r>
          </w:p>
          <w:p>
            <w:pPr>
              <w:tabs>
                <w:tab w:val="left" w:pos="525"/>
                <w:tab w:val="left" w:pos="1155"/>
              </w:tabs>
              <w:adjustRightInd w:val="0"/>
              <w:spacing w:line="500" w:lineRule="exact"/>
              <w:jc w:val="center"/>
              <w:rPr>
                <w:rFonts w:ascii="宋体" w:hAnsi="宋体"/>
                <w:sz w:val="24"/>
              </w:rPr>
            </w:pPr>
            <w:r>
              <w:rPr>
                <w:rFonts w:hint="eastAsia" w:ascii="宋体" w:hAnsi="宋体"/>
                <w:sz w:val="24"/>
              </w:rPr>
              <w:t>资格证书</w:t>
            </w:r>
          </w:p>
        </w:tc>
        <w:tc>
          <w:tcPr>
            <w:tcW w:w="1287" w:type="dxa"/>
            <w:vAlign w:val="center"/>
          </w:tcPr>
          <w:p>
            <w:pPr>
              <w:tabs>
                <w:tab w:val="left" w:pos="525"/>
                <w:tab w:val="left" w:pos="1155"/>
              </w:tabs>
              <w:adjustRightInd w:val="0"/>
              <w:spacing w:line="500" w:lineRule="exact"/>
              <w:jc w:val="center"/>
              <w:rPr>
                <w:rFonts w:ascii="宋体" w:hAnsi="宋体"/>
                <w:sz w:val="24"/>
              </w:rPr>
            </w:pPr>
            <w:r>
              <w:rPr>
                <w:rFonts w:hint="eastAsia" w:ascii="宋体" w:hAnsi="宋体"/>
                <w:sz w:val="24"/>
              </w:rPr>
              <w:t>从事工作时间</w:t>
            </w:r>
          </w:p>
        </w:tc>
        <w:tc>
          <w:tcPr>
            <w:tcW w:w="1278" w:type="dxa"/>
            <w:vAlign w:val="center"/>
          </w:tcPr>
          <w:p>
            <w:pPr>
              <w:tabs>
                <w:tab w:val="left" w:pos="525"/>
                <w:tab w:val="left" w:pos="1155"/>
              </w:tabs>
              <w:adjustRightInd w:val="0"/>
              <w:spacing w:line="500" w:lineRule="exact"/>
              <w:jc w:val="center"/>
              <w:rPr>
                <w:rFonts w:ascii="宋体" w:hAnsi="宋体"/>
                <w:sz w:val="24"/>
              </w:rPr>
            </w:pPr>
            <w:r>
              <w:rPr>
                <w:rFonts w:hint="eastAsia" w:ascii="宋体" w:hAnsi="宋体"/>
                <w:sz w:val="24"/>
              </w:rPr>
              <w:t>拟任职务</w:t>
            </w:r>
          </w:p>
        </w:tc>
        <w:tc>
          <w:tcPr>
            <w:tcW w:w="1296" w:type="dxa"/>
            <w:vAlign w:val="center"/>
          </w:tcPr>
          <w:p>
            <w:pPr>
              <w:tabs>
                <w:tab w:val="left" w:pos="525"/>
                <w:tab w:val="left" w:pos="1155"/>
              </w:tabs>
              <w:adjustRightInd w:val="0"/>
              <w:spacing w:line="500" w:lineRule="exact"/>
              <w:jc w:val="center"/>
              <w:rPr>
                <w:rFonts w:ascii="宋体" w:hAnsi="宋体"/>
                <w:sz w:val="24"/>
              </w:rPr>
            </w:pPr>
            <w:r>
              <w:rPr>
                <w:rFonts w:hint="eastAsia" w:ascii="宋体" w:hAnsi="宋体"/>
                <w:sz w:val="24"/>
              </w:rPr>
              <w:t>注册情况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715" w:type="dxa"/>
            <w:vAlign w:val="center"/>
          </w:tcPr>
          <w:p>
            <w:pPr>
              <w:tabs>
                <w:tab w:val="left" w:pos="525"/>
                <w:tab w:val="left" w:pos="1155"/>
              </w:tabs>
              <w:adjustRightInd w:val="0"/>
              <w:spacing w:line="500" w:lineRule="exact"/>
              <w:jc w:val="center"/>
              <w:rPr>
                <w:rFonts w:ascii="宋体" w:hAnsi="宋体"/>
                <w:szCs w:val="28"/>
              </w:rPr>
            </w:pPr>
          </w:p>
        </w:tc>
        <w:tc>
          <w:tcPr>
            <w:tcW w:w="1054" w:type="dxa"/>
            <w:vAlign w:val="center"/>
          </w:tcPr>
          <w:p>
            <w:pPr>
              <w:tabs>
                <w:tab w:val="left" w:pos="525"/>
                <w:tab w:val="left" w:pos="1155"/>
              </w:tabs>
              <w:adjustRightInd w:val="0"/>
              <w:spacing w:line="500" w:lineRule="exact"/>
              <w:jc w:val="center"/>
              <w:rPr>
                <w:rFonts w:ascii="宋体" w:hAnsi="宋体"/>
                <w:szCs w:val="28"/>
              </w:rPr>
            </w:pPr>
          </w:p>
        </w:tc>
        <w:tc>
          <w:tcPr>
            <w:tcW w:w="739" w:type="dxa"/>
            <w:vAlign w:val="top"/>
          </w:tcPr>
          <w:p>
            <w:pPr>
              <w:tabs>
                <w:tab w:val="left" w:pos="525"/>
                <w:tab w:val="left" w:pos="1155"/>
              </w:tabs>
              <w:adjustRightInd w:val="0"/>
              <w:spacing w:line="500" w:lineRule="exact"/>
              <w:jc w:val="center"/>
              <w:rPr>
                <w:rFonts w:ascii="宋体" w:hAnsi="宋体"/>
                <w:szCs w:val="28"/>
              </w:rPr>
            </w:pPr>
          </w:p>
        </w:tc>
        <w:tc>
          <w:tcPr>
            <w:tcW w:w="762" w:type="dxa"/>
            <w:vAlign w:val="center"/>
          </w:tcPr>
          <w:p>
            <w:pPr>
              <w:tabs>
                <w:tab w:val="left" w:pos="525"/>
                <w:tab w:val="left" w:pos="1155"/>
              </w:tabs>
              <w:adjustRightInd w:val="0"/>
              <w:spacing w:line="500" w:lineRule="exact"/>
              <w:jc w:val="center"/>
              <w:rPr>
                <w:rFonts w:ascii="宋体" w:hAnsi="宋体"/>
                <w:szCs w:val="28"/>
              </w:rPr>
            </w:pPr>
          </w:p>
        </w:tc>
        <w:tc>
          <w:tcPr>
            <w:tcW w:w="763" w:type="dxa"/>
            <w:vAlign w:val="center"/>
          </w:tcPr>
          <w:p>
            <w:pPr>
              <w:tabs>
                <w:tab w:val="left" w:pos="525"/>
                <w:tab w:val="left" w:pos="1155"/>
              </w:tabs>
              <w:adjustRightInd w:val="0"/>
              <w:spacing w:line="500" w:lineRule="exact"/>
              <w:jc w:val="center"/>
              <w:rPr>
                <w:rFonts w:ascii="宋体" w:hAnsi="宋体"/>
                <w:szCs w:val="28"/>
              </w:rPr>
            </w:pPr>
          </w:p>
        </w:tc>
        <w:tc>
          <w:tcPr>
            <w:tcW w:w="1192" w:type="dxa"/>
            <w:vAlign w:val="center"/>
          </w:tcPr>
          <w:p>
            <w:pPr>
              <w:tabs>
                <w:tab w:val="left" w:pos="525"/>
                <w:tab w:val="left" w:pos="1155"/>
              </w:tabs>
              <w:adjustRightInd w:val="0"/>
              <w:spacing w:line="500" w:lineRule="exact"/>
              <w:jc w:val="center"/>
              <w:rPr>
                <w:rFonts w:ascii="宋体" w:hAnsi="宋体"/>
                <w:szCs w:val="28"/>
              </w:rPr>
            </w:pPr>
          </w:p>
        </w:tc>
        <w:tc>
          <w:tcPr>
            <w:tcW w:w="1287" w:type="dxa"/>
            <w:vAlign w:val="center"/>
          </w:tcPr>
          <w:p>
            <w:pPr>
              <w:tabs>
                <w:tab w:val="left" w:pos="525"/>
                <w:tab w:val="left" w:pos="1155"/>
              </w:tabs>
              <w:adjustRightInd w:val="0"/>
              <w:spacing w:line="500" w:lineRule="exact"/>
              <w:jc w:val="center"/>
              <w:rPr>
                <w:rFonts w:ascii="宋体" w:hAnsi="宋体"/>
                <w:szCs w:val="28"/>
              </w:rPr>
            </w:pPr>
          </w:p>
        </w:tc>
        <w:tc>
          <w:tcPr>
            <w:tcW w:w="1278" w:type="dxa"/>
            <w:vAlign w:val="center"/>
          </w:tcPr>
          <w:p>
            <w:pPr>
              <w:tabs>
                <w:tab w:val="left" w:pos="525"/>
                <w:tab w:val="left" w:pos="1155"/>
              </w:tabs>
              <w:adjustRightInd w:val="0"/>
              <w:spacing w:line="500" w:lineRule="exact"/>
              <w:jc w:val="center"/>
              <w:rPr>
                <w:rFonts w:ascii="宋体" w:hAnsi="宋体"/>
                <w:szCs w:val="28"/>
              </w:rPr>
            </w:pPr>
          </w:p>
        </w:tc>
        <w:tc>
          <w:tcPr>
            <w:tcW w:w="1296" w:type="dxa"/>
            <w:vAlign w:val="center"/>
          </w:tcPr>
          <w:p>
            <w:pPr>
              <w:tabs>
                <w:tab w:val="left" w:pos="525"/>
                <w:tab w:val="left" w:pos="1155"/>
              </w:tabs>
              <w:adjustRightInd w:val="0"/>
              <w:spacing w:line="500" w:lineRule="exact"/>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715" w:type="dxa"/>
            <w:vAlign w:val="center"/>
          </w:tcPr>
          <w:p>
            <w:pPr>
              <w:tabs>
                <w:tab w:val="left" w:pos="525"/>
                <w:tab w:val="left" w:pos="1155"/>
              </w:tabs>
              <w:adjustRightInd w:val="0"/>
              <w:spacing w:line="500" w:lineRule="exact"/>
              <w:jc w:val="center"/>
              <w:rPr>
                <w:rFonts w:ascii="宋体" w:hAnsi="宋体"/>
                <w:szCs w:val="28"/>
              </w:rPr>
            </w:pPr>
          </w:p>
        </w:tc>
        <w:tc>
          <w:tcPr>
            <w:tcW w:w="1054" w:type="dxa"/>
            <w:vAlign w:val="center"/>
          </w:tcPr>
          <w:p>
            <w:pPr>
              <w:tabs>
                <w:tab w:val="left" w:pos="525"/>
                <w:tab w:val="left" w:pos="1155"/>
              </w:tabs>
              <w:adjustRightInd w:val="0"/>
              <w:spacing w:line="500" w:lineRule="exact"/>
              <w:jc w:val="center"/>
              <w:rPr>
                <w:rFonts w:ascii="宋体" w:hAnsi="宋体"/>
                <w:szCs w:val="28"/>
              </w:rPr>
            </w:pPr>
          </w:p>
        </w:tc>
        <w:tc>
          <w:tcPr>
            <w:tcW w:w="739" w:type="dxa"/>
            <w:vAlign w:val="top"/>
          </w:tcPr>
          <w:p>
            <w:pPr>
              <w:tabs>
                <w:tab w:val="left" w:pos="525"/>
                <w:tab w:val="left" w:pos="1155"/>
              </w:tabs>
              <w:adjustRightInd w:val="0"/>
              <w:spacing w:line="500" w:lineRule="exact"/>
              <w:jc w:val="center"/>
              <w:rPr>
                <w:rFonts w:ascii="宋体" w:hAnsi="宋体"/>
                <w:szCs w:val="28"/>
              </w:rPr>
            </w:pPr>
          </w:p>
        </w:tc>
        <w:tc>
          <w:tcPr>
            <w:tcW w:w="762" w:type="dxa"/>
            <w:vAlign w:val="center"/>
          </w:tcPr>
          <w:p>
            <w:pPr>
              <w:tabs>
                <w:tab w:val="left" w:pos="525"/>
                <w:tab w:val="left" w:pos="1155"/>
              </w:tabs>
              <w:adjustRightInd w:val="0"/>
              <w:spacing w:line="500" w:lineRule="exact"/>
              <w:jc w:val="center"/>
              <w:rPr>
                <w:rFonts w:ascii="宋体" w:hAnsi="宋体"/>
                <w:szCs w:val="28"/>
              </w:rPr>
            </w:pPr>
          </w:p>
        </w:tc>
        <w:tc>
          <w:tcPr>
            <w:tcW w:w="763" w:type="dxa"/>
            <w:vAlign w:val="center"/>
          </w:tcPr>
          <w:p>
            <w:pPr>
              <w:tabs>
                <w:tab w:val="left" w:pos="525"/>
                <w:tab w:val="left" w:pos="1155"/>
              </w:tabs>
              <w:adjustRightInd w:val="0"/>
              <w:spacing w:line="500" w:lineRule="exact"/>
              <w:jc w:val="center"/>
              <w:rPr>
                <w:rFonts w:ascii="宋体" w:hAnsi="宋体"/>
                <w:szCs w:val="28"/>
              </w:rPr>
            </w:pPr>
          </w:p>
        </w:tc>
        <w:tc>
          <w:tcPr>
            <w:tcW w:w="1192" w:type="dxa"/>
            <w:vAlign w:val="center"/>
          </w:tcPr>
          <w:p>
            <w:pPr>
              <w:tabs>
                <w:tab w:val="left" w:pos="525"/>
                <w:tab w:val="left" w:pos="1155"/>
              </w:tabs>
              <w:adjustRightInd w:val="0"/>
              <w:spacing w:line="500" w:lineRule="exact"/>
              <w:jc w:val="center"/>
              <w:rPr>
                <w:rFonts w:ascii="宋体" w:hAnsi="宋体"/>
                <w:szCs w:val="28"/>
              </w:rPr>
            </w:pPr>
          </w:p>
        </w:tc>
        <w:tc>
          <w:tcPr>
            <w:tcW w:w="1287" w:type="dxa"/>
            <w:vAlign w:val="center"/>
          </w:tcPr>
          <w:p>
            <w:pPr>
              <w:tabs>
                <w:tab w:val="left" w:pos="525"/>
                <w:tab w:val="left" w:pos="1155"/>
              </w:tabs>
              <w:adjustRightInd w:val="0"/>
              <w:spacing w:line="500" w:lineRule="exact"/>
              <w:jc w:val="center"/>
              <w:rPr>
                <w:rFonts w:ascii="宋体" w:hAnsi="宋体"/>
                <w:szCs w:val="28"/>
              </w:rPr>
            </w:pPr>
          </w:p>
        </w:tc>
        <w:tc>
          <w:tcPr>
            <w:tcW w:w="1278" w:type="dxa"/>
            <w:vAlign w:val="center"/>
          </w:tcPr>
          <w:p>
            <w:pPr>
              <w:tabs>
                <w:tab w:val="left" w:pos="525"/>
                <w:tab w:val="left" w:pos="1155"/>
              </w:tabs>
              <w:adjustRightInd w:val="0"/>
              <w:spacing w:line="500" w:lineRule="exact"/>
              <w:jc w:val="center"/>
              <w:rPr>
                <w:rFonts w:ascii="宋体" w:hAnsi="宋体"/>
                <w:szCs w:val="28"/>
              </w:rPr>
            </w:pPr>
          </w:p>
        </w:tc>
        <w:tc>
          <w:tcPr>
            <w:tcW w:w="1296" w:type="dxa"/>
            <w:vAlign w:val="center"/>
          </w:tcPr>
          <w:p>
            <w:pPr>
              <w:tabs>
                <w:tab w:val="left" w:pos="525"/>
                <w:tab w:val="left" w:pos="1155"/>
              </w:tabs>
              <w:adjustRightInd w:val="0"/>
              <w:spacing w:line="500" w:lineRule="exact"/>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715" w:type="dxa"/>
            <w:vAlign w:val="center"/>
          </w:tcPr>
          <w:p>
            <w:pPr>
              <w:tabs>
                <w:tab w:val="left" w:pos="525"/>
                <w:tab w:val="left" w:pos="1155"/>
              </w:tabs>
              <w:adjustRightInd w:val="0"/>
              <w:spacing w:line="500" w:lineRule="exact"/>
              <w:jc w:val="center"/>
              <w:rPr>
                <w:rFonts w:ascii="宋体" w:hAnsi="宋体"/>
                <w:szCs w:val="28"/>
              </w:rPr>
            </w:pPr>
          </w:p>
        </w:tc>
        <w:tc>
          <w:tcPr>
            <w:tcW w:w="1054" w:type="dxa"/>
            <w:vAlign w:val="center"/>
          </w:tcPr>
          <w:p>
            <w:pPr>
              <w:tabs>
                <w:tab w:val="left" w:pos="525"/>
                <w:tab w:val="left" w:pos="1155"/>
              </w:tabs>
              <w:adjustRightInd w:val="0"/>
              <w:spacing w:line="500" w:lineRule="exact"/>
              <w:jc w:val="center"/>
              <w:rPr>
                <w:rFonts w:ascii="宋体" w:hAnsi="宋体"/>
                <w:szCs w:val="28"/>
              </w:rPr>
            </w:pPr>
          </w:p>
        </w:tc>
        <w:tc>
          <w:tcPr>
            <w:tcW w:w="739" w:type="dxa"/>
            <w:vAlign w:val="top"/>
          </w:tcPr>
          <w:p>
            <w:pPr>
              <w:tabs>
                <w:tab w:val="left" w:pos="525"/>
                <w:tab w:val="left" w:pos="1155"/>
              </w:tabs>
              <w:adjustRightInd w:val="0"/>
              <w:spacing w:line="500" w:lineRule="exact"/>
              <w:jc w:val="center"/>
              <w:rPr>
                <w:rFonts w:ascii="宋体" w:hAnsi="宋体"/>
                <w:szCs w:val="28"/>
              </w:rPr>
            </w:pPr>
          </w:p>
        </w:tc>
        <w:tc>
          <w:tcPr>
            <w:tcW w:w="762" w:type="dxa"/>
            <w:vAlign w:val="center"/>
          </w:tcPr>
          <w:p>
            <w:pPr>
              <w:tabs>
                <w:tab w:val="left" w:pos="525"/>
                <w:tab w:val="left" w:pos="1155"/>
              </w:tabs>
              <w:adjustRightInd w:val="0"/>
              <w:spacing w:line="500" w:lineRule="exact"/>
              <w:jc w:val="center"/>
              <w:rPr>
                <w:rFonts w:ascii="宋体" w:hAnsi="宋体"/>
                <w:szCs w:val="28"/>
              </w:rPr>
            </w:pPr>
          </w:p>
        </w:tc>
        <w:tc>
          <w:tcPr>
            <w:tcW w:w="763" w:type="dxa"/>
            <w:vAlign w:val="center"/>
          </w:tcPr>
          <w:p>
            <w:pPr>
              <w:tabs>
                <w:tab w:val="left" w:pos="525"/>
                <w:tab w:val="left" w:pos="1155"/>
              </w:tabs>
              <w:adjustRightInd w:val="0"/>
              <w:spacing w:line="500" w:lineRule="exact"/>
              <w:jc w:val="center"/>
              <w:rPr>
                <w:rFonts w:ascii="宋体" w:hAnsi="宋体"/>
                <w:szCs w:val="28"/>
              </w:rPr>
            </w:pPr>
          </w:p>
        </w:tc>
        <w:tc>
          <w:tcPr>
            <w:tcW w:w="1192" w:type="dxa"/>
            <w:vAlign w:val="center"/>
          </w:tcPr>
          <w:p>
            <w:pPr>
              <w:tabs>
                <w:tab w:val="left" w:pos="525"/>
                <w:tab w:val="left" w:pos="1155"/>
              </w:tabs>
              <w:adjustRightInd w:val="0"/>
              <w:spacing w:line="500" w:lineRule="exact"/>
              <w:jc w:val="center"/>
              <w:rPr>
                <w:rFonts w:ascii="宋体" w:hAnsi="宋体"/>
                <w:szCs w:val="28"/>
              </w:rPr>
            </w:pPr>
          </w:p>
        </w:tc>
        <w:tc>
          <w:tcPr>
            <w:tcW w:w="1287" w:type="dxa"/>
            <w:vAlign w:val="center"/>
          </w:tcPr>
          <w:p>
            <w:pPr>
              <w:tabs>
                <w:tab w:val="left" w:pos="525"/>
                <w:tab w:val="left" w:pos="1155"/>
              </w:tabs>
              <w:adjustRightInd w:val="0"/>
              <w:spacing w:line="500" w:lineRule="exact"/>
              <w:jc w:val="center"/>
              <w:rPr>
                <w:rFonts w:ascii="宋体" w:hAnsi="宋体"/>
                <w:szCs w:val="28"/>
              </w:rPr>
            </w:pPr>
          </w:p>
        </w:tc>
        <w:tc>
          <w:tcPr>
            <w:tcW w:w="1278" w:type="dxa"/>
            <w:vAlign w:val="center"/>
          </w:tcPr>
          <w:p>
            <w:pPr>
              <w:tabs>
                <w:tab w:val="left" w:pos="525"/>
                <w:tab w:val="left" w:pos="1155"/>
              </w:tabs>
              <w:adjustRightInd w:val="0"/>
              <w:spacing w:line="500" w:lineRule="exact"/>
              <w:jc w:val="center"/>
              <w:rPr>
                <w:rFonts w:ascii="宋体" w:hAnsi="宋体"/>
                <w:szCs w:val="28"/>
              </w:rPr>
            </w:pPr>
          </w:p>
        </w:tc>
        <w:tc>
          <w:tcPr>
            <w:tcW w:w="1296" w:type="dxa"/>
            <w:vAlign w:val="center"/>
          </w:tcPr>
          <w:p>
            <w:pPr>
              <w:tabs>
                <w:tab w:val="left" w:pos="525"/>
                <w:tab w:val="left" w:pos="1155"/>
              </w:tabs>
              <w:adjustRightInd w:val="0"/>
              <w:spacing w:line="500" w:lineRule="exact"/>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715" w:type="dxa"/>
            <w:vAlign w:val="center"/>
          </w:tcPr>
          <w:p>
            <w:pPr>
              <w:tabs>
                <w:tab w:val="left" w:pos="525"/>
                <w:tab w:val="left" w:pos="1155"/>
              </w:tabs>
              <w:adjustRightInd w:val="0"/>
              <w:spacing w:line="500" w:lineRule="exact"/>
              <w:jc w:val="center"/>
              <w:rPr>
                <w:rFonts w:ascii="宋体" w:hAnsi="宋体"/>
                <w:szCs w:val="28"/>
              </w:rPr>
            </w:pPr>
          </w:p>
        </w:tc>
        <w:tc>
          <w:tcPr>
            <w:tcW w:w="1054" w:type="dxa"/>
            <w:vAlign w:val="center"/>
          </w:tcPr>
          <w:p>
            <w:pPr>
              <w:tabs>
                <w:tab w:val="left" w:pos="525"/>
                <w:tab w:val="left" w:pos="1155"/>
              </w:tabs>
              <w:adjustRightInd w:val="0"/>
              <w:spacing w:line="500" w:lineRule="exact"/>
              <w:jc w:val="center"/>
              <w:rPr>
                <w:rFonts w:ascii="宋体" w:hAnsi="宋体"/>
                <w:szCs w:val="28"/>
              </w:rPr>
            </w:pPr>
          </w:p>
        </w:tc>
        <w:tc>
          <w:tcPr>
            <w:tcW w:w="739" w:type="dxa"/>
            <w:vAlign w:val="top"/>
          </w:tcPr>
          <w:p>
            <w:pPr>
              <w:tabs>
                <w:tab w:val="left" w:pos="525"/>
                <w:tab w:val="left" w:pos="1155"/>
              </w:tabs>
              <w:adjustRightInd w:val="0"/>
              <w:spacing w:line="500" w:lineRule="exact"/>
              <w:jc w:val="center"/>
              <w:rPr>
                <w:rFonts w:ascii="宋体" w:hAnsi="宋体"/>
                <w:szCs w:val="28"/>
              </w:rPr>
            </w:pPr>
          </w:p>
        </w:tc>
        <w:tc>
          <w:tcPr>
            <w:tcW w:w="762" w:type="dxa"/>
            <w:vAlign w:val="center"/>
          </w:tcPr>
          <w:p>
            <w:pPr>
              <w:tabs>
                <w:tab w:val="left" w:pos="525"/>
                <w:tab w:val="left" w:pos="1155"/>
              </w:tabs>
              <w:adjustRightInd w:val="0"/>
              <w:spacing w:line="500" w:lineRule="exact"/>
              <w:jc w:val="center"/>
              <w:rPr>
                <w:rFonts w:ascii="宋体" w:hAnsi="宋体"/>
                <w:szCs w:val="28"/>
              </w:rPr>
            </w:pPr>
          </w:p>
        </w:tc>
        <w:tc>
          <w:tcPr>
            <w:tcW w:w="763" w:type="dxa"/>
            <w:vAlign w:val="center"/>
          </w:tcPr>
          <w:p>
            <w:pPr>
              <w:tabs>
                <w:tab w:val="left" w:pos="525"/>
                <w:tab w:val="left" w:pos="1155"/>
              </w:tabs>
              <w:adjustRightInd w:val="0"/>
              <w:spacing w:line="500" w:lineRule="exact"/>
              <w:jc w:val="center"/>
              <w:rPr>
                <w:rFonts w:ascii="宋体" w:hAnsi="宋体"/>
                <w:szCs w:val="28"/>
              </w:rPr>
            </w:pPr>
          </w:p>
        </w:tc>
        <w:tc>
          <w:tcPr>
            <w:tcW w:w="1192" w:type="dxa"/>
            <w:vAlign w:val="center"/>
          </w:tcPr>
          <w:p>
            <w:pPr>
              <w:tabs>
                <w:tab w:val="left" w:pos="525"/>
                <w:tab w:val="left" w:pos="1155"/>
              </w:tabs>
              <w:adjustRightInd w:val="0"/>
              <w:spacing w:line="500" w:lineRule="exact"/>
              <w:jc w:val="center"/>
              <w:rPr>
                <w:rFonts w:ascii="宋体" w:hAnsi="宋体"/>
                <w:szCs w:val="28"/>
              </w:rPr>
            </w:pPr>
          </w:p>
        </w:tc>
        <w:tc>
          <w:tcPr>
            <w:tcW w:w="1287" w:type="dxa"/>
            <w:vAlign w:val="center"/>
          </w:tcPr>
          <w:p>
            <w:pPr>
              <w:tabs>
                <w:tab w:val="left" w:pos="525"/>
                <w:tab w:val="left" w:pos="1155"/>
              </w:tabs>
              <w:adjustRightInd w:val="0"/>
              <w:spacing w:line="500" w:lineRule="exact"/>
              <w:jc w:val="center"/>
              <w:rPr>
                <w:rFonts w:ascii="宋体" w:hAnsi="宋体"/>
                <w:szCs w:val="28"/>
              </w:rPr>
            </w:pPr>
          </w:p>
        </w:tc>
        <w:tc>
          <w:tcPr>
            <w:tcW w:w="1278" w:type="dxa"/>
            <w:vAlign w:val="center"/>
          </w:tcPr>
          <w:p>
            <w:pPr>
              <w:tabs>
                <w:tab w:val="left" w:pos="525"/>
                <w:tab w:val="left" w:pos="1155"/>
              </w:tabs>
              <w:adjustRightInd w:val="0"/>
              <w:spacing w:line="500" w:lineRule="exact"/>
              <w:jc w:val="center"/>
              <w:rPr>
                <w:rFonts w:ascii="宋体" w:hAnsi="宋体"/>
                <w:szCs w:val="28"/>
              </w:rPr>
            </w:pPr>
          </w:p>
        </w:tc>
        <w:tc>
          <w:tcPr>
            <w:tcW w:w="1296" w:type="dxa"/>
            <w:vAlign w:val="center"/>
          </w:tcPr>
          <w:p>
            <w:pPr>
              <w:tabs>
                <w:tab w:val="left" w:pos="525"/>
                <w:tab w:val="left" w:pos="1155"/>
              </w:tabs>
              <w:adjustRightInd w:val="0"/>
              <w:spacing w:line="500" w:lineRule="exact"/>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715" w:type="dxa"/>
            <w:vAlign w:val="center"/>
          </w:tcPr>
          <w:p>
            <w:pPr>
              <w:tabs>
                <w:tab w:val="left" w:pos="525"/>
                <w:tab w:val="left" w:pos="1155"/>
              </w:tabs>
              <w:adjustRightInd w:val="0"/>
              <w:spacing w:line="500" w:lineRule="exact"/>
              <w:jc w:val="center"/>
              <w:rPr>
                <w:rFonts w:ascii="宋体" w:hAnsi="宋体"/>
                <w:szCs w:val="28"/>
              </w:rPr>
            </w:pPr>
          </w:p>
        </w:tc>
        <w:tc>
          <w:tcPr>
            <w:tcW w:w="1054" w:type="dxa"/>
            <w:vAlign w:val="center"/>
          </w:tcPr>
          <w:p>
            <w:pPr>
              <w:tabs>
                <w:tab w:val="left" w:pos="525"/>
                <w:tab w:val="left" w:pos="1155"/>
              </w:tabs>
              <w:adjustRightInd w:val="0"/>
              <w:spacing w:line="500" w:lineRule="exact"/>
              <w:jc w:val="center"/>
              <w:rPr>
                <w:rFonts w:ascii="宋体" w:hAnsi="宋体"/>
                <w:szCs w:val="28"/>
              </w:rPr>
            </w:pPr>
          </w:p>
        </w:tc>
        <w:tc>
          <w:tcPr>
            <w:tcW w:w="739" w:type="dxa"/>
            <w:vAlign w:val="top"/>
          </w:tcPr>
          <w:p>
            <w:pPr>
              <w:tabs>
                <w:tab w:val="left" w:pos="525"/>
                <w:tab w:val="left" w:pos="1155"/>
              </w:tabs>
              <w:adjustRightInd w:val="0"/>
              <w:spacing w:line="500" w:lineRule="exact"/>
              <w:jc w:val="center"/>
              <w:rPr>
                <w:rFonts w:ascii="宋体" w:hAnsi="宋体"/>
                <w:szCs w:val="28"/>
              </w:rPr>
            </w:pPr>
          </w:p>
        </w:tc>
        <w:tc>
          <w:tcPr>
            <w:tcW w:w="762" w:type="dxa"/>
            <w:vAlign w:val="center"/>
          </w:tcPr>
          <w:p>
            <w:pPr>
              <w:tabs>
                <w:tab w:val="left" w:pos="525"/>
                <w:tab w:val="left" w:pos="1155"/>
              </w:tabs>
              <w:adjustRightInd w:val="0"/>
              <w:spacing w:line="500" w:lineRule="exact"/>
              <w:jc w:val="center"/>
              <w:rPr>
                <w:rFonts w:ascii="宋体" w:hAnsi="宋体"/>
                <w:szCs w:val="28"/>
              </w:rPr>
            </w:pPr>
          </w:p>
        </w:tc>
        <w:tc>
          <w:tcPr>
            <w:tcW w:w="763" w:type="dxa"/>
            <w:vAlign w:val="center"/>
          </w:tcPr>
          <w:p>
            <w:pPr>
              <w:tabs>
                <w:tab w:val="left" w:pos="525"/>
                <w:tab w:val="left" w:pos="1155"/>
              </w:tabs>
              <w:adjustRightInd w:val="0"/>
              <w:spacing w:line="500" w:lineRule="exact"/>
              <w:jc w:val="center"/>
              <w:rPr>
                <w:rFonts w:ascii="宋体" w:hAnsi="宋体"/>
                <w:szCs w:val="28"/>
              </w:rPr>
            </w:pPr>
          </w:p>
        </w:tc>
        <w:tc>
          <w:tcPr>
            <w:tcW w:w="1192" w:type="dxa"/>
            <w:vAlign w:val="center"/>
          </w:tcPr>
          <w:p>
            <w:pPr>
              <w:tabs>
                <w:tab w:val="left" w:pos="525"/>
                <w:tab w:val="left" w:pos="1155"/>
              </w:tabs>
              <w:adjustRightInd w:val="0"/>
              <w:spacing w:line="500" w:lineRule="exact"/>
              <w:jc w:val="center"/>
              <w:rPr>
                <w:rFonts w:ascii="宋体" w:hAnsi="宋体"/>
                <w:szCs w:val="28"/>
              </w:rPr>
            </w:pPr>
          </w:p>
        </w:tc>
        <w:tc>
          <w:tcPr>
            <w:tcW w:w="1287" w:type="dxa"/>
            <w:vAlign w:val="center"/>
          </w:tcPr>
          <w:p>
            <w:pPr>
              <w:tabs>
                <w:tab w:val="left" w:pos="525"/>
                <w:tab w:val="left" w:pos="1155"/>
              </w:tabs>
              <w:adjustRightInd w:val="0"/>
              <w:spacing w:line="500" w:lineRule="exact"/>
              <w:jc w:val="center"/>
              <w:rPr>
                <w:rFonts w:ascii="宋体" w:hAnsi="宋体"/>
                <w:szCs w:val="28"/>
              </w:rPr>
            </w:pPr>
          </w:p>
        </w:tc>
        <w:tc>
          <w:tcPr>
            <w:tcW w:w="1278" w:type="dxa"/>
            <w:vAlign w:val="center"/>
          </w:tcPr>
          <w:p>
            <w:pPr>
              <w:tabs>
                <w:tab w:val="left" w:pos="525"/>
                <w:tab w:val="left" w:pos="1155"/>
              </w:tabs>
              <w:adjustRightInd w:val="0"/>
              <w:spacing w:line="500" w:lineRule="exact"/>
              <w:jc w:val="center"/>
              <w:rPr>
                <w:rFonts w:ascii="宋体" w:hAnsi="宋体"/>
                <w:szCs w:val="28"/>
              </w:rPr>
            </w:pPr>
          </w:p>
        </w:tc>
        <w:tc>
          <w:tcPr>
            <w:tcW w:w="1296" w:type="dxa"/>
            <w:vAlign w:val="center"/>
          </w:tcPr>
          <w:p>
            <w:pPr>
              <w:tabs>
                <w:tab w:val="left" w:pos="525"/>
                <w:tab w:val="left" w:pos="1155"/>
              </w:tabs>
              <w:adjustRightInd w:val="0"/>
              <w:spacing w:line="500" w:lineRule="exact"/>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715" w:type="dxa"/>
            <w:vAlign w:val="center"/>
          </w:tcPr>
          <w:p>
            <w:pPr>
              <w:tabs>
                <w:tab w:val="left" w:pos="525"/>
                <w:tab w:val="left" w:pos="1155"/>
              </w:tabs>
              <w:adjustRightInd w:val="0"/>
              <w:spacing w:line="500" w:lineRule="exact"/>
              <w:jc w:val="center"/>
              <w:rPr>
                <w:rFonts w:ascii="宋体" w:hAnsi="宋体"/>
                <w:szCs w:val="28"/>
              </w:rPr>
            </w:pPr>
          </w:p>
        </w:tc>
        <w:tc>
          <w:tcPr>
            <w:tcW w:w="1054" w:type="dxa"/>
            <w:vAlign w:val="center"/>
          </w:tcPr>
          <w:p>
            <w:pPr>
              <w:tabs>
                <w:tab w:val="left" w:pos="525"/>
                <w:tab w:val="left" w:pos="1155"/>
              </w:tabs>
              <w:adjustRightInd w:val="0"/>
              <w:spacing w:line="500" w:lineRule="exact"/>
              <w:jc w:val="center"/>
              <w:rPr>
                <w:rFonts w:ascii="宋体" w:hAnsi="宋体"/>
                <w:szCs w:val="28"/>
              </w:rPr>
            </w:pPr>
          </w:p>
        </w:tc>
        <w:tc>
          <w:tcPr>
            <w:tcW w:w="739" w:type="dxa"/>
            <w:vAlign w:val="top"/>
          </w:tcPr>
          <w:p>
            <w:pPr>
              <w:tabs>
                <w:tab w:val="left" w:pos="525"/>
                <w:tab w:val="left" w:pos="1155"/>
              </w:tabs>
              <w:adjustRightInd w:val="0"/>
              <w:spacing w:line="500" w:lineRule="exact"/>
              <w:jc w:val="center"/>
              <w:rPr>
                <w:rFonts w:ascii="宋体" w:hAnsi="宋体"/>
                <w:szCs w:val="28"/>
              </w:rPr>
            </w:pPr>
          </w:p>
        </w:tc>
        <w:tc>
          <w:tcPr>
            <w:tcW w:w="762" w:type="dxa"/>
            <w:vAlign w:val="center"/>
          </w:tcPr>
          <w:p>
            <w:pPr>
              <w:tabs>
                <w:tab w:val="left" w:pos="525"/>
                <w:tab w:val="left" w:pos="1155"/>
              </w:tabs>
              <w:adjustRightInd w:val="0"/>
              <w:spacing w:line="500" w:lineRule="exact"/>
              <w:jc w:val="center"/>
              <w:rPr>
                <w:rFonts w:ascii="宋体" w:hAnsi="宋体"/>
                <w:szCs w:val="28"/>
              </w:rPr>
            </w:pPr>
          </w:p>
        </w:tc>
        <w:tc>
          <w:tcPr>
            <w:tcW w:w="763" w:type="dxa"/>
            <w:vAlign w:val="center"/>
          </w:tcPr>
          <w:p>
            <w:pPr>
              <w:tabs>
                <w:tab w:val="left" w:pos="525"/>
                <w:tab w:val="left" w:pos="1155"/>
              </w:tabs>
              <w:adjustRightInd w:val="0"/>
              <w:spacing w:line="500" w:lineRule="exact"/>
              <w:jc w:val="center"/>
              <w:rPr>
                <w:rFonts w:ascii="宋体" w:hAnsi="宋体"/>
                <w:szCs w:val="28"/>
              </w:rPr>
            </w:pPr>
          </w:p>
        </w:tc>
        <w:tc>
          <w:tcPr>
            <w:tcW w:w="1192" w:type="dxa"/>
            <w:vAlign w:val="center"/>
          </w:tcPr>
          <w:p>
            <w:pPr>
              <w:tabs>
                <w:tab w:val="left" w:pos="525"/>
                <w:tab w:val="left" w:pos="1155"/>
              </w:tabs>
              <w:adjustRightInd w:val="0"/>
              <w:spacing w:line="500" w:lineRule="exact"/>
              <w:jc w:val="center"/>
              <w:rPr>
                <w:rFonts w:ascii="宋体" w:hAnsi="宋体"/>
                <w:szCs w:val="28"/>
              </w:rPr>
            </w:pPr>
          </w:p>
        </w:tc>
        <w:tc>
          <w:tcPr>
            <w:tcW w:w="1287" w:type="dxa"/>
            <w:vAlign w:val="center"/>
          </w:tcPr>
          <w:p>
            <w:pPr>
              <w:tabs>
                <w:tab w:val="left" w:pos="525"/>
                <w:tab w:val="left" w:pos="1155"/>
              </w:tabs>
              <w:adjustRightInd w:val="0"/>
              <w:spacing w:line="500" w:lineRule="exact"/>
              <w:jc w:val="center"/>
              <w:rPr>
                <w:rFonts w:ascii="宋体" w:hAnsi="宋体"/>
                <w:szCs w:val="28"/>
              </w:rPr>
            </w:pPr>
          </w:p>
        </w:tc>
        <w:tc>
          <w:tcPr>
            <w:tcW w:w="1278" w:type="dxa"/>
            <w:vAlign w:val="center"/>
          </w:tcPr>
          <w:p>
            <w:pPr>
              <w:tabs>
                <w:tab w:val="left" w:pos="525"/>
                <w:tab w:val="left" w:pos="1155"/>
              </w:tabs>
              <w:adjustRightInd w:val="0"/>
              <w:spacing w:line="500" w:lineRule="exact"/>
              <w:jc w:val="center"/>
              <w:rPr>
                <w:rFonts w:ascii="宋体" w:hAnsi="宋体"/>
                <w:szCs w:val="28"/>
              </w:rPr>
            </w:pPr>
          </w:p>
        </w:tc>
        <w:tc>
          <w:tcPr>
            <w:tcW w:w="1296" w:type="dxa"/>
            <w:vAlign w:val="center"/>
          </w:tcPr>
          <w:p>
            <w:pPr>
              <w:tabs>
                <w:tab w:val="left" w:pos="525"/>
                <w:tab w:val="left" w:pos="1155"/>
              </w:tabs>
              <w:adjustRightInd w:val="0"/>
              <w:spacing w:line="500" w:lineRule="exact"/>
              <w:jc w:val="center"/>
              <w:rPr>
                <w:rFonts w:ascii="宋体" w:hAnsi="宋体"/>
                <w:szCs w:val="28"/>
              </w:rPr>
            </w:pPr>
          </w:p>
        </w:tc>
      </w:tr>
    </w:tbl>
    <w:p>
      <w:pPr>
        <w:tabs>
          <w:tab w:val="left" w:pos="525"/>
          <w:tab w:val="left" w:pos="1155"/>
        </w:tabs>
        <w:adjustRightInd w:val="0"/>
        <w:spacing w:line="500" w:lineRule="exact"/>
        <w:rPr>
          <w:rFonts w:ascii="宋体" w:hAnsi="宋体"/>
          <w:sz w:val="24"/>
        </w:rPr>
      </w:pPr>
      <w:r>
        <w:rPr>
          <w:rFonts w:hint="eastAsia" w:ascii="宋体" w:hAnsi="宋体"/>
          <w:sz w:val="24"/>
        </w:rPr>
        <w:t>注：1、须提供项目专职人员学历证或学位证、职称证（如有）、资格证的复印件（资格证原件评标时备查）。</w:t>
      </w:r>
    </w:p>
    <w:p>
      <w:pPr>
        <w:tabs>
          <w:tab w:val="left" w:pos="525"/>
          <w:tab w:val="left" w:pos="1155"/>
        </w:tabs>
        <w:adjustRightInd w:val="0"/>
        <w:spacing w:line="500" w:lineRule="exact"/>
        <w:rPr>
          <w:rFonts w:ascii="宋体" w:hAnsi="宋体"/>
          <w:sz w:val="24"/>
        </w:rPr>
      </w:pPr>
      <w:r>
        <w:rPr>
          <w:rFonts w:hint="eastAsia" w:ascii="宋体" w:hAnsi="宋体"/>
          <w:sz w:val="24"/>
        </w:rPr>
        <w:t>2、投标人可根据实际情况自行添加表格内容。</w:t>
      </w:r>
    </w:p>
    <w:p>
      <w:pPr>
        <w:spacing w:line="360" w:lineRule="auto"/>
        <w:ind w:firstLine="5280" w:firstLineChars="2200"/>
        <w:rPr>
          <w:sz w:val="24"/>
          <w:szCs w:val="24"/>
        </w:rPr>
      </w:pPr>
      <w:r>
        <w:rPr>
          <w:rFonts w:hint="eastAsia"/>
          <w:sz w:val="24"/>
          <w:szCs w:val="24"/>
        </w:rPr>
        <w:t>投标人（盖章）：</w:t>
      </w:r>
    </w:p>
    <w:p>
      <w:pPr>
        <w:spacing w:line="360" w:lineRule="auto"/>
        <w:ind w:firstLine="5280" w:firstLineChars="2200"/>
        <w:rPr>
          <w:sz w:val="24"/>
          <w:szCs w:val="24"/>
        </w:rPr>
      </w:pPr>
      <w:r>
        <w:rPr>
          <w:rFonts w:hint="eastAsia"/>
          <w:sz w:val="24"/>
          <w:szCs w:val="24"/>
        </w:rPr>
        <w:t>法定代表人或授权委托人（签字）：</w:t>
      </w:r>
    </w:p>
    <w:p>
      <w:pPr>
        <w:spacing w:line="360" w:lineRule="auto"/>
        <w:ind w:right="480" w:firstLine="5400" w:firstLineChars="2250"/>
        <w:rPr>
          <w:sz w:val="24"/>
          <w:szCs w:val="24"/>
        </w:rPr>
      </w:pP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w:t>
      </w:r>
    </w:p>
    <w:p>
      <w:pPr>
        <w:autoSpaceDE w:val="0"/>
        <w:autoSpaceDN w:val="0"/>
        <w:adjustRightInd w:val="0"/>
        <w:spacing w:line="360" w:lineRule="auto"/>
        <w:jc w:val="center"/>
        <w:outlineLvl w:val="0"/>
        <w:rPr>
          <w:rFonts w:hint="eastAsia" w:ascii="宋体" w:hAnsi="宋体"/>
          <w:bCs/>
          <w:color w:val="000000"/>
          <w:sz w:val="24"/>
          <w:szCs w:val="24"/>
        </w:rPr>
      </w:pPr>
    </w:p>
    <w:p>
      <w:pPr>
        <w:autoSpaceDE w:val="0"/>
        <w:autoSpaceDN w:val="0"/>
        <w:adjustRightInd w:val="0"/>
        <w:spacing w:line="360" w:lineRule="auto"/>
        <w:jc w:val="center"/>
        <w:outlineLvl w:val="0"/>
        <w:rPr>
          <w:rFonts w:hint="eastAsia" w:ascii="宋体" w:hAnsi="宋体"/>
          <w:bCs/>
          <w:color w:val="000000"/>
          <w:sz w:val="24"/>
          <w:szCs w:val="24"/>
        </w:rPr>
      </w:pPr>
    </w:p>
    <w:p>
      <w:pPr>
        <w:autoSpaceDE w:val="0"/>
        <w:autoSpaceDN w:val="0"/>
        <w:adjustRightInd w:val="0"/>
        <w:spacing w:line="360" w:lineRule="auto"/>
        <w:jc w:val="center"/>
        <w:outlineLvl w:val="0"/>
        <w:rPr>
          <w:rFonts w:hint="eastAsia" w:ascii="宋体" w:hAnsi="宋体"/>
          <w:bCs/>
          <w:color w:val="000000"/>
          <w:sz w:val="24"/>
          <w:szCs w:val="24"/>
        </w:rPr>
      </w:pPr>
    </w:p>
    <w:p>
      <w:pPr>
        <w:autoSpaceDE w:val="0"/>
        <w:autoSpaceDN w:val="0"/>
        <w:adjustRightInd w:val="0"/>
        <w:spacing w:line="360" w:lineRule="auto"/>
        <w:jc w:val="center"/>
        <w:outlineLvl w:val="0"/>
        <w:rPr>
          <w:rFonts w:hint="eastAsia" w:ascii="宋体" w:hAnsi="宋体"/>
          <w:bCs/>
          <w:color w:val="000000"/>
          <w:sz w:val="24"/>
          <w:szCs w:val="24"/>
        </w:rPr>
      </w:pPr>
    </w:p>
    <w:p>
      <w:pPr>
        <w:autoSpaceDE w:val="0"/>
        <w:autoSpaceDN w:val="0"/>
        <w:adjustRightInd w:val="0"/>
        <w:spacing w:line="360" w:lineRule="auto"/>
        <w:jc w:val="center"/>
        <w:outlineLvl w:val="0"/>
        <w:rPr>
          <w:rFonts w:hint="eastAsia" w:ascii="宋体" w:hAnsi="宋体"/>
          <w:bCs/>
          <w:color w:val="000000"/>
          <w:sz w:val="24"/>
          <w:szCs w:val="24"/>
        </w:rPr>
      </w:pPr>
    </w:p>
    <w:p>
      <w:pPr>
        <w:autoSpaceDE w:val="0"/>
        <w:autoSpaceDN w:val="0"/>
        <w:adjustRightInd w:val="0"/>
        <w:spacing w:line="360" w:lineRule="auto"/>
        <w:jc w:val="center"/>
        <w:outlineLvl w:val="0"/>
        <w:rPr>
          <w:rFonts w:hint="eastAsia" w:ascii="宋体" w:hAnsi="宋体"/>
          <w:bCs/>
          <w:color w:val="000000"/>
          <w:sz w:val="24"/>
          <w:szCs w:val="24"/>
        </w:rPr>
      </w:pPr>
    </w:p>
    <w:p>
      <w:pPr>
        <w:autoSpaceDE w:val="0"/>
        <w:autoSpaceDN w:val="0"/>
        <w:adjustRightInd w:val="0"/>
        <w:spacing w:line="360" w:lineRule="auto"/>
        <w:jc w:val="center"/>
        <w:outlineLvl w:val="0"/>
        <w:rPr>
          <w:rFonts w:ascii="宋体" w:hAnsi="宋体"/>
          <w:bCs/>
          <w:color w:val="000000"/>
          <w:sz w:val="24"/>
          <w:szCs w:val="24"/>
        </w:rPr>
      </w:pPr>
      <w:r>
        <w:rPr>
          <w:rFonts w:hint="eastAsia" w:ascii="宋体" w:hAnsi="宋体"/>
          <w:bCs/>
          <w:color w:val="000000"/>
          <w:sz w:val="24"/>
          <w:szCs w:val="24"/>
        </w:rPr>
        <w:t xml:space="preserve"> 3.</w:t>
      </w:r>
      <w:r>
        <w:rPr>
          <w:rFonts w:hint="eastAsia" w:ascii="宋体" w:hAnsi="宋体"/>
          <w:bCs/>
          <w:color w:val="000000"/>
          <w:sz w:val="24"/>
          <w:szCs w:val="24"/>
          <w:lang w:val="en-US" w:eastAsia="zh-CN"/>
        </w:rPr>
        <w:t>2</w:t>
      </w:r>
      <w:r>
        <w:rPr>
          <w:rFonts w:hint="eastAsia" w:ascii="宋体" w:hAnsi="宋体"/>
          <w:bCs/>
          <w:color w:val="000000"/>
          <w:sz w:val="24"/>
          <w:szCs w:val="24"/>
        </w:rPr>
        <w:t xml:space="preserve"> 技术方案（实施方案）</w:t>
      </w:r>
    </w:p>
    <w:p>
      <w:pPr>
        <w:snapToGrid w:val="0"/>
        <w:spacing w:line="360" w:lineRule="auto"/>
        <w:jc w:val="center"/>
        <w:rPr>
          <w:rFonts w:hAnsi="宋体" w:eastAsia="宋体"/>
          <w:snapToGrid w:val="0"/>
          <w:kern w:val="0"/>
          <w:sz w:val="36"/>
          <w:szCs w:val="36"/>
        </w:rPr>
      </w:pPr>
    </w:p>
    <w:p>
      <w:pPr>
        <w:autoSpaceDE w:val="0"/>
        <w:autoSpaceDN w:val="0"/>
        <w:adjustRightInd w:val="0"/>
        <w:spacing w:line="360" w:lineRule="auto"/>
        <w:jc w:val="center"/>
        <w:rPr>
          <w:rFonts w:hAnsi="宋体" w:eastAsia="宋体"/>
          <w:snapToGrid w:val="0"/>
          <w:kern w:val="0"/>
          <w:sz w:val="36"/>
          <w:szCs w:val="36"/>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snapToGrid w:val="0"/>
          <w:kern w:val="0"/>
          <w:sz w:val="36"/>
          <w:szCs w:val="36"/>
        </w:rPr>
      </w:pPr>
    </w:p>
    <w:p>
      <w:pPr>
        <w:snapToGrid w:val="0"/>
        <w:spacing w:line="360" w:lineRule="auto"/>
        <w:jc w:val="center"/>
        <w:rPr>
          <w:rFonts w:hAnsi="宋体" w:eastAsia="宋体"/>
          <w:snapToGrid w:val="0"/>
          <w:kern w:val="0"/>
          <w:sz w:val="36"/>
          <w:szCs w:val="36"/>
        </w:rPr>
      </w:pPr>
    </w:p>
    <w:p>
      <w:pPr>
        <w:autoSpaceDE w:val="0"/>
        <w:autoSpaceDN w:val="0"/>
        <w:adjustRightInd w:val="0"/>
        <w:spacing w:line="360" w:lineRule="auto"/>
        <w:jc w:val="center"/>
        <w:outlineLvl w:val="0"/>
        <w:rPr>
          <w:rFonts w:ascii="宋体" w:hAnsi="宋体"/>
          <w:bCs/>
          <w:color w:val="000000"/>
          <w:sz w:val="24"/>
          <w:szCs w:val="24"/>
        </w:rPr>
      </w:pPr>
      <w:r>
        <w:rPr>
          <w:rFonts w:hint="eastAsia" w:ascii="宋体" w:hAnsi="宋体"/>
          <w:bCs/>
          <w:color w:val="000000"/>
          <w:sz w:val="24"/>
          <w:szCs w:val="24"/>
        </w:rPr>
        <w:t>3.</w:t>
      </w:r>
      <w:r>
        <w:rPr>
          <w:rFonts w:hint="eastAsia" w:ascii="宋体" w:hAnsi="宋体"/>
          <w:bCs/>
          <w:color w:val="000000"/>
          <w:sz w:val="24"/>
          <w:szCs w:val="24"/>
          <w:lang w:val="en-US" w:eastAsia="zh-CN"/>
        </w:rPr>
        <w:t>3</w:t>
      </w:r>
      <w:r>
        <w:rPr>
          <w:rFonts w:hint="eastAsia" w:ascii="宋体" w:hAnsi="宋体"/>
          <w:bCs/>
          <w:color w:val="000000"/>
          <w:sz w:val="24"/>
          <w:szCs w:val="24"/>
        </w:rPr>
        <w:t xml:space="preserve"> 业绩情况表</w:t>
      </w:r>
    </w:p>
    <w:p>
      <w:pPr>
        <w:autoSpaceDE w:val="0"/>
        <w:autoSpaceDN w:val="0"/>
        <w:adjustRightInd w:val="0"/>
        <w:spacing w:line="360" w:lineRule="auto"/>
        <w:jc w:val="center"/>
        <w:outlineLvl w:val="0"/>
        <w:rPr>
          <w:rFonts w:ascii="宋体" w:hAnsi="宋体"/>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snapToGrid w:val="0"/>
          <w:kern w:val="0"/>
          <w:szCs w:val="21"/>
        </w:rPr>
      </w:pPr>
      <w:r>
        <w:rPr>
          <w:rFonts w:hint="eastAsia" w:asciiTheme="minorEastAsia" w:hAnsiTheme="minorEastAsia"/>
          <w:color w:val="000000"/>
          <w:szCs w:val="21"/>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auto"/>
            <w:vAlign w:val="center"/>
          </w:tcPr>
          <w:p>
            <w:pPr>
              <w:pStyle w:val="9"/>
              <w:jc w:val="center"/>
              <w:rPr>
                <w:rFonts w:ascii="宋体" w:hAnsi="宋体" w:eastAsia="宋体" w:cs="Times New Roman"/>
                <w:bCs/>
                <w:sz w:val="21"/>
                <w:szCs w:val="21"/>
              </w:rPr>
            </w:pPr>
            <w:r>
              <w:rPr>
                <w:rFonts w:hint="eastAsia" w:ascii="宋体" w:hAnsi="宋体" w:eastAsia="宋体" w:cs="宋体"/>
                <w:bCs/>
                <w:sz w:val="21"/>
                <w:szCs w:val="21"/>
              </w:rPr>
              <w:t>序号</w:t>
            </w:r>
          </w:p>
        </w:tc>
        <w:tc>
          <w:tcPr>
            <w:tcW w:w="1808" w:type="dxa"/>
            <w:shd w:val="clear" w:color="auto" w:fill="auto"/>
            <w:vAlign w:val="center"/>
          </w:tcPr>
          <w:p>
            <w:pPr>
              <w:pStyle w:val="9"/>
              <w:jc w:val="center"/>
              <w:rPr>
                <w:rFonts w:ascii="宋体" w:hAnsi="宋体" w:eastAsia="宋体" w:cs="Times New Roman"/>
                <w:bCs/>
                <w:sz w:val="21"/>
                <w:szCs w:val="21"/>
              </w:rPr>
            </w:pPr>
            <w:r>
              <w:rPr>
                <w:rFonts w:hint="eastAsia" w:ascii="宋体" w:hAnsi="宋体" w:eastAsia="宋体" w:cs="宋体"/>
                <w:bCs/>
                <w:sz w:val="21"/>
                <w:szCs w:val="21"/>
              </w:rPr>
              <w:t>客户单位名称</w:t>
            </w:r>
          </w:p>
        </w:tc>
        <w:tc>
          <w:tcPr>
            <w:tcW w:w="3579" w:type="dxa"/>
            <w:shd w:val="clear" w:color="auto" w:fill="auto"/>
            <w:vAlign w:val="center"/>
          </w:tcPr>
          <w:p>
            <w:pPr>
              <w:pStyle w:val="9"/>
              <w:jc w:val="center"/>
              <w:rPr>
                <w:rFonts w:ascii="宋体" w:hAnsi="宋体" w:eastAsia="宋体" w:cs="Times New Roman"/>
                <w:bCs/>
                <w:sz w:val="21"/>
                <w:szCs w:val="21"/>
              </w:rPr>
            </w:pPr>
            <w:r>
              <w:rPr>
                <w:rFonts w:hint="eastAsia" w:ascii="宋体" w:hAnsi="宋体" w:eastAsia="宋体" w:cs="宋体"/>
                <w:bCs/>
                <w:sz w:val="21"/>
                <w:szCs w:val="21"/>
              </w:rPr>
              <w:t>项目名称及主要内容</w:t>
            </w:r>
          </w:p>
        </w:tc>
        <w:tc>
          <w:tcPr>
            <w:tcW w:w="1440" w:type="dxa"/>
            <w:shd w:val="clear" w:color="auto" w:fill="auto"/>
            <w:vAlign w:val="center"/>
          </w:tcPr>
          <w:p>
            <w:pPr>
              <w:pStyle w:val="9"/>
              <w:jc w:val="center"/>
              <w:rPr>
                <w:rFonts w:ascii="宋体" w:hAnsi="宋体" w:eastAsia="宋体" w:cs="宋体"/>
                <w:bCs/>
                <w:sz w:val="21"/>
                <w:szCs w:val="21"/>
              </w:rPr>
            </w:pPr>
            <w:r>
              <w:rPr>
                <w:rFonts w:hint="eastAsia" w:ascii="宋体" w:hAnsi="宋体" w:eastAsia="宋体" w:cs="宋体"/>
                <w:bCs/>
                <w:sz w:val="21"/>
                <w:szCs w:val="21"/>
              </w:rPr>
              <w:t>合同金额</w:t>
            </w:r>
          </w:p>
          <w:p>
            <w:pPr>
              <w:pStyle w:val="9"/>
              <w:jc w:val="center"/>
              <w:rPr>
                <w:rFonts w:ascii="宋体" w:hAnsi="宋体" w:eastAsia="宋体" w:cs="Times New Roman"/>
                <w:bCs/>
                <w:sz w:val="21"/>
                <w:szCs w:val="21"/>
              </w:rPr>
            </w:pPr>
            <w:r>
              <w:rPr>
                <w:rFonts w:hint="eastAsia" w:ascii="宋体" w:hAnsi="宋体" w:eastAsia="宋体" w:cs="宋体"/>
                <w:bCs/>
                <w:sz w:val="21"/>
                <w:szCs w:val="21"/>
              </w:rPr>
              <w:t>（万元）</w:t>
            </w:r>
          </w:p>
        </w:tc>
        <w:tc>
          <w:tcPr>
            <w:tcW w:w="1706" w:type="dxa"/>
            <w:shd w:val="clear" w:color="auto" w:fill="auto"/>
            <w:vAlign w:val="center"/>
          </w:tcPr>
          <w:p>
            <w:pPr>
              <w:pStyle w:val="9"/>
              <w:jc w:val="center"/>
              <w:rPr>
                <w:rFonts w:ascii="宋体" w:hAnsi="宋体" w:eastAsia="宋体" w:cs="Times New Roman"/>
                <w:bCs/>
                <w:sz w:val="21"/>
                <w:szCs w:val="21"/>
              </w:rPr>
            </w:pPr>
            <w:r>
              <w:rPr>
                <w:rFonts w:hint="eastAsia" w:ascii="宋体" w:hAnsi="宋体" w:eastAsia="宋体" w:cs="宋体"/>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pStyle w:val="2"/>
        <w:rPr>
          <w:rFonts w:cs="宋体" w:asciiTheme="minorEastAsia" w:hAnsiTheme="minorEastAsia"/>
          <w:sz w:val="24"/>
          <w:szCs w:val="24"/>
          <w:lang w:val="zh-CN"/>
        </w:rPr>
      </w:pPr>
    </w:p>
    <w:p>
      <w:pPr>
        <w:pStyle w:val="2"/>
        <w:rPr>
          <w:rFonts w:cs="宋体" w:asciiTheme="minorEastAsia" w:hAnsiTheme="minorEastAsia"/>
          <w:sz w:val="24"/>
          <w:szCs w:val="24"/>
          <w:lang w:val="zh-CN"/>
        </w:rPr>
      </w:pPr>
    </w:p>
    <w:p>
      <w:pPr>
        <w:autoSpaceDE w:val="0"/>
        <w:autoSpaceDN w:val="0"/>
        <w:adjustRightInd w:val="0"/>
        <w:spacing w:line="360" w:lineRule="auto"/>
        <w:jc w:val="center"/>
        <w:outlineLvl w:val="0"/>
        <w:rPr>
          <w:rFonts w:hint="eastAsia" w:ascii="宋体" w:hAnsi="宋体"/>
          <w:bCs/>
          <w:color w:val="000000"/>
          <w:sz w:val="24"/>
          <w:szCs w:val="24"/>
        </w:rPr>
      </w:pPr>
    </w:p>
    <w:p>
      <w:pPr>
        <w:autoSpaceDE w:val="0"/>
        <w:autoSpaceDN w:val="0"/>
        <w:adjustRightInd w:val="0"/>
        <w:spacing w:line="360" w:lineRule="auto"/>
        <w:jc w:val="center"/>
        <w:outlineLvl w:val="0"/>
        <w:rPr>
          <w:rFonts w:hint="eastAsia" w:ascii="宋体" w:hAnsi="宋体"/>
          <w:bCs/>
          <w:color w:val="000000"/>
          <w:sz w:val="24"/>
          <w:szCs w:val="24"/>
        </w:rPr>
      </w:pPr>
    </w:p>
    <w:p>
      <w:pPr>
        <w:autoSpaceDE w:val="0"/>
        <w:autoSpaceDN w:val="0"/>
        <w:adjustRightInd w:val="0"/>
        <w:spacing w:line="360" w:lineRule="auto"/>
        <w:jc w:val="center"/>
        <w:outlineLvl w:val="0"/>
      </w:pPr>
      <w:r>
        <w:rPr>
          <w:rFonts w:hint="eastAsia" w:ascii="宋体" w:hAnsi="宋体"/>
          <w:bCs/>
          <w:color w:val="000000"/>
          <w:sz w:val="24"/>
          <w:szCs w:val="24"/>
        </w:rPr>
        <w:t>3.</w:t>
      </w:r>
      <w:r>
        <w:rPr>
          <w:rFonts w:hint="eastAsia" w:ascii="宋体" w:hAnsi="宋体"/>
          <w:bCs/>
          <w:color w:val="000000"/>
          <w:sz w:val="24"/>
          <w:szCs w:val="24"/>
          <w:lang w:val="en-US" w:eastAsia="zh-CN"/>
        </w:rPr>
        <w:t>4</w:t>
      </w:r>
      <w:r>
        <w:rPr>
          <w:rFonts w:hint="eastAsia" w:ascii="宋体" w:hAnsi="宋体"/>
          <w:bCs/>
          <w:color w:val="000000"/>
          <w:sz w:val="24"/>
          <w:szCs w:val="24"/>
        </w:rPr>
        <w:t xml:space="preserve"> 售后服务方案</w:t>
      </w:r>
    </w:p>
    <w:p>
      <w:pPr>
        <w:autoSpaceDE w:val="0"/>
        <w:autoSpaceDN w:val="0"/>
        <w:adjustRightInd w:val="0"/>
        <w:spacing w:line="360" w:lineRule="auto"/>
        <w:jc w:val="center"/>
        <w:outlineLvl w:val="0"/>
        <w:rPr>
          <w:rFonts w:ascii="宋体" w:hAnsi="宋体"/>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Cs/>
          <w:color w:val="000000"/>
          <w:sz w:val="36"/>
          <w:szCs w:val="36"/>
        </w:rPr>
      </w:pPr>
    </w:p>
    <w:p>
      <w:pPr>
        <w:autoSpaceDE w:val="0"/>
        <w:autoSpaceDN w:val="0"/>
        <w:adjustRightInd w:val="0"/>
        <w:spacing w:line="360" w:lineRule="auto"/>
        <w:jc w:val="center"/>
        <w:outlineLvl w:val="0"/>
        <w:rPr>
          <w:rFonts w:ascii="宋体" w:hAnsi="宋体"/>
          <w:bCs/>
          <w:color w:val="000000"/>
          <w:sz w:val="36"/>
          <w:szCs w:val="36"/>
        </w:rPr>
      </w:pPr>
    </w:p>
    <w:p>
      <w:pPr>
        <w:autoSpaceDE w:val="0"/>
        <w:autoSpaceDN w:val="0"/>
        <w:adjustRightInd w:val="0"/>
        <w:spacing w:line="360" w:lineRule="auto"/>
        <w:outlineLvl w:val="0"/>
        <w:rPr>
          <w:rFonts w:ascii="宋体" w:hAnsi="宋体"/>
          <w:bCs/>
          <w:color w:val="000000"/>
          <w:sz w:val="24"/>
          <w:szCs w:val="24"/>
        </w:rPr>
      </w:pPr>
    </w:p>
    <w:p>
      <w:pPr>
        <w:autoSpaceDE w:val="0"/>
        <w:autoSpaceDN w:val="0"/>
        <w:adjustRightInd w:val="0"/>
        <w:spacing w:line="360" w:lineRule="auto"/>
        <w:jc w:val="center"/>
        <w:outlineLvl w:val="0"/>
        <w:rPr>
          <w:rFonts w:ascii="宋体" w:hAnsi="宋体"/>
          <w:bCs/>
          <w:color w:val="000000"/>
          <w:sz w:val="24"/>
          <w:szCs w:val="24"/>
        </w:rPr>
      </w:pPr>
      <w:r>
        <w:rPr>
          <w:rFonts w:hint="eastAsia" w:ascii="宋体" w:hAnsi="宋体"/>
          <w:bCs/>
          <w:color w:val="000000"/>
          <w:sz w:val="24"/>
          <w:szCs w:val="24"/>
        </w:rPr>
        <w:t>3.</w:t>
      </w:r>
      <w:r>
        <w:rPr>
          <w:rFonts w:hint="eastAsia" w:ascii="宋体" w:hAnsi="宋体"/>
          <w:bCs/>
          <w:color w:val="000000"/>
          <w:sz w:val="24"/>
          <w:szCs w:val="24"/>
          <w:lang w:val="en-US" w:eastAsia="zh-CN"/>
        </w:rPr>
        <w:t>5</w:t>
      </w:r>
      <w:r>
        <w:rPr>
          <w:rFonts w:hint="eastAsia" w:ascii="宋体" w:hAnsi="宋体"/>
          <w:bCs/>
          <w:color w:val="000000"/>
          <w:sz w:val="24"/>
          <w:szCs w:val="24"/>
        </w:rPr>
        <w:t>“节能产品政府采购清单”强制节能产品情况</w:t>
      </w:r>
    </w:p>
    <w:p>
      <w:pPr>
        <w:autoSpaceDE w:val="0"/>
        <w:autoSpaceDN w:val="0"/>
        <w:adjustRightInd w:val="0"/>
        <w:spacing w:line="360" w:lineRule="auto"/>
        <w:jc w:val="center"/>
        <w:outlineLvl w:val="0"/>
        <w:rPr>
          <w:rFonts w:ascii="宋体" w:hAnsi="宋体"/>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Cs w:val="21"/>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auto"/>
            <w:vAlign w:val="center"/>
          </w:tcPr>
          <w:p>
            <w:pPr>
              <w:pStyle w:val="9"/>
              <w:jc w:val="center"/>
              <w:rPr>
                <w:rFonts w:ascii="宋体" w:hAnsi="宋体" w:eastAsia="宋体" w:cs="宋体"/>
                <w:bCs/>
                <w:sz w:val="21"/>
                <w:szCs w:val="21"/>
              </w:rPr>
            </w:pPr>
            <w:r>
              <w:rPr>
                <w:rFonts w:hint="eastAsia" w:ascii="宋体" w:hAnsi="宋体" w:eastAsia="宋体" w:cs="宋体"/>
                <w:bCs/>
                <w:sz w:val="21"/>
                <w:szCs w:val="21"/>
              </w:rPr>
              <w:t>序号</w:t>
            </w:r>
          </w:p>
        </w:tc>
        <w:tc>
          <w:tcPr>
            <w:tcW w:w="1274" w:type="dxa"/>
            <w:shd w:val="clear" w:color="auto" w:fill="auto"/>
            <w:vAlign w:val="center"/>
          </w:tcPr>
          <w:p>
            <w:pPr>
              <w:pStyle w:val="9"/>
              <w:jc w:val="center"/>
              <w:rPr>
                <w:rFonts w:ascii="宋体" w:hAnsi="宋体" w:eastAsia="宋体" w:cs="宋体"/>
                <w:bCs/>
                <w:sz w:val="21"/>
                <w:szCs w:val="21"/>
              </w:rPr>
            </w:pPr>
            <w:r>
              <w:rPr>
                <w:rFonts w:hint="eastAsia" w:ascii="宋体" w:hAnsi="宋体" w:eastAsia="宋体" w:cs="宋体"/>
                <w:bCs/>
                <w:sz w:val="21"/>
                <w:szCs w:val="21"/>
              </w:rPr>
              <w:t>货物名称</w:t>
            </w:r>
          </w:p>
        </w:tc>
        <w:tc>
          <w:tcPr>
            <w:tcW w:w="991" w:type="dxa"/>
            <w:shd w:val="clear" w:color="auto" w:fill="auto"/>
            <w:vAlign w:val="center"/>
          </w:tcPr>
          <w:p>
            <w:pPr>
              <w:pStyle w:val="9"/>
              <w:jc w:val="center"/>
              <w:rPr>
                <w:rFonts w:ascii="宋体" w:hAnsi="宋体" w:eastAsia="宋体" w:cs="宋体"/>
                <w:bCs/>
                <w:sz w:val="21"/>
                <w:szCs w:val="21"/>
              </w:rPr>
            </w:pPr>
            <w:r>
              <w:rPr>
                <w:rFonts w:hint="eastAsia" w:ascii="宋体" w:hAnsi="宋体" w:eastAsia="宋体" w:cs="宋体"/>
                <w:bCs/>
                <w:sz w:val="21"/>
                <w:szCs w:val="21"/>
              </w:rPr>
              <w:t>品牌</w:t>
            </w:r>
          </w:p>
        </w:tc>
        <w:tc>
          <w:tcPr>
            <w:tcW w:w="1276" w:type="dxa"/>
            <w:shd w:val="clear" w:color="auto" w:fill="auto"/>
            <w:vAlign w:val="center"/>
          </w:tcPr>
          <w:p>
            <w:pPr>
              <w:pStyle w:val="9"/>
              <w:jc w:val="center"/>
              <w:rPr>
                <w:rFonts w:ascii="宋体" w:hAnsi="宋体" w:eastAsia="宋体" w:cs="宋体"/>
                <w:bCs/>
                <w:sz w:val="21"/>
                <w:szCs w:val="21"/>
              </w:rPr>
            </w:pPr>
            <w:r>
              <w:rPr>
                <w:rFonts w:hint="eastAsia" w:ascii="宋体" w:hAnsi="宋体" w:eastAsia="宋体" w:cs="宋体"/>
                <w:bCs/>
                <w:sz w:val="21"/>
                <w:szCs w:val="21"/>
              </w:rPr>
              <w:t>产品型号</w:t>
            </w:r>
          </w:p>
        </w:tc>
        <w:tc>
          <w:tcPr>
            <w:tcW w:w="1135" w:type="dxa"/>
            <w:shd w:val="clear" w:color="auto" w:fill="auto"/>
            <w:vAlign w:val="center"/>
          </w:tcPr>
          <w:p>
            <w:pPr>
              <w:pStyle w:val="9"/>
              <w:jc w:val="center"/>
              <w:rPr>
                <w:rFonts w:ascii="宋体" w:hAnsi="宋体" w:eastAsia="宋体" w:cs="宋体"/>
                <w:bCs/>
                <w:sz w:val="21"/>
                <w:szCs w:val="21"/>
              </w:rPr>
            </w:pPr>
            <w:r>
              <w:rPr>
                <w:rFonts w:hint="eastAsia" w:ascii="宋体" w:hAnsi="宋体" w:eastAsia="宋体" w:cs="宋体"/>
                <w:bCs/>
                <w:sz w:val="21"/>
                <w:szCs w:val="21"/>
              </w:rPr>
              <w:t>制造商</w:t>
            </w:r>
          </w:p>
          <w:p>
            <w:pPr>
              <w:pStyle w:val="9"/>
              <w:jc w:val="center"/>
              <w:rPr>
                <w:rFonts w:ascii="宋体" w:hAnsi="宋体" w:eastAsia="宋体" w:cs="宋体"/>
                <w:bCs/>
                <w:sz w:val="21"/>
                <w:szCs w:val="21"/>
              </w:rPr>
            </w:pPr>
            <w:r>
              <w:rPr>
                <w:rFonts w:hint="eastAsia" w:ascii="宋体" w:hAnsi="宋体" w:eastAsia="宋体" w:cs="宋体"/>
                <w:bCs/>
                <w:sz w:val="21"/>
                <w:szCs w:val="21"/>
              </w:rPr>
              <w:t>名称</w:t>
            </w:r>
          </w:p>
        </w:tc>
        <w:tc>
          <w:tcPr>
            <w:tcW w:w="1276" w:type="dxa"/>
            <w:shd w:val="clear" w:color="auto" w:fill="auto"/>
            <w:vAlign w:val="center"/>
          </w:tcPr>
          <w:p>
            <w:pPr>
              <w:pStyle w:val="9"/>
              <w:jc w:val="center"/>
              <w:rPr>
                <w:rFonts w:ascii="宋体" w:hAnsi="宋体" w:eastAsia="宋体" w:cs="宋体"/>
                <w:bCs/>
                <w:sz w:val="21"/>
                <w:szCs w:val="21"/>
              </w:rPr>
            </w:pPr>
            <w:r>
              <w:rPr>
                <w:rFonts w:hint="eastAsia" w:ascii="宋体" w:hAnsi="宋体" w:eastAsia="宋体" w:cs="宋体"/>
                <w:bCs/>
                <w:sz w:val="21"/>
                <w:szCs w:val="21"/>
              </w:rPr>
              <w:t>节字标志认证证书号</w:t>
            </w:r>
          </w:p>
        </w:tc>
        <w:tc>
          <w:tcPr>
            <w:tcW w:w="1439" w:type="dxa"/>
            <w:shd w:val="clear" w:color="auto" w:fill="auto"/>
            <w:vAlign w:val="center"/>
          </w:tcPr>
          <w:p>
            <w:pPr>
              <w:pStyle w:val="9"/>
              <w:jc w:val="center"/>
              <w:rPr>
                <w:rFonts w:ascii="宋体" w:hAnsi="宋体" w:eastAsia="宋体" w:cs="宋体"/>
                <w:bCs/>
                <w:sz w:val="21"/>
                <w:szCs w:val="21"/>
              </w:rPr>
            </w:pPr>
            <w:r>
              <w:rPr>
                <w:rFonts w:hint="eastAsia" w:ascii="宋体" w:hAnsi="宋体" w:eastAsia="宋体" w:cs="宋体"/>
                <w:bCs/>
                <w:sz w:val="21"/>
                <w:szCs w:val="21"/>
              </w:rPr>
              <w:t>提供节能产品所在页</w:t>
            </w:r>
          </w:p>
          <w:p>
            <w:pPr>
              <w:pStyle w:val="9"/>
              <w:jc w:val="center"/>
              <w:rPr>
                <w:rFonts w:ascii="宋体" w:hAnsi="宋体" w:eastAsia="宋体" w:cs="宋体"/>
                <w:bCs/>
                <w:sz w:val="21"/>
                <w:szCs w:val="21"/>
              </w:rPr>
            </w:pPr>
            <w:r>
              <w:rPr>
                <w:rFonts w:hint="eastAsia" w:ascii="宋体" w:hAnsi="宋体" w:eastAsia="宋体" w:cs="宋体"/>
                <w:bCs/>
                <w:sz w:val="21"/>
                <w:szCs w:val="21"/>
              </w:rPr>
              <w:t>复印件</w:t>
            </w:r>
          </w:p>
          <w:p>
            <w:pPr>
              <w:pStyle w:val="9"/>
              <w:jc w:val="center"/>
              <w:rPr>
                <w:rFonts w:ascii="宋体" w:hAnsi="宋体" w:eastAsia="宋体" w:cs="宋体"/>
                <w:bCs/>
                <w:sz w:val="21"/>
                <w:szCs w:val="21"/>
              </w:rPr>
            </w:pPr>
            <w:r>
              <w:rPr>
                <w:rFonts w:hint="eastAsia" w:ascii="宋体" w:hAnsi="宋体" w:eastAsia="宋体" w:cs="宋体"/>
                <w:bCs/>
                <w:sz w:val="21"/>
                <w:szCs w:val="21"/>
              </w:rPr>
              <w:t>（是/否）</w:t>
            </w:r>
          </w:p>
        </w:tc>
        <w:tc>
          <w:tcPr>
            <w:tcW w:w="1252" w:type="dxa"/>
            <w:shd w:val="clear" w:color="auto" w:fill="auto"/>
            <w:vAlign w:val="center"/>
          </w:tcPr>
          <w:p>
            <w:pPr>
              <w:pStyle w:val="9"/>
              <w:jc w:val="center"/>
              <w:rPr>
                <w:rFonts w:ascii="宋体" w:hAnsi="宋体" w:eastAsia="宋体" w:cs="宋体"/>
                <w:bCs/>
                <w:sz w:val="21"/>
                <w:szCs w:val="21"/>
              </w:rPr>
            </w:pPr>
            <w:r>
              <w:rPr>
                <w:rFonts w:hint="eastAsia" w:ascii="宋体" w:hAnsi="宋体" w:eastAsia="宋体" w:cs="宋体"/>
                <w:bCs/>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说明：所投产品节能清单所在页复印件并加盖投标人公章须附后。</w:t>
      </w:r>
    </w:p>
    <w:p>
      <w:pPr>
        <w:autoSpaceDE w:val="0"/>
        <w:autoSpaceDN w:val="0"/>
        <w:adjustRightInd w:val="0"/>
        <w:spacing w:line="360" w:lineRule="auto"/>
        <w:jc w:val="center"/>
        <w:outlineLvl w:val="0"/>
        <w:rPr>
          <w:rFonts w:ascii="宋体" w:hAnsi="宋体"/>
          <w:bCs/>
          <w:color w:val="000000"/>
          <w:sz w:val="24"/>
          <w:szCs w:val="24"/>
        </w:rPr>
      </w:pPr>
    </w:p>
    <w:p>
      <w:pPr>
        <w:autoSpaceDE w:val="0"/>
        <w:autoSpaceDN w:val="0"/>
        <w:adjustRightInd w:val="0"/>
        <w:spacing w:line="360" w:lineRule="auto"/>
        <w:jc w:val="center"/>
        <w:outlineLvl w:val="0"/>
        <w:rPr>
          <w:rFonts w:ascii="宋体" w:hAnsi="宋体"/>
          <w:bCs/>
          <w:color w:val="000000"/>
          <w:sz w:val="24"/>
          <w:szCs w:val="24"/>
        </w:rPr>
      </w:pPr>
    </w:p>
    <w:p>
      <w:pPr>
        <w:autoSpaceDE w:val="0"/>
        <w:autoSpaceDN w:val="0"/>
        <w:adjustRightInd w:val="0"/>
        <w:spacing w:line="360" w:lineRule="auto"/>
        <w:jc w:val="both"/>
        <w:outlineLvl w:val="0"/>
        <w:rPr>
          <w:rFonts w:hint="eastAsia" w:ascii="宋体" w:hAnsi="宋体"/>
          <w:bCs/>
          <w:color w:val="000000"/>
          <w:sz w:val="24"/>
          <w:szCs w:val="24"/>
        </w:rPr>
      </w:pPr>
    </w:p>
    <w:p>
      <w:pPr>
        <w:autoSpaceDE w:val="0"/>
        <w:autoSpaceDN w:val="0"/>
        <w:adjustRightInd w:val="0"/>
        <w:spacing w:line="360" w:lineRule="auto"/>
        <w:jc w:val="center"/>
        <w:outlineLvl w:val="0"/>
        <w:rPr>
          <w:rFonts w:ascii="宋体" w:hAnsi="宋体"/>
          <w:bCs/>
          <w:color w:val="000000"/>
          <w:sz w:val="24"/>
          <w:szCs w:val="24"/>
        </w:rPr>
      </w:pPr>
    </w:p>
    <w:p>
      <w:pPr>
        <w:autoSpaceDE w:val="0"/>
        <w:autoSpaceDN w:val="0"/>
        <w:adjustRightInd w:val="0"/>
        <w:spacing w:line="360" w:lineRule="auto"/>
        <w:jc w:val="center"/>
        <w:outlineLvl w:val="0"/>
        <w:rPr>
          <w:rFonts w:ascii="宋体" w:hAnsi="宋体"/>
          <w:bCs/>
          <w:color w:val="000000"/>
          <w:sz w:val="24"/>
          <w:szCs w:val="24"/>
        </w:rPr>
      </w:pPr>
      <w:r>
        <w:rPr>
          <w:rFonts w:hint="eastAsia" w:ascii="宋体" w:hAnsi="宋体"/>
          <w:bCs/>
          <w:color w:val="000000"/>
          <w:sz w:val="24"/>
          <w:szCs w:val="24"/>
        </w:rPr>
        <w:t>3.</w:t>
      </w:r>
      <w:r>
        <w:rPr>
          <w:rFonts w:hint="eastAsia" w:ascii="宋体" w:hAnsi="宋体"/>
          <w:bCs/>
          <w:color w:val="000000"/>
          <w:sz w:val="24"/>
          <w:szCs w:val="24"/>
          <w:lang w:val="en-US" w:eastAsia="zh-CN"/>
        </w:rPr>
        <w:t>6</w:t>
      </w:r>
      <w:r>
        <w:rPr>
          <w:rFonts w:hint="eastAsia" w:ascii="宋体" w:hAnsi="宋体"/>
          <w:bCs/>
          <w:color w:val="000000"/>
          <w:sz w:val="24"/>
          <w:szCs w:val="24"/>
        </w:rPr>
        <w:t>“节能产品政府采购清单”优先采购产品情况</w:t>
      </w:r>
    </w:p>
    <w:p>
      <w:pPr>
        <w:autoSpaceDE w:val="0"/>
        <w:autoSpaceDN w:val="0"/>
        <w:adjustRightInd w:val="0"/>
        <w:spacing w:line="360" w:lineRule="auto"/>
        <w:jc w:val="center"/>
        <w:outlineLvl w:val="0"/>
        <w:rPr>
          <w:rFonts w:ascii="宋体" w:hAnsi="宋体"/>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Cs w:val="21"/>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auto"/>
            <w:vAlign w:val="center"/>
          </w:tcPr>
          <w:p>
            <w:pPr>
              <w:pStyle w:val="9"/>
              <w:jc w:val="center"/>
              <w:rPr>
                <w:rFonts w:ascii="宋体" w:hAnsi="宋体" w:eastAsia="宋体" w:cs="宋体"/>
                <w:bCs/>
                <w:sz w:val="21"/>
                <w:szCs w:val="21"/>
              </w:rPr>
            </w:pPr>
            <w:r>
              <w:rPr>
                <w:rFonts w:hint="eastAsia" w:ascii="宋体" w:hAnsi="宋体" w:eastAsia="宋体" w:cs="宋体"/>
                <w:bCs/>
                <w:sz w:val="21"/>
                <w:szCs w:val="21"/>
              </w:rPr>
              <w:t>序号</w:t>
            </w:r>
          </w:p>
        </w:tc>
        <w:tc>
          <w:tcPr>
            <w:tcW w:w="1274" w:type="dxa"/>
            <w:shd w:val="clear" w:color="auto" w:fill="auto"/>
            <w:vAlign w:val="center"/>
          </w:tcPr>
          <w:p>
            <w:pPr>
              <w:pStyle w:val="9"/>
              <w:jc w:val="center"/>
              <w:rPr>
                <w:rFonts w:ascii="宋体" w:hAnsi="宋体" w:eastAsia="宋体" w:cs="宋体"/>
                <w:bCs/>
                <w:sz w:val="21"/>
                <w:szCs w:val="21"/>
              </w:rPr>
            </w:pPr>
            <w:r>
              <w:rPr>
                <w:rFonts w:hint="eastAsia" w:ascii="宋体" w:hAnsi="宋体" w:eastAsia="宋体" w:cs="宋体"/>
                <w:bCs/>
                <w:sz w:val="21"/>
                <w:szCs w:val="21"/>
              </w:rPr>
              <w:t>货物名称</w:t>
            </w:r>
          </w:p>
        </w:tc>
        <w:tc>
          <w:tcPr>
            <w:tcW w:w="991" w:type="dxa"/>
            <w:shd w:val="clear" w:color="auto" w:fill="auto"/>
            <w:vAlign w:val="center"/>
          </w:tcPr>
          <w:p>
            <w:pPr>
              <w:pStyle w:val="9"/>
              <w:jc w:val="center"/>
              <w:rPr>
                <w:rFonts w:ascii="宋体" w:hAnsi="宋体" w:eastAsia="宋体" w:cs="宋体"/>
                <w:bCs/>
                <w:sz w:val="21"/>
                <w:szCs w:val="21"/>
              </w:rPr>
            </w:pPr>
            <w:r>
              <w:rPr>
                <w:rFonts w:hint="eastAsia" w:ascii="宋体" w:hAnsi="宋体" w:eastAsia="宋体" w:cs="宋体"/>
                <w:bCs/>
                <w:sz w:val="21"/>
                <w:szCs w:val="21"/>
              </w:rPr>
              <w:t>品牌</w:t>
            </w:r>
          </w:p>
        </w:tc>
        <w:tc>
          <w:tcPr>
            <w:tcW w:w="1276" w:type="dxa"/>
            <w:shd w:val="clear" w:color="auto" w:fill="auto"/>
            <w:vAlign w:val="center"/>
          </w:tcPr>
          <w:p>
            <w:pPr>
              <w:pStyle w:val="9"/>
              <w:jc w:val="center"/>
              <w:rPr>
                <w:rFonts w:ascii="宋体" w:hAnsi="宋体" w:eastAsia="宋体" w:cs="宋体"/>
                <w:bCs/>
                <w:sz w:val="21"/>
                <w:szCs w:val="21"/>
              </w:rPr>
            </w:pPr>
            <w:r>
              <w:rPr>
                <w:rFonts w:hint="eastAsia" w:ascii="宋体" w:hAnsi="宋体" w:eastAsia="宋体" w:cs="宋体"/>
                <w:bCs/>
                <w:sz w:val="21"/>
                <w:szCs w:val="21"/>
              </w:rPr>
              <w:t>产品型号</w:t>
            </w:r>
          </w:p>
        </w:tc>
        <w:tc>
          <w:tcPr>
            <w:tcW w:w="1135" w:type="dxa"/>
            <w:shd w:val="clear" w:color="auto" w:fill="auto"/>
            <w:vAlign w:val="center"/>
          </w:tcPr>
          <w:p>
            <w:pPr>
              <w:pStyle w:val="9"/>
              <w:jc w:val="center"/>
              <w:rPr>
                <w:rFonts w:ascii="宋体" w:hAnsi="宋体" w:eastAsia="宋体" w:cs="宋体"/>
                <w:bCs/>
                <w:sz w:val="21"/>
                <w:szCs w:val="21"/>
              </w:rPr>
            </w:pPr>
            <w:r>
              <w:rPr>
                <w:rFonts w:hint="eastAsia" w:ascii="宋体" w:hAnsi="宋体" w:eastAsia="宋体" w:cs="宋体"/>
                <w:bCs/>
                <w:sz w:val="21"/>
                <w:szCs w:val="21"/>
              </w:rPr>
              <w:t>制造商</w:t>
            </w:r>
          </w:p>
          <w:p>
            <w:pPr>
              <w:pStyle w:val="9"/>
              <w:jc w:val="center"/>
              <w:rPr>
                <w:rFonts w:ascii="宋体" w:hAnsi="宋体" w:eastAsia="宋体" w:cs="宋体"/>
                <w:bCs/>
                <w:sz w:val="21"/>
                <w:szCs w:val="21"/>
              </w:rPr>
            </w:pPr>
            <w:r>
              <w:rPr>
                <w:rFonts w:hint="eastAsia" w:ascii="宋体" w:hAnsi="宋体" w:eastAsia="宋体" w:cs="宋体"/>
                <w:bCs/>
                <w:sz w:val="21"/>
                <w:szCs w:val="21"/>
              </w:rPr>
              <w:t>名称</w:t>
            </w:r>
          </w:p>
        </w:tc>
        <w:tc>
          <w:tcPr>
            <w:tcW w:w="1276" w:type="dxa"/>
            <w:shd w:val="clear" w:color="auto" w:fill="auto"/>
            <w:vAlign w:val="center"/>
          </w:tcPr>
          <w:p>
            <w:pPr>
              <w:pStyle w:val="9"/>
              <w:jc w:val="center"/>
              <w:rPr>
                <w:rFonts w:ascii="宋体" w:hAnsi="宋体" w:eastAsia="宋体" w:cs="宋体"/>
                <w:bCs/>
                <w:sz w:val="21"/>
                <w:szCs w:val="21"/>
              </w:rPr>
            </w:pPr>
            <w:r>
              <w:rPr>
                <w:rFonts w:hint="eastAsia" w:ascii="宋体" w:hAnsi="宋体" w:eastAsia="宋体" w:cs="宋体"/>
                <w:bCs/>
                <w:sz w:val="21"/>
                <w:szCs w:val="21"/>
              </w:rPr>
              <w:t>节字标志认证证书号</w:t>
            </w:r>
          </w:p>
        </w:tc>
        <w:tc>
          <w:tcPr>
            <w:tcW w:w="1439" w:type="dxa"/>
            <w:shd w:val="clear" w:color="auto" w:fill="auto"/>
            <w:vAlign w:val="center"/>
          </w:tcPr>
          <w:p>
            <w:pPr>
              <w:pStyle w:val="9"/>
              <w:jc w:val="center"/>
              <w:rPr>
                <w:rFonts w:ascii="宋体" w:hAnsi="宋体" w:eastAsia="宋体" w:cs="宋体"/>
                <w:bCs/>
                <w:sz w:val="21"/>
                <w:szCs w:val="21"/>
              </w:rPr>
            </w:pPr>
            <w:r>
              <w:rPr>
                <w:rFonts w:hint="eastAsia" w:ascii="宋体" w:hAnsi="宋体" w:eastAsia="宋体" w:cs="宋体"/>
                <w:bCs/>
                <w:sz w:val="21"/>
                <w:szCs w:val="21"/>
              </w:rPr>
              <w:t>提供节能产品所在页</w:t>
            </w:r>
          </w:p>
          <w:p>
            <w:pPr>
              <w:pStyle w:val="9"/>
              <w:jc w:val="center"/>
              <w:rPr>
                <w:rFonts w:ascii="宋体" w:hAnsi="宋体" w:eastAsia="宋体" w:cs="宋体"/>
                <w:bCs/>
                <w:sz w:val="21"/>
                <w:szCs w:val="21"/>
              </w:rPr>
            </w:pPr>
            <w:r>
              <w:rPr>
                <w:rFonts w:hint="eastAsia" w:ascii="宋体" w:hAnsi="宋体" w:eastAsia="宋体" w:cs="宋体"/>
                <w:bCs/>
                <w:sz w:val="21"/>
                <w:szCs w:val="21"/>
              </w:rPr>
              <w:t>复印件</w:t>
            </w:r>
          </w:p>
          <w:p>
            <w:pPr>
              <w:pStyle w:val="9"/>
              <w:jc w:val="center"/>
              <w:rPr>
                <w:rFonts w:ascii="宋体" w:hAnsi="宋体" w:eastAsia="宋体" w:cs="宋体"/>
                <w:bCs/>
                <w:sz w:val="21"/>
                <w:szCs w:val="21"/>
              </w:rPr>
            </w:pPr>
            <w:r>
              <w:rPr>
                <w:rFonts w:hint="eastAsia" w:ascii="宋体" w:hAnsi="宋体" w:eastAsia="宋体" w:cs="宋体"/>
                <w:bCs/>
                <w:sz w:val="21"/>
                <w:szCs w:val="21"/>
              </w:rPr>
              <w:t>（是/否）</w:t>
            </w:r>
          </w:p>
        </w:tc>
        <w:tc>
          <w:tcPr>
            <w:tcW w:w="1252" w:type="dxa"/>
            <w:shd w:val="clear" w:color="auto" w:fill="auto"/>
            <w:vAlign w:val="center"/>
          </w:tcPr>
          <w:p>
            <w:pPr>
              <w:pStyle w:val="9"/>
              <w:jc w:val="center"/>
              <w:rPr>
                <w:rFonts w:ascii="宋体" w:hAnsi="宋体" w:eastAsia="宋体" w:cs="宋体"/>
                <w:bCs/>
                <w:sz w:val="21"/>
                <w:szCs w:val="21"/>
              </w:rPr>
            </w:pPr>
            <w:r>
              <w:rPr>
                <w:rFonts w:hint="eastAsia" w:ascii="宋体" w:hAnsi="宋体" w:eastAsia="宋体" w:cs="宋体"/>
                <w:bCs/>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说明：所投产品“节能产品政府采购清单”所在页复印件并加盖投标人公章须附后。</w:t>
      </w:r>
    </w:p>
    <w:p>
      <w:pPr>
        <w:spacing w:line="360" w:lineRule="auto"/>
        <w:jc w:val="center"/>
        <w:rPr>
          <w:rFonts w:ascii="宋体" w:hAnsi="宋体"/>
          <w:bCs/>
          <w:color w:val="000000"/>
          <w:sz w:val="36"/>
          <w:szCs w:val="36"/>
        </w:rPr>
      </w:pPr>
    </w:p>
    <w:p>
      <w:pPr>
        <w:spacing w:line="360" w:lineRule="auto"/>
        <w:jc w:val="center"/>
        <w:rPr>
          <w:rFonts w:ascii="宋体" w:hAnsi="宋体"/>
          <w:bCs/>
          <w:color w:val="000000"/>
          <w:sz w:val="36"/>
          <w:szCs w:val="36"/>
        </w:rPr>
      </w:pPr>
    </w:p>
    <w:p>
      <w:pPr>
        <w:spacing w:line="360" w:lineRule="auto"/>
        <w:jc w:val="center"/>
        <w:rPr>
          <w:rFonts w:ascii="宋体" w:hAnsi="宋体"/>
          <w:bCs/>
          <w:color w:val="000000"/>
          <w:sz w:val="36"/>
          <w:szCs w:val="36"/>
        </w:rPr>
      </w:pPr>
    </w:p>
    <w:p>
      <w:pPr>
        <w:spacing w:line="360" w:lineRule="auto"/>
        <w:jc w:val="center"/>
        <w:rPr>
          <w:rFonts w:ascii="宋体" w:hAnsi="宋体"/>
          <w:bCs/>
          <w:color w:val="000000"/>
          <w:sz w:val="36"/>
          <w:szCs w:val="36"/>
        </w:rPr>
      </w:pPr>
    </w:p>
    <w:p>
      <w:pPr>
        <w:spacing w:line="360" w:lineRule="auto"/>
        <w:jc w:val="both"/>
        <w:rPr>
          <w:rFonts w:ascii="宋体" w:hAnsi="宋体"/>
          <w:bCs/>
          <w:color w:val="000000"/>
          <w:sz w:val="36"/>
          <w:szCs w:val="36"/>
        </w:rPr>
      </w:pPr>
    </w:p>
    <w:p>
      <w:pPr>
        <w:spacing w:line="360" w:lineRule="auto"/>
        <w:jc w:val="center"/>
        <w:rPr>
          <w:rFonts w:ascii="宋体" w:hAnsi="宋体"/>
          <w:bCs/>
          <w:color w:val="000000"/>
          <w:sz w:val="36"/>
          <w:szCs w:val="36"/>
        </w:rPr>
      </w:pPr>
    </w:p>
    <w:p>
      <w:pPr>
        <w:autoSpaceDE w:val="0"/>
        <w:autoSpaceDN w:val="0"/>
        <w:adjustRightInd w:val="0"/>
        <w:spacing w:line="360" w:lineRule="auto"/>
        <w:jc w:val="center"/>
        <w:outlineLvl w:val="0"/>
        <w:rPr>
          <w:rFonts w:hint="eastAsia" w:ascii="宋体" w:hAnsi="宋体"/>
          <w:bCs/>
          <w:color w:val="000000"/>
          <w:sz w:val="24"/>
          <w:szCs w:val="24"/>
        </w:rPr>
      </w:pPr>
    </w:p>
    <w:p>
      <w:pPr>
        <w:autoSpaceDE w:val="0"/>
        <w:autoSpaceDN w:val="0"/>
        <w:adjustRightInd w:val="0"/>
        <w:spacing w:line="360" w:lineRule="auto"/>
        <w:jc w:val="center"/>
        <w:outlineLvl w:val="0"/>
        <w:rPr>
          <w:rFonts w:hint="eastAsia" w:ascii="宋体" w:hAnsi="宋体"/>
          <w:bCs/>
          <w:color w:val="000000"/>
          <w:sz w:val="24"/>
          <w:szCs w:val="24"/>
        </w:rPr>
      </w:pPr>
    </w:p>
    <w:p>
      <w:pPr>
        <w:autoSpaceDE w:val="0"/>
        <w:autoSpaceDN w:val="0"/>
        <w:adjustRightInd w:val="0"/>
        <w:spacing w:line="360" w:lineRule="auto"/>
        <w:jc w:val="center"/>
        <w:outlineLvl w:val="0"/>
        <w:rPr>
          <w:rFonts w:ascii="宋体" w:hAnsi="宋体"/>
          <w:bCs/>
          <w:color w:val="000000"/>
          <w:sz w:val="24"/>
          <w:szCs w:val="24"/>
        </w:rPr>
      </w:pPr>
      <w:r>
        <w:rPr>
          <w:rFonts w:hint="eastAsia" w:ascii="宋体" w:hAnsi="宋体"/>
          <w:bCs/>
          <w:color w:val="000000"/>
          <w:sz w:val="24"/>
          <w:szCs w:val="24"/>
        </w:rPr>
        <w:t>3.</w:t>
      </w:r>
      <w:r>
        <w:rPr>
          <w:rFonts w:hint="eastAsia" w:ascii="宋体" w:hAnsi="宋体"/>
          <w:bCs/>
          <w:color w:val="000000"/>
          <w:sz w:val="24"/>
          <w:szCs w:val="24"/>
          <w:lang w:val="en-US" w:eastAsia="zh-CN"/>
        </w:rPr>
        <w:t>7</w:t>
      </w:r>
      <w:r>
        <w:rPr>
          <w:rFonts w:hint="eastAsia" w:ascii="宋体" w:hAnsi="宋体"/>
          <w:bCs/>
          <w:color w:val="000000"/>
          <w:sz w:val="24"/>
          <w:szCs w:val="24"/>
        </w:rPr>
        <w:t>“环境标志产品政府采购清单”优先采购产品情况</w:t>
      </w:r>
    </w:p>
    <w:p>
      <w:pPr>
        <w:autoSpaceDE w:val="0"/>
        <w:autoSpaceDN w:val="0"/>
        <w:adjustRightInd w:val="0"/>
        <w:spacing w:line="360" w:lineRule="auto"/>
        <w:jc w:val="center"/>
        <w:outlineLvl w:val="0"/>
        <w:rPr>
          <w:rFonts w:ascii="宋体" w:hAnsi="宋体"/>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Cs w:val="21"/>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auto"/>
            <w:vAlign w:val="center"/>
          </w:tcPr>
          <w:p>
            <w:pPr>
              <w:pStyle w:val="9"/>
              <w:jc w:val="center"/>
              <w:rPr>
                <w:rFonts w:ascii="宋体" w:hAnsi="宋体" w:eastAsia="宋体" w:cs="宋体"/>
                <w:bCs/>
                <w:sz w:val="21"/>
                <w:szCs w:val="21"/>
              </w:rPr>
            </w:pPr>
            <w:r>
              <w:rPr>
                <w:rFonts w:hint="eastAsia" w:ascii="宋体" w:hAnsi="宋体" w:eastAsia="宋体" w:cs="宋体"/>
                <w:bCs/>
                <w:sz w:val="21"/>
                <w:szCs w:val="21"/>
              </w:rPr>
              <w:t>序号</w:t>
            </w:r>
          </w:p>
        </w:tc>
        <w:tc>
          <w:tcPr>
            <w:tcW w:w="1274" w:type="dxa"/>
            <w:shd w:val="clear" w:color="auto" w:fill="auto"/>
            <w:vAlign w:val="center"/>
          </w:tcPr>
          <w:p>
            <w:pPr>
              <w:pStyle w:val="9"/>
              <w:jc w:val="center"/>
              <w:rPr>
                <w:rFonts w:ascii="宋体" w:hAnsi="宋体" w:eastAsia="宋体" w:cs="宋体"/>
                <w:bCs/>
                <w:sz w:val="21"/>
                <w:szCs w:val="21"/>
              </w:rPr>
            </w:pPr>
            <w:r>
              <w:rPr>
                <w:rFonts w:hint="eastAsia" w:ascii="宋体" w:hAnsi="宋体" w:eastAsia="宋体" w:cs="宋体"/>
                <w:bCs/>
                <w:sz w:val="21"/>
                <w:szCs w:val="21"/>
              </w:rPr>
              <w:t>货物名称</w:t>
            </w:r>
          </w:p>
        </w:tc>
        <w:tc>
          <w:tcPr>
            <w:tcW w:w="991" w:type="dxa"/>
            <w:shd w:val="clear" w:color="auto" w:fill="auto"/>
            <w:vAlign w:val="center"/>
          </w:tcPr>
          <w:p>
            <w:pPr>
              <w:pStyle w:val="9"/>
              <w:jc w:val="center"/>
              <w:rPr>
                <w:rFonts w:ascii="宋体" w:hAnsi="宋体" w:eastAsia="宋体" w:cs="宋体"/>
                <w:bCs/>
                <w:sz w:val="21"/>
                <w:szCs w:val="21"/>
              </w:rPr>
            </w:pPr>
            <w:r>
              <w:rPr>
                <w:rFonts w:hint="eastAsia" w:ascii="宋体" w:hAnsi="宋体" w:eastAsia="宋体" w:cs="宋体"/>
                <w:bCs/>
                <w:sz w:val="21"/>
                <w:szCs w:val="21"/>
              </w:rPr>
              <w:t>品牌</w:t>
            </w:r>
          </w:p>
        </w:tc>
        <w:tc>
          <w:tcPr>
            <w:tcW w:w="1276" w:type="dxa"/>
            <w:shd w:val="clear" w:color="auto" w:fill="auto"/>
            <w:vAlign w:val="center"/>
          </w:tcPr>
          <w:p>
            <w:pPr>
              <w:pStyle w:val="9"/>
              <w:jc w:val="center"/>
              <w:rPr>
                <w:rFonts w:ascii="宋体" w:hAnsi="宋体" w:eastAsia="宋体" w:cs="宋体"/>
                <w:bCs/>
                <w:sz w:val="21"/>
                <w:szCs w:val="21"/>
              </w:rPr>
            </w:pPr>
            <w:r>
              <w:rPr>
                <w:rFonts w:hint="eastAsia" w:ascii="宋体" w:hAnsi="宋体" w:eastAsia="宋体" w:cs="宋体"/>
                <w:bCs/>
                <w:sz w:val="21"/>
                <w:szCs w:val="21"/>
              </w:rPr>
              <w:t>产品型号</w:t>
            </w:r>
          </w:p>
        </w:tc>
        <w:tc>
          <w:tcPr>
            <w:tcW w:w="1135" w:type="dxa"/>
            <w:shd w:val="clear" w:color="auto" w:fill="auto"/>
            <w:vAlign w:val="center"/>
          </w:tcPr>
          <w:p>
            <w:pPr>
              <w:pStyle w:val="9"/>
              <w:jc w:val="center"/>
              <w:rPr>
                <w:rFonts w:ascii="宋体" w:hAnsi="宋体" w:eastAsia="宋体" w:cs="宋体"/>
                <w:bCs/>
                <w:sz w:val="21"/>
                <w:szCs w:val="21"/>
              </w:rPr>
            </w:pPr>
            <w:r>
              <w:rPr>
                <w:rFonts w:hint="eastAsia" w:ascii="宋体" w:hAnsi="宋体" w:eastAsia="宋体" w:cs="宋体"/>
                <w:bCs/>
                <w:sz w:val="21"/>
                <w:szCs w:val="21"/>
              </w:rPr>
              <w:t>制造商</w:t>
            </w:r>
          </w:p>
          <w:p>
            <w:pPr>
              <w:pStyle w:val="9"/>
              <w:jc w:val="center"/>
              <w:rPr>
                <w:rFonts w:ascii="宋体" w:hAnsi="宋体" w:eastAsia="宋体" w:cs="宋体"/>
                <w:bCs/>
                <w:sz w:val="21"/>
                <w:szCs w:val="21"/>
              </w:rPr>
            </w:pPr>
            <w:r>
              <w:rPr>
                <w:rFonts w:hint="eastAsia" w:ascii="宋体" w:hAnsi="宋体" w:eastAsia="宋体" w:cs="宋体"/>
                <w:bCs/>
                <w:sz w:val="21"/>
                <w:szCs w:val="21"/>
              </w:rPr>
              <w:t>名称</w:t>
            </w:r>
          </w:p>
        </w:tc>
        <w:tc>
          <w:tcPr>
            <w:tcW w:w="1276" w:type="dxa"/>
            <w:shd w:val="clear" w:color="auto" w:fill="auto"/>
            <w:vAlign w:val="center"/>
          </w:tcPr>
          <w:p>
            <w:pPr>
              <w:pStyle w:val="9"/>
              <w:jc w:val="center"/>
              <w:rPr>
                <w:rFonts w:ascii="宋体" w:hAnsi="宋体" w:eastAsia="宋体" w:cs="宋体"/>
                <w:bCs/>
                <w:sz w:val="21"/>
                <w:szCs w:val="21"/>
              </w:rPr>
            </w:pPr>
            <w:r>
              <w:rPr>
                <w:rFonts w:hint="eastAsia" w:ascii="宋体" w:hAnsi="宋体" w:eastAsia="宋体" w:cs="宋体"/>
                <w:bCs/>
                <w:sz w:val="21"/>
                <w:szCs w:val="21"/>
              </w:rPr>
              <w:t>中国环境标志认证证书编号</w:t>
            </w:r>
          </w:p>
        </w:tc>
        <w:tc>
          <w:tcPr>
            <w:tcW w:w="1439" w:type="dxa"/>
            <w:shd w:val="clear" w:color="auto" w:fill="auto"/>
            <w:vAlign w:val="center"/>
          </w:tcPr>
          <w:p>
            <w:pPr>
              <w:pStyle w:val="9"/>
              <w:jc w:val="center"/>
              <w:rPr>
                <w:rFonts w:ascii="宋体" w:hAnsi="宋体" w:eastAsia="宋体" w:cs="宋体"/>
                <w:bCs/>
                <w:sz w:val="21"/>
                <w:szCs w:val="21"/>
              </w:rPr>
            </w:pPr>
            <w:r>
              <w:rPr>
                <w:rFonts w:hint="eastAsia" w:ascii="宋体" w:hAnsi="宋体" w:eastAsia="宋体" w:cs="宋体"/>
                <w:bCs/>
                <w:sz w:val="21"/>
                <w:szCs w:val="21"/>
              </w:rPr>
              <w:t>提供环境标志产品所在页复印件</w:t>
            </w:r>
          </w:p>
          <w:p>
            <w:pPr>
              <w:pStyle w:val="9"/>
              <w:jc w:val="center"/>
              <w:rPr>
                <w:rFonts w:ascii="宋体" w:hAnsi="宋体" w:eastAsia="宋体" w:cs="宋体"/>
                <w:bCs/>
                <w:sz w:val="21"/>
                <w:szCs w:val="21"/>
              </w:rPr>
            </w:pPr>
            <w:r>
              <w:rPr>
                <w:rFonts w:hint="eastAsia" w:ascii="宋体" w:hAnsi="宋体" w:eastAsia="宋体" w:cs="宋体"/>
                <w:bCs/>
                <w:sz w:val="21"/>
                <w:szCs w:val="21"/>
              </w:rPr>
              <w:t>（是/否）</w:t>
            </w:r>
          </w:p>
        </w:tc>
        <w:tc>
          <w:tcPr>
            <w:tcW w:w="1252" w:type="dxa"/>
            <w:shd w:val="clear" w:color="auto" w:fill="auto"/>
            <w:vAlign w:val="center"/>
          </w:tcPr>
          <w:p>
            <w:pPr>
              <w:pStyle w:val="9"/>
              <w:jc w:val="center"/>
              <w:rPr>
                <w:rFonts w:ascii="宋体" w:hAnsi="宋体" w:eastAsia="宋体" w:cs="宋体"/>
                <w:bCs/>
                <w:sz w:val="21"/>
                <w:szCs w:val="21"/>
              </w:rPr>
            </w:pPr>
            <w:r>
              <w:rPr>
                <w:rFonts w:hint="eastAsia" w:ascii="宋体" w:hAnsi="宋体" w:eastAsia="宋体" w:cs="宋体"/>
                <w:bCs/>
                <w:sz w:val="21"/>
                <w:szCs w:val="21"/>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说明：所投产品“环境标志产品政府采购清单”所在页复印件并加盖投标人公章须附后。</w:t>
      </w:r>
    </w:p>
    <w:p>
      <w:pPr>
        <w:spacing w:line="360" w:lineRule="auto"/>
        <w:jc w:val="center"/>
        <w:rPr>
          <w:rFonts w:ascii="宋体" w:hAnsi="宋体"/>
          <w:bCs/>
          <w:color w:val="000000"/>
          <w:sz w:val="36"/>
          <w:szCs w:val="36"/>
        </w:rPr>
      </w:pPr>
    </w:p>
    <w:p>
      <w:pPr>
        <w:spacing w:line="360" w:lineRule="auto"/>
        <w:jc w:val="center"/>
        <w:rPr>
          <w:rFonts w:ascii="宋体" w:hAnsi="宋体"/>
          <w:bCs/>
          <w:color w:val="000000"/>
          <w:sz w:val="36"/>
          <w:szCs w:val="36"/>
        </w:rPr>
      </w:pPr>
    </w:p>
    <w:p>
      <w:pPr>
        <w:spacing w:line="360" w:lineRule="auto"/>
        <w:jc w:val="center"/>
        <w:rPr>
          <w:rFonts w:ascii="宋体" w:hAnsi="宋体"/>
          <w:bCs/>
          <w:color w:val="000000"/>
          <w:sz w:val="36"/>
          <w:szCs w:val="36"/>
        </w:rPr>
      </w:pPr>
    </w:p>
    <w:p>
      <w:pPr>
        <w:spacing w:line="360" w:lineRule="auto"/>
        <w:jc w:val="center"/>
        <w:rPr>
          <w:rFonts w:ascii="宋体" w:hAnsi="宋体"/>
          <w:bCs/>
          <w:color w:val="000000"/>
          <w:sz w:val="36"/>
          <w:szCs w:val="36"/>
        </w:rPr>
      </w:pPr>
    </w:p>
    <w:p>
      <w:pPr>
        <w:spacing w:line="360" w:lineRule="auto"/>
        <w:jc w:val="both"/>
        <w:rPr>
          <w:rFonts w:ascii="宋体" w:hAnsi="宋体"/>
          <w:bCs/>
          <w:color w:val="000000"/>
          <w:sz w:val="36"/>
          <w:szCs w:val="36"/>
        </w:rPr>
      </w:pPr>
    </w:p>
    <w:p>
      <w:pPr>
        <w:spacing w:line="360" w:lineRule="auto"/>
        <w:jc w:val="center"/>
        <w:rPr>
          <w:rFonts w:ascii="宋体" w:hAnsi="宋体"/>
          <w:bCs/>
          <w:color w:val="000000"/>
          <w:sz w:val="36"/>
          <w:szCs w:val="36"/>
        </w:rPr>
      </w:pPr>
    </w:p>
    <w:p>
      <w:pPr>
        <w:autoSpaceDE w:val="0"/>
        <w:autoSpaceDN w:val="0"/>
        <w:adjustRightInd w:val="0"/>
        <w:spacing w:line="360" w:lineRule="auto"/>
        <w:jc w:val="center"/>
        <w:outlineLvl w:val="0"/>
        <w:rPr>
          <w:rFonts w:hint="eastAsia" w:ascii="宋体" w:hAnsi="宋体"/>
          <w:bCs/>
          <w:color w:val="000000"/>
          <w:sz w:val="24"/>
          <w:szCs w:val="24"/>
        </w:rPr>
      </w:pPr>
    </w:p>
    <w:p>
      <w:pPr>
        <w:autoSpaceDE w:val="0"/>
        <w:autoSpaceDN w:val="0"/>
        <w:adjustRightInd w:val="0"/>
        <w:spacing w:line="360" w:lineRule="auto"/>
        <w:jc w:val="center"/>
        <w:outlineLvl w:val="0"/>
        <w:rPr>
          <w:rFonts w:hint="eastAsia" w:ascii="宋体" w:hAnsi="宋体"/>
          <w:bCs/>
          <w:color w:val="000000"/>
          <w:sz w:val="24"/>
          <w:szCs w:val="24"/>
        </w:rPr>
      </w:pPr>
    </w:p>
    <w:p>
      <w:pPr>
        <w:autoSpaceDE w:val="0"/>
        <w:autoSpaceDN w:val="0"/>
        <w:adjustRightInd w:val="0"/>
        <w:spacing w:line="360" w:lineRule="auto"/>
        <w:jc w:val="center"/>
        <w:outlineLvl w:val="0"/>
        <w:rPr>
          <w:rFonts w:ascii="宋体" w:hAnsi="宋体"/>
          <w:bCs/>
          <w:color w:val="000000"/>
          <w:sz w:val="24"/>
          <w:szCs w:val="24"/>
        </w:rPr>
      </w:pPr>
      <w:r>
        <w:rPr>
          <w:rFonts w:hint="eastAsia" w:ascii="宋体" w:hAnsi="宋体"/>
          <w:bCs/>
          <w:color w:val="000000"/>
          <w:sz w:val="24"/>
          <w:szCs w:val="24"/>
        </w:rPr>
        <w:t>3.</w:t>
      </w:r>
      <w:r>
        <w:rPr>
          <w:rFonts w:hint="eastAsia" w:ascii="宋体" w:hAnsi="宋体"/>
          <w:bCs/>
          <w:color w:val="000000"/>
          <w:sz w:val="24"/>
          <w:szCs w:val="24"/>
          <w:lang w:val="en-US" w:eastAsia="zh-CN"/>
        </w:rPr>
        <w:t>8</w:t>
      </w:r>
      <w:r>
        <w:rPr>
          <w:rFonts w:hint="eastAsia" w:ascii="宋体" w:hAnsi="宋体"/>
          <w:bCs/>
          <w:color w:val="000000"/>
          <w:sz w:val="24"/>
          <w:szCs w:val="24"/>
        </w:rPr>
        <w:t>中小企业声明函</w:t>
      </w:r>
    </w:p>
    <w:p>
      <w:pPr>
        <w:spacing w:line="360" w:lineRule="auto"/>
        <w:jc w:val="center"/>
        <w:rPr>
          <w:rFonts w:ascii="宋体" w:hAnsi="宋体"/>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jc w:val="left"/>
        <w:rPr>
          <w:rFonts w:ascii="宋体" w:hAnsi="宋体"/>
          <w:color w:val="000000"/>
          <w:szCs w:val="21"/>
        </w:rPr>
      </w:pPr>
    </w:p>
    <w:p>
      <w:pPr>
        <w:widowControl/>
        <w:spacing w:before="100" w:beforeAutospacing="1" w:after="100" w:afterAutospacing="1" w:line="360" w:lineRule="auto"/>
        <w:jc w:val="left"/>
        <w:rPr>
          <w:rFonts w:ascii="宋体" w:hAnsi="宋体"/>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Cs/>
          <w:color w:val="000000"/>
          <w:sz w:val="36"/>
          <w:szCs w:val="36"/>
        </w:rPr>
      </w:pPr>
    </w:p>
    <w:p>
      <w:pPr>
        <w:autoSpaceDE w:val="0"/>
        <w:autoSpaceDN w:val="0"/>
        <w:adjustRightInd w:val="0"/>
        <w:spacing w:line="360" w:lineRule="auto"/>
        <w:jc w:val="center"/>
        <w:outlineLvl w:val="0"/>
        <w:rPr>
          <w:rFonts w:ascii="宋体" w:hAnsi="宋体"/>
          <w:bCs/>
          <w:color w:val="000000"/>
          <w:sz w:val="36"/>
          <w:szCs w:val="36"/>
        </w:rPr>
      </w:pPr>
    </w:p>
    <w:p>
      <w:pPr>
        <w:autoSpaceDE w:val="0"/>
        <w:autoSpaceDN w:val="0"/>
        <w:adjustRightInd w:val="0"/>
        <w:spacing w:line="360" w:lineRule="auto"/>
        <w:jc w:val="center"/>
        <w:outlineLvl w:val="0"/>
        <w:rPr>
          <w:rFonts w:hint="eastAsia" w:ascii="宋体" w:hAnsi="宋体"/>
          <w:bCs/>
          <w:color w:val="000000"/>
          <w:sz w:val="24"/>
          <w:szCs w:val="24"/>
        </w:rPr>
      </w:pPr>
      <w:bookmarkStart w:id="4" w:name="OLE_LINK13"/>
      <w:bookmarkStart w:id="5" w:name="OLE_LINK14"/>
    </w:p>
    <w:p>
      <w:pPr>
        <w:autoSpaceDE w:val="0"/>
        <w:autoSpaceDN w:val="0"/>
        <w:adjustRightInd w:val="0"/>
        <w:spacing w:line="360" w:lineRule="auto"/>
        <w:jc w:val="center"/>
        <w:outlineLvl w:val="0"/>
        <w:rPr>
          <w:rFonts w:hint="eastAsia" w:ascii="宋体" w:hAnsi="宋体"/>
          <w:bCs/>
          <w:color w:val="000000"/>
          <w:sz w:val="24"/>
          <w:szCs w:val="24"/>
        </w:rPr>
      </w:pPr>
    </w:p>
    <w:p>
      <w:pPr>
        <w:autoSpaceDE w:val="0"/>
        <w:autoSpaceDN w:val="0"/>
        <w:adjustRightInd w:val="0"/>
        <w:spacing w:line="360" w:lineRule="auto"/>
        <w:jc w:val="center"/>
        <w:outlineLvl w:val="0"/>
        <w:rPr>
          <w:rFonts w:ascii="宋体" w:hAnsi="宋体"/>
          <w:bCs/>
          <w:color w:val="000000"/>
          <w:sz w:val="24"/>
          <w:szCs w:val="24"/>
        </w:rPr>
      </w:pPr>
      <w:r>
        <w:rPr>
          <w:rFonts w:hint="eastAsia" w:ascii="宋体" w:hAnsi="宋体"/>
          <w:bCs/>
          <w:color w:val="000000"/>
          <w:sz w:val="24"/>
          <w:szCs w:val="24"/>
        </w:rPr>
        <w:t>3.</w:t>
      </w:r>
      <w:r>
        <w:rPr>
          <w:rFonts w:hint="eastAsia" w:ascii="宋体" w:hAnsi="宋体"/>
          <w:bCs/>
          <w:color w:val="000000"/>
          <w:sz w:val="24"/>
          <w:szCs w:val="24"/>
          <w:lang w:val="en-US" w:eastAsia="zh-CN"/>
        </w:rPr>
        <w:t>9</w:t>
      </w:r>
      <w:r>
        <w:rPr>
          <w:rFonts w:hint="eastAsia" w:ascii="宋体" w:hAnsi="宋体"/>
          <w:bCs/>
          <w:color w:val="000000"/>
          <w:sz w:val="24"/>
          <w:szCs w:val="24"/>
        </w:rPr>
        <w:t xml:space="preserve"> 残疾人福利性单位声明函</w:t>
      </w:r>
    </w:p>
    <w:bookmarkEnd w:id="4"/>
    <w:bookmarkEnd w:id="5"/>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Cs/>
          <w:color w:val="000000"/>
          <w:sz w:val="24"/>
          <w:szCs w:val="24"/>
        </w:rPr>
      </w:pPr>
      <w:r>
        <w:rPr>
          <w:rFonts w:hint="eastAsia" w:ascii="宋体" w:hAnsi="宋体"/>
          <w:bCs/>
          <w:color w:val="000000"/>
          <w:sz w:val="24"/>
          <w:szCs w:val="24"/>
        </w:rPr>
        <w:t>3.1</w:t>
      </w:r>
      <w:r>
        <w:rPr>
          <w:rFonts w:hint="eastAsia" w:ascii="宋体" w:hAnsi="宋体"/>
          <w:bCs/>
          <w:color w:val="000000"/>
          <w:sz w:val="24"/>
          <w:szCs w:val="24"/>
          <w:lang w:val="en-US" w:eastAsia="zh-CN"/>
        </w:rPr>
        <w:t>0</w:t>
      </w:r>
      <w:r>
        <w:rPr>
          <w:rFonts w:hint="eastAsia" w:ascii="宋体" w:hAnsi="宋体"/>
          <w:bCs/>
          <w:color w:val="000000"/>
          <w:sz w:val="24"/>
          <w:szCs w:val="24"/>
        </w:rPr>
        <w:t xml:space="preserve"> 所投产品符合国家强制性要求承诺函 </w:t>
      </w:r>
    </w:p>
    <w:p>
      <w:pPr>
        <w:autoSpaceDE w:val="0"/>
        <w:autoSpaceDN w:val="0"/>
        <w:adjustRightInd w:val="0"/>
        <w:spacing w:line="360" w:lineRule="auto"/>
        <w:jc w:val="center"/>
        <w:outlineLvl w:val="0"/>
        <w:rPr>
          <w:rFonts w:ascii="宋体" w:hAnsi="宋体"/>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Cs/>
          <w:color w:val="000000"/>
          <w:sz w:val="36"/>
          <w:szCs w:val="36"/>
        </w:rPr>
      </w:pPr>
    </w:p>
    <w:p>
      <w:pPr>
        <w:autoSpaceDE w:val="0"/>
        <w:autoSpaceDN w:val="0"/>
        <w:adjustRightInd w:val="0"/>
        <w:spacing w:line="360" w:lineRule="auto"/>
        <w:jc w:val="center"/>
        <w:rPr>
          <w:rFonts w:hint="eastAsia" w:ascii="宋体" w:hAnsi="宋体"/>
          <w:bCs/>
          <w:color w:val="000000"/>
          <w:sz w:val="36"/>
          <w:szCs w:val="36"/>
        </w:rPr>
      </w:pPr>
    </w:p>
    <w:p>
      <w:pPr>
        <w:autoSpaceDE w:val="0"/>
        <w:autoSpaceDN w:val="0"/>
        <w:adjustRightInd w:val="0"/>
        <w:spacing w:line="360" w:lineRule="auto"/>
        <w:jc w:val="center"/>
        <w:rPr>
          <w:rFonts w:cs="黑体" w:asciiTheme="minorEastAsia" w:hAnsiTheme="minorEastAsia"/>
          <w:bCs/>
          <w:sz w:val="44"/>
          <w:szCs w:val="44"/>
          <w:lang w:val="zh-CN"/>
        </w:rPr>
      </w:pPr>
    </w:p>
    <w:p>
      <w:pPr>
        <w:autoSpaceDE w:val="0"/>
        <w:autoSpaceDN w:val="0"/>
        <w:adjustRightInd w:val="0"/>
        <w:spacing w:line="360" w:lineRule="auto"/>
        <w:jc w:val="center"/>
        <w:rPr>
          <w:rFonts w:hint="eastAsia" w:cs="黑体" w:asciiTheme="minorEastAsia" w:hAnsiTheme="minorEastAsia"/>
          <w:bCs/>
          <w:sz w:val="28"/>
          <w:szCs w:val="28"/>
          <w:lang w:val="zh-CN"/>
        </w:rPr>
      </w:pPr>
    </w:p>
    <w:p>
      <w:pPr>
        <w:autoSpaceDE w:val="0"/>
        <w:autoSpaceDN w:val="0"/>
        <w:adjustRightInd w:val="0"/>
        <w:spacing w:line="360" w:lineRule="auto"/>
        <w:jc w:val="center"/>
        <w:rPr>
          <w:rFonts w:cs="黑体" w:asciiTheme="minorEastAsia" w:hAnsiTheme="minorEastAsia"/>
          <w:bCs/>
          <w:sz w:val="28"/>
          <w:szCs w:val="28"/>
          <w:lang w:val="zh-CN"/>
        </w:rPr>
      </w:pPr>
      <w:r>
        <w:rPr>
          <w:rFonts w:hint="eastAsia" w:cs="黑体" w:asciiTheme="minorEastAsia" w:hAnsiTheme="minorEastAsia"/>
          <w:bCs/>
          <w:sz w:val="28"/>
          <w:szCs w:val="28"/>
          <w:lang w:val="zh-CN"/>
        </w:rPr>
        <w:t>四、</w:t>
      </w:r>
      <w:r>
        <w:rPr>
          <w:rFonts w:cs="黑体" w:asciiTheme="minorEastAsia" w:hAnsiTheme="minorEastAsia"/>
          <w:bCs/>
          <w:sz w:val="28"/>
          <w:szCs w:val="28"/>
          <w:lang w:val="zh-CN"/>
        </w:rPr>
        <w:t>其他资料（若有）</w:t>
      </w:r>
    </w:p>
    <w:p/>
    <w:p/>
    <w:p/>
    <w:p>
      <w:pPr>
        <w:spacing w:line="360" w:lineRule="auto"/>
        <w:jc w:val="center"/>
        <w:rPr>
          <w:rFonts w:ascii="宋体" w:hAnsi="宋体"/>
          <w:bCs/>
          <w:color w:val="000000"/>
          <w:sz w:val="28"/>
          <w:szCs w:val="28"/>
        </w:rPr>
      </w:pPr>
      <w:r>
        <w:rPr>
          <w:rFonts w:ascii="宋体" w:hAnsi="宋体"/>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Cs/>
          <w:color w:val="000000"/>
          <w:sz w:val="28"/>
          <w:szCs w:val="28"/>
        </w:rPr>
      </w:pPr>
      <w:r>
        <w:rPr>
          <w:rFonts w:ascii="宋体" w:hAnsi="宋体"/>
          <w:bCs/>
          <w:color w:val="000000"/>
          <w:sz w:val="28"/>
          <w:szCs w:val="28"/>
        </w:rPr>
        <w:t> </w:t>
      </w:r>
    </w:p>
    <w:p/>
    <w:p/>
    <w:p/>
    <w:p/>
    <w:p/>
    <w:p/>
    <w:p/>
    <w:p/>
    <w:p/>
    <w:p/>
    <w:sectPr>
      <w:footerReference r:id="rId3" w:type="default"/>
      <w:pgSz w:w="11906" w:h="16838"/>
      <w:pgMar w:top="147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TimesNewRomanPSMT">
    <w:altName w:val="宋体"/>
    <w:panose1 w:val="00000000000000000000"/>
    <w:charset w:val="00"/>
    <w:family w:val="roman"/>
    <w:pitch w:val="default"/>
    <w:sig w:usb0="00000000" w:usb1="00000000" w:usb2="00000010" w:usb3="00000000" w:csb0="00040001"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Wingdings 2">
    <w:panose1 w:val="05020102010507070707"/>
    <w:charset w:val="00"/>
    <w:family w:val="auto"/>
    <w:pitch w:val="default"/>
    <w:sig w:usb0="00000000" w:usb1="00000000" w:usb2="00000000" w:usb3="00000000" w:csb0="80000000" w:csb1="00000000"/>
  </w:font>
  <w:font w:name="方正小标宋简体">
    <w:altName w:val="微软雅黑"/>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Text Box 1" o:spid="_x0000_s4097" o:spt="202" type="#_x0000_t202" style="position:absolute;left:0pt;margin-top:0pt;height:11pt;width:9.15pt;mso-position-horizontal:center;mso-position-horizontal-relative:margin;mso-wrap-style:none;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18D21"/>
    <w:multiLevelType w:val="singleLevel"/>
    <w:tmpl w:val="BF618D21"/>
    <w:lvl w:ilvl="0" w:tentative="0">
      <w:start w:val="8"/>
      <w:numFmt w:val="decimal"/>
      <w:suff w:val="nothing"/>
      <w:lvlText w:val="%1、"/>
      <w:lvlJc w:val="left"/>
    </w:lvl>
  </w:abstractNum>
  <w:abstractNum w:abstractNumId="1">
    <w:nsid w:val="CBA08015"/>
    <w:multiLevelType w:val="singleLevel"/>
    <w:tmpl w:val="CBA08015"/>
    <w:lvl w:ilvl="0" w:tentative="0">
      <w:start w:val="5"/>
      <w:numFmt w:val="decimal"/>
      <w:lvlText w:val="%1."/>
      <w:lvlJc w:val="left"/>
      <w:pPr>
        <w:tabs>
          <w:tab w:val="left" w:pos="312"/>
        </w:tabs>
      </w:pPr>
    </w:lvl>
  </w:abstractNum>
  <w:abstractNum w:abstractNumId="2">
    <w:nsid w:val="D7A32A7E"/>
    <w:multiLevelType w:val="singleLevel"/>
    <w:tmpl w:val="D7A32A7E"/>
    <w:lvl w:ilvl="0" w:tentative="0">
      <w:start w:val="1"/>
      <w:numFmt w:val="decimal"/>
      <w:suff w:val="nothing"/>
      <w:lvlText w:val="（%1）"/>
      <w:lvlJc w:val="left"/>
    </w:lvl>
  </w:abstractNum>
  <w:abstractNum w:abstractNumId="3">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0">
      <w:start w:val="1"/>
      <w:numFmt w:val="decimal"/>
      <w:pStyle w:val="4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F2C7A01"/>
    <w:multiLevelType w:val="singleLevel"/>
    <w:tmpl w:val="0F2C7A01"/>
    <w:lvl w:ilvl="0" w:tentative="0">
      <w:start w:val="1"/>
      <w:numFmt w:val="chineseCounting"/>
      <w:suff w:val="space"/>
      <w:lvlText w:val="第%1章"/>
      <w:lvlJc w:val="left"/>
      <w:rPr>
        <w:rFonts w:hint="eastAsia"/>
      </w:rPr>
    </w:lvl>
  </w:abstractNum>
  <w:abstractNum w:abstractNumId="6">
    <w:nsid w:val="33B41FCF"/>
    <w:multiLevelType w:val="singleLevel"/>
    <w:tmpl w:val="33B41FCF"/>
    <w:lvl w:ilvl="0" w:tentative="0">
      <w:start w:val="8"/>
      <w:numFmt w:val="chineseCounting"/>
      <w:suff w:val="space"/>
      <w:lvlText w:val="第%1章"/>
      <w:lvlJc w:val="left"/>
      <w:rPr>
        <w:rFonts w:hint="eastAsia"/>
      </w:rPr>
    </w:lvl>
  </w:abstractNum>
  <w:abstractNum w:abstractNumId="7">
    <w:nsid w:val="59F817E8"/>
    <w:multiLevelType w:val="singleLevel"/>
    <w:tmpl w:val="59F817E8"/>
    <w:lvl w:ilvl="0" w:tentative="0">
      <w:start w:val="1"/>
      <w:numFmt w:val="chineseCounting"/>
      <w:pStyle w:val="48"/>
      <w:suff w:val="nothing"/>
      <w:lvlText w:val="%1、"/>
      <w:lvlJc w:val="left"/>
    </w:lvl>
  </w:abstractNum>
  <w:num w:numId="1">
    <w:abstractNumId w:val="3"/>
  </w:num>
  <w:num w:numId="2">
    <w:abstractNumId w:val="4"/>
  </w:num>
  <w:num w:numId="3">
    <w:abstractNumId w:val="7"/>
  </w:num>
  <w:num w:numId="4">
    <w:abstractNumId w:val="5"/>
  </w:num>
  <w:num w:numId="5">
    <w:abstractNumId w:val="2"/>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D20A3"/>
    <w:rsid w:val="00000A27"/>
    <w:rsid w:val="000043E4"/>
    <w:rsid w:val="00012712"/>
    <w:rsid w:val="000178D4"/>
    <w:rsid w:val="00020353"/>
    <w:rsid w:val="00022000"/>
    <w:rsid w:val="00022021"/>
    <w:rsid w:val="000300B0"/>
    <w:rsid w:val="000318E9"/>
    <w:rsid w:val="00032F8F"/>
    <w:rsid w:val="00033D27"/>
    <w:rsid w:val="00034324"/>
    <w:rsid w:val="00051632"/>
    <w:rsid w:val="000548CA"/>
    <w:rsid w:val="000554D6"/>
    <w:rsid w:val="00061EBD"/>
    <w:rsid w:val="00066076"/>
    <w:rsid w:val="00073ED4"/>
    <w:rsid w:val="00074086"/>
    <w:rsid w:val="00086AFB"/>
    <w:rsid w:val="000915B6"/>
    <w:rsid w:val="000938BE"/>
    <w:rsid w:val="000A7A0E"/>
    <w:rsid w:val="000B0639"/>
    <w:rsid w:val="000B2FC9"/>
    <w:rsid w:val="000B76FE"/>
    <w:rsid w:val="000C15AC"/>
    <w:rsid w:val="000C5472"/>
    <w:rsid w:val="000D0962"/>
    <w:rsid w:val="000D24B4"/>
    <w:rsid w:val="000D3714"/>
    <w:rsid w:val="000D4F8E"/>
    <w:rsid w:val="000D56C3"/>
    <w:rsid w:val="000E102E"/>
    <w:rsid w:val="000E3244"/>
    <w:rsid w:val="000F3964"/>
    <w:rsid w:val="00113A6C"/>
    <w:rsid w:val="00114F7B"/>
    <w:rsid w:val="00120A65"/>
    <w:rsid w:val="001309C7"/>
    <w:rsid w:val="00134D89"/>
    <w:rsid w:val="0013622E"/>
    <w:rsid w:val="001413B0"/>
    <w:rsid w:val="001416AD"/>
    <w:rsid w:val="0014292A"/>
    <w:rsid w:val="001453AC"/>
    <w:rsid w:val="00153973"/>
    <w:rsid w:val="00157BFD"/>
    <w:rsid w:val="0016162A"/>
    <w:rsid w:val="00162961"/>
    <w:rsid w:val="001729F5"/>
    <w:rsid w:val="00175E00"/>
    <w:rsid w:val="001812E3"/>
    <w:rsid w:val="001937A0"/>
    <w:rsid w:val="001A1B6C"/>
    <w:rsid w:val="001A3B00"/>
    <w:rsid w:val="001A3DE4"/>
    <w:rsid w:val="001A440A"/>
    <w:rsid w:val="001B3201"/>
    <w:rsid w:val="001B3B1F"/>
    <w:rsid w:val="001B3FA7"/>
    <w:rsid w:val="001C128F"/>
    <w:rsid w:val="001D0FCE"/>
    <w:rsid w:val="001D1F28"/>
    <w:rsid w:val="001D2862"/>
    <w:rsid w:val="001D6D29"/>
    <w:rsid w:val="001E3E55"/>
    <w:rsid w:val="002050D9"/>
    <w:rsid w:val="00212A04"/>
    <w:rsid w:val="00220A8C"/>
    <w:rsid w:val="00234499"/>
    <w:rsid w:val="00235727"/>
    <w:rsid w:val="00235DB3"/>
    <w:rsid w:val="002373EF"/>
    <w:rsid w:val="002408D3"/>
    <w:rsid w:val="002447F3"/>
    <w:rsid w:val="00247D4B"/>
    <w:rsid w:val="00247EBC"/>
    <w:rsid w:val="00251DBD"/>
    <w:rsid w:val="0025438E"/>
    <w:rsid w:val="002557F6"/>
    <w:rsid w:val="00257170"/>
    <w:rsid w:val="00257C0C"/>
    <w:rsid w:val="00257C27"/>
    <w:rsid w:val="002644FB"/>
    <w:rsid w:val="00274792"/>
    <w:rsid w:val="00274F8B"/>
    <w:rsid w:val="00282D0F"/>
    <w:rsid w:val="002A4363"/>
    <w:rsid w:val="002A45F0"/>
    <w:rsid w:val="002A4A94"/>
    <w:rsid w:val="002D5CAA"/>
    <w:rsid w:val="002E3710"/>
    <w:rsid w:val="002F56B1"/>
    <w:rsid w:val="002F68B9"/>
    <w:rsid w:val="00300379"/>
    <w:rsid w:val="00301814"/>
    <w:rsid w:val="00304216"/>
    <w:rsid w:val="00307037"/>
    <w:rsid w:val="003103B1"/>
    <w:rsid w:val="00313750"/>
    <w:rsid w:val="00315BEB"/>
    <w:rsid w:val="00322385"/>
    <w:rsid w:val="00323B0A"/>
    <w:rsid w:val="00325EC7"/>
    <w:rsid w:val="003315A3"/>
    <w:rsid w:val="00333DA4"/>
    <w:rsid w:val="0033593F"/>
    <w:rsid w:val="00336C58"/>
    <w:rsid w:val="00337220"/>
    <w:rsid w:val="00354508"/>
    <w:rsid w:val="00355A48"/>
    <w:rsid w:val="00356391"/>
    <w:rsid w:val="00361029"/>
    <w:rsid w:val="00361EF7"/>
    <w:rsid w:val="00365D02"/>
    <w:rsid w:val="0037403C"/>
    <w:rsid w:val="00380D7C"/>
    <w:rsid w:val="00383B76"/>
    <w:rsid w:val="003A3736"/>
    <w:rsid w:val="003B47AA"/>
    <w:rsid w:val="003B602C"/>
    <w:rsid w:val="003B6371"/>
    <w:rsid w:val="003D2B2F"/>
    <w:rsid w:val="003D37DB"/>
    <w:rsid w:val="003D3FB5"/>
    <w:rsid w:val="003E149A"/>
    <w:rsid w:val="003E2DBE"/>
    <w:rsid w:val="0040063C"/>
    <w:rsid w:val="0041124B"/>
    <w:rsid w:val="00412829"/>
    <w:rsid w:val="00414486"/>
    <w:rsid w:val="00415A4E"/>
    <w:rsid w:val="00416BAE"/>
    <w:rsid w:val="00417373"/>
    <w:rsid w:val="004212CB"/>
    <w:rsid w:val="0042172E"/>
    <w:rsid w:val="004226E9"/>
    <w:rsid w:val="00422916"/>
    <w:rsid w:val="00425942"/>
    <w:rsid w:val="00436090"/>
    <w:rsid w:val="00445971"/>
    <w:rsid w:val="00447141"/>
    <w:rsid w:val="00453CFB"/>
    <w:rsid w:val="00457D84"/>
    <w:rsid w:val="00471D9E"/>
    <w:rsid w:val="0048788B"/>
    <w:rsid w:val="004A3EBE"/>
    <w:rsid w:val="004B2239"/>
    <w:rsid w:val="004B22D3"/>
    <w:rsid w:val="004B29C4"/>
    <w:rsid w:val="004B6F46"/>
    <w:rsid w:val="004B7646"/>
    <w:rsid w:val="004B7F50"/>
    <w:rsid w:val="004C3729"/>
    <w:rsid w:val="004C488A"/>
    <w:rsid w:val="004D339F"/>
    <w:rsid w:val="004D3824"/>
    <w:rsid w:val="004E0761"/>
    <w:rsid w:val="004E2C91"/>
    <w:rsid w:val="004E4FBA"/>
    <w:rsid w:val="004E6481"/>
    <w:rsid w:val="004E7596"/>
    <w:rsid w:val="004F1DBB"/>
    <w:rsid w:val="004F5BE4"/>
    <w:rsid w:val="004F617D"/>
    <w:rsid w:val="005020CD"/>
    <w:rsid w:val="00512A12"/>
    <w:rsid w:val="00521E2C"/>
    <w:rsid w:val="00522091"/>
    <w:rsid w:val="00522697"/>
    <w:rsid w:val="005341BE"/>
    <w:rsid w:val="00544270"/>
    <w:rsid w:val="00547C51"/>
    <w:rsid w:val="00554142"/>
    <w:rsid w:val="005549F8"/>
    <w:rsid w:val="00561C5B"/>
    <w:rsid w:val="00562433"/>
    <w:rsid w:val="00573D06"/>
    <w:rsid w:val="005768AB"/>
    <w:rsid w:val="00577061"/>
    <w:rsid w:val="0058043E"/>
    <w:rsid w:val="005856E5"/>
    <w:rsid w:val="005977DF"/>
    <w:rsid w:val="005A0399"/>
    <w:rsid w:val="005A0CBC"/>
    <w:rsid w:val="005A14CE"/>
    <w:rsid w:val="005A3071"/>
    <w:rsid w:val="005A4717"/>
    <w:rsid w:val="005E3409"/>
    <w:rsid w:val="005E3F3F"/>
    <w:rsid w:val="005F0B1E"/>
    <w:rsid w:val="005F1DF2"/>
    <w:rsid w:val="0060569D"/>
    <w:rsid w:val="00614304"/>
    <w:rsid w:val="0061792B"/>
    <w:rsid w:val="006215FB"/>
    <w:rsid w:val="00622B0B"/>
    <w:rsid w:val="00624843"/>
    <w:rsid w:val="006355AE"/>
    <w:rsid w:val="006357B0"/>
    <w:rsid w:val="006369BE"/>
    <w:rsid w:val="00636AAD"/>
    <w:rsid w:val="0063754C"/>
    <w:rsid w:val="0065294F"/>
    <w:rsid w:val="00653D9B"/>
    <w:rsid w:val="00654B93"/>
    <w:rsid w:val="006626FF"/>
    <w:rsid w:val="0067408D"/>
    <w:rsid w:val="00674726"/>
    <w:rsid w:val="006765F0"/>
    <w:rsid w:val="006906FE"/>
    <w:rsid w:val="006939F8"/>
    <w:rsid w:val="00694D5B"/>
    <w:rsid w:val="00695567"/>
    <w:rsid w:val="006A5CAE"/>
    <w:rsid w:val="006A7085"/>
    <w:rsid w:val="006B11BB"/>
    <w:rsid w:val="006B59F9"/>
    <w:rsid w:val="006C1ABC"/>
    <w:rsid w:val="006C4A8D"/>
    <w:rsid w:val="006D2F3B"/>
    <w:rsid w:val="006D5390"/>
    <w:rsid w:val="006E6EAB"/>
    <w:rsid w:val="006F0427"/>
    <w:rsid w:val="006F2C6A"/>
    <w:rsid w:val="006F68CC"/>
    <w:rsid w:val="006F713F"/>
    <w:rsid w:val="0070010A"/>
    <w:rsid w:val="00704BF9"/>
    <w:rsid w:val="00705BA9"/>
    <w:rsid w:val="00714DFA"/>
    <w:rsid w:val="00716F27"/>
    <w:rsid w:val="00721711"/>
    <w:rsid w:val="00737DB9"/>
    <w:rsid w:val="007401C3"/>
    <w:rsid w:val="00740E91"/>
    <w:rsid w:val="00746A32"/>
    <w:rsid w:val="0075221F"/>
    <w:rsid w:val="007547DE"/>
    <w:rsid w:val="007568C2"/>
    <w:rsid w:val="007570E2"/>
    <w:rsid w:val="00760543"/>
    <w:rsid w:val="00765D71"/>
    <w:rsid w:val="007727E6"/>
    <w:rsid w:val="0077455F"/>
    <w:rsid w:val="00780256"/>
    <w:rsid w:val="00784774"/>
    <w:rsid w:val="0078780A"/>
    <w:rsid w:val="0079352C"/>
    <w:rsid w:val="00796672"/>
    <w:rsid w:val="007A2CEB"/>
    <w:rsid w:val="007A31F4"/>
    <w:rsid w:val="007A34F1"/>
    <w:rsid w:val="007A48E9"/>
    <w:rsid w:val="007B0368"/>
    <w:rsid w:val="007B30DE"/>
    <w:rsid w:val="007B39C7"/>
    <w:rsid w:val="007C07ED"/>
    <w:rsid w:val="007C4460"/>
    <w:rsid w:val="007C6705"/>
    <w:rsid w:val="007D2A0A"/>
    <w:rsid w:val="007D2B0C"/>
    <w:rsid w:val="007D3A74"/>
    <w:rsid w:val="007D4BAD"/>
    <w:rsid w:val="007D6D78"/>
    <w:rsid w:val="007E1FE9"/>
    <w:rsid w:val="007E5964"/>
    <w:rsid w:val="007E6183"/>
    <w:rsid w:val="007E7B23"/>
    <w:rsid w:val="007F0A64"/>
    <w:rsid w:val="007F6FB7"/>
    <w:rsid w:val="0080260F"/>
    <w:rsid w:val="00803793"/>
    <w:rsid w:val="00804C7C"/>
    <w:rsid w:val="008101FB"/>
    <w:rsid w:val="00811BB1"/>
    <w:rsid w:val="00822530"/>
    <w:rsid w:val="00832E87"/>
    <w:rsid w:val="00833C6A"/>
    <w:rsid w:val="0084302F"/>
    <w:rsid w:val="00847088"/>
    <w:rsid w:val="0085213A"/>
    <w:rsid w:val="0086265C"/>
    <w:rsid w:val="008656DB"/>
    <w:rsid w:val="008734AD"/>
    <w:rsid w:val="008753FE"/>
    <w:rsid w:val="00877C6C"/>
    <w:rsid w:val="00880290"/>
    <w:rsid w:val="00882CC7"/>
    <w:rsid w:val="008833DC"/>
    <w:rsid w:val="008834FE"/>
    <w:rsid w:val="00884D0F"/>
    <w:rsid w:val="00884F11"/>
    <w:rsid w:val="00887FE7"/>
    <w:rsid w:val="0089369E"/>
    <w:rsid w:val="00893B24"/>
    <w:rsid w:val="0089510B"/>
    <w:rsid w:val="00896816"/>
    <w:rsid w:val="008A1E63"/>
    <w:rsid w:val="008A1EE5"/>
    <w:rsid w:val="008A4543"/>
    <w:rsid w:val="008A5850"/>
    <w:rsid w:val="008B57FF"/>
    <w:rsid w:val="008B5A12"/>
    <w:rsid w:val="008B7AF4"/>
    <w:rsid w:val="008C2A49"/>
    <w:rsid w:val="008C40A8"/>
    <w:rsid w:val="008C4BEA"/>
    <w:rsid w:val="008C53A7"/>
    <w:rsid w:val="008C5A7B"/>
    <w:rsid w:val="008D5569"/>
    <w:rsid w:val="008E62A2"/>
    <w:rsid w:val="008F0E43"/>
    <w:rsid w:val="008F3208"/>
    <w:rsid w:val="00902A7F"/>
    <w:rsid w:val="00903B84"/>
    <w:rsid w:val="00905A17"/>
    <w:rsid w:val="009151EE"/>
    <w:rsid w:val="00920609"/>
    <w:rsid w:val="00920892"/>
    <w:rsid w:val="009209F7"/>
    <w:rsid w:val="0092409E"/>
    <w:rsid w:val="00930F65"/>
    <w:rsid w:val="00945983"/>
    <w:rsid w:val="009519F9"/>
    <w:rsid w:val="00960F78"/>
    <w:rsid w:val="009651B5"/>
    <w:rsid w:val="00972452"/>
    <w:rsid w:val="00973D36"/>
    <w:rsid w:val="0097535A"/>
    <w:rsid w:val="009836D7"/>
    <w:rsid w:val="00985EBA"/>
    <w:rsid w:val="0098622D"/>
    <w:rsid w:val="009A452D"/>
    <w:rsid w:val="009A4837"/>
    <w:rsid w:val="009B2B36"/>
    <w:rsid w:val="009B5BC7"/>
    <w:rsid w:val="009B6EA8"/>
    <w:rsid w:val="009C12AB"/>
    <w:rsid w:val="009C5BE8"/>
    <w:rsid w:val="009C5BF0"/>
    <w:rsid w:val="009D1F9C"/>
    <w:rsid w:val="009D203C"/>
    <w:rsid w:val="009D20A3"/>
    <w:rsid w:val="009D3502"/>
    <w:rsid w:val="009E6699"/>
    <w:rsid w:val="00A03189"/>
    <w:rsid w:val="00A045C1"/>
    <w:rsid w:val="00A0474D"/>
    <w:rsid w:val="00A13520"/>
    <w:rsid w:val="00A159FC"/>
    <w:rsid w:val="00A15F7A"/>
    <w:rsid w:val="00A20C35"/>
    <w:rsid w:val="00A21DDF"/>
    <w:rsid w:val="00A23F1B"/>
    <w:rsid w:val="00A27AA9"/>
    <w:rsid w:val="00A339F0"/>
    <w:rsid w:val="00A36206"/>
    <w:rsid w:val="00A4096D"/>
    <w:rsid w:val="00A42751"/>
    <w:rsid w:val="00A44605"/>
    <w:rsid w:val="00A52737"/>
    <w:rsid w:val="00A54E5B"/>
    <w:rsid w:val="00A61AF6"/>
    <w:rsid w:val="00A63C44"/>
    <w:rsid w:val="00A678EF"/>
    <w:rsid w:val="00A75A79"/>
    <w:rsid w:val="00A767B7"/>
    <w:rsid w:val="00A910F1"/>
    <w:rsid w:val="00AA0F1B"/>
    <w:rsid w:val="00AA4CCD"/>
    <w:rsid w:val="00AC18E3"/>
    <w:rsid w:val="00AC49CE"/>
    <w:rsid w:val="00AC4FD2"/>
    <w:rsid w:val="00AE3298"/>
    <w:rsid w:val="00B018B6"/>
    <w:rsid w:val="00B02024"/>
    <w:rsid w:val="00B05115"/>
    <w:rsid w:val="00B07660"/>
    <w:rsid w:val="00B07980"/>
    <w:rsid w:val="00B12A55"/>
    <w:rsid w:val="00B15072"/>
    <w:rsid w:val="00B15872"/>
    <w:rsid w:val="00B16E78"/>
    <w:rsid w:val="00B20FA0"/>
    <w:rsid w:val="00B24D17"/>
    <w:rsid w:val="00B277AA"/>
    <w:rsid w:val="00B30127"/>
    <w:rsid w:val="00B32542"/>
    <w:rsid w:val="00B32A03"/>
    <w:rsid w:val="00B4067A"/>
    <w:rsid w:val="00B41493"/>
    <w:rsid w:val="00B42330"/>
    <w:rsid w:val="00B42703"/>
    <w:rsid w:val="00B464A4"/>
    <w:rsid w:val="00B47396"/>
    <w:rsid w:val="00B50E4F"/>
    <w:rsid w:val="00B5289C"/>
    <w:rsid w:val="00B53BAE"/>
    <w:rsid w:val="00B601A6"/>
    <w:rsid w:val="00B61615"/>
    <w:rsid w:val="00B616DF"/>
    <w:rsid w:val="00B775F1"/>
    <w:rsid w:val="00B82C5D"/>
    <w:rsid w:val="00B82D54"/>
    <w:rsid w:val="00BA5222"/>
    <w:rsid w:val="00BA68F5"/>
    <w:rsid w:val="00BB1830"/>
    <w:rsid w:val="00BB1F82"/>
    <w:rsid w:val="00BB2ACA"/>
    <w:rsid w:val="00BB33D2"/>
    <w:rsid w:val="00BB33E6"/>
    <w:rsid w:val="00BB6706"/>
    <w:rsid w:val="00BC09E9"/>
    <w:rsid w:val="00BC30AC"/>
    <w:rsid w:val="00BC4761"/>
    <w:rsid w:val="00BC548C"/>
    <w:rsid w:val="00BC56E9"/>
    <w:rsid w:val="00BD26E3"/>
    <w:rsid w:val="00BD46B3"/>
    <w:rsid w:val="00BD4844"/>
    <w:rsid w:val="00BD4F16"/>
    <w:rsid w:val="00BD62A9"/>
    <w:rsid w:val="00BD6B19"/>
    <w:rsid w:val="00BD7252"/>
    <w:rsid w:val="00BD77B4"/>
    <w:rsid w:val="00BF1566"/>
    <w:rsid w:val="00BF2BE8"/>
    <w:rsid w:val="00C214C3"/>
    <w:rsid w:val="00C21A0B"/>
    <w:rsid w:val="00C22847"/>
    <w:rsid w:val="00C23C88"/>
    <w:rsid w:val="00C3639D"/>
    <w:rsid w:val="00C40179"/>
    <w:rsid w:val="00C41183"/>
    <w:rsid w:val="00C42E82"/>
    <w:rsid w:val="00C44B22"/>
    <w:rsid w:val="00C465D7"/>
    <w:rsid w:val="00C46BF7"/>
    <w:rsid w:val="00C70AC1"/>
    <w:rsid w:val="00C70FB9"/>
    <w:rsid w:val="00C712F4"/>
    <w:rsid w:val="00C73B5B"/>
    <w:rsid w:val="00C741C3"/>
    <w:rsid w:val="00C821C3"/>
    <w:rsid w:val="00C967BD"/>
    <w:rsid w:val="00CA26C2"/>
    <w:rsid w:val="00CA60C0"/>
    <w:rsid w:val="00CB5D80"/>
    <w:rsid w:val="00CC4182"/>
    <w:rsid w:val="00CC635B"/>
    <w:rsid w:val="00CD0DF3"/>
    <w:rsid w:val="00CD1688"/>
    <w:rsid w:val="00CD275D"/>
    <w:rsid w:val="00CE0D24"/>
    <w:rsid w:val="00CE1F97"/>
    <w:rsid w:val="00CE3B68"/>
    <w:rsid w:val="00CE5C22"/>
    <w:rsid w:val="00D03251"/>
    <w:rsid w:val="00D13B7F"/>
    <w:rsid w:val="00D150D3"/>
    <w:rsid w:val="00D17952"/>
    <w:rsid w:val="00D22B67"/>
    <w:rsid w:val="00D236EF"/>
    <w:rsid w:val="00D255E5"/>
    <w:rsid w:val="00D273E8"/>
    <w:rsid w:val="00D276CD"/>
    <w:rsid w:val="00D301AB"/>
    <w:rsid w:val="00D306DE"/>
    <w:rsid w:val="00D37098"/>
    <w:rsid w:val="00D42A85"/>
    <w:rsid w:val="00D50424"/>
    <w:rsid w:val="00D53F80"/>
    <w:rsid w:val="00D55112"/>
    <w:rsid w:val="00D615B9"/>
    <w:rsid w:val="00D65B94"/>
    <w:rsid w:val="00D65D54"/>
    <w:rsid w:val="00D90CF4"/>
    <w:rsid w:val="00DB0DE6"/>
    <w:rsid w:val="00DC21F0"/>
    <w:rsid w:val="00DC6509"/>
    <w:rsid w:val="00DD091C"/>
    <w:rsid w:val="00DE35F4"/>
    <w:rsid w:val="00DF1A9A"/>
    <w:rsid w:val="00DF2776"/>
    <w:rsid w:val="00DF323D"/>
    <w:rsid w:val="00E301A5"/>
    <w:rsid w:val="00E30683"/>
    <w:rsid w:val="00E31290"/>
    <w:rsid w:val="00E3407F"/>
    <w:rsid w:val="00E34343"/>
    <w:rsid w:val="00E34564"/>
    <w:rsid w:val="00E509B5"/>
    <w:rsid w:val="00E533A3"/>
    <w:rsid w:val="00E53E54"/>
    <w:rsid w:val="00E554FC"/>
    <w:rsid w:val="00E57228"/>
    <w:rsid w:val="00E63B8B"/>
    <w:rsid w:val="00E67CB3"/>
    <w:rsid w:val="00E7246F"/>
    <w:rsid w:val="00E81BC8"/>
    <w:rsid w:val="00E82958"/>
    <w:rsid w:val="00E96DE1"/>
    <w:rsid w:val="00E970F5"/>
    <w:rsid w:val="00EA678F"/>
    <w:rsid w:val="00EB0F3C"/>
    <w:rsid w:val="00EB122F"/>
    <w:rsid w:val="00EC12C7"/>
    <w:rsid w:val="00EC52FD"/>
    <w:rsid w:val="00EC5F8C"/>
    <w:rsid w:val="00EC6291"/>
    <w:rsid w:val="00ED12B1"/>
    <w:rsid w:val="00ED4E2E"/>
    <w:rsid w:val="00ED57DC"/>
    <w:rsid w:val="00EE15D9"/>
    <w:rsid w:val="00EE237B"/>
    <w:rsid w:val="00EF1B01"/>
    <w:rsid w:val="00EF5261"/>
    <w:rsid w:val="00F001F0"/>
    <w:rsid w:val="00F04FC6"/>
    <w:rsid w:val="00F05589"/>
    <w:rsid w:val="00F105D7"/>
    <w:rsid w:val="00F158EB"/>
    <w:rsid w:val="00F270AE"/>
    <w:rsid w:val="00F2739F"/>
    <w:rsid w:val="00F34514"/>
    <w:rsid w:val="00F3507F"/>
    <w:rsid w:val="00F36EAE"/>
    <w:rsid w:val="00F43959"/>
    <w:rsid w:val="00F566F9"/>
    <w:rsid w:val="00F6323A"/>
    <w:rsid w:val="00F6614B"/>
    <w:rsid w:val="00F700DD"/>
    <w:rsid w:val="00F726CB"/>
    <w:rsid w:val="00F771F3"/>
    <w:rsid w:val="00F823FB"/>
    <w:rsid w:val="00F84F9D"/>
    <w:rsid w:val="00F94449"/>
    <w:rsid w:val="00F95117"/>
    <w:rsid w:val="00FA3464"/>
    <w:rsid w:val="00FA69A3"/>
    <w:rsid w:val="00FB6703"/>
    <w:rsid w:val="00FC5937"/>
    <w:rsid w:val="00FC7550"/>
    <w:rsid w:val="00FD07B7"/>
    <w:rsid w:val="00FD2FE5"/>
    <w:rsid w:val="00FE0F7C"/>
    <w:rsid w:val="00FE1BD7"/>
    <w:rsid w:val="00FE6A83"/>
    <w:rsid w:val="00FF2E8B"/>
    <w:rsid w:val="00FF7E23"/>
    <w:rsid w:val="010F56BE"/>
    <w:rsid w:val="01764049"/>
    <w:rsid w:val="0181629C"/>
    <w:rsid w:val="022F0613"/>
    <w:rsid w:val="04290500"/>
    <w:rsid w:val="04420274"/>
    <w:rsid w:val="04C64DD0"/>
    <w:rsid w:val="04FC3AAD"/>
    <w:rsid w:val="05183514"/>
    <w:rsid w:val="057D3C30"/>
    <w:rsid w:val="058B340B"/>
    <w:rsid w:val="067E7ADE"/>
    <w:rsid w:val="070C6715"/>
    <w:rsid w:val="08710C15"/>
    <w:rsid w:val="09DE04BA"/>
    <w:rsid w:val="09E449AF"/>
    <w:rsid w:val="0A684A9E"/>
    <w:rsid w:val="0A794382"/>
    <w:rsid w:val="0BA83647"/>
    <w:rsid w:val="0BAF322D"/>
    <w:rsid w:val="0BFD5017"/>
    <w:rsid w:val="0BFF39D7"/>
    <w:rsid w:val="0C2538D8"/>
    <w:rsid w:val="0C5B7B02"/>
    <w:rsid w:val="0C6C0C47"/>
    <w:rsid w:val="0C9C1000"/>
    <w:rsid w:val="0DEC25E1"/>
    <w:rsid w:val="0EB479B9"/>
    <w:rsid w:val="0EF7026A"/>
    <w:rsid w:val="0F19351C"/>
    <w:rsid w:val="0F4143B4"/>
    <w:rsid w:val="0F6630C7"/>
    <w:rsid w:val="0F674847"/>
    <w:rsid w:val="0FA13C5E"/>
    <w:rsid w:val="0FA4611E"/>
    <w:rsid w:val="0FCC21F8"/>
    <w:rsid w:val="0FEC4068"/>
    <w:rsid w:val="10101D06"/>
    <w:rsid w:val="10446189"/>
    <w:rsid w:val="108934B1"/>
    <w:rsid w:val="10E405AF"/>
    <w:rsid w:val="10ED249C"/>
    <w:rsid w:val="10F31F70"/>
    <w:rsid w:val="10F909E5"/>
    <w:rsid w:val="110E6C21"/>
    <w:rsid w:val="11A41E07"/>
    <w:rsid w:val="11CE66B4"/>
    <w:rsid w:val="120F1724"/>
    <w:rsid w:val="124D2D8F"/>
    <w:rsid w:val="127056BA"/>
    <w:rsid w:val="129918FB"/>
    <w:rsid w:val="12BA0010"/>
    <w:rsid w:val="12D63CD2"/>
    <w:rsid w:val="12ED26CE"/>
    <w:rsid w:val="136F5589"/>
    <w:rsid w:val="1403306A"/>
    <w:rsid w:val="144B2AA6"/>
    <w:rsid w:val="14611D70"/>
    <w:rsid w:val="14733B2C"/>
    <w:rsid w:val="14A1410E"/>
    <w:rsid w:val="154B008E"/>
    <w:rsid w:val="15E33C87"/>
    <w:rsid w:val="161423B2"/>
    <w:rsid w:val="163A7CCC"/>
    <w:rsid w:val="176E6853"/>
    <w:rsid w:val="17BF35EC"/>
    <w:rsid w:val="17DA0368"/>
    <w:rsid w:val="191810DB"/>
    <w:rsid w:val="198A588B"/>
    <w:rsid w:val="1A146747"/>
    <w:rsid w:val="1A300E29"/>
    <w:rsid w:val="1A333DA1"/>
    <w:rsid w:val="1A4048B9"/>
    <w:rsid w:val="1A7C54F2"/>
    <w:rsid w:val="1A995C70"/>
    <w:rsid w:val="1AA86EAB"/>
    <w:rsid w:val="1AA9774E"/>
    <w:rsid w:val="1ABB3F24"/>
    <w:rsid w:val="1ACE13AF"/>
    <w:rsid w:val="1B4B3A17"/>
    <w:rsid w:val="1B5D1012"/>
    <w:rsid w:val="1BB34016"/>
    <w:rsid w:val="1BD921EB"/>
    <w:rsid w:val="1D445FEE"/>
    <w:rsid w:val="1D582068"/>
    <w:rsid w:val="1DB82E76"/>
    <w:rsid w:val="1DB94D2D"/>
    <w:rsid w:val="1DBC323D"/>
    <w:rsid w:val="1DC07EBC"/>
    <w:rsid w:val="1DDD62CD"/>
    <w:rsid w:val="1E990DBC"/>
    <w:rsid w:val="1EA009D2"/>
    <w:rsid w:val="1EB156FF"/>
    <w:rsid w:val="1EFB18B8"/>
    <w:rsid w:val="1FE90AEA"/>
    <w:rsid w:val="1FFD28BE"/>
    <w:rsid w:val="204066DE"/>
    <w:rsid w:val="205910EA"/>
    <w:rsid w:val="207F2CCC"/>
    <w:rsid w:val="214A275A"/>
    <w:rsid w:val="21991651"/>
    <w:rsid w:val="21B932F6"/>
    <w:rsid w:val="225770E6"/>
    <w:rsid w:val="226F6C24"/>
    <w:rsid w:val="229D2160"/>
    <w:rsid w:val="23291DC2"/>
    <w:rsid w:val="2387567A"/>
    <w:rsid w:val="23B01DB0"/>
    <w:rsid w:val="23FE6585"/>
    <w:rsid w:val="2412705F"/>
    <w:rsid w:val="242F64C4"/>
    <w:rsid w:val="24771978"/>
    <w:rsid w:val="24D6263C"/>
    <w:rsid w:val="256B1A26"/>
    <w:rsid w:val="26536DD7"/>
    <w:rsid w:val="268512B7"/>
    <w:rsid w:val="27025622"/>
    <w:rsid w:val="27FE2FBE"/>
    <w:rsid w:val="28C15B8D"/>
    <w:rsid w:val="28E014DC"/>
    <w:rsid w:val="298D3ABF"/>
    <w:rsid w:val="2A4F5F04"/>
    <w:rsid w:val="2B684C6F"/>
    <w:rsid w:val="2B6D6F3F"/>
    <w:rsid w:val="2B811A36"/>
    <w:rsid w:val="2BDC5A3C"/>
    <w:rsid w:val="2C0B0839"/>
    <w:rsid w:val="2C5505D6"/>
    <w:rsid w:val="2C65310C"/>
    <w:rsid w:val="2C8A73C2"/>
    <w:rsid w:val="2C94163A"/>
    <w:rsid w:val="2CC05CDE"/>
    <w:rsid w:val="2E517A4D"/>
    <w:rsid w:val="2ED13457"/>
    <w:rsid w:val="2F232B3A"/>
    <w:rsid w:val="2F49458A"/>
    <w:rsid w:val="2FE94CA8"/>
    <w:rsid w:val="2FEA1720"/>
    <w:rsid w:val="3040770E"/>
    <w:rsid w:val="304D2948"/>
    <w:rsid w:val="3075461B"/>
    <w:rsid w:val="30D45165"/>
    <w:rsid w:val="31366366"/>
    <w:rsid w:val="319E7FBD"/>
    <w:rsid w:val="32A73336"/>
    <w:rsid w:val="32DC4E2A"/>
    <w:rsid w:val="337C5CE2"/>
    <w:rsid w:val="338B5695"/>
    <w:rsid w:val="33EE75BA"/>
    <w:rsid w:val="33FB5BBC"/>
    <w:rsid w:val="3417472D"/>
    <w:rsid w:val="348A5090"/>
    <w:rsid w:val="34F313EB"/>
    <w:rsid w:val="34F90424"/>
    <w:rsid w:val="35844AA2"/>
    <w:rsid w:val="35972187"/>
    <w:rsid w:val="35F4303F"/>
    <w:rsid w:val="360310B4"/>
    <w:rsid w:val="364314C7"/>
    <w:rsid w:val="364F5C89"/>
    <w:rsid w:val="36C546C7"/>
    <w:rsid w:val="37952115"/>
    <w:rsid w:val="37ED4268"/>
    <w:rsid w:val="386A327F"/>
    <w:rsid w:val="38D909BB"/>
    <w:rsid w:val="398119E4"/>
    <w:rsid w:val="39D6556B"/>
    <w:rsid w:val="39D87F89"/>
    <w:rsid w:val="3A4F0275"/>
    <w:rsid w:val="3A5951A9"/>
    <w:rsid w:val="3BCD7ED6"/>
    <w:rsid w:val="3BF635F9"/>
    <w:rsid w:val="3C5732CB"/>
    <w:rsid w:val="3CA66A4B"/>
    <w:rsid w:val="3CF26C23"/>
    <w:rsid w:val="3D100A71"/>
    <w:rsid w:val="3D1138D5"/>
    <w:rsid w:val="3D367C61"/>
    <w:rsid w:val="3D9F04AA"/>
    <w:rsid w:val="3DC416E6"/>
    <w:rsid w:val="3E1B0FE2"/>
    <w:rsid w:val="3EC858EC"/>
    <w:rsid w:val="3EE46813"/>
    <w:rsid w:val="3EFB6A0B"/>
    <w:rsid w:val="3FCB255B"/>
    <w:rsid w:val="406D732D"/>
    <w:rsid w:val="407E11EC"/>
    <w:rsid w:val="40C907F3"/>
    <w:rsid w:val="4205020D"/>
    <w:rsid w:val="422E270A"/>
    <w:rsid w:val="429F3DB3"/>
    <w:rsid w:val="4401074B"/>
    <w:rsid w:val="44A33F11"/>
    <w:rsid w:val="44CD5C53"/>
    <w:rsid w:val="44F230F5"/>
    <w:rsid w:val="45D92793"/>
    <w:rsid w:val="460472D1"/>
    <w:rsid w:val="465A4A70"/>
    <w:rsid w:val="46855BEB"/>
    <w:rsid w:val="470F3D8B"/>
    <w:rsid w:val="47A91F47"/>
    <w:rsid w:val="47CE4C1C"/>
    <w:rsid w:val="48EB38D5"/>
    <w:rsid w:val="493B4D4B"/>
    <w:rsid w:val="49946236"/>
    <w:rsid w:val="4AEE23EE"/>
    <w:rsid w:val="4B3320E0"/>
    <w:rsid w:val="4BD21FD5"/>
    <w:rsid w:val="4BFC28F8"/>
    <w:rsid w:val="4D3F042D"/>
    <w:rsid w:val="4D8B7668"/>
    <w:rsid w:val="4D967BE7"/>
    <w:rsid w:val="4DBF308A"/>
    <w:rsid w:val="4EA26974"/>
    <w:rsid w:val="4F9F40FD"/>
    <w:rsid w:val="4FF9546B"/>
    <w:rsid w:val="50486797"/>
    <w:rsid w:val="50DC7DE2"/>
    <w:rsid w:val="520823DF"/>
    <w:rsid w:val="523B6C32"/>
    <w:rsid w:val="526F1509"/>
    <w:rsid w:val="529A59F8"/>
    <w:rsid w:val="52AD3F62"/>
    <w:rsid w:val="52FB71B1"/>
    <w:rsid w:val="531A13C4"/>
    <w:rsid w:val="532D4E2F"/>
    <w:rsid w:val="534A6F96"/>
    <w:rsid w:val="53794554"/>
    <w:rsid w:val="53E210B2"/>
    <w:rsid w:val="544278FE"/>
    <w:rsid w:val="54B54C6F"/>
    <w:rsid w:val="54D9542A"/>
    <w:rsid w:val="54EC2E9E"/>
    <w:rsid w:val="56344E70"/>
    <w:rsid w:val="57566CE6"/>
    <w:rsid w:val="57767824"/>
    <w:rsid w:val="588F2FED"/>
    <w:rsid w:val="58D92396"/>
    <w:rsid w:val="595417C8"/>
    <w:rsid w:val="599947E5"/>
    <w:rsid w:val="599C1A21"/>
    <w:rsid w:val="59F15894"/>
    <w:rsid w:val="5A096B00"/>
    <w:rsid w:val="5A2448DC"/>
    <w:rsid w:val="5A4467F1"/>
    <w:rsid w:val="5AA4324C"/>
    <w:rsid w:val="5AC03808"/>
    <w:rsid w:val="5AC42979"/>
    <w:rsid w:val="5AD1570A"/>
    <w:rsid w:val="5AF964B5"/>
    <w:rsid w:val="5B295533"/>
    <w:rsid w:val="5B591BB9"/>
    <w:rsid w:val="5BBB094C"/>
    <w:rsid w:val="5BD46B4F"/>
    <w:rsid w:val="5C133C5A"/>
    <w:rsid w:val="5C3D3F16"/>
    <w:rsid w:val="5CDC1B16"/>
    <w:rsid w:val="5D32376F"/>
    <w:rsid w:val="5DA74503"/>
    <w:rsid w:val="5DF80A89"/>
    <w:rsid w:val="5E6244C0"/>
    <w:rsid w:val="5EB20385"/>
    <w:rsid w:val="5ED9474B"/>
    <w:rsid w:val="5EEE18DC"/>
    <w:rsid w:val="5F3A3108"/>
    <w:rsid w:val="5F787399"/>
    <w:rsid w:val="603339C0"/>
    <w:rsid w:val="603818E5"/>
    <w:rsid w:val="604F5120"/>
    <w:rsid w:val="60593660"/>
    <w:rsid w:val="61171926"/>
    <w:rsid w:val="61DB0090"/>
    <w:rsid w:val="62221E68"/>
    <w:rsid w:val="62720630"/>
    <w:rsid w:val="627A3775"/>
    <w:rsid w:val="62E459F3"/>
    <w:rsid w:val="630423D5"/>
    <w:rsid w:val="63A67898"/>
    <w:rsid w:val="63E63B5B"/>
    <w:rsid w:val="644F1127"/>
    <w:rsid w:val="646D5647"/>
    <w:rsid w:val="64F531FE"/>
    <w:rsid w:val="65425396"/>
    <w:rsid w:val="65441662"/>
    <w:rsid w:val="65573744"/>
    <w:rsid w:val="65BB407D"/>
    <w:rsid w:val="663337FA"/>
    <w:rsid w:val="66B3422A"/>
    <w:rsid w:val="66B34739"/>
    <w:rsid w:val="66EB235B"/>
    <w:rsid w:val="677347F3"/>
    <w:rsid w:val="67FE6262"/>
    <w:rsid w:val="6827585A"/>
    <w:rsid w:val="689D23A1"/>
    <w:rsid w:val="68C3052E"/>
    <w:rsid w:val="691064F6"/>
    <w:rsid w:val="693A0957"/>
    <w:rsid w:val="6A306EC0"/>
    <w:rsid w:val="6A415BA2"/>
    <w:rsid w:val="6A44596F"/>
    <w:rsid w:val="6A551AE7"/>
    <w:rsid w:val="6A8F0F3B"/>
    <w:rsid w:val="6AD21CCA"/>
    <w:rsid w:val="6B8C1CF1"/>
    <w:rsid w:val="6BC51415"/>
    <w:rsid w:val="6BFC43DD"/>
    <w:rsid w:val="6D34657A"/>
    <w:rsid w:val="6D552D90"/>
    <w:rsid w:val="6E837E68"/>
    <w:rsid w:val="6EB6037D"/>
    <w:rsid w:val="6EF34D04"/>
    <w:rsid w:val="6FB43285"/>
    <w:rsid w:val="71A12739"/>
    <w:rsid w:val="71D001A5"/>
    <w:rsid w:val="72094EBB"/>
    <w:rsid w:val="722A1F0C"/>
    <w:rsid w:val="72CA6145"/>
    <w:rsid w:val="73E77A48"/>
    <w:rsid w:val="73EA3104"/>
    <w:rsid w:val="74AE0EE3"/>
    <w:rsid w:val="755343E3"/>
    <w:rsid w:val="75DC1077"/>
    <w:rsid w:val="76752080"/>
    <w:rsid w:val="76EC6D83"/>
    <w:rsid w:val="76F80727"/>
    <w:rsid w:val="771E1B2D"/>
    <w:rsid w:val="78D45E34"/>
    <w:rsid w:val="79302907"/>
    <w:rsid w:val="7A644286"/>
    <w:rsid w:val="7A9738F9"/>
    <w:rsid w:val="7AE752BF"/>
    <w:rsid w:val="7B384A75"/>
    <w:rsid w:val="7BAC038F"/>
    <w:rsid w:val="7BEE2B2D"/>
    <w:rsid w:val="7C2C1E36"/>
    <w:rsid w:val="7CD42376"/>
    <w:rsid w:val="7D0E17C7"/>
    <w:rsid w:val="7DB240DF"/>
    <w:rsid w:val="7E0715D9"/>
    <w:rsid w:val="7E2B513D"/>
    <w:rsid w:val="7EBC5467"/>
    <w:rsid w:val="7EE40132"/>
    <w:rsid w:val="7F7D11D1"/>
    <w:rsid w:val="7F9C3687"/>
    <w:rsid w:val="7FDC07A4"/>
    <w:rsid w:val="7FEB3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2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2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2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1">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0"/>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49"/>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5"/>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0"/>
    <w:qFormat/>
    <w:uiPriority w:val="0"/>
    <w:rPr>
      <w:rFonts w:eastAsia="宋体"/>
      <w:sz w:val="24"/>
    </w:rPr>
  </w:style>
  <w:style w:type="paragraph" w:styleId="14">
    <w:name w:val="Date"/>
    <w:basedOn w:val="1"/>
    <w:next w:val="1"/>
    <w:link w:val="31"/>
    <w:unhideWhenUsed/>
    <w:qFormat/>
    <w:uiPriority w:val="99"/>
    <w:pPr>
      <w:ind w:left="100" w:leftChars="2500"/>
    </w:pPr>
  </w:style>
  <w:style w:type="paragraph" w:styleId="15">
    <w:name w:val="Balloon Text"/>
    <w:basedOn w:val="1"/>
    <w:link w:val="52"/>
    <w:semiHidden/>
    <w:unhideWhenUsed/>
    <w:qFormat/>
    <w:uiPriority w:val="99"/>
    <w:rPr>
      <w:sz w:val="18"/>
      <w:szCs w:val="18"/>
    </w:rPr>
  </w:style>
  <w:style w:type="paragraph" w:styleId="16">
    <w:name w:val="footer"/>
    <w:basedOn w:val="1"/>
    <w:link w:val="32"/>
    <w:unhideWhenUsed/>
    <w:qFormat/>
    <w:uiPriority w:val="99"/>
    <w:pPr>
      <w:tabs>
        <w:tab w:val="center" w:pos="4153"/>
        <w:tab w:val="right" w:pos="8306"/>
      </w:tabs>
      <w:snapToGrid w:val="0"/>
      <w:jc w:val="left"/>
    </w:pPr>
    <w:rPr>
      <w:sz w:val="18"/>
      <w:szCs w:val="18"/>
    </w:rPr>
  </w:style>
  <w:style w:type="paragraph" w:styleId="17">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character" w:styleId="22">
    <w:name w:val="Strong"/>
    <w:basedOn w:val="21"/>
    <w:qFormat/>
    <w:uiPriority w:val="22"/>
    <w:rPr>
      <w:b/>
      <w:bCs/>
    </w:rPr>
  </w:style>
  <w:style w:type="character" w:styleId="23">
    <w:name w:val="FollowedHyperlink"/>
    <w:basedOn w:val="21"/>
    <w:semiHidden/>
    <w:unhideWhenUsed/>
    <w:qFormat/>
    <w:uiPriority w:val="99"/>
    <w:rPr>
      <w:color w:val="800080" w:themeColor="followedHyperlink"/>
      <w:u w:val="single"/>
    </w:rPr>
  </w:style>
  <w:style w:type="character" w:styleId="24">
    <w:name w:val="Hyperlink"/>
    <w:basedOn w:val="21"/>
    <w:unhideWhenUsed/>
    <w:qFormat/>
    <w:uiPriority w:val="99"/>
    <w:rPr>
      <w:color w:val="0000FF"/>
      <w:u w:val="single"/>
    </w:rPr>
  </w:style>
  <w:style w:type="character" w:customStyle="1" w:styleId="26">
    <w:name w:val="标题 1 Char"/>
    <w:basedOn w:val="21"/>
    <w:link w:val="4"/>
    <w:qFormat/>
    <w:uiPriority w:val="0"/>
    <w:rPr>
      <w:rFonts w:ascii="Calibri" w:hAnsi="Calibri" w:eastAsia="宋体" w:cs="Times New Roman"/>
      <w:b/>
      <w:bCs/>
      <w:kern w:val="44"/>
      <w:sz w:val="44"/>
      <w:szCs w:val="44"/>
    </w:rPr>
  </w:style>
  <w:style w:type="character" w:customStyle="1" w:styleId="27">
    <w:name w:val="标题 2 Char"/>
    <w:basedOn w:val="21"/>
    <w:link w:val="5"/>
    <w:qFormat/>
    <w:uiPriority w:val="0"/>
    <w:rPr>
      <w:rFonts w:ascii="Arial" w:hAnsi="Arial" w:eastAsia="黑体" w:cs="Times New Roman"/>
      <w:b/>
      <w:bCs/>
      <w:kern w:val="0"/>
      <w:sz w:val="32"/>
      <w:szCs w:val="32"/>
    </w:rPr>
  </w:style>
  <w:style w:type="character" w:customStyle="1" w:styleId="28">
    <w:name w:val="标题 3 Char"/>
    <w:basedOn w:val="21"/>
    <w:link w:val="6"/>
    <w:qFormat/>
    <w:uiPriority w:val="0"/>
    <w:rPr>
      <w:rFonts w:ascii="宋体" w:hAnsi="宋体" w:eastAsia="宋体" w:cs="Times New Roman"/>
      <w:b/>
      <w:color w:val="000000"/>
      <w:kern w:val="0"/>
      <w:sz w:val="24"/>
      <w:szCs w:val="20"/>
      <w:lang w:val="en-GB"/>
    </w:rPr>
  </w:style>
  <w:style w:type="character" w:customStyle="1" w:styleId="29">
    <w:name w:val="标题 4 Char"/>
    <w:basedOn w:val="21"/>
    <w:link w:val="7"/>
    <w:qFormat/>
    <w:uiPriority w:val="0"/>
    <w:rPr>
      <w:rFonts w:ascii="Arial" w:hAnsi="Arial" w:eastAsia="黑体" w:cs="Times New Roman"/>
      <w:b/>
      <w:bCs/>
      <w:kern w:val="0"/>
      <w:sz w:val="28"/>
      <w:szCs w:val="28"/>
    </w:rPr>
  </w:style>
  <w:style w:type="character" w:customStyle="1" w:styleId="30">
    <w:name w:val="纯文本 Char"/>
    <w:basedOn w:val="21"/>
    <w:link w:val="13"/>
    <w:qFormat/>
    <w:uiPriority w:val="0"/>
    <w:rPr>
      <w:rFonts w:eastAsia="宋体"/>
      <w:sz w:val="24"/>
    </w:rPr>
  </w:style>
  <w:style w:type="character" w:customStyle="1" w:styleId="31">
    <w:name w:val="日期 Char"/>
    <w:basedOn w:val="21"/>
    <w:link w:val="14"/>
    <w:qFormat/>
    <w:uiPriority w:val="99"/>
  </w:style>
  <w:style w:type="character" w:customStyle="1" w:styleId="32">
    <w:name w:val="页脚 Char"/>
    <w:basedOn w:val="21"/>
    <w:link w:val="16"/>
    <w:qFormat/>
    <w:uiPriority w:val="99"/>
    <w:rPr>
      <w:sz w:val="18"/>
      <w:szCs w:val="18"/>
    </w:rPr>
  </w:style>
  <w:style w:type="character" w:customStyle="1" w:styleId="33">
    <w:name w:val="页眉 Char"/>
    <w:basedOn w:val="21"/>
    <w:link w:val="17"/>
    <w:qFormat/>
    <w:uiPriority w:val="99"/>
    <w:rPr>
      <w:sz w:val="18"/>
      <w:szCs w:val="18"/>
    </w:rPr>
  </w:style>
  <w:style w:type="character" w:customStyle="1" w:styleId="34">
    <w:name w:val="纯文本 Char1"/>
    <w:qFormat/>
    <w:uiPriority w:val="0"/>
    <w:rPr>
      <w:rFonts w:eastAsia="宋体"/>
      <w:sz w:val="24"/>
    </w:rPr>
  </w:style>
  <w:style w:type="paragraph" w:customStyle="1" w:styleId="35">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6">
    <w:name w:val="列出段落1"/>
    <w:basedOn w:val="1"/>
    <w:qFormat/>
    <w:uiPriority w:val="34"/>
    <w:pPr>
      <w:ind w:firstLine="420" w:firstLineChars="200"/>
    </w:pPr>
  </w:style>
  <w:style w:type="paragraph" w:styleId="37">
    <w:name w:val="List Paragraph"/>
    <w:basedOn w:val="1"/>
    <w:unhideWhenUsed/>
    <w:qFormat/>
    <w:uiPriority w:val="34"/>
    <w:pPr>
      <w:ind w:firstLine="420" w:firstLineChars="200"/>
    </w:pPr>
  </w:style>
  <w:style w:type="character" w:customStyle="1" w:styleId="38">
    <w:name w:val="正文文本缩进 Char Char"/>
    <w:link w:val="39"/>
    <w:qFormat/>
    <w:uiPriority w:val="0"/>
    <w:rPr>
      <w:rFonts w:ascii="宋体"/>
      <w:sz w:val="24"/>
    </w:rPr>
  </w:style>
  <w:style w:type="paragraph" w:customStyle="1" w:styleId="39">
    <w:name w:val="正文文本缩进1"/>
    <w:basedOn w:val="1"/>
    <w:link w:val="38"/>
    <w:qFormat/>
    <w:uiPriority w:val="0"/>
    <w:pPr>
      <w:spacing w:line="360" w:lineRule="auto"/>
      <w:ind w:firstLine="480" w:firstLineChars="200"/>
    </w:pPr>
    <w:rPr>
      <w:rFonts w:ascii="宋体"/>
      <w:sz w:val="24"/>
    </w:rPr>
  </w:style>
  <w:style w:type="character" w:customStyle="1" w:styleId="40">
    <w:name w:val="日期 Char Char"/>
    <w:link w:val="41"/>
    <w:qFormat/>
    <w:uiPriority w:val="0"/>
    <w:rPr>
      <w:sz w:val="24"/>
    </w:rPr>
  </w:style>
  <w:style w:type="paragraph" w:customStyle="1" w:styleId="41">
    <w:name w:val="日期1"/>
    <w:basedOn w:val="1"/>
    <w:next w:val="1"/>
    <w:link w:val="40"/>
    <w:qFormat/>
    <w:uiPriority w:val="0"/>
    <w:rPr>
      <w:sz w:val="24"/>
    </w:rPr>
  </w:style>
  <w:style w:type="paragraph" w:customStyle="1" w:styleId="4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5">
    <w:name w:val="正文文本 3 Char"/>
    <w:basedOn w:val="21"/>
    <w:link w:val="10"/>
    <w:qFormat/>
    <w:uiPriority w:val="0"/>
    <w:rPr>
      <w:rFonts w:ascii="Times New Roman" w:hAnsi="Times New Roman" w:eastAsia="宋体" w:cs="Times New Roman"/>
      <w:color w:val="FF0000"/>
      <w:sz w:val="24"/>
      <w:szCs w:val="24"/>
    </w:rPr>
  </w:style>
  <w:style w:type="character" w:customStyle="1" w:styleId="46">
    <w:name w:val="edittexttarea"/>
    <w:basedOn w:val="21"/>
    <w:qFormat/>
    <w:uiPriority w:val="0"/>
  </w:style>
  <w:style w:type="paragraph" w:customStyle="1" w:styleId="47">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4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9">
    <w:name w:val="正文文本 Char"/>
    <w:basedOn w:val="21"/>
    <w:link w:val="3"/>
    <w:semiHidden/>
    <w:qFormat/>
    <w:uiPriority w:val="99"/>
  </w:style>
  <w:style w:type="character" w:customStyle="1" w:styleId="50">
    <w:name w:val="正文首行缩进 Char"/>
    <w:basedOn w:val="49"/>
    <w:link w:val="2"/>
    <w:qFormat/>
    <w:uiPriority w:val="0"/>
    <w:rPr>
      <w:rFonts w:ascii="宋体" w:hAnsi="Times New Roman" w:eastAsia="宋体" w:cs="Times New Roman"/>
      <w:kern w:val="0"/>
      <w:sz w:val="34"/>
      <w:szCs w:val="20"/>
    </w:rPr>
  </w:style>
  <w:style w:type="character" w:customStyle="1" w:styleId="51">
    <w:name w:val="HTML 预设格式 Char"/>
    <w:basedOn w:val="21"/>
    <w:link w:val="19"/>
    <w:semiHidden/>
    <w:qFormat/>
    <w:uiPriority w:val="99"/>
    <w:rPr>
      <w:rFonts w:ascii="宋体" w:hAnsi="宋体" w:eastAsia="宋体" w:cs="宋体"/>
      <w:kern w:val="0"/>
      <w:sz w:val="24"/>
      <w:szCs w:val="24"/>
    </w:rPr>
  </w:style>
  <w:style w:type="character" w:customStyle="1" w:styleId="52">
    <w:name w:val="批注框文本 Char"/>
    <w:basedOn w:val="21"/>
    <w:link w:val="15"/>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71</Pages>
  <Words>6372</Words>
  <Characters>36322</Characters>
  <Lines>302</Lines>
  <Paragraphs>85</Paragraphs>
  <TotalTime>43</TotalTime>
  <ScaleCrop>false</ScaleCrop>
  <LinksUpToDate>false</LinksUpToDate>
  <CharactersWithSpaces>42609</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2018-10-11T03:20:00Z</dcterms:created>
  <dc:creator>许昌市公共资源交易中心:孟莉</dc:creator>
  <cp:lastModifiedBy>Administrator</cp:lastModifiedBy>
  <cp:lastPrinted>2018-10-29T02:29:00Z</cp:lastPrinted>
  <dcterms:modified xsi:type="dcterms:W3CDTF">2018-10-31T01:01:56Z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