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spacing w:line="720" w:lineRule="auto"/>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许昌市东城区社会治安综合治理办公室</w:t>
      </w:r>
    </w:p>
    <w:p>
      <w:pPr>
        <w:spacing w:line="720" w:lineRule="auto"/>
        <w:jc w:val="center"/>
        <w:rPr>
          <w:rFonts w:asciiTheme="majorEastAsia" w:hAnsiTheme="majorEastAsia" w:eastAsiaTheme="majorEastAsia" w:cstheme="majorEastAsia"/>
          <w:b/>
          <w:bCs/>
          <w:color w:val="000000"/>
          <w:sz w:val="48"/>
          <w:szCs w:val="48"/>
        </w:rPr>
      </w:pPr>
      <w:r>
        <w:rPr>
          <w:rFonts w:hint="eastAsia" w:asciiTheme="majorEastAsia" w:hAnsiTheme="majorEastAsia" w:eastAsiaTheme="majorEastAsia" w:cstheme="majorEastAsia"/>
          <w:b/>
          <w:bCs/>
          <w:color w:val="000000"/>
          <w:sz w:val="48"/>
          <w:szCs w:val="48"/>
        </w:rPr>
        <w:t>“许昌市东城区技防体系五期工程项目”</w:t>
      </w:r>
    </w:p>
    <w:p>
      <w:pPr>
        <w:jc w:val="center"/>
        <w:rPr>
          <w:rFonts w:ascii="微软简隶书" w:eastAsia="微软简隶书"/>
          <w:color w:val="000000"/>
          <w:sz w:val="18"/>
          <w:szCs w:val="2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96"/>
          <w:szCs w:val="96"/>
        </w:rPr>
      </w:pPr>
      <w:r>
        <w:rPr>
          <w:rFonts w:hint="eastAsia" w:asciiTheme="majorEastAsia" w:hAnsiTheme="majorEastAsia" w:eastAsiaTheme="majorEastAsia" w:cstheme="majorEastAsia"/>
          <w:bCs/>
          <w:color w:val="000000"/>
          <w:w w:val="90"/>
          <w:sz w:val="96"/>
          <w:szCs w:val="9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pacing w:line="600" w:lineRule="auto"/>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项目编号：JZFCG-G2018114号</w:t>
      </w:r>
    </w:p>
    <w:p>
      <w:pPr>
        <w:spacing w:line="600" w:lineRule="auto"/>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采购单位：许昌市东城区社会治安综合治理办公室</w:t>
      </w:r>
    </w:p>
    <w:p>
      <w:pPr>
        <w:spacing w:line="600" w:lineRule="auto"/>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代理机构：河南建标工程管理有限公司</w:t>
      </w:r>
    </w:p>
    <w:p>
      <w:pPr>
        <w:spacing w:line="720" w:lineRule="auto"/>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二〇一八年十一月</w:t>
      </w:r>
    </w:p>
    <w:p>
      <w:pPr>
        <w:spacing w:line="720" w:lineRule="auto"/>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br w:type="page"/>
      </w:r>
    </w:p>
    <w:p>
      <w:pPr>
        <w:pStyle w:val="2"/>
        <w:ind w:firstLine="340"/>
      </w:pPr>
      <w: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33"/>
        <w:widowControl/>
        <w:shd w:val="clear" w:color="auto" w:fill="FFFFFF"/>
        <w:spacing w:line="315" w:lineRule="atLeast"/>
        <w:jc w:val="center"/>
        <w:rPr>
          <w:rFonts w:ascii="宋体" w:hAnsi="宋体" w:cs="宋体"/>
          <w:b/>
          <w:color w:val="000000"/>
          <w:sz w:val="36"/>
          <w:szCs w:val="36"/>
          <w:shd w:val="clear" w:color="auto" w:fill="FFFFFF"/>
        </w:rPr>
      </w:pPr>
    </w:p>
    <w:p>
      <w:pPr>
        <w:pStyle w:val="33"/>
        <w:widowControl/>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br w:type="page"/>
      </w:r>
    </w:p>
    <w:p>
      <w:pPr>
        <w:pStyle w:val="33"/>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33"/>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ind w:firstLine="210" w:firstLineChars="100"/>
        <w:rPr>
          <w:rFonts w:ascii="Calibri" w:hAnsi="Calibri" w:eastAsia="宋体" w:cs="Times New Roman"/>
          <w:sz w:val="24"/>
          <w:szCs w:val="24"/>
        </w:rPr>
      </w:pPr>
      <w:r>
        <w:rPr>
          <w:rFonts w:hint="eastAsia" w:cs="仿宋_GB2312" w:asciiTheme="minorEastAsia" w:hAnsiTheme="minorEastAsia"/>
          <w:shd w:val="clear" w:color="auto" w:fill="FFFFFF"/>
        </w:rPr>
        <w:t>（一）</w:t>
      </w:r>
      <w:r>
        <w:rPr>
          <w:rFonts w:hint="eastAsia" w:ascii="Calibri" w:hAnsi="Calibri" w:eastAsia="宋体" w:cs="Times New Roman"/>
          <w:sz w:val="24"/>
          <w:szCs w:val="24"/>
        </w:rPr>
        <w:t>项目名称：许昌市东城区社会治安综合治理办公室“许昌市东城区技防体系五期工程项目”</w:t>
      </w:r>
    </w:p>
    <w:p>
      <w:pPr>
        <w:pStyle w:val="33"/>
        <w:widowControl/>
        <w:shd w:val="clear" w:color="auto" w:fill="FFFFFF"/>
        <w:spacing w:line="312" w:lineRule="auto"/>
        <w:ind w:firstLine="240" w:firstLineChars="100"/>
        <w:contextualSpacing/>
        <w:jc w:val="left"/>
      </w:pPr>
      <w:r>
        <w:rPr>
          <w:rFonts w:hint="eastAsia" w:cs="仿宋_GB2312" w:asciiTheme="minorEastAsia" w:hAnsiTheme="minorEastAsia" w:eastAsiaTheme="minorEastAsia"/>
          <w:shd w:val="clear" w:color="auto" w:fill="FFFFFF"/>
        </w:rPr>
        <w:t>（二）项目编号</w:t>
      </w:r>
      <w:r>
        <w:rPr>
          <w:rFonts w:hint="eastAsia"/>
        </w:rPr>
        <w:t>：</w:t>
      </w:r>
      <w:r>
        <w:rPr>
          <w:rFonts w:hint="eastAsia" w:ascii="宋体" w:hAnsi="宋体" w:cs="宋体"/>
        </w:rPr>
        <w:t xml:space="preserve">JZFCG-G2018114号 </w:t>
      </w:r>
    </w:p>
    <w:p>
      <w:pPr>
        <w:pStyle w:val="33"/>
        <w:widowControl/>
        <w:shd w:val="clear" w:color="auto" w:fill="FFFFFF"/>
        <w:spacing w:line="312" w:lineRule="auto"/>
        <w:ind w:firstLine="240" w:firstLineChars="1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33"/>
        <w:widowControl/>
        <w:shd w:val="clear" w:color="auto" w:fill="FFFFFF"/>
        <w:spacing w:line="312" w:lineRule="auto"/>
        <w:ind w:firstLine="240" w:firstLineChars="1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w:t>
      </w:r>
      <w:r>
        <w:rPr>
          <w:rFonts w:hint="eastAsia" w:ascii="宋体" w:cs="宋体"/>
        </w:rPr>
        <w:t>主要街道及重点部位监控建设；分局指挥中心大屏改造；平安社区建设；东城区三级综治中心建设；重点小区安防系统升级改造；东区管委会监控系统升级改造、120条光纤租赁等。</w:t>
      </w:r>
      <w:r>
        <w:rPr>
          <w:rFonts w:hint="eastAsia" w:cs="仿宋_GB2312" w:asciiTheme="minorEastAsia" w:hAnsiTheme="minorEastAsia" w:eastAsiaTheme="minorEastAsia"/>
          <w:shd w:val="clear" w:color="auto" w:fill="FFFFFF"/>
        </w:rPr>
        <w:t>（详见招标文件货物需求）</w:t>
      </w:r>
    </w:p>
    <w:p>
      <w:pPr>
        <w:autoSpaceDE w:val="0"/>
        <w:autoSpaceDN w:val="0"/>
        <w:adjustRightInd w:val="0"/>
        <w:spacing w:line="360" w:lineRule="auto"/>
        <w:ind w:firstLine="240" w:firstLineChars="10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（五）预算金额：8582857.00元；最高限价：8582857.00元。</w:t>
      </w:r>
    </w:p>
    <w:p>
      <w:pPr>
        <w:pStyle w:val="33"/>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  （六）交付时间 ：自合同签订之日起</w:t>
      </w:r>
      <w:r>
        <w:rPr>
          <w:rFonts w:hint="eastAsia" w:cs="仿宋_GB2312" w:asciiTheme="minorEastAsia" w:hAnsiTheme="minorEastAsia" w:eastAsiaTheme="minorEastAsia"/>
          <w:shd w:val="clear" w:color="auto" w:fill="FFFFFF"/>
          <w:lang w:val="en-US" w:eastAsia="zh-CN"/>
        </w:rPr>
        <w:t>60</w:t>
      </w:r>
      <w:r>
        <w:rPr>
          <w:rFonts w:hint="eastAsia" w:cs="仿宋_GB2312" w:asciiTheme="minorEastAsia" w:hAnsiTheme="minorEastAsia" w:eastAsiaTheme="minorEastAsia"/>
          <w:shd w:val="clear" w:color="auto" w:fill="FFFFFF"/>
        </w:rPr>
        <w:t>天。</w:t>
      </w:r>
    </w:p>
    <w:p>
      <w:pPr>
        <w:pStyle w:val="33"/>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  （七）交付地点：许昌市东城区所辖区域内。</w:t>
      </w:r>
    </w:p>
    <w:p>
      <w:pPr>
        <w:pStyle w:val="33"/>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33"/>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33"/>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(二)</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33"/>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w:t>
      </w:r>
      <w:r>
        <w:rPr>
          <w:rFonts w:cs="仿宋_GB2312" w:asciiTheme="minorEastAsia" w:hAnsiTheme="minorEastAsia" w:eastAsiaTheme="minorEastAsia"/>
          <w:color w:val="000000"/>
          <w:shd w:val="clear" w:color="auto" w:fill="FFFFFF"/>
        </w:rPr>
        <w:t>http://221.14.6.70:8088/ggzy/</w:t>
      </w:r>
      <w:r>
        <w:rPr>
          <w:rFonts w:hint="eastAsia" w:cs="仿宋_GB2312" w:asciiTheme="minorEastAsia" w:hAnsiTheme="minorEastAsia" w:eastAsiaTheme="minorEastAsia"/>
          <w:color w:val="000000"/>
          <w:shd w:val="clear" w:color="auto" w:fill="FFFFFF"/>
        </w:rPr>
        <w:t>）自行下载招标文件（详见“常见问题解答-交易系统操作手册”）。</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33"/>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12</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13</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10</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30</w:t>
      </w:r>
      <w:r>
        <w:rPr>
          <w:rFonts w:hint="eastAsia" w:cs="仿宋_GB2312" w:asciiTheme="minorEastAsia" w:hAnsiTheme="minorEastAsia" w:eastAsiaTheme="minorEastAsia"/>
          <w:color w:val="000000"/>
        </w:rPr>
        <w:t>分（北京时间），逾期提交或不符合规定的投标文件不予接受。</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3</w:t>
      </w:r>
      <w:r>
        <w:rPr>
          <w:rFonts w:hint="eastAsia" w:cs="仿宋_GB2312" w:asciiTheme="minorEastAsia" w:hAnsiTheme="minorEastAsia" w:eastAsiaTheme="minorEastAsia"/>
          <w:color w:val="000000"/>
        </w:rPr>
        <w:t>室。</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33"/>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33"/>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33"/>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33"/>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spacing w:line="360" w:lineRule="auto"/>
        <w:ind w:firstLine="240" w:firstLineChars="100"/>
        <w:rPr>
          <w:rFonts w:cs="仿宋_GB2312" w:asciiTheme="minorEastAsia" w:hAnsiTheme="minorEastAsia"/>
          <w:sz w:val="24"/>
          <w:szCs w:val="24"/>
        </w:rPr>
      </w:pPr>
      <w:r>
        <w:rPr>
          <w:rFonts w:hint="eastAsia" w:cs="仿宋_GB2312" w:asciiTheme="minorEastAsia" w:hAnsiTheme="minorEastAsia"/>
          <w:sz w:val="24"/>
          <w:szCs w:val="24"/>
        </w:rPr>
        <w:t>采购人：</w:t>
      </w:r>
      <w:r>
        <w:rPr>
          <w:rFonts w:hint="eastAsia" w:ascii="Calibri" w:hAnsi="Calibri" w:eastAsia="宋体" w:cs="Times New Roman"/>
          <w:sz w:val="24"/>
          <w:szCs w:val="24"/>
        </w:rPr>
        <w:t>许昌市东城区社会治安综合治理办公室</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 xml:space="preserve">  地 址：许昌市东城区管委会</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 xml:space="preserve">  联 系 人：闫明     联系电话：17637957777</w:t>
      </w:r>
    </w:p>
    <w:p>
      <w:pPr>
        <w:spacing w:line="360" w:lineRule="auto"/>
        <w:ind w:firstLine="240" w:firstLineChars="100"/>
        <w:rPr>
          <w:rFonts w:cs="仿宋_GB2312" w:asciiTheme="minorEastAsia" w:hAnsiTheme="minorEastAsia"/>
          <w:sz w:val="24"/>
          <w:szCs w:val="24"/>
        </w:rPr>
      </w:pPr>
      <w:r>
        <w:rPr>
          <w:rFonts w:hint="eastAsia" w:cs="仿宋_GB2312" w:asciiTheme="minorEastAsia" w:hAnsiTheme="minorEastAsia"/>
          <w:sz w:val="24"/>
          <w:szCs w:val="24"/>
        </w:rPr>
        <w:t>代理机构：河南建标工程管理有限公司</w:t>
      </w:r>
    </w:p>
    <w:p>
      <w:pPr>
        <w:spacing w:line="360" w:lineRule="auto"/>
        <w:ind w:firstLine="240" w:firstLineChars="100"/>
        <w:rPr>
          <w:rFonts w:cs="仿宋_GB2312" w:asciiTheme="minorEastAsia" w:hAnsiTheme="minorEastAsia"/>
          <w:sz w:val="24"/>
          <w:szCs w:val="24"/>
        </w:rPr>
      </w:pPr>
      <w:r>
        <w:rPr>
          <w:rFonts w:hint="eastAsia" w:cs="仿宋_GB2312" w:asciiTheme="minorEastAsia" w:hAnsiTheme="minorEastAsia"/>
          <w:sz w:val="24"/>
          <w:szCs w:val="24"/>
        </w:rPr>
        <w:t>地 址：许昌市劳动路7号</w:t>
      </w:r>
    </w:p>
    <w:p>
      <w:pPr>
        <w:spacing w:line="360" w:lineRule="auto"/>
        <w:ind w:firstLine="240" w:firstLineChars="100"/>
        <w:rPr>
          <w:rFonts w:cs="仿宋_GB2312" w:asciiTheme="minorEastAsia" w:hAnsiTheme="minorEastAsia"/>
          <w:sz w:val="24"/>
          <w:szCs w:val="24"/>
        </w:rPr>
      </w:pPr>
      <w:r>
        <w:rPr>
          <w:rFonts w:hint="eastAsia" w:cs="仿宋_GB2312" w:asciiTheme="minorEastAsia" w:hAnsiTheme="minorEastAsia"/>
          <w:sz w:val="24"/>
          <w:szCs w:val="24"/>
        </w:rPr>
        <w:t>联系人：万丽娜               联系电话：13782222730</w:t>
      </w:r>
    </w:p>
    <w:p>
      <w:pPr>
        <w:spacing w:line="360" w:lineRule="auto"/>
        <w:jc w:val="right"/>
        <w:rPr>
          <w:rFonts w:ascii="Calibri" w:hAnsi="Calibri" w:eastAsia="宋体" w:cs="Times New Roman"/>
          <w:sz w:val="24"/>
          <w:szCs w:val="24"/>
        </w:rPr>
      </w:pPr>
      <w:r>
        <w:rPr>
          <w:rFonts w:hint="eastAsia" w:ascii="Calibri" w:hAnsi="Calibri" w:eastAsia="宋体" w:cs="Times New Roman"/>
          <w:sz w:val="24"/>
          <w:szCs w:val="24"/>
        </w:rPr>
        <w:t>许昌市东城区社会治安综合治理办公室</w:t>
      </w:r>
    </w:p>
    <w:p>
      <w:pPr>
        <w:spacing w:line="360" w:lineRule="auto"/>
        <w:jc w:val="right"/>
        <w:rPr>
          <w:rFonts w:ascii="宋体" w:hAnsi="宋体" w:eastAsia="宋体" w:cs="宋体"/>
          <w:sz w:val="24"/>
          <w:szCs w:val="24"/>
        </w:rPr>
      </w:pPr>
      <w:r>
        <w:rPr>
          <w:rFonts w:hint="eastAsia" w:ascii="宋体" w:hAnsi="宋体" w:eastAsia="宋体" w:cs="宋体"/>
          <w:sz w:val="24"/>
          <w:szCs w:val="24"/>
        </w:rPr>
        <w:t>2018年11月2</w:t>
      </w:r>
      <w:r>
        <w:rPr>
          <w:rFonts w:hint="eastAsia" w:ascii="宋体" w:hAnsi="宋体" w:eastAsia="宋体" w:cs="宋体"/>
          <w:sz w:val="24"/>
          <w:szCs w:val="24"/>
          <w:lang w:val="en-US" w:eastAsia="zh-CN"/>
        </w:rPr>
        <w:t>1</w:t>
      </w:r>
      <w:r>
        <w:rPr>
          <w:rFonts w:hint="eastAsia" w:ascii="宋体" w:hAnsi="宋体" w:eastAsia="宋体" w:cs="宋体"/>
          <w:sz w:val="24"/>
          <w:szCs w:val="24"/>
        </w:rPr>
        <w:t>日</w:t>
      </w:r>
    </w:p>
    <w:p>
      <w:pPr>
        <w:widowControl/>
        <w:jc w:val="left"/>
        <w:rPr>
          <w:rFonts w:hAnsi="宋体"/>
          <w:b/>
          <w:sz w:val="32"/>
          <w:szCs w:val="32"/>
        </w:rPr>
      </w:pPr>
      <w:r>
        <w:rPr>
          <w:rFonts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8"/>
          <w:rFonts w:hAnsi="宋体"/>
          <w:sz w:val="24"/>
          <w:szCs w:val="24"/>
        </w:rPr>
        <w:t>http://221.14.6.70:8088/ggzy/</w:t>
      </w:r>
      <w:r>
        <w:rPr>
          <w:rStyle w:val="3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8"/>
          <w:rFonts w:hAnsi="宋体"/>
          <w:sz w:val="24"/>
          <w:szCs w:val="24"/>
        </w:rPr>
        <w:t>http://221.14.6.70:8088/ggzy/</w:t>
      </w:r>
      <w:r>
        <w:rPr>
          <w:rStyle w:val="3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autoSpaceDE w:val="0"/>
        <w:autoSpaceDN w:val="0"/>
        <w:adjustRightInd w:val="0"/>
        <w:spacing w:line="700" w:lineRule="exact"/>
        <w:ind w:firstLine="560"/>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hAnsi="宋体"/>
          <w:color w:val="000000"/>
          <w:sz w:val="24"/>
          <w:szCs w:val="24"/>
        </w:rPr>
      </w:pPr>
      <w:r>
        <w:rPr>
          <w:rFonts w:hint="eastAsia" w:hAnsi="宋体"/>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33"/>
        <w:widowControl/>
        <w:shd w:val="clear" w:color="auto" w:fill="FFFFFF"/>
        <w:spacing w:line="360" w:lineRule="auto"/>
        <w:contextualSpacing/>
        <w:rPr>
          <w:rFonts w:ascii="宋体" w:hAnsi="宋体" w:eastAsiaTheme="minorEastAsia" w:cstheme="minorBidi"/>
          <w:szCs w:val="22"/>
        </w:rPr>
      </w:pPr>
      <w:r>
        <w:rPr>
          <w:rFonts w:hint="eastAsia" w:ascii="宋体" w:hAnsi="宋体" w:eastAsiaTheme="minorEastAsia" w:cstheme="minorBidi"/>
          <w:b/>
          <w:bCs/>
          <w:szCs w:val="22"/>
        </w:rPr>
        <w:t>1、项目概况</w:t>
      </w:r>
      <w:r>
        <w:rPr>
          <w:rFonts w:hint="eastAsia" w:ascii="宋体" w:hAnsi="宋体" w:eastAsiaTheme="minorEastAsia" w:cstheme="minorBidi"/>
          <w:szCs w:val="22"/>
        </w:rPr>
        <w:t>：</w:t>
      </w:r>
    </w:p>
    <w:p>
      <w:pPr>
        <w:pStyle w:val="33"/>
        <w:widowControl/>
        <w:shd w:val="clear" w:color="auto" w:fill="FFFFFF"/>
        <w:spacing w:line="360" w:lineRule="auto"/>
        <w:contextualSpacing/>
        <w:rPr>
          <w:rFonts w:ascii="宋体" w:cs="宋体"/>
        </w:rPr>
      </w:pPr>
      <w:r>
        <w:rPr>
          <w:rFonts w:hint="eastAsia" w:ascii="宋体" w:cs="宋体"/>
        </w:rPr>
        <w:t xml:space="preserve">  许昌市东城区技防体系五期工程规划方案如下：主要街道及重点部位监控建设；分局指挥中心大屏改造；平安社区建设；东城区三级综治中心建设；重点小区安防系统升级改造；东区管委会监控系统升级改造等。</w:t>
      </w:r>
    </w:p>
    <w:p>
      <w:pPr>
        <w:pStyle w:val="33"/>
        <w:widowControl/>
        <w:shd w:val="clear" w:color="auto" w:fill="FFFFFF"/>
        <w:spacing w:line="360" w:lineRule="auto"/>
        <w:contextualSpacing/>
        <w:rPr>
          <w:rFonts w:ascii="宋体" w:hAnsi="宋体" w:eastAsiaTheme="minorEastAsia" w:cstheme="minorBidi"/>
          <w:b/>
          <w:bCs/>
          <w:szCs w:val="22"/>
        </w:rPr>
      </w:pPr>
      <w:r>
        <w:rPr>
          <w:rFonts w:hint="eastAsia" w:ascii="宋体" w:hAnsi="宋体" w:eastAsiaTheme="minorEastAsia" w:cstheme="minorBidi"/>
          <w:b/>
          <w:bCs/>
          <w:szCs w:val="22"/>
        </w:rPr>
        <w:t>2、主要作用及用途</w:t>
      </w:r>
    </w:p>
    <w:p>
      <w:pPr>
        <w:widowControl/>
        <w:shd w:val="clear" w:color="auto" w:fill="FFFFFF"/>
        <w:spacing w:line="360" w:lineRule="auto"/>
        <w:contextualSpacing/>
        <w:jc w:val="left"/>
        <w:rPr>
          <w:rFonts w:ascii="宋体" w:cs="宋体"/>
          <w:sz w:val="24"/>
          <w:szCs w:val="24"/>
        </w:rPr>
      </w:pPr>
      <w:r>
        <w:rPr>
          <w:rFonts w:hint="eastAsia" w:ascii="宋体" w:cs="宋体"/>
          <w:sz w:val="24"/>
          <w:szCs w:val="24"/>
        </w:rPr>
        <w:t xml:space="preserve">  进一步完善东城区技防体系网络，提升动态环境下社会管理能力和水平，推进平安东城和综治中心规范化建设，适应反恐怖斗争形勢的需要，结合省委政法委综治中心规范化建设、省公安厅“基础信息化”工作部署和市公安局2018年“天眼工程”建设。</w:t>
      </w:r>
    </w:p>
    <w:p>
      <w:r>
        <w:rPr>
          <w:rFonts w:hint="eastAsia" w:cs="黑体" w:asciiTheme="minorEastAsia" w:hAnsiTheme="minorEastAsia"/>
          <w:b/>
          <w:bCs/>
          <w:color w:val="000000"/>
          <w:sz w:val="24"/>
          <w:szCs w:val="24"/>
          <w:shd w:val="clear" w:color="auto" w:fill="FFFFFF"/>
        </w:rPr>
        <w:t>二、采购清单</w:t>
      </w:r>
    </w:p>
    <w:tbl>
      <w:tblPr>
        <w:tblStyle w:val="40"/>
        <w:tblW w:w="9776" w:type="dxa"/>
        <w:tblInd w:w="0" w:type="dxa"/>
        <w:tblLayout w:type="fixed"/>
        <w:tblCellMar>
          <w:top w:w="15" w:type="dxa"/>
          <w:left w:w="15" w:type="dxa"/>
          <w:bottom w:w="15" w:type="dxa"/>
          <w:right w:w="15" w:type="dxa"/>
        </w:tblCellMar>
      </w:tblPr>
      <w:tblGrid>
        <w:gridCol w:w="1057"/>
        <w:gridCol w:w="690"/>
        <w:gridCol w:w="549"/>
        <w:gridCol w:w="4633"/>
        <w:gridCol w:w="720"/>
        <w:gridCol w:w="1088"/>
        <w:gridCol w:w="1039"/>
      </w:tblGrid>
      <w:tr>
        <w:tblPrEx>
          <w:tblLayout w:type="fixed"/>
          <w:tblCellMar>
            <w:top w:w="15" w:type="dxa"/>
            <w:left w:w="15" w:type="dxa"/>
            <w:bottom w:w="15" w:type="dxa"/>
            <w:right w:w="15" w:type="dxa"/>
          </w:tblCellMar>
        </w:tblPrEx>
        <w:trPr>
          <w:trHeight w:val="782" w:hRule="atLeast"/>
        </w:trPr>
        <w:tc>
          <w:tcPr>
            <w:tcW w:w="1057"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序号</w:t>
            </w:r>
          </w:p>
        </w:tc>
        <w:tc>
          <w:tcPr>
            <w:tcW w:w="1239"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货物名称</w:t>
            </w:r>
          </w:p>
        </w:tc>
        <w:tc>
          <w:tcPr>
            <w:tcW w:w="4633"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技术规格及主要参数</w:t>
            </w:r>
          </w:p>
        </w:tc>
        <w:tc>
          <w:tcPr>
            <w:tcW w:w="720"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单位</w:t>
            </w:r>
          </w:p>
        </w:tc>
        <w:tc>
          <w:tcPr>
            <w:tcW w:w="1088"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数量</w:t>
            </w:r>
          </w:p>
        </w:tc>
        <w:tc>
          <w:tcPr>
            <w:tcW w:w="1039"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是否为核心产品</w:t>
            </w:r>
          </w:p>
        </w:tc>
      </w:tr>
      <w:tr>
        <w:tblPrEx>
          <w:tblLayout w:type="fixed"/>
          <w:tblCellMar>
            <w:top w:w="15" w:type="dxa"/>
            <w:left w:w="15" w:type="dxa"/>
            <w:bottom w:w="15" w:type="dxa"/>
            <w:right w:w="15" w:type="dxa"/>
          </w:tblCellMar>
        </w:tblPrEx>
        <w:trPr>
          <w:trHeight w:val="375"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一、治安监控</w:t>
            </w:r>
          </w:p>
        </w:tc>
      </w:tr>
      <w:tr>
        <w:tblPrEx>
          <w:tblLayout w:type="fixed"/>
          <w:tblCellMar>
            <w:top w:w="15" w:type="dxa"/>
            <w:left w:w="15" w:type="dxa"/>
            <w:bottom w:w="15" w:type="dxa"/>
            <w:right w:w="15" w:type="dxa"/>
          </w:tblCellMar>
        </w:tblPrEx>
        <w:trPr>
          <w:trHeight w:val="360"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1、存储中心</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摄像机接入授权许可</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1.视频管理服务软件-视频接入许可-200路授权费用-基于市局原有平台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60盘位网络云存储主机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1.设备应采用控制器架构，采用Intel 64位多核处理器；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2.磁盘通道数不小于60,支持硬盘热插拔，可接磁盘类型SATA/SSD/SAS/NL-SAS；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★3.云存储系统配合安全设备，可对符合MAC地址、TCP/IP协议、IP地址、国标GB/T 28181协议或者是白名单中的设备在通信前进行准入检测，不符合授权认证要求的直接拒绝接入进行存储业务；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4.支持分布式块存储，无碎片，系统无存储空间和性能衰减；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★5.支持视频抽I帧、1/2、1/4抽帧，全帧备份，支持对SVC相机进行码流压缩备份存储；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★6.支持进行告警联动备份，将告警时间段前后可调时间内的录像备份下来，并可根据告警事件和告警时间进行检索调取；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7.全扁平网络架构，数据平面与信令控制平面分离，数据路径最短化，即使所有云存储管理服务器（元数据服务器）异常，历史数据不丢失，存储节点已配置存储业务不中断，能够查询到宕机期间的录像信息；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★8.支持多副本/纠删码按不同故障域设置，可按磁盘，节点，机架设置。能够指定资源池所在的域和对应的副本个数。支持云存储中各个资源池的副本数不同；</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9.系统中不需要单独的服务器进行数据切片，直接由存储节点完成；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10.支持系统内多存储节点故障后，集群中只有单块盘时仍能按照N+M冗余继续写入数据，并能继续正常读写，业务不中断；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11.支持磁盘漫游，磁盘在节点内和节点间迁移，以及异常存储节点的正常磁盘插入其他存储节点，数据不丢失，可以继续利用；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★12.支持在云存储中已经存在多种冗余级别文件情况下，将任意一个节点的任意块磁盘对调到另外一个节点，或插入全新节点，前后数据完整并可读；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13.云存储系统在监控组网时应支持音视频、图片、智能结构化、文件等数据以块直存的方式直接写入到存储节点；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14.要求本次配置的云存储与许昌市公安局现有云存储系统无缝兼容，能被现有云存储系统统一管理；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15.本次要求配置60块8TB云存储专用硬盘，功耗＜900W（满配）；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交通媒体服务器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软件功能：支持并发多条车辆信息/照片信息；支持图片存储、车辆信息存储，能对车辆进行精确布防和模糊布控，支持支持卡口、电警、违停球违章图片合成,单设备并发处理能力不低于225车道/秒；</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2.服务器规格:2U机架式，1-2颗英特尔至强或更高处理器 ，主频不小于2.4GHz；</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3.内存≥8GB，内置存储容量: ≥1TB，可扩展至4块，支持RAID冗余；</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4.≥2个GE电口，可扩展4个GE电口或者2个10GE SFP+接口；</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5.支持双电源冗余；高性能集成显卡，支持输出接口VGA/HDMI；</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6.工作温度及湿度：5°C~40°C，20%~80%（无冷凝）；</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7.内置Linux操作系统和应用管理软件；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机柜</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2000MM*600MM*1000MM，含两个PDU</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2、治安监控</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400W防水枪机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1.400万筒型网络摄像机，支持电动变倍；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2.水平解像力可以达到1500线；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3.支持光学宽动态，宽动态范围可以达到105dB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★4.通过IE浏览器开启/关闭红外灯或使红外灯在低照度下自动开启，红外补光可以达到100米；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5.支持IR-CUT，支持彩转黑功能；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6.1/6秒至1/8000秒电子快门速度；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★7.彩色最低照度：0.008Lux 彩色模式；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8.适用-40℃~60℃温度环境工作；</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9.可以选配128GB本地监控码流存储卡；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10.1个报警输入/1个输出口，满足环境告警需求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11.摄像机提供100M以太网自适应电口；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★12.提供DC12V电源输入口，与PoE供电互为备份；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★13.DC12V电源输入口满足长时间在±25％电压波动电网中工作；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14.支持H.265，H.264  High Profile，支持三码流，支持双向语音对讲；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15.支持宽动态效果自动开启；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16.设备在非法访问、网络断开、IP冲突时，可给出报警提示；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17.支持网络自适应，10％丢包网络环境下图像效果良好；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18.支持IP67防尘防水等级；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19.网口防雷达到±6KV；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20.支持视频遮挡检测告警；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21.支持人脸抓拍功能，可对经过设定区域的行人进行人脸检测和人脸跟踪，当检测到人脸后，可抓拍人脸图片，抓拍图片数量可设；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22.支持区域入侵、越界入侵等智能分析功能，并且当行为达到设定的阈值时，可通过客户端软件或IE浏览器给出报警提示；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23.提供SDK供第三方厂家进行开发调用；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24.支持标准ONVIF协议、GB/T 28181国家标准；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b/>
                <w:bCs/>
                <w:color w:val="000000"/>
                <w:sz w:val="22"/>
              </w:rPr>
              <w:t>是</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摄像机电源</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DC24V 2.5A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200万像素天网卡口摄像机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1.1080P星光级天网卡口，不小于1/2英寸CMOS Sensor，摄像机单元与护罩一体化,内置白光补光；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2.水平解像力可以达到1100线；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3.宽动态范围可以达到105db，支持宽动态自动切换；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4.支持光学透雾；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★5.彩色最低照度：0.0005Lux；</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6.支持H.265、H.264、MGPEG视频编码协议；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7.支持AAC宽频语音、支持48kHz语音采样；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8.支持OSD字符叠加，支持OSD自定义；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9.支持网络自适应，20%丢包网络环境下图像效果良好；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10.支持区域入侵、停车、越界入侵、人员聚集、进入区域、离开区域、快速移动、物品移除、物品遗留、徘徊智能行为分析功能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11.支持车、非机动车及人识别，支持车、非机动车及人流量统计；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★12.支持车辆抓拍及车牌识别，车辆捕获率：白天≥95%,晚上≥90%；车牌识别率：白天≥95%,晚上≥90%；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13.支持镜头虚焦、场景变更、声音异常检测告警；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★14.支持basic、digest两种认证模式设置；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15.支持关闭telnet端口、web弱密码校验、错误登录抑制等安全访问机制；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16.支持IP过滤，有效屏蔽非法IP地址访问；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17.1个报警输入/1个输出口，满足环境告警需求；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180支持音频输入/输出，支持两路独立音频的输入；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19.摄像机提供100M以太网自适应电口，网口防雷达到±6KV；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20.内置摄像机单元提供镜头ZOOM /FOCUS控制接口，方便对镜头进行远程控制；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21.持GB/T 28181国家标准和onvif协议；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LED补光灯</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1.同时兼顾卡口抓拍同步补光和夜间实况补光；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2.色温范围不小于5000k；</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3.光通量不小于2600lm；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4.支持光敏触发方式；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5.补光距离不小于16-24m；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6.支持光控、时控可调；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7.支持IP66防护等级；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8.功率不大于24W；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9.支持AC220V±15%宽压变化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10.适用-30～70℃温度环境气候工作；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防雷接地</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符合国标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116</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立杆</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Q235材质，地笼M22×300×1m×4，立杆采用6米八棱杆，下口200，上口130，臂厚4.0mm，下法兰320mmx320mm，x18mm，上法兰260mm×260mm×14mm，横臂采用八棱臂，大口140，小口80，臂厚3.5mm，挑臂5米，热镀锌喷塑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116</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立杆基础</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C30 由混凝土和钢筋地龙两部分组成。挖1米深，1.1米*1.1米见方地坑浇筑混凝土，将钢筋地龙坐入正中。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116</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机箱</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2mm以上优质冷钢板，热镀锌喷塑，含空开、插排要求防雷接地和防水防尘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116</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防雷器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信号、电源二合一 ;多功能防浪涌过电压精细保护;交直流电源通用;三级滤压串联保护</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网线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国标，超五类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2973</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电源线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国标.RVV2*2.5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18308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管材</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国标 直径20 pvc材质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14461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PE管材</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国标 口径32 耐腐蚀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施工辅料及其他费用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水晶头、套管、穿线管、软管、胶栓、自攻丝、胶带、扎带、膨胀丝等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 xml:space="preserve">3、分局指挥中心大屏幕升级改造 </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55寸液晶拼接单元</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1.原装DID FHD-LED屏，亮度：500cd/㎡，对比度：3500：1，W1213.5mm×H684.3 mm ，上下左右物理拼接缝≦3.5mm；                       ★2.大屏具有输入信号丢失检测的方法及装置，能有效防止因传送数据丢失而引起的模糊现象。 3.大屏具有SD智检引擎，可自动检测显示单元的各项功能是否正常，对设备出现的情况及时做出诊断。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4.大屏具有SS智控引擎，对设备进行实际工作时间的统计，为用户对该产品的工作稳定性或寿命评估提供参考； </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★5.大屏采用内置电源板及能量释放电路技术，可有效释放静电、灰尘等外物引起的瞬时电流过高，延长整机使用寿命。；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6.采用智能能耗实时核心算法，实时检测拼接单元运行功耗，实现智能降低能耗， 含拼接控制软件；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图像拼接控制器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1、满足16路HDMI信号输入，同时满足4路HDMI信号输出，可实现单屏、多屏、任意屏拼接显示。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★2、支持冷开机功能，即通过多屏图像处理系统中配置专用电源控制系统，可以在整个系统完全或者意外掉电时，再次恢复供电之后通过控制软件仍可以正常控制处理器的开关、重启等功能，无需人工按键。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★3、支持单屏64个画面同时显示，且运行64个信号窗口模式的开窗速度小于2秒。单路SDI信号可开6个窗口，单路DVI信号可开12个窗口，单路VIDEO信号可开32窗口。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电视墙支架</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标准电视墙支架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60"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拼接墙配件</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机柜、底座和设备系统中配套的VGA/视频/RS-485/网络线等线缆(不含前端输入线缆)、及电源排插等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90"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二、东区管委会视频监控</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网络高清摄像机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1.200万星光级1/2.7”CMOS ICR红外阵列筒型网络摄像机,·最高分辨率可达1920×1080 @ 25 fps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2.支持低码率、低延时、ROI感兴趣区域增强编码、SVC自适应编码技术,支持smart265编码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3.码流平滑设置，适应不同场景下对图像质量、流畅性的不同要求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4.支持GBK字库，支持更多汉字及生僻字叠加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5.支持OSD颜色自选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6.高效阵列红外灯,使用寿命长,照射距离最远可达30米(I3)/50米(I5)/80米(I8)</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7.支持smart IR，防止夜间红外过曝</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8.ICR红外滤片式自动切换,实现真正的日夜监控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9.支持日夜两套参数独立配置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硬盘录像机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1.64路16盘位可对视频画面叠加8行字符，每行可输入20个汉字。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2.支持缩略图,拖动回放时间进度条，在回放控制条上显示当前拖动时间点的缩略图。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3.支持报警输入触发一键撤防功能，撤防的报警类型可选（弹出报警画面、声音警告、上传中心、发送邮件、触发报警输出）。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4.支持对任一录像进行添加自定义标签，单个文件最大支持196个标签，最大可以打4096个标签。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5.支持设置图案密码，用户通过绘制图案来解锁并登录。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6.支持接入ONVIF协议、RTSP协议、GB/T28181协议的设备，可一键激活并添加局域网内IPC。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7.支持2组4屏显示输出，每组包含HDMI和VGA各一个，同一组内为同源输出，两组之间可异源输出视频图像，并可分别控制进行预览、回放、配置等操作，支持64/36/32/25/16/9/8/6/4/1分屏预览。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8.支持4000X3000格式的高清网络视频的解码显示。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9.支持1/8、1/4、1/2、1、2、4、8、16、32、64、128、256等倍速回放录像，支持录像回放的剪辑和回放截图功能。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10.可支持最大接入总带宽512Mbps的64路视频图像。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11.可接入H.265、H.264、MPEG4、SVAC视频编码格式的IPC。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12.支持8T容量的SATA接口硬盘；支持硬盘热插拔和休眠。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13.支持2个以太网口，可将2个网口设置不同网段的IP地址，分别接入不同网段IP地址的IPC。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14.支持16个SATA接口，至少支持2个USB2.0，1个USB3.0接口；支持16路报警输入，8路报警输出接口。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硬盘 </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工业级 4T 7200转（储存100天）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24口交换机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24个10/100/1000BASE-T,4个1000BASE-X), 交流供电</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视频监控显示屏</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50寸LED液晶，2K，HDMI</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HDMI切换器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HDMI三进一出，含线缆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监控操作工位</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含二联监控操作台一个，办公转椅一把，无线鼠标两个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光纤收发器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单纤单模，四电口，千兆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网络交换机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8口千兆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液晶电视</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55寸4K智能网络平板液晶电视机，含挂架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音箱</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木质HIFI音响 笔记本低音炮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光纤</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单模，4芯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网线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国标，超五类，305米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3050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阻燃电源电缆  </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阻燃纯铜线缆，2×1.5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防静电地板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含加厚架空支撑架，每块600mm*600mm*35mm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平方米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墙面涂料</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专用墙体涂料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平方米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墙体隔断</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轻钢龙骨，石膏板隔断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平方米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实木门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实木门一扇，含门套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跳线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光纤跳线，SC双头，单模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尾纤</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SC单头尾纤，单模5米长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终端盒</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光纤终端盒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室外防水箱</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室外防水箱，含空开插排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PVC管</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PVC管，直径32mm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PVC管</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PVC管，直径20mm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线槽</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室内线槽，80mm*40mm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75"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三、祥和小区</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枪型摄像机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1.具有400万像素 CMOS传感器。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2.内置1颗白光补光灯。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3.最低照度彩色：0.0004 lx。白天或夜晚均可输出彩色视频图像。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4.需具有20路取流路数能力，以满足更多用户同时在线访问摄像机视频。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5.在2560x1440 @ 25fps下，清晰度不小于1400TVL。</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6.支持H.264、H.265、MJPEG视频编码格式，且具有High Profile编码能力。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7.信噪比不小于55dB。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8.需支持8行字符显示，字体颜色可设置，需具有图片叠加到视频画面功能。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9.需具备人脸检测、区域入侵检测、越界检测、虚焦检测、进入区域、离开区域、徘徊、人员聚集、逆行、场景变更等功能。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10.需具有电子防抖、ROI感兴趣区域、SVC可伸缩编码、自动增益、背光补偿、数字降噪、强光抑制、走廊模式、视频水印等功能。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11.摄像机能够在-30~60摄氏度，湿度小于93%环境下稳定工作。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12.设备与客户端之间用100米网线进行传输，数据包丢包率小于0.1%。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13.不低于IP67防尘防水等级。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14.需支持DC12V供电，且在不小于DC12V±30%范围内变化时可以正常工作。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15.设备工作状态时，支持空气放电8kV，接触放电6kV，通讯端口支持6kV峰值电压。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16.同一静止场景相同图像质量下，设备在H.265编码方式时，开启智能编码功能和不开启智能编码相比，码率节约1/2。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17.含电源 支架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硬盘录像机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1.64路16盘位可对视频画面叠加8行字符，每行可输入20个汉字。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2.支持缩略图,拖动回放时间进度条，在回放控制条上显示当前拖动时间点的缩略图。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3.支持报警输入触发一键撤防功能，撤防的报警类型可选（弹出报警画面、声音警告、上传中心、发送邮件、触发报警输出）。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4.支持对任一录像进行添加自定义标签，单个文件最大支持196个标签，最大可以打4096个标签。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5.支持设置图案密码，用户通过绘制图案来解锁并登录。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6.支持接入ONVIF协议、RTSP协议、GB/T28181协议的设备，可一键激活并添加局域网内IPC。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支持2组4屏显示输出，每组包含HDMI和VGA各一个，同一组内为同源输出，两组之间可异源输出视频图像，并可分别控制进行预览、回放、配置等操作；支持64/36/32/25/16/9/8/6/4/1分屏预览。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7.支持4000X3000格式的高清网络视频的解码显示。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8.支持1/8、1/4、1/2、1、2、4、8、16、32、64、128、256等倍速回放录像，支持录像回放的剪辑和回放截图功能。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9.可支持最大接入总带宽512Mbps的64路视频图像。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10.可接入H.265、H.264、MPEG4、SVAC视频编码格式的IPC。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11.支持8T容量的SATA接口硬盘；支持硬盘热插拔和休眠。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12.支持2个以太网口，可将2个网口设置不同网段的IP地址，分别接入不同网段IP地址的IPC。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13.支持16个SATA接口，至少支持2个USB2.0，1个USB3.0接口；支持16路报警输入，8路报警输出接口。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显示器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24寸4K液晶监视器；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显示：LED背光；物理分辨率3840×2160；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亮度300cd/㎡；对比度1000:1，功耗：≤52W，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裸机尺寸 (W*H*D)(mm)： 566.4×392.7×189.9，</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接口：1个VGA输入接口，1个HDMI输入接口，1个DP输入接口，1个3.5mm音频输入输出接口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监视器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19寸液晶监视器，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显示：LED背光；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物理分辨率：1280×1024；</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亮度250cd/㎡，对比度1000:1；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输入接口：HDMI*1、VGA*1、S-Video*1、BNC*1、Audio*1，输出接口：BNC*1，Audio*1；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电源：AC100V--240V，功耗：≤30W，喇叭：8</w:t>
            </w:r>
            <w:r>
              <w:rPr>
                <w:rStyle w:val="73"/>
                <w:rFonts w:hint="default"/>
              </w:rPr>
              <w:t>Ω</w:t>
            </w:r>
            <w:r>
              <w:rPr>
                <w:rStyle w:val="74"/>
                <w:rFonts w:hint="default" w:ascii="宋体" w:hAnsi="宋体" w:eastAsia="宋体" w:cs="宋体"/>
              </w:rPr>
              <w:t xml:space="preserve">  3W；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视频解码器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要求设备具备，20个RJ45网络接口，1路语音输入，1路语音输出，1个RS232接口，1个RS485接口，8路报警输入，8路报警输出，1个VGA视频输入接口，1个DVI-I输入接口。输出口支持10个HDMI接口。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设备可接入RTSP协议、ONVIF协议的前端设备的视频流。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支持1、2、4、6、8、9、10、12、16、25、36画面分割显示。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对以下分辨率的视频图像进行解码后输出：10路分辨率为4000×3000（20fps）的视频图像；20路分辨率为4096×2160（25fps）的视频图像；20路分辨率为3840×2160（25fps）的视频图像；30路分辨率为2592×1944（30fps，25fps）的视频图像；50路分辨率为2048×1536（30fps，25fps）的视频图像；80路分辨率为1920×1080（30fps，25fps）的视频图像；160路分辨率为1280×720（30fps，25fps）的视频图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核心交换机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24千兆电口+4千兆光口   网管型  一：智能识别技术和网络交换能力（采用创新的智能识别技术.自动发现网络摄像机和 NVR，形成IP地址表，先进的数据流识别能力和高背板带宽，保证网络视频信号实时稳定传输，不卡顿，不丢包。）二：强大的网络管理功能和友好的管理界面（统一管理全网设备.无需配置IP地址.无需安装管理软件.无需专业网管知识.自动生成网络拓扑图形.自动标注端口连接状态，图形化的展示网络连接情况.）三：可靠的网络安全功能、灵活的配置选择（自动检测和阻断网络环路交标注端口.隔绝网络风暴.方便排查故障.可配置多组专网，多组网络可同时传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机房汇聚交换机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非网管型监控专用，24千兆电口+2千兆光口，内置电源；包转发率：36Mpps；交换容量：56Gbps</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视频专用硬盘</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工业级 4T 7200转（储存100天）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监控杆</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3.5米、静电喷塑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混泥土浇筑</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开挖深80cm*80cm立方基础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汇聚网络箱</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30cm*40cm，含空开插排（不锈钢）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光纤收发器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自动兼容IEEE802.3、IEEE802.3U、IEEE802.3X等网络协议.配置成4个100M自适应电端口和1个100M 单模或多模.单纤或双纤光端口.采用1组10/100M 单模SC光纤端口，可灵活选择不同公里数设计配置.标配传输距离20KM超宽工作温度范围：-10~60℃.电源、链路、数据动态指示灯..支持拨码开关设置监控模式，延长IPC接入距离，最大可延长至250米支持拨码开关设置VLAN功能：阻断下联端口间相互通讯，提高数据转发效率，保障系统安全；抑制网络风暴功能：自动识别并过滤广播包。DC5V电源适配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交换机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外置电源；8个千兆网口+2个千兆上联网口， 支持拨码开关设置监控模式，延长IPC接入距离，最大可延长至250米 支持拨码开关设置VLAN功能：阻断下联端口间相互通讯，提高数据转发效率，保障系统安全；抑制网络风暴功能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网线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超五类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8500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主线电缆</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RVV2*2.5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主光纤</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单纤单模12芯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7000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支线电缆</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RVV2*1.5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PVC管</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PVC材质，φ20mm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1120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75"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四、社区网络化建设</w:t>
            </w:r>
          </w:p>
        </w:tc>
      </w:tr>
      <w:tr>
        <w:tblPrEx>
          <w:tblLayout w:type="fixed"/>
          <w:tblCellMar>
            <w:top w:w="15" w:type="dxa"/>
            <w:left w:w="15" w:type="dxa"/>
            <w:bottom w:w="15" w:type="dxa"/>
            <w:right w:w="15" w:type="dxa"/>
          </w:tblCellMar>
        </w:tblPrEx>
        <w:trPr>
          <w:trHeight w:val="286"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1、硬件设备</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GIS服务器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1.国产品牌，产品在中国本土研发、设计和生产，2U机架式服务器，标配原厂导轨。</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2.要求支持≥2颗Intel Xeon E5-2600 v4系列 CPU,要求最大可扩展≥24个内存插槽，支持最大内存容量≥1.5TB；支持高级ECC、在线备用内存、内存镜像等功能。</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3.要求最大可扩展≥25个热插拔硬盘槽位，并要求支持独立Raid阵列卡，提供至少1条阵列卡专有插槽，支持RAID0/1/10/5/6/50/60/1E，缓存≥2GB，支持缓存数据保护，且后备保护时间不受限制；</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4.要求最大支持≥10个PCIE3.0插槽（≥6个全高），要求配置≥4个10/100/1000M-BaseT 以太网接口，要求额外提供≥1个网卡专用插槽（不占用PCIE扩展槽），可选配千兆或万兆网卡。</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5.要求最大可支持≥3个双宽GPU显卡；配置≥2块热插拔冗余电源，冗余风扇模块。</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6.工作温度范围5-45℃； </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7.要求配置≥1Gb的远程管理控制端口，配置虚拟KVM功能，可实现与操作系统无关的远程对服务器的完全控制，包括远程的开机、关机、重启、更新Firmware、虚拟媒体等操作，提供服务器健康日记、故障现场还原，支持智能电源管理，支持服务器内部温度切面的3D显示，可支持动态功率封顶。</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8.要求单台配置E5-2650V4 CPU（主频≥2.2GHz，核数≥22核）≥2颗，128GB DDR4内存，600GB 10K SAS固态硬盘≥3块；千兆以太网电接口≥4个，12Gb 2端口SAS RAID卡(2GB缓存,8个SAS口)≥1块；冗余电源、冗余风扇、原厂机架导轨；</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9.为方便后期运维管理，要求服务器及交换机产品为同一品牌。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数据库服务器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1.国产品牌，产品在中国本土研发、设计和生产，2U机架式服务器，标配原厂导轨。</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2.要求支持≥2颗Intel Xeon E5-2600 v4系列 CPU,要求最大可扩展≥24个内存插槽，支持最大内存容量≥1.5TB；支持高级ECC、在线备用内存、内存镜像等功能。</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3.要求最大可扩展≥25个热插拔硬盘槽位，并要求支持独立Raid阵列卡，提供至少1条阵列卡专有插槽，支持RAID0/1/10/5/6/50/60/1E，缓存≥2GB，支持缓存数据保护，且后备保护时间不受限制；</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4.要求最大支持≥10个PCIE3.0插槽（≥6个全高），要求配置≥4个10/100/1000M-BaseT 以太网接口，要求额外提供≥1个网卡专用插槽（不占用PCIE扩展槽），可选配千兆或万兆网卡。</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5.要求最大可支持≥3个双宽GPU显卡；配置≥2块热插拔冗余电源，冗余风扇模块。</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6.工作温度范围5-45℃； </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7.要求配置≥1Gb的远程管理控制端口，配置虚拟KVM功能，可实现与操作系统无关的远程对服务器的完全控制，包括远程的开机、关机、重启、更新Firmware、虚拟媒体等操作，提供服务器健康日记、故障现场还原，支持智能电源管理，支持服务器内部温度切面的3D显示，可支持动态功率封顶。</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8.要求单台配置E5-2650V4 CPU（主频≥2.2GHz，核数≥22核）≥2颗，128GB DDR4内存，4T固态硬盘≥4块；千兆以太网电接口≥4个，12Gb 2端口SAS RAID卡(2GB缓存,8个SAS口)≥1块；冗余电源、冗余风扇、原厂机架导轨；</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9.为方便后期运维管理，要求服务器及交换机产品为同一品牌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智能管理网络交换机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1.交换容量≥330Gbps，转发性能≥130Mpps；</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2.48个10/100/1000Base-T电口、4个SFP+万兆光口；</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3.MAC地址≥16K；</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4.支持IPv4/v6静态路由、RIPv1/v2、RIPng，OSPF功能</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5.支持堆叠功能，可以实现堆叠链路冗余保护能够快速收敛，且收敛时间≤50ms,最多可支持9台设备进行堆叠 </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6.支持本地端口镜像和远程端口镜像RSPAN，支持流镜像，支持端口队列调度（SP、WRR、SP+WRR）</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7.支持openflow 1.3协议; </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8.支持基于第二层、第三层和第四层的ACL，支持基于端口，VLAN，全局下发 ACL，支持IPv6的ACL策略，支持双向ACL</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9.支持802.1X认证，portal认证,MAC认证；10、实现CPU保护保护功能，能限制非法报文对CPU的攻击，保护交换机在各种环境下可以稳定工作；</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10.支持SNMP V1/V2/V3、WEB网管，支持命令行接口（CLI），Telnet，Console口进行配置</w:t>
            </w:r>
          </w:p>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11.采用专业的内置防雷技术，支持业界领先的10KV业务端口防雷能力，使其在比较恶劣的工作环境中也能极大的降低雷击对设备的损坏率.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应用服务器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1.国产品牌，产品在中国本土研发、设计和生产，2U机架式服务器，标配原厂导轨。</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2.要求支持≥2颗Intel Xeon E5-2600 v4系列 CPU,要求最大可扩展≥24个内存插槽，支持最大内存容量≥1.5TB；支持高级ECC、在线备用内存、内存镜像等功能。</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3.要求最大可扩展≥25个热插拔硬盘槽位，并要求支持独立Raid阵列卡，提供至少1条阵列卡专有插槽，支持RAID0/1/10/5/6/50/60/1E，缓存≥2GB，支持缓存数据保护，且后备保护时间不受限制；</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4.要求最大支持≥10个PCIE3.0插槽（≥6个全高），要求配置≥4个10/100/1000M-BaseT 以太网接口，要求额外提供≥1个网卡专用插槽（不占用PCIE扩展槽），可选配千兆或万兆网卡。</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5.要求最大可支持≥3个双宽GPU显卡；配置≥2块热插拔冗余电源，冗余风扇模块。</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6.工作温度范围5-45℃;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7.要求配置≥1Gb的远程管理控制端口，配置虚拟KVM功能，可实现与操作系统无关的远程对服务器的完全控制，包括远程的开机、关机、重启、更新Firmware、虚拟媒体等操作，提供服务器健康日记、故障现场还原，支持智能电源管理，支持服务器内部温度切面的3D显示，可支持动态功率封顶。</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8.要求单台配置E5-2650V4 CPU（主频≥2.2GHz，核数≥22核）≥2颗，128GB DDR4内存，600GB 10K SAS固态硬盘≥3块；千兆以太网电接口≥4个，12Gb 2端口SAS RAID卡(2GB缓存,8个SAS口)≥1块；冗余电源、冗余风扇、原厂机架导轨；</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9.为方便后期运维管理，要求服务器及交换机产品为同一品牌。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数据交换服务器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1.国产品牌，产品在中国本土研发、设计和生产，2U机架式服务器，标配原厂导轨。</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2.要求支持≥2颗Intel Xeon E5-2600 v4系列 CPU,要求最大可扩展≥24个内存插槽，支持最大内存容量≥1.5TB；支持高级ECC、在线备用内存、内存镜像等功能。</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3.要求最大可扩展≥25个热插拔硬盘槽位，并要求支持独立Raid阵列卡，提供至少1条阵列卡专有插槽，支持RAID0/1/10/5/6/50/60/1E，缓存≥2GB，支持缓存数据保护，且后备保护时间不受限制；</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4.要求最大支持≥10个PCIE3.0插槽（≥6个全高），要求配置≥4个10/100/1000M-BaseT 以太网接口，要求额外提供≥1个网卡专用插槽（不占用PCIE扩展槽），可选配千兆或万兆网卡。</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5.要求最大可支持≥3个双宽GPU显卡；配置≥2块热插拔冗余电源，冗余风扇模块。</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6.工作温度范围5-45℃;</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7.要求配置≥1Gb的远程管理控制端口，配置虚拟KVM功能，可实现与操作系统无关的远程对服务器的完全控制，包括远程的开机、关机、重启、更新Firmware、虚拟媒体等操作，提供服务器健康日记、故障现场还原，支持智能电源管理，支持服务器内部温度切面的3D显示，可支持动态功率封顶。</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8.要求单台配置E5-2650V4 CPU（主频≥2.2GHz，核数≥22核）≥2颗，128GB DDR4内存，600GB 10K SAS固态硬盘≥3块；千兆以太网电接口≥4个，12Gb 2端口SAS RAID卡(2GB缓存,8个SAS口)≥1块；冗余电源、冗余风扇、原厂机架导轨；</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hd w:val="clear" w:color="auto" w:fill="FFFFFF" w:themeFill="background1"/>
              </w:rPr>
              <w:t>9.为方便后期运维管理，要求服务器及交换机产品为同一品牌。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防火墙</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1.产品架构：支持双机热备，标配冗余双电源；接口支持可扩展10M/100M/1000M，电口≥16 个，千兆光口≥8 个，万兆光口≥4，本次要求接口4*100/1000M电口，4个千兆光口（标配2千兆光模块），2个万兆光口（标配2万兆光模块）； 1个Console接口，2个管理口，2个USB接口;</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2.指标性能： 吞吐量≥10Gbps；最大并发连接数≥3600000；每秒新建连接数≥300000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3.基础网络适应性：支持桥接、路由、NAT、虚拟线等网络部署模式、支持PPPOE拨号设备接入，具备断线重连技术、支持以虚拟设备的方式部署在VMWare、FusionShpere、KVM、Xen、Hyper-V等主流虚拟化平台</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4.支持静态路由、ECMP路由、OSPF、RIP、BGP动态路由功能、支持VLAN间路由；支持ISP路由，并内置ISP地址列表、IGMP V1、V2、V3组播路由协议</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5.支持IPV6地址/地址组配置，且支持基于IPV6地址/地址组配置防火墙安全策略、入侵防御策略、防病毒策略、文件过滤策略、流量控制策略</w:t>
            </w:r>
            <w:r>
              <w:rPr>
                <w:rFonts w:hint="eastAsia" w:ascii="宋体" w:hAnsi="宋体" w:eastAsia="宋体" w:cs="宋体"/>
                <w:color w:val="000000"/>
                <w:kern w:val="0"/>
                <w:sz w:val="22"/>
                <w:shd w:val="clear" w:color="auto" w:fill="FFFF00"/>
              </w:rPr>
              <w:t xml:space="preserve"> </w:t>
            </w:r>
          </w:p>
          <w:p>
            <w:pPr>
              <w:widowControl/>
              <w:jc w:val="left"/>
              <w:textAlignment w:val="center"/>
              <w:rPr>
                <w:rFonts w:ascii="宋体" w:hAnsi="宋体" w:eastAsia="宋体" w:cs="宋体"/>
                <w:color w:val="000000"/>
                <w:kern w:val="0"/>
                <w:sz w:val="22"/>
                <w:shd w:val="clear" w:color="auto" w:fill="FFFF00"/>
              </w:rPr>
            </w:pPr>
            <w:r>
              <w:rPr>
                <w:rFonts w:hint="eastAsia" w:ascii="宋体" w:hAnsi="宋体" w:eastAsia="宋体" w:cs="宋体"/>
                <w:color w:val="000000"/>
                <w:kern w:val="0"/>
                <w:sz w:val="22"/>
              </w:rPr>
              <w:t>6.支持入侵痕迹分析、自动投放、获取目标主机静态信息、获取目标主机动态信息、监听目标主机网络通信、主机类型分析、入侵痕迹提取分析、远程控制等功能</w:t>
            </w:r>
            <w:r>
              <w:rPr>
                <w:rFonts w:hint="eastAsia" w:ascii="宋体" w:hAnsi="宋体" w:eastAsia="宋体" w:cs="宋体"/>
                <w:kern w:val="0"/>
                <w:sz w:val="22"/>
              </w:rPr>
              <w:t>，黑客攻防控制子模板具有国家版权局颁发的《软件著作权登记证书》.</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7.支持自学习的动态建模，支持管理人员对策略进行调整</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8.智能防御：支持自动反扫描，防火墙能快速发现网络中的扫描器，并即时断开连接，同时将该IP地址列入黑名单，对该IP地址实施访问控制</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9.支持策略自动演进，防火墙能感知网络中安全态势，并自动生成安全策略，同时根据网络环境的安全态势变化即时调整更新安全策略</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10.支持对数据库审计（支持的数据库包括ORACLE、SQLSERVER、MYSQL、SYBASE、INFORMIX、KINGBASE、GBASE、CACHE、DM、TERADATA、OSCAR等），并生成相应审计日志</w:t>
            </w:r>
          </w:p>
          <w:p>
            <w:pPr>
              <w:widowControl/>
              <w:jc w:val="left"/>
              <w:textAlignment w:val="center"/>
              <w:rPr>
                <w:rFonts w:ascii="宋体" w:hAnsi="宋体" w:eastAsia="宋体" w:cs="宋体"/>
                <w:color w:val="000000"/>
                <w:kern w:val="0"/>
                <w:sz w:val="22"/>
                <w:shd w:val="clear" w:color="auto" w:fill="FFFF00"/>
              </w:rPr>
            </w:pPr>
            <w:r>
              <w:rPr>
                <w:rFonts w:hint="eastAsia" w:ascii="宋体" w:hAnsi="宋体" w:eastAsia="宋体" w:cs="宋体"/>
                <w:color w:val="000000"/>
                <w:kern w:val="0"/>
                <w:sz w:val="22"/>
              </w:rPr>
              <w:t>11.支持对WiFi分享网络中移动终端进行检测，能检测到移动终端的系统类型包括安卓、苹果等，并对WiFi分享行为进行管控</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12.支持系统登录日志、恢复与备份日志、重启关机日志、管理员操作日志、资源告警日志、防火墙日志、IPS日志、防病毒日志、web应用防护日志、信息泄露防护日志、DDOS攻击防护日志、应用管控日志、URL访问日志、用户认证日志、网中网检测日志、VPN日志、VPN功能运行日志、VPN系统初始化日志、L2TP日志、DHCP日志、僵尸网络日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数据库审计</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rPr>
              <w:tab/>
            </w:r>
            <w:r>
              <w:rPr>
                <w:rFonts w:hint="eastAsia" w:ascii="宋体" w:hAnsi="宋体" w:eastAsia="宋体" w:cs="宋体"/>
                <w:color w:val="000000"/>
                <w:kern w:val="0"/>
                <w:sz w:val="22"/>
              </w:rPr>
              <w:t>产品架构：支持双机热备，2U标准机架式机箱；标配冗余双电源,支持端口镜像、分光器、TAP等采集数据；支持分布式部署、集中式管理模式；</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2.性能指标：峰值处理能力（SQL语句、条/秒）≥32000；日志存储容量≥1T, 最大可存储日志数量≥80亿条；</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3.接口支持可扩展10M/100M/1000M电口≥16 个，千兆光口≥8 个，万兆光口≥4，本次要求接口本次要求：网络接口4个百兆/千兆自适应电口，4个千兆光口；1个Console接口，2个USB口；</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4.支持数据库类型：oracle、SQLserver、Mysql、DB2、infomix、Sybase、达梦、人大金仓、Oscar（神通），数据仓库：teradata；其他数据库运维防护协议：HTTP、Telnet、SMTP、POP3、FTP；</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5.审计规则：支持双向审计，不仅支持对数据请求的报文进行审计，同时支持返回结果审计;</w:t>
            </w:r>
          </w:p>
          <w:p>
            <w:pPr>
              <w:widowControl/>
              <w:jc w:val="left"/>
              <w:textAlignment w:val="center"/>
              <w:rPr>
                <w:rFonts w:ascii="宋体" w:hAnsi="宋体" w:eastAsia="宋体" w:cs="宋体"/>
                <w:color w:val="000000"/>
                <w:kern w:val="0"/>
                <w:sz w:val="22"/>
                <w:shd w:val="clear" w:color="auto" w:fill="FFFF00"/>
              </w:rPr>
            </w:pPr>
            <w:r>
              <w:rPr>
                <w:rFonts w:hint="eastAsia" w:ascii="宋体" w:hAnsi="宋体" w:eastAsia="宋体" w:cs="宋体"/>
                <w:color w:val="000000"/>
                <w:kern w:val="0"/>
                <w:sz w:val="22"/>
              </w:rPr>
              <w:t>6.数据库弱点静态检测：支持oracle、SQLserver、Mysql数据库漏洞检测</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7.数据库攻击实时动态监测：针对数据库所在主机、数据库本身的网络攻击行为进行实时检测，支持对SQL注入、跨站脚本攻击、远程命令执行等攻击方式，对任何尝试的攻击操作都会产生告警；预置telnet、FTP高危指令检测规则，当数据库所在服务器的运维发生高危指令时立即告警；</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8.数据库动态建模和自动更新：数据库访问基线自动建模，可根据访问端IP、数据库用户名等对数据库的访问规律（如：访问流量、增删改查操作量、访问的数据库、表、字段等属性）进行动态学习，建立数据库正常访问的使用基线，从而可进行违规异常行为的判断；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9.三层关联：支持通过审计探针部署方式实现三层B/S系统100%准确关联，支持Java、PHP、.NET等探针类型；</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10.业务翻译：提供SQL语句的语义分析，将复杂的SQL操作语句翻译成通俗的业务操作行为，直观理解操作内容；</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11.日志报表：支持自定义报表，可以根据数据库服务器生成统计报表；支持严格按照塞班斯（SOX）法案、等级保护标准要求生成综合报告。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2、软件模块</w:t>
            </w:r>
          </w:p>
        </w:tc>
      </w:tr>
      <w:tr>
        <w:tblPrEx>
          <w:tblLayout w:type="fixed"/>
          <w:tblCellMar>
            <w:top w:w="15" w:type="dxa"/>
            <w:left w:w="15" w:type="dxa"/>
            <w:bottom w:w="15" w:type="dxa"/>
            <w:right w:w="15" w:type="dxa"/>
          </w:tblCellMar>
        </w:tblPrEx>
        <w:trPr>
          <w:trHeight w:val="286" w:hRule="atLeast"/>
        </w:trPr>
        <w:tc>
          <w:tcPr>
            <w:tcW w:w="1057" w:type="dxa"/>
            <w:vMerge w:val="restart"/>
            <w:tcBorders>
              <w:top w:val="single" w:color="000000" w:sz="4" w:space="0"/>
              <w:left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73</w:t>
            </w:r>
          </w:p>
        </w:tc>
        <w:tc>
          <w:tcPr>
            <w:tcW w:w="690"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城区社会管理服务综合信息平台</w:t>
            </w:r>
          </w:p>
        </w:tc>
        <w:tc>
          <w:tcPr>
            <w:tcW w:w="5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智慧社区综合服务门户子系统</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宋体" w:hAnsi="宋体" w:eastAsia="宋体" w:cs="宋体"/>
                <w:sz w:val="22"/>
              </w:rPr>
            </w:pPr>
            <w:r>
              <w:rPr>
                <w:rFonts w:hint="eastAsia" w:ascii="宋体" w:hAnsi="宋体" w:eastAsia="宋体" w:cs="宋体"/>
                <w:sz w:val="22"/>
              </w:rPr>
              <w:t>要求为采购人提供统一服务门户，对采购人的区县、街镇、社区提供四级服务支持。服务门户包括具体内容包括：</w:t>
            </w:r>
          </w:p>
          <w:p>
            <w:pPr>
              <w:adjustRightInd w:val="0"/>
              <w:snapToGrid w:val="0"/>
              <w:rPr>
                <w:rFonts w:ascii="宋体" w:hAnsi="宋体" w:eastAsia="宋体" w:cs="宋体"/>
                <w:sz w:val="22"/>
              </w:rPr>
            </w:pPr>
            <w:r>
              <w:rPr>
                <w:rFonts w:hint="eastAsia" w:ascii="宋体" w:hAnsi="宋体" w:eastAsia="宋体" w:cs="宋体"/>
                <w:sz w:val="22"/>
              </w:rPr>
              <w:t>１.首页：包括政务公告、要闻动态、办事流程、便民服务、业务推广、信息检索、在线投票、相关链接、浮游公告、重要信息窗口弹出等。</w:t>
            </w:r>
          </w:p>
          <w:p>
            <w:pPr>
              <w:adjustRightInd w:val="0"/>
              <w:snapToGrid w:val="0"/>
              <w:rPr>
                <w:rFonts w:ascii="宋体" w:hAnsi="宋体" w:eastAsia="宋体" w:cs="宋体"/>
                <w:sz w:val="22"/>
              </w:rPr>
            </w:pPr>
            <w:r>
              <w:rPr>
                <w:rFonts w:hint="eastAsia" w:ascii="宋体" w:hAnsi="宋体" w:eastAsia="宋体" w:cs="宋体"/>
                <w:sz w:val="22"/>
              </w:rPr>
              <w:t>2.政务公告：包括通知公告、工作简报、普发性文件等。</w:t>
            </w:r>
          </w:p>
          <w:p>
            <w:pPr>
              <w:adjustRightInd w:val="0"/>
              <w:snapToGrid w:val="0"/>
              <w:rPr>
                <w:rFonts w:ascii="宋体" w:hAnsi="宋体" w:eastAsia="宋体" w:cs="宋体"/>
                <w:sz w:val="22"/>
              </w:rPr>
            </w:pPr>
            <w:r>
              <w:rPr>
                <w:rFonts w:hint="eastAsia" w:ascii="宋体" w:hAnsi="宋体" w:eastAsia="宋体" w:cs="宋体"/>
                <w:sz w:val="22"/>
              </w:rPr>
              <w:t>3.政务动态：包括智慧社区新闻动态、重要新闻选编、街镇动态等。</w:t>
            </w:r>
          </w:p>
          <w:p>
            <w:pPr>
              <w:adjustRightInd w:val="0"/>
              <w:snapToGrid w:val="0"/>
              <w:rPr>
                <w:rFonts w:ascii="宋体" w:hAnsi="宋体" w:eastAsia="宋体" w:cs="宋体"/>
                <w:sz w:val="22"/>
              </w:rPr>
            </w:pPr>
            <w:r>
              <w:rPr>
                <w:rFonts w:hint="eastAsia" w:ascii="宋体" w:hAnsi="宋体" w:eastAsia="宋体" w:cs="宋体"/>
                <w:sz w:val="22"/>
              </w:rPr>
              <w:t>4.便民服务：包括房屋租赁服务、实有人员自助申报服务、服务站点查询服务。</w:t>
            </w:r>
          </w:p>
          <w:p>
            <w:pPr>
              <w:adjustRightInd w:val="0"/>
              <w:snapToGrid w:val="0"/>
              <w:rPr>
                <w:rFonts w:ascii="宋体" w:hAnsi="宋体" w:eastAsia="宋体" w:cs="宋体"/>
                <w:sz w:val="22"/>
              </w:rPr>
            </w:pPr>
            <w:r>
              <w:rPr>
                <w:rFonts w:hint="eastAsia" w:ascii="宋体" w:hAnsi="宋体" w:eastAsia="宋体" w:cs="宋体"/>
                <w:sz w:val="22"/>
              </w:rPr>
              <w:t>5.政务公开：包括组织机构、政策法规、发展规划等。</w:t>
            </w:r>
          </w:p>
          <w:p>
            <w:pPr>
              <w:adjustRightInd w:val="0"/>
              <w:snapToGrid w:val="0"/>
              <w:rPr>
                <w:rFonts w:ascii="宋体" w:hAnsi="宋体" w:eastAsia="宋体" w:cs="宋体"/>
                <w:sz w:val="22"/>
              </w:rPr>
            </w:pPr>
            <w:r>
              <w:rPr>
                <w:rFonts w:hint="eastAsia" w:ascii="宋体" w:hAnsi="宋体" w:eastAsia="宋体" w:cs="宋体"/>
                <w:sz w:val="22"/>
              </w:rPr>
              <w:t>6.互动：包括投诉及反馈、投票互动等。</w:t>
            </w:r>
          </w:p>
          <w:p>
            <w:pPr>
              <w:adjustRightInd w:val="0"/>
              <w:snapToGrid w:val="0"/>
              <w:rPr>
                <w:rFonts w:ascii="宋体" w:hAnsi="宋体" w:eastAsia="宋体" w:cs="宋体"/>
                <w:color w:val="000000"/>
                <w:sz w:val="22"/>
              </w:rPr>
            </w:pPr>
            <w:r>
              <w:rPr>
                <w:rFonts w:hint="eastAsia" w:ascii="宋体" w:hAnsi="宋体" w:eastAsia="宋体" w:cs="宋体"/>
                <w:sz w:val="22"/>
              </w:rPr>
              <w:t>7.相关链接：提供其他相关单位官方门户网站的友情链接。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90" w:hRule="atLeast"/>
        </w:trPr>
        <w:tc>
          <w:tcPr>
            <w:tcW w:w="1057" w:type="dxa"/>
            <w:vMerge w:val="continue"/>
            <w:tcBorders>
              <w:left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c>
          <w:tcPr>
            <w:tcW w:w="690" w:type="dxa"/>
            <w:vMerge w:val="continue"/>
            <w:tcBorders>
              <w:left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p>
        </w:tc>
        <w:tc>
          <w:tcPr>
            <w:tcW w:w="5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基础库信息平台子系统</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宋体" w:hAnsi="宋体" w:eastAsia="宋体" w:cs="宋体"/>
                <w:sz w:val="22"/>
              </w:rPr>
            </w:pPr>
            <w:r>
              <w:rPr>
                <w:rFonts w:hint="eastAsia" w:ascii="宋体" w:hAnsi="宋体" w:eastAsia="宋体" w:cs="宋体"/>
                <w:sz w:val="22"/>
              </w:rPr>
              <w:t>人口基础数据库: 将采购人的各项信息资源进行整合，包括实有人口信息、实有房屋信息、实有单位信息、社区智能门禁信息、社区移动巡查信息等进行统一整合。另外，平台还可通过定制接口，在实现信息化业务整合时，还可根据采购人的新业务需求，对原有信息化业务进行梳理和定制开发。功能要求：</w:t>
            </w:r>
          </w:p>
          <w:p>
            <w:pPr>
              <w:adjustRightInd w:val="0"/>
              <w:snapToGrid w:val="0"/>
              <w:rPr>
                <w:rFonts w:ascii="宋体" w:hAnsi="宋体" w:eastAsia="宋体" w:cs="宋体"/>
                <w:sz w:val="22"/>
              </w:rPr>
            </w:pPr>
            <w:r>
              <w:rPr>
                <w:rFonts w:hint="eastAsia" w:ascii="宋体" w:hAnsi="宋体" w:eastAsia="宋体" w:cs="宋体"/>
                <w:sz w:val="22"/>
              </w:rPr>
              <w:t>1.统一身份认证：本项目要求基于采购人现有的用户组织架构管理体系进行账号管理和统一单点登录。门户框架提供用户认证接口:提供基于用户名密码、客户端标识的认证接口，并针对客户端返回特定的认证令牌，支持门户的单点登录系统集成。</w:t>
            </w:r>
          </w:p>
          <w:p>
            <w:pPr>
              <w:adjustRightInd w:val="0"/>
              <w:snapToGrid w:val="0"/>
              <w:rPr>
                <w:rFonts w:ascii="宋体" w:hAnsi="宋体" w:eastAsia="宋体" w:cs="宋体"/>
                <w:sz w:val="22"/>
              </w:rPr>
            </w:pPr>
            <w:r>
              <w:rPr>
                <w:rFonts w:hint="eastAsia" w:ascii="宋体" w:hAnsi="宋体" w:eastAsia="宋体" w:cs="宋体"/>
                <w:sz w:val="22"/>
              </w:rPr>
              <w:t>2.实有房屋管理：包括房屋栋/套的新增、房屋栋/套查询、房屋信息修改、房屋注销、房屋平面图管理、房屋照片管理、房屋隐患登记及分级分类管理等。</w:t>
            </w:r>
          </w:p>
          <w:p>
            <w:pPr>
              <w:adjustRightInd w:val="0"/>
              <w:snapToGrid w:val="0"/>
              <w:rPr>
                <w:rFonts w:ascii="宋体" w:hAnsi="宋体" w:eastAsia="宋体" w:cs="宋体"/>
                <w:sz w:val="22"/>
              </w:rPr>
            </w:pPr>
            <w:r>
              <w:rPr>
                <w:rFonts w:hint="eastAsia" w:ascii="宋体" w:hAnsi="宋体" w:eastAsia="宋体" w:cs="宋体"/>
                <w:sz w:val="22"/>
              </w:rPr>
              <w:t>3.实有人员管理：包括实有人员信息登记、实有人员信息来源分类管理、实有人员信息补齐、实有人员信息修改、实有人员信息注销、实有人员信息变更、实有人员信息查询等。</w:t>
            </w:r>
          </w:p>
          <w:p>
            <w:pPr>
              <w:adjustRightInd w:val="0"/>
              <w:snapToGrid w:val="0"/>
              <w:rPr>
                <w:rFonts w:ascii="宋体" w:hAnsi="宋体" w:eastAsia="宋体" w:cs="宋体"/>
                <w:sz w:val="22"/>
              </w:rPr>
            </w:pPr>
            <w:r>
              <w:rPr>
                <w:rFonts w:hint="eastAsia" w:ascii="宋体" w:hAnsi="宋体" w:eastAsia="宋体" w:cs="宋体"/>
                <w:sz w:val="22"/>
              </w:rPr>
              <w:t>4.实有单位管理：包括实有单位登记、实有单位查询、实有单位修改、实有单位注销等。</w:t>
            </w:r>
          </w:p>
          <w:p>
            <w:pPr>
              <w:adjustRightInd w:val="0"/>
              <w:snapToGrid w:val="0"/>
              <w:rPr>
                <w:rFonts w:ascii="宋体" w:hAnsi="宋体" w:eastAsia="宋体" w:cs="宋体"/>
                <w:sz w:val="22"/>
              </w:rPr>
            </w:pPr>
            <w:r>
              <w:rPr>
                <w:rFonts w:hint="eastAsia" w:ascii="宋体" w:hAnsi="宋体" w:eastAsia="宋体" w:cs="宋体"/>
                <w:sz w:val="22"/>
              </w:rPr>
              <w:t>5.日常巡查信息管理：包括巡查隐患登记、巡查记录查询、隐患分级管理、隐患分类管理、隐患告书知A4纸打印等。</w:t>
            </w:r>
          </w:p>
          <w:p>
            <w:pPr>
              <w:adjustRightInd w:val="0"/>
              <w:snapToGrid w:val="0"/>
              <w:rPr>
                <w:rFonts w:ascii="宋体" w:hAnsi="宋体" w:eastAsia="宋体" w:cs="宋体"/>
                <w:sz w:val="22"/>
              </w:rPr>
            </w:pPr>
            <w:r>
              <w:rPr>
                <w:rFonts w:hint="eastAsia" w:ascii="宋体" w:hAnsi="宋体" w:eastAsia="宋体" w:cs="宋体"/>
                <w:sz w:val="22"/>
              </w:rPr>
              <w:t>6.业务支撑管理：①移动采集客户端发布管理：包括应用发布、应用版本更新管理、应用权限管理等；②移动终端设备管理：包括设备台账、发放登记、配发情况统计等；③移动终端的地图定位及轨迹。</w:t>
            </w:r>
          </w:p>
          <w:p>
            <w:pPr>
              <w:widowControl/>
              <w:jc w:val="left"/>
              <w:textAlignment w:val="center"/>
              <w:rPr>
                <w:rFonts w:ascii="宋体" w:hAnsi="宋体" w:eastAsia="宋体" w:cs="宋体"/>
                <w:color w:val="000000"/>
                <w:sz w:val="22"/>
              </w:rPr>
            </w:pPr>
            <w:r>
              <w:rPr>
                <w:rFonts w:hint="eastAsia" w:ascii="宋体" w:hAnsi="宋体" w:eastAsia="宋体" w:cs="宋体"/>
                <w:sz w:val="22"/>
              </w:rPr>
              <w:t>7.整合户籍人口、流动人口、关注人群等数据，实现人口基础信息的采集、查询、统计。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vMerge w:val="continue"/>
            <w:tcBorders>
              <w:left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c>
          <w:tcPr>
            <w:tcW w:w="690" w:type="dxa"/>
            <w:vMerge w:val="continue"/>
            <w:tcBorders>
              <w:left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p>
        </w:tc>
        <w:tc>
          <w:tcPr>
            <w:tcW w:w="5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社区综合管理平台子系统</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宋体" w:hAnsi="宋体" w:eastAsia="宋体" w:cs="宋体"/>
                <w:sz w:val="22"/>
                <w:shd w:val="clear" w:color="auto" w:fill="FFFF00"/>
              </w:rPr>
            </w:pPr>
            <w:r>
              <w:rPr>
                <w:rFonts w:hint="eastAsia" w:ascii="宋体" w:hAnsi="宋体" w:eastAsia="宋体" w:cs="宋体"/>
                <w:sz w:val="22"/>
              </w:rPr>
              <w:t>1.房屋分级分类管理体系建设：房屋分级分类管理体系的分类分级是多层次、多维度的，它的层级和维度包括管理规模（层）、管理区域（片）、自然管理状况（级）、安全管理现状（等）、安全隐患类别（类）等。要求投标人根据层、片、级、等、类等多维度、多层级等对房屋分级分类管理体系进行详细的方案设计，关键功能须提供设计截图</w:t>
            </w:r>
          </w:p>
          <w:p>
            <w:pPr>
              <w:adjustRightInd w:val="0"/>
              <w:snapToGrid w:val="0"/>
              <w:rPr>
                <w:rFonts w:ascii="宋体" w:hAnsi="宋体" w:eastAsia="宋体" w:cs="宋体"/>
                <w:sz w:val="22"/>
              </w:rPr>
            </w:pPr>
            <w:r>
              <w:rPr>
                <w:rFonts w:hint="eastAsia" w:ascii="宋体" w:hAnsi="宋体" w:eastAsia="宋体" w:cs="宋体"/>
                <w:sz w:val="22"/>
              </w:rPr>
              <w:t>2.人员分级分类体系建设：人员的分级分类维度包括居住人员情况、从事行业、居住地方情况等，具体如下：</w:t>
            </w:r>
          </w:p>
          <w:p>
            <w:pPr>
              <w:pStyle w:val="53"/>
              <w:widowControl/>
              <w:numPr>
                <w:ilvl w:val="0"/>
                <w:numId w:val="7"/>
              </w:numPr>
              <w:adjustRightInd w:val="0"/>
              <w:snapToGrid w:val="0"/>
              <w:ind w:hanging="272" w:firstLineChars="0"/>
              <w:jc w:val="left"/>
              <w:rPr>
                <w:rFonts w:ascii="宋体" w:hAnsi="宋体" w:cs="宋体"/>
                <w:sz w:val="22"/>
              </w:rPr>
            </w:pPr>
            <w:r>
              <w:rPr>
                <w:rFonts w:hint="eastAsia" w:ascii="宋体" w:hAnsi="宋体" w:cs="宋体"/>
                <w:sz w:val="22"/>
              </w:rPr>
              <w:t>居住人员情况：根据采购人录入系统中的特殊人员、有违法犯罪前科人员名单，以及管理员通过移动巡查录入的居住人员信息，并按照恶意登记入住人员、有现实违法犯罪嫌疑人员、有违法犯罪前科人员、户籍人员、外国人、普通流动人员（含随迁子女）六中情况进行分类；</w:t>
            </w:r>
          </w:p>
          <w:p>
            <w:pPr>
              <w:pStyle w:val="53"/>
              <w:widowControl/>
              <w:numPr>
                <w:ilvl w:val="0"/>
                <w:numId w:val="7"/>
              </w:numPr>
              <w:adjustRightInd w:val="0"/>
              <w:snapToGrid w:val="0"/>
              <w:ind w:hanging="272" w:firstLineChars="0"/>
              <w:jc w:val="left"/>
              <w:rPr>
                <w:rFonts w:ascii="宋体" w:hAnsi="宋体" w:cs="宋体"/>
                <w:sz w:val="22"/>
              </w:rPr>
            </w:pPr>
            <w:r>
              <w:rPr>
                <w:rFonts w:hint="eastAsia" w:ascii="宋体" w:hAnsi="宋体" w:cs="宋体"/>
                <w:sz w:val="22"/>
              </w:rPr>
              <w:t>从事行业：根据管理员通过移动巡查录入的居住人员信息中的工作情况，并按照白领（使领馆、公司、厂企、行政机关管理者）、银领（拥有高级技术登记证书的高级技术人才）、灰领（餐饮、服务业、社会管理、服务雇工）、蓝领（厂企、企业工人）进行行业分类;</w:t>
            </w:r>
          </w:p>
          <w:p>
            <w:pPr>
              <w:pStyle w:val="53"/>
              <w:widowControl/>
              <w:numPr>
                <w:ilvl w:val="0"/>
                <w:numId w:val="7"/>
              </w:numPr>
              <w:adjustRightInd w:val="0"/>
              <w:snapToGrid w:val="0"/>
              <w:ind w:hanging="272" w:firstLineChars="0"/>
              <w:jc w:val="left"/>
              <w:rPr>
                <w:rFonts w:ascii="宋体" w:hAnsi="宋体" w:cs="宋体"/>
                <w:sz w:val="22"/>
              </w:rPr>
            </w:pPr>
            <w:r>
              <w:rPr>
                <w:rFonts w:hint="eastAsia" w:ascii="宋体" w:hAnsi="宋体" w:cs="宋体"/>
                <w:sz w:val="22"/>
              </w:rPr>
              <w:t>居住地方情况：根据管理员通过移动巡查录入的居住人员信息，并按照出租屋、单位宿舍、亲友房、自购房、工棚工地进行分类;</w:t>
            </w:r>
          </w:p>
          <w:p>
            <w:pPr>
              <w:pStyle w:val="53"/>
              <w:widowControl/>
              <w:numPr>
                <w:ilvl w:val="0"/>
                <w:numId w:val="7"/>
              </w:numPr>
              <w:adjustRightInd w:val="0"/>
              <w:snapToGrid w:val="0"/>
              <w:ind w:hanging="272" w:firstLineChars="0"/>
              <w:jc w:val="left"/>
              <w:rPr>
                <w:rFonts w:ascii="宋体" w:hAnsi="宋体" w:cs="宋体"/>
                <w:sz w:val="22"/>
              </w:rPr>
            </w:pPr>
            <w:r>
              <w:rPr>
                <w:rFonts w:hint="eastAsia" w:ascii="宋体" w:hAnsi="宋体" w:cs="宋体"/>
                <w:sz w:val="22"/>
              </w:rPr>
              <w:t>要求投标人根据居住人员情况、从事行业、居住地方情况等多个维度给出详细的人员分级分类管理体系方案设计，关键功能须提供设计截图。</w:t>
            </w:r>
          </w:p>
          <w:p>
            <w:pPr>
              <w:adjustRightInd w:val="0"/>
              <w:snapToGrid w:val="0"/>
              <w:rPr>
                <w:rFonts w:ascii="宋体" w:hAnsi="宋体" w:eastAsia="宋体" w:cs="宋体"/>
                <w:sz w:val="22"/>
              </w:rPr>
            </w:pPr>
            <w:r>
              <w:rPr>
                <w:rFonts w:hint="eastAsia" w:ascii="宋体" w:hAnsi="宋体" w:eastAsia="宋体" w:cs="宋体"/>
                <w:sz w:val="22"/>
              </w:rPr>
              <w:t>3.社区巡查管理体系建设：要求基于智慧社区移动采集APP，对社区存在的各类安全隐患进行排查登记，巡查的信息覆盖消防类14项，治安类13项，违建类1项，危房类1项，燃气类2项，工商类3类，宗教类1项，卫计类1项，食品药品类1项，文化类1项，租赁类1项，税收类1项，水务类1项，环保类1项，其他类1项</w:t>
            </w:r>
          </w:p>
          <w:p>
            <w:pPr>
              <w:adjustRightInd w:val="0"/>
              <w:snapToGrid w:val="0"/>
              <w:rPr>
                <w:rFonts w:ascii="宋体" w:hAnsi="宋体" w:eastAsia="宋体" w:cs="宋体"/>
                <w:sz w:val="22"/>
              </w:rPr>
            </w:pPr>
            <w:r>
              <w:rPr>
                <w:rFonts w:hint="eastAsia" w:ascii="宋体" w:hAnsi="宋体" w:eastAsia="宋体" w:cs="宋体"/>
                <w:sz w:val="22"/>
              </w:rPr>
              <w:t>4.数字网格系统建设要求:运用空间网格技术、地理编码技术、嵌入式地理信息引擎技术、以社会创新管理业务为依托建设而成的信息系统。通过整合区域内的地理信息系统，实现对区域内的实有人口、实有房屋、实有单位进行直观的网格化管理， 网格化系统主要包括以下内容：</w:t>
            </w:r>
          </w:p>
          <w:p>
            <w:pPr>
              <w:pStyle w:val="53"/>
              <w:widowControl/>
              <w:numPr>
                <w:ilvl w:val="0"/>
                <w:numId w:val="8"/>
              </w:numPr>
              <w:adjustRightInd w:val="0"/>
              <w:snapToGrid w:val="0"/>
              <w:ind w:hanging="272" w:firstLineChars="0"/>
              <w:jc w:val="left"/>
              <w:rPr>
                <w:rFonts w:ascii="宋体" w:hAnsi="宋体" w:cs="宋体"/>
                <w:sz w:val="22"/>
              </w:rPr>
            </w:pPr>
            <w:r>
              <w:rPr>
                <w:rFonts w:hint="eastAsia" w:ascii="宋体" w:hAnsi="宋体" w:cs="宋体"/>
                <w:sz w:val="22"/>
              </w:rPr>
              <w:t>社区网格管理:通过对本区科学设置网格，按照地域相邻、人员相熟、文化相近、构成相似的原则划分网格。</w:t>
            </w:r>
          </w:p>
          <w:p>
            <w:pPr>
              <w:pStyle w:val="53"/>
              <w:widowControl/>
              <w:numPr>
                <w:ilvl w:val="0"/>
                <w:numId w:val="8"/>
              </w:numPr>
              <w:adjustRightInd w:val="0"/>
              <w:snapToGrid w:val="0"/>
              <w:ind w:hanging="272" w:firstLineChars="0"/>
              <w:jc w:val="left"/>
              <w:rPr>
                <w:rFonts w:ascii="宋体" w:hAnsi="宋体" w:cs="宋体"/>
                <w:sz w:val="22"/>
              </w:rPr>
            </w:pPr>
            <w:r>
              <w:rPr>
                <w:rFonts w:hint="eastAsia" w:ascii="宋体" w:hAnsi="宋体" w:cs="宋体"/>
                <w:sz w:val="22"/>
              </w:rPr>
              <w:t>人房户网格化管理：实现人口、房屋、单位入格管理和网格信息查询功能。</w:t>
            </w:r>
          </w:p>
          <w:p>
            <w:pPr>
              <w:widowControl/>
              <w:jc w:val="left"/>
              <w:textAlignment w:val="center"/>
              <w:rPr>
                <w:rFonts w:ascii="宋体" w:hAnsi="宋体" w:eastAsia="宋体" w:cs="宋体"/>
                <w:color w:val="000000"/>
                <w:sz w:val="22"/>
              </w:rPr>
            </w:pPr>
            <w:r>
              <w:rPr>
                <w:rFonts w:hint="eastAsia" w:ascii="宋体" w:hAnsi="宋体" w:eastAsia="宋体" w:cs="宋体"/>
                <w:sz w:val="22"/>
              </w:rPr>
              <w:t>网格事件管理：社区巡查事件可以在网格中呈现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民情日记管理。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vMerge w:val="continue"/>
            <w:tcBorders>
              <w:left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c>
          <w:tcPr>
            <w:tcW w:w="690" w:type="dxa"/>
            <w:vMerge w:val="continue"/>
            <w:tcBorders>
              <w:left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p>
        </w:tc>
        <w:tc>
          <w:tcPr>
            <w:tcW w:w="5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智慧社区终端服务平台子系统</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3"/>
              <w:adjustRightInd w:val="0"/>
              <w:snapToGrid w:val="0"/>
              <w:ind w:firstLine="0" w:firstLineChars="0"/>
              <w:rPr>
                <w:rFonts w:ascii="宋体" w:hAnsi="宋体" w:cs="宋体"/>
                <w:sz w:val="22"/>
              </w:rPr>
            </w:pPr>
            <w:r>
              <w:rPr>
                <w:rFonts w:hint="eastAsia" w:ascii="宋体" w:hAnsi="宋体" w:cs="宋体"/>
                <w:sz w:val="22"/>
              </w:rPr>
              <w:t>1.智能采集支持：要求支持蓝牙读证能力、手机摄像头证件识别读证能力、二维码门牌扫描识别能力。</w:t>
            </w:r>
          </w:p>
          <w:p>
            <w:pPr>
              <w:pStyle w:val="53"/>
              <w:adjustRightInd w:val="0"/>
              <w:snapToGrid w:val="0"/>
              <w:ind w:firstLine="0" w:firstLineChars="0"/>
              <w:rPr>
                <w:rFonts w:ascii="宋体" w:hAnsi="宋体" w:cs="宋体"/>
                <w:sz w:val="22"/>
              </w:rPr>
            </w:pPr>
            <w:r>
              <w:rPr>
                <w:rFonts w:hint="eastAsia" w:ascii="宋体" w:hAnsi="宋体" w:cs="宋体"/>
                <w:sz w:val="22"/>
              </w:rPr>
              <w:t>2.离线模式支持：在没有网络或网络信号不好的时候，要求系统支持离线操作、离线查询的能力。</w:t>
            </w:r>
          </w:p>
          <w:p>
            <w:pPr>
              <w:pStyle w:val="53"/>
              <w:adjustRightInd w:val="0"/>
              <w:snapToGrid w:val="0"/>
              <w:ind w:firstLine="0" w:firstLineChars="0"/>
              <w:rPr>
                <w:rFonts w:ascii="宋体" w:hAnsi="宋体" w:cs="宋体"/>
                <w:sz w:val="22"/>
              </w:rPr>
            </w:pPr>
            <w:r>
              <w:rPr>
                <w:rFonts w:hint="eastAsia" w:ascii="宋体" w:hAnsi="宋体" w:cs="宋体"/>
                <w:sz w:val="22"/>
              </w:rPr>
              <w:t>3.房屋管理：包括房屋栋管理和房屋套管理；房屋栋管理包含房屋栋查询、栋详情查看、栋信息修改；房屋套管理包含房屋套查询、房屋套详情查看、房屋套信息修改、居住人员历史记录查询。</w:t>
            </w:r>
          </w:p>
          <w:p>
            <w:pPr>
              <w:pStyle w:val="53"/>
              <w:adjustRightInd w:val="0"/>
              <w:snapToGrid w:val="0"/>
              <w:ind w:firstLine="0" w:firstLineChars="0"/>
              <w:rPr>
                <w:rFonts w:ascii="宋体" w:hAnsi="宋体" w:cs="宋体"/>
                <w:sz w:val="22"/>
              </w:rPr>
            </w:pPr>
            <w:r>
              <w:rPr>
                <w:rFonts w:hint="eastAsia" w:ascii="宋体" w:hAnsi="宋体" w:cs="宋体"/>
                <w:sz w:val="22"/>
              </w:rPr>
              <w:t>4.人员登记巡查：基于智能采集技术，实现人员登记、人员信息查询、人员信息修改、人员注销等。</w:t>
            </w:r>
          </w:p>
          <w:p>
            <w:pPr>
              <w:pStyle w:val="53"/>
              <w:adjustRightInd w:val="0"/>
              <w:snapToGrid w:val="0"/>
              <w:ind w:firstLine="0" w:firstLineChars="0"/>
              <w:rPr>
                <w:rFonts w:ascii="宋体" w:hAnsi="宋体" w:cs="宋体"/>
                <w:sz w:val="22"/>
              </w:rPr>
            </w:pPr>
            <w:r>
              <w:rPr>
                <w:rFonts w:hint="eastAsia" w:ascii="宋体" w:hAnsi="宋体" w:cs="宋体"/>
                <w:sz w:val="22"/>
              </w:rPr>
              <w:t>5.房屋巡查功能：包括房屋巡查、房屋巡查历史记录查询、房屋隐患拍照及历史隐患照片比对，房屋事件登记、房屋事件查询，房屋（套）预新增。</w:t>
            </w:r>
          </w:p>
          <w:p>
            <w:pPr>
              <w:pStyle w:val="53"/>
              <w:adjustRightInd w:val="0"/>
              <w:snapToGrid w:val="0"/>
              <w:ind w:firstLine="0" w:firstLineChars="0"/>
              <w:rPr>
                <w:rFonts w:ascii="宋体" w:hAnsi="宋体" w:cs="宋体"/>
                <w:sz w:val="22"/>
              </w:rPr>
            </w:pPr>
            <w:r>
              <w:rPr>
                <w:rFonts w:hint="eastAsia" w:ascii="宋体" w:hAnsi="宋体" w:cs="宋体"/>
                <w:sz w:val="22"/>
              </w:rPr>
              <w:t>6.人员巡查功能：包含人员快速新增、人员得你、人员登记批量设置、人员查询、人员修改、人员详情查看、人员居住历史、人员注销、人员核查、人员无证核查登记、随行人员管理。</w:t>
            </w:r>
          </w:p>
          <w:p>
            <w:pPr>
              <w:pStyle w:val="53"/>
              <w:adjustRightInd w:val="0"/>
              <w:snapToGrid w:val="0"/>
              <w:ind w:firstLine="0" w:firstLineChars="0"/>
              <w:rPr>
                <w:rFonts w:ascii="宋体" w:hAnsi="宋体" w:cs="宋体"/>
                <w:sz w:val="22"/>
              </w:rPr>
            </w:pPr>
            <w:r>
              <w:rPr>
                <w:rFonts w:hint="eastAsia" w:ascii="宋体" w:hAnsi="宋体" w:cs="宋体"/>
                <w:sz w:val="22"/>
              </w:rPr>
              <w:t>7.房屋坐标采集：支持基于地图的模式采集房屋坐标，可实现手工纠偏，实现坐标与房屋地址关联。</w:t>
            </w:r>
          </w:p>
          <w:p>
            <w:pPr>
              <w:pStyle w:val="53"/>
              <w:adjustRightInd w:val="0"/>
              <w:snapToGrid w:val="0"/>
              <w:ind w:firstLine="0" w:firstLineChars="0"/>
              <w:rPr>
                <w:rFonts w:ascii="宋体" w:hAnsi="宋体" w:cs="宋体"/>
                <w:color w:val="000000"/>
                <w:sz w:val="22"/>
              </w:rPr>
            </w:pPr>
            <w:r>
              <w:rPr>
                <w:rFonts w:hint="eastAsia" w:ascii="宋体" w:hAnsi="宋体" w:cs="宋体"/>
                <w:sz w:val="22"/>
              </w:rPr>
              <w:t>8.其他功能要求：支持数据上传、支持数据下载、支持系统设置、支持检查更新、支持使实用资料速查、支持记事本、支持数据上传日志查询、支持零时数据上传。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vMerge w:val="continue"/>
            <w:tcBorders>
              <w:left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c>
          <w:tcPr>
            <w:tcW w:w="690" w:type="dxa"/>
            <w:vMerge w:val="continue"/>
            <w:tcBorders>
              <w:left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p>
        </w:tc>
        <w:tc>
          <w:tcPr>
            <w:tcW w:w="5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数据交换平台子系统</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根据系统建设的需要，需将公安、民政、计生、人社等部门业务数据与社会管理平台的数据进行交换，保证社会管理服务综合信息平台上人口基础数据、房屋基础数据等信息的完整率、鲜活率和准确率，并为社会管理类数据交换建立相应的标准与规范。</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75"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五、五个办事处综治分中心</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55寸液晶拼接单元</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原装DID FHD-LED屏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亮度：500cd/㎡</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对比度：3500：1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W1213.5mm×H684.3 mm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上下左右物理拼接缝≦3.5mm                         ★1、大屏具有输入信号丢失检测的方法及装置，能有效防止因传送数据丢失而引起的模糊现象。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2、大屏具有SD智检引擎，可自动检测显示单元的各项功能是否正常，对设备出现的情况及时做出诊断。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3、大屏具有SS智控引擎，对设备进行实际工作时间的统计，为用户对该产品的工作稳定性或寿命评估提供参考。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★4、大屏采用内置电源板及能量释放电路技术，可有效释放静电、灰尘等外物引起的瞬时电流过高，延长整机使用寿命。 </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5、采用智能能耗实时核心算法，实时检测拼接单元运行功耗，实现智能降低能耗。含拼接控制软件。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图像拼接控制器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1、满足16路HDMI信号输入，同时满足4路HDMI信号输出，可实现单屏、多屏、任意屏拼接显示。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★2、支持冷开机功能，即通过多屏图像处理系统中配置专用电源控制系统，可以在整个系统完全或者意外掉电时，再次恢复供电之后通过控制软件仍可以正常控制处理器的开关、重启等功能，无需人工按键。 </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★3、支持单屏64个画面同时显示，且运行64个信号窗口模式的开窗速度小于2秒。单路SDI信号可开6个窗口，单路DVI信号可开12个窗口，单路VIDEO信号可开32窗口。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电视墙支架</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标准电视墙支架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拼接墙配件</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机柜、底座和设备系统中配套的VGA/视频/RS-485/网络线等线缆(不含前端输入线缆)、及电源排插等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控制电脑</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处理器基本频率 2.8GHz;显示芯片NVIDIA GT730显存容量独立2GB;8GB内存；最大支持容量32G；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75"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六、许都广场视频监控</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枪型摄像机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具有400万像素 CMOS传感器。</w:t>
            </w:r>
            <w:r>
              <w:rPr>
                <w:rFonts w:hint="eastAsia" w:ascii="宋体" w:hAnsi="宋体" w:eastAsia="宋体" w:cs="宋体"/>
                <w:color w:val="000000"/>
                <w:kern w:val="0"/>
                <w:sz w:val="22"/>
              </w:rPr>
              <w:br w:type="textWrapping"/>
            </w:r>
            <w:r>
              <w:rPr>
                <w:rFonts w:hint="eastAsia" w:ascii="仿宋" w:hAnsi="仿宋" w:cs="仿宋"/>
                <w:color w:val="000000"/>
                <w:kern w:val="0"/>
                <w:sz w:val="22"/>
              </w:rPr>
              <w:t>★</w:t>
            </w:r>
            <w:r>
              <w:rPr>
                <w:rFonts w:hint="eastAsia" w:ascii="宋体" w:hAnsi="宋体" w:eastAsia="宋体" w:cs="宋体"/>
                <w:color w:val="000000"/>
                <w:kern w:val="0"/>
                <w:sz w:val="22"/>
              </w:rPr>
              <w:t>内置1颗白光补光灯。</w:t>
            </w:r>
            <w:r>
              <w:rPr>
                <w:rFonts w:hint="eastAsia" w:ascii="宋体" w:hAnsi="宋体" w:eastAsia="宋体" w:cs="宋体"/>
                <w:color w:val="000000"/>
                <w:kern w:val="0"/>
                <w:sz w:val="22"/>
              </w:rPr>
              <w:br w:type="textWrapping"/>
            </w:r>
            <w:r>
              <w:rPr>
                <w:rFonts w:hint="eastAsia" w:ascii="仿宋" w:hAnsi="仿宋" w:cs="仿宋"/>
                <w:color w:val="000000"/>
                <w:kern w:val="0"/>
                <w:sz w:val="22"/>
              </w:rPr>
              <w:t>★</w:t>
            </w:r>
            <w:r>
              <w:rPr>
                <w:rFonts w:hint="eastAsia" w:ascii="宋体" w:hAnsi="宋体" w:eastAsia="宋体" w:cs="宋体"/>
                <w:color w:val="000000"/>
                <w:kern w:val="0"/>
                <w:sz w:val="22"/>
              </w:rPr>
              <w:t>最低照度彩色：0.0004 lx。</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白天或夜晚均可输出彩色视频图像。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需具有20路取流路数能力，以满足更多用户同时在线访问摄像机视频。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在2560x1440 @ 25fps下，清晰度不小于1400TVL。</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支持H.264、H.265、MJPEG视频编码格式，且具有High Profile编码能力。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信噪比不小于55dB。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需支持8行字符显示，字体颜色可设置，需具有图片叠加到视频画面功能。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需具备人脸检测、区域入侵检测、越界检测、虚焦检测、进入区域、离开区域、徘徊、人员聚集、逆行、场景变更等功能。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需具有电子防抖、ROI感兴趣区域、SVC可伸缩编码、自动增益、背光补偿、数字降噪、强光抑制、走廊模式、视频水印等功能。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摄像机能够在-30~60摄氏度，湿度小于93%环境下稳定工作。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设备与客户端之间用100米网线进行传输，数据包丢包率小于0.1%。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不低于IP67防尘防水等级。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需支持DC12V供电，且在不小于DC12V±30%范围内变化时可以正常工作。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设备工作状态时，支持空气放电8kV，接触放电6kV，通讯端口支持6kV峰值电压。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同一静止场景相同图像质量下，设备在H.265编码方式时，开启智能编码功能和不开启智能编码相比，码率节约1/2。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含电源 支架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球形摄像机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仿宋" w:hAnsi="仿宋" w:cs="仿宋"/>
                <w:color w:val="000000"/>
                <w:kern w:val="0"/>
                <w:sz w:val="22"/>
              </w:rPr>
              <w:t>★</w:t>
            </w:r>
            <w:r>
              <w:rPr>
                <w:rFonts w:hint="eastAsia" w:ascii="宋体" w:hAnsi="宋体" w:eastAsia="宋体" w:cs="宋体"/>
                <w:color w:val="000000"/>
                <w:kern w:val="0"/>
                <w:sz w:val="22"/>
              </w:rPr>
              <w:t>视频输出支持1920×1080@25fps，分辨力不小于1100TVL，红外距离可达200米。</w:t>
            </w:r>
            <w:r>
              <w:rPr>
                <w:rFonts w:hint="eastAsia" w:ascii="宋体" w:hAnsi="宋体" w:eastAsia="宋体" w:cs="宋体"/>
                <w:color w:val="000000"/>
                <w:kern w:val="0"/>
                <w:sz w:val="22"/>
              </w:rPr>
              <w:br w:type="textWrapping"/>
            </w:r>
            <w:r>
              <w:rPr>
                <w:rFonts w:hint="eastAsia" w:ascii="仿宋" w:hAnsi="仿宋" w:cs="仿宋"/>
                <w:color w:val="000000"/>
                <w:kern w:val="0"/>
                <w:sz w:val="22"/>
              </w:rPr>
              <w:t>★</w:t>
            </w:r>
            <w:r>
              <w:rPr>
                <w:rFonts w:hint="eastAsia" w:ascii="宋体" w:hAnsi="宋体" w:eastAsia="宋体" w:cs="宋体"/>
                <w:color w:val="000000"/>
                <w:kern w:val="0"/>
                <w:sz w:val="22"/>
              </w:rPr>
              <w:t>支持最低照度可达彩色0.0006Lux，黑白0.0002Lux。</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设备支持可见光及红外光补光，开启可见光补光，可识别距设备</w:t>
            </w:r>
            <w:r>
              <w:rPr>
                <w:rFonts w:hint="eastAsia" w:ascii="宋体" w:hAnsi="宋体" w:eastAsia="宋体" w:cs="宋体"/>
                <w:kern w:val="0"/>
                <w:sz w:val="22"/>
              </w:rPr>
              <w:t>50m</w:t>
            </w:r>
            <w:r>
              <w:rPr>
                <w:rFonts w:hint="eastAsia" w:ascii="宋体" w:hAnsi="宋体" w:eastAsia="宋体" w:cs="宋体"/>
                <w:color w:val="000000"/>
                <w:kern w:val="0"/>
                <w:sz w:val="22"/>
              </w:rPr>
              <w:t>处的人体轮廓。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镜头采用F1.2大光圈。</w:t>
            </w:r>
            <w:r>
              <w:rPr>
                <w:rFonts w:hint="eastAsia" w:ascii="宋体" w:hAnsi="宋体" w:eastAsia="宋体" w:cs="宋体"/>
                <w:color w:val="000000"/>
                <w:kern w:val="0"/>
                <w:sz w:val="22"/>
              </w:rPr>
              <w:br w:type="textWrapping"/>
            </w:r>
            <w:r>
              <w:rPr>
                <w:rFonts w:hint="eastAsia" w:ascii="仿宋" w:hAnsi="仿宋" w:cs="仿宋"/>
                <w:color w:val="000000"/>
                <w:kern w:val="0"/>
                <w:sz w:val="22"/>
              </w:rPr>
              <w:t>★</w:t>
            </w:r>
            <w:r>
              <w:rPr>
                <w:rFonts w:hint="eastAsia" w:ascii="宋体" w:hAnsi="宋体" w:eastAsia="宋体" w:cs="宋体"/>
                <w:color w:val="000000"/>
                <w:kern w:val="0"/>
                <w:sz w:val="22"/>
              </w:rPr>
              <w:t>支持水平手控速度不小于550°/S，垂直速度不小于120°/S，云台定位精度为±0.1°。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水平旋转范围为360°连续旋转，垂直旋转范围为-20°~90°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支持300个预置位，支持35条巡航路径，支持7条以上的模式路径设置，支持预置位视频冻结功能；可实现RS485接口优先或RJ45网络接口优先控制功能。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信噪比≥61dB，网络延时不大于100ms。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动态范围不小于106dB，照度适应范围不小于138dB，宽动态能力综合得分不小于135。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支持智能红外、透雾、强光抑制、电子防抖、数字降噪、防红外过曝功能。</w:t>
            </w:r>
            <w:r>
              <w:rPr>
                <w:rFonts w:hint="eastAsia" w:ascii="宋体" w:hAnsi="宋体" w:eastAsia="宋体" w:cs="宋体"/>
                <w:color w:val="000000"/>
                <w:kern w:val="0"/>
                <w:sz w:val="22"/>
              </w:rPr>
              <w:br w:type="textWrapping"/>
            </w:r>
            <w:r>
              <w:rPr>
                <w:rFonts w:hint="eastAsia" w:ascii="仿宋" w:hAnsi="仿宋" w:cs="仿宋"/>
                <w:color w:val="000000"/>
                <w:kern w:val="0"/>
                <w:sz w:val="22"/>
              </w:rPr>
              <w:t>★</w:t>
            </w:r>
            <w:r>
              <w:rPr>
                <w:rFonts w:hint="eastAsia" w:ascii="宋体" w:hAnsi="宋体" w:eastAsia="宋体" w:cs="宋体"/>
                <w:color w:val="000000"/>
                <w:kern w:val="0"/>
                <w:sz w:val="22"/>
              </w:rPr>
              <w:t>球机应具备本机存储功能，支持SD卡热插拔，最大支持256GB。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支持采用H.265、H.264视频编码标准，H.264编码支持Baseline/Main/High Profile，音频编码支持G.711ulaw/G.711alaw/G.726/G.722.1/AAC。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支持GB28181协议，支持标准Onvif协议。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支持区域入侵、越界入侵、徘徊、物品移除、物品遗留、人员聚集、停车，并联动报警。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具备较好的防护性能环境适应性，支持IP67，8kV防浪涌，工作温度范围可达-45℃-70℃.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硬盘录像机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仿宋" w:hAnsi="仿宋" w:cs="仿宋"/>
                <w:color w:val="000000"/>
                <w:kern w:val="0"/>
                <w:sz w:val="22"/>
              </w:rPr>
              <w:t>★</w:t>
            </w:r>
            <w:r>
              <w:rPr>
                <w:rFonts w:hint="eastAsia" w:ascii="宋体" w:hAnsi="宋体" w:eastAsia="宋体" w:cs="宋体"/>
                <w:color w:val="000000"/>
                <w:kern w:val="0"/>
                <w:sz w:val="22"/>
              </w:rPr>
              <w:t>支持周界报警过滤功能，对IPC上报的越界侦测报警和区域入侵报警进行去误报，可去除由树叶、灯光、车辆、阴影以及小动物引起的误报，最大支持8路。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支持接入人体抓拍机，当抓拍机侦测到人体并触发报警时，NVR可联动录像、保存人体图片、弹出报警画面、声音警告、上传中心、发送邮件、触发报警输出，可按通道、时间检索图片。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支持对人体抓拍机上报的报警图片进行二次识别，去除非人体报警。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支持对人体图片进行结构化识别，可提取出人体属性（性别、年龄段、衣服颜色、戴眼镜、背包、骑车），并支持按属性进行检索人体图片；可对图片进行建模，并支持人体以图搜图。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可对视频画面叠加9行字符，每行可输入20个汉字。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支持设置图案密码，用户通过绘制图案来解锁并登录。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支持视频摘要回放功能：将不同时间段的多个目标叠加在一个背景上同时回放。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支持多屏输出，可设置2组4屏显示输出，每组包含HDMI和VGA接口各一个，同一组内为同源输出，两组之间可以异源输出视频图像。支持36/32/25/16/9/8/6/4/1分屏预览。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支持同时输出3路H.264编码、20fps、4000×3000格式的视频图像。</w:t>
            </w:r>
            <w:r>
              <w:rPr>
                <w:rFonts w:hint="eastAsia" w:ascii="宋体" w:hAnsi="宋体" w:eastAsia="宋体" w:cs="宋体"/>
                <w:color w:val="000000"/>
                <w:kern w:val="0"/>
                <w:sz w:val="22"/>
              </w:rPr>
              <w:br w:type="textWrapping"/>
            </w:r>
            <w:r>
              <w:rPr>
                <w:rFonts w:hint="eastAsia" w:ascii="仿宋" w:hAnsi="仿宋" w:cs="仿宋"/>
                <w:color w:val="000000"/>
                <w:kern w:val="0"/>
                <w:sz w:val="22"/>
              </w:rPr>
              <w:t>★</w:t>
            </w:r>
            <w:r>
              <w:rPr>
                <w:rFonts w:hint="eastAsia" w:ascii="宋体" w:hAnsi="宋体" w:eastAsia="宋体" w:cs="宋体"/>
                <w:color w:val="000000"/>
                <w:kern w:val="0"/>
                <w:sz w:val="22"/>
              </w:rPr>
              <w:t>支持1/8、1/4、1/2、1、2、4、8、16、32、64、128倍速回放录像，支持录像文件剪辑和回放截图功能。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可支持最大接入总带宽512Mbps的32路视频图像。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可接入H.265、H.264、MPEG4、SVAC视频编码格式的IPC。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支持带有越界、区域入侵、进入/离开区域、人员聚集、快速移动、物品遗留/拿取、停车、徘徊、场景变更、虚焦、音频异常报警、PIR报警功能的网络摄像机接入与相关报警联动功能。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支持8T容量的SATA接口硬盘；支持硬盘热备和休眠。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支持将2个网口设置不同网段的IP地址。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支持8个SATA接口，1个eSATA接口，至少支持2个USB2.0，1个USB3.0接口；支持16路报警输入，8路报警输出接口。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核心交换机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24千兆电口+4千兆光口   网管型  一：智能识别技术和网络交换能力（采用创新的智能识别技术.自动发现网络摄像机和 NVR，形成IP地址表，先进的数据流识别能力和高背板带宽，保证网络视频信号实时稳定传输，不卡顿，不丢包。）二：强大的网络管理功能和友好的管理界面（统一管理全网设备.无需配置IP地址.无需安装管理软件.无需专业网管知识.自动生成网络拓扑图形.自动标注端口连接状态，图形化的展示网络连接情况.）三：可靠的网络安全功能、灵活的配置选择（自动检测和阻断网络环路交标注端口.隔绝网络风暴.方便排查故障.可配置多组专网，多组网络可同时传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4口千兆一纤环通</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网络端口：4个10/100/1000Base-T(X) 自适应以太网端口；光口速率：1000Mbps；光纤端口：2 组单模 FC 光纤端口(光纤尺寸 9/125 </w:t>
            </w:r>
            <w:r>
              <w:rPr>
                <w:rStyle w:val="73"/>
                <w:rFonts w:hint="default"/>
              </w:rPr>
              <w:t>µ</w:t>
            </w:r>
            <w:r>
              <w:rPr>
                <w:rStyle w:val="74"/>
                <w:rFonts w:hint="default" w:ascii="宋体" w:hAnsi="宋体" w:eastAsia="宋体" w:cs="宋体"/>
              </w:rPr>
              <w:t>m)；光纤端口属性：单模 1310/1550nm，多模850/1310nm；传输距离：默认20km单模，可定制距离；额定输入电压：DC12V；功耗：5W；背板带宽：12G；工作温度：-40 ~ 85℃；工作湿度：5% ~ 90%；外形尺寸：174×174×30mm.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立杆</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5米景观杆，2米横臂、静电喷塑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立杆</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3.5米、1.5米横臂、静电喷塑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混泥土浇筑</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开挖深80cm*80cm立方基础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汇聚网络箱</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4口千兆一纤环通(1个)，漏电保护空开16A1个，导轨插座5孔2个，光纤终端盒1个（4出口），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9路千兆监控专用交换机</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外置电源；8个千兆网口+2个千兆上联网口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网线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超五类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电缆</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RVV2*2.5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主光纤</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单纤单模12芯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尾纤熔接</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尾纤热熔接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PVC管</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PVC材质，直径20，防火耐腐蚀4m/根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自攻丝</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防锈自攻丝</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KG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电工胶带</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防腐、防水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视频专用硬盘</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工业级 4T 7200转（储存100天）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机柜</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22U</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视频工作站</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含显示器，软件，电脑主机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PDU</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8位10A 防雷 多用孔  开关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显示器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24寸</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75"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七、主综治办中心</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55寸液晶拼接单元</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原装DID FHD-LED屏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亮度：500cd/㎡</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对比度：3500：1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W1211.5mm×H683.3 m智能m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上下左右物理拼接缝≦1.8mm8)                            ★1、大屏具有输入信号丢失检测的方法及装置，能有效防止因传送数据丢失而引起的模糊现象。 2、大屏具有SD智检引擎，可自动检测显示单元的各项功能是否正常，对设备出现的情况及时做出诊断。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3、大屏具有SS智控引擎，对设备进行实际工作时间的统计，为用户对该产品的工作稳定性或寿命评估提供参考。 </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★4、大屏采用内置电源板及能量释放电路技术，可有效释放静电、灰尘等外物引起的瞬时电流过高，延长整机使用寿命。 </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5、采用智能能耗实时核心算法，实时检测拼接单元运行功耗，实现智能降低能耗。 含拼接控制软件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图像拼接控制器</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1、满足输入信号(满足40路HDMI信号输入,24路HDMI输出)，可实现单屏显示、多屏、全屏拼接组合显示，带开窗、漫游、叠加功能。</w:t>
            </w:r>
          </w:p>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★2、支持冷开机功能，即通过多屏图像处理系统中配置专用电源控制系统，可以在整个系统完全或者意外掉电时，再次恢复供电之后通过控制软件仍可以正常控制处理器的开关、重启等功能，无需人工按键。 </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★3、支持单屏64个画面同时显示，且运行64个信号窗口模式的开窗速度小于2秒。单路SDI信号可开6个窗口，单路DVI信号可开12个窗口，单路VIDEO信号可开32窗口。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103</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电视墙支架</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标准电视墙支架（含机柜、底座）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943"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104</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拼接墙配件</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机柜、底座和设备系统中配套的VGA/视频/RS-485/网络线等线缆(不含前端输入线缆)、及电源排插等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控制电脑</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处理器基本频率 2.8GHz;显示芯片NVIDIA GT730显存容量独立2GB;8GB内存；最大支持容量32G；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375" w:hRule="atLeast"/>
        </w:trPr>
        <w:tc>
          <w:tcPr>
            <w:tcW w:w="9776" w:type="dxa"/>
            <w:gridSpan w:val="7"/>
            <w:tcBorders>
              <w:top w:val="single" w:color="000000" w:sz="4" w:space="0"/>
              <w:left w:val="single" w:color="000000" w:sz="12"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 xml:space="preserve">八、自然村视频监控改造提升  </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光纤</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单模，24芯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32000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电源线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ZR-RVV2×2.5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32000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防水箱</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40mm*50mm含空开插排（不锈钢）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防水箱</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80mm*120mm含空开插排（不锈钢）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网线</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超五类纯无氧铜 产品适用1000Base-T 最大单段长度100米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传输速率 100Mbps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包装长度 305米纠错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1039"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r>
        <w:tblPrEx>
          <w:tblLayout w:type="fixed"/>
          <w:tblCellMar>
            <w:top w:w="15" w:type="dxa"/>
            <w:left w:w="15" w:type="dxa"/>
            <w:bottom w:w="15" w:type="dxa"/>
            <w:right w:w="15" w:type="dxa"/>
          </w:tblCellMar>
        </w:tblPrEx>
        <w:trPr>
          <w:trHeight w:val="286" w:hRule="atLeast"/>
        </w:trPr>
        <w:tc>
          <w:tcPr>
            <w:tcW w:w="1057"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111</w:t>
            </w:r>
          </w:p>
        </w:tc>
        <w:tc>
          <w:tcPr>
            <w:tcW w:w="123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辅料</w:t>
            </w:r>
          </w:p>
        </w:tc>
        <w:tc>
          <w:tcPr>
            <w:tcW w:w="4633"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胶带，水晶头，软管、步步紧、PVC管等</w:t>
            </w:r>
          </w:p>
        </w:tc>
        <w:tc>
          <w:tcPr>
            <w:tcW w:w="7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批</w:t>
            </w:r>
          </w:p>
        </w:tc>
        <w:tc>
          <w:tcPr>
            <w:tcW w:w="108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039"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否</w:t>
            </w:r>
          </w:p>
        </w:tc>
      </w:tr>
    </w:tbl>
    <w:p>
      <w:pPr>
        <w:widowControl/>
        <w:shd w:val="clear" w:color="auto" w:fill="FFFFFF"/>
        <w:spacing w:line="360" w:lineRule="auto"/>
        <w:contextualSpacing/>
        <w:jc w:val="left"/>
        <w:rPr>
          <w:rFonts w:asciiTheme="minorEastAsia" w:hAnsiTheme="minorEastAsia"/>
          <w:b/>
          <w:bCs/>
          <w:kern w:val="0"/>
          <w:sz w:val="24"/>
        </w:rPr>
      </w:pPr>
      <w:r>
        <w:rPr>
          <w:rFonts w:hint="eastAsia" w:asciiTheme="minorEastAsia" w:hAnsiTheme="minorEastAsia"/>
          <w:b/>
          <w:bCs/>
          <w:kern w:val="0"/>
          <w:sz w:val="24"/>
        </w:rPr>
        <w:t>注：本采购清单中所列技术规格或主要参数为最低要求，不允许负偏离，否则将承担其投标被视为非实质性响应投标的风险。</w:t>
      </w:r>
    </w:p>
    <w:p>
      <w:pPr>
        <w:spacing w:line="360" w:lineRule="auto"/>
        <w:ind w:firstLine="482" w:firstLineChars="200"/>
        <w:contextualSpacing/>
        <w:rPr>
          <w:rFonts w:cs="宋体" w:asciiTheme="minorEastAsia" w:hAnsiTheme="minorEastAsia"/>
          <w:b/>
          <w:color w:val="000000"/>
          <w:kern w:val="0"/>
          <w:sz w:val="24"/>
          <w:lang w:val="zh-CN"/>
        </w:rPr>
      </w:pPr>
      <w:r>
        <w:rPr>
          <w:rFonts w:hint="eastAsia" w:cs="微软雅黑" w:asciiTheme="minorEastAsia" w:hAnsiTheme="minorEastAsia"/>
          <w:b/>
          <w:color w:val="FF0000"/>
          <w:sz w:val="24"/>
        </w:rPr>
        <w:t>★</w:t>
      </w:r>
      <w:r>
        <w:rPr>
          <w:rFonts w:hint="eastAsia" w:cs="宋体" w:asciiTheme="minorEastAsia" w:hAnsiTheme="minorEastAsia"/>
          <w:b/>
          <w:color w:val="000000"/>
          <w:kern w:val="0"/>
          <w:sz w:val="24"/>
          <w:lang w:val="zh-CN"/>
        </w:rPr>
        <w:t>三、采购标的执行标准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1.城市联网监控报警系统设计方面：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《安全防范视频监控联网系统信息传输、交换、控制技术要求》（GB/ T28181）</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《城市监控报警联网系统技术标准》（GA/T669-2008）</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《全国公安机关图像信息联网总体技术方案》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公安部关于城市报警与监控系统的建设、管理、应用规范性文件（公安部科技信息化局汇编2009年3月）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2.安防视频监控系统设计方面：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《视频安防监控系统技术要求》（GA/T367-2001）</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《安全防范监控数字视音频编码技术要求》（GB/T 25724-2010）</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《民用闭路监视电视系统工程技术规范》(GB50198-2011)</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《工业电视系统工程设计规范》（GB50115-2009）</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《安全防范系统通用图形符号》（GA/T74-2000）</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《综合布线系统工程设计规范》 （GB/T50311-2007）</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3.视频监控图像质量方面：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《电视视频通道测试方法》（GB3659-83）</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《彩色电视图像质量主观评价方法》（GB7401-1987）</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4.视频系统网络设计方面：</w:t>
      </w:r>
      <w:r>
        <w:rPr>
          <w:rFonts w:hint="eastAsia" w:ascii="宋体" w:hAnsi="宋体" w:cs="宋体"/>
          <w:sz w:val="24"/>
        </w:rPr>
        <w:tab/>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《信息技术开放系统互连网络层安全协议》（GB/T 17963）</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《计算机信息系统安全》（GA 216.1－1999）</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《计算机软件开发规范》（GB8566-88）</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《公安信息通信网边界接入平台安全规划（试行）—视频接入部分》（公科信【2011】5号）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5.视频系统工程建设方面：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《安全防范工程费用概算编制办法》（GA/T70-2004）</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《安全防范工程程序与要求》（GA/T75-94）</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《安全防范工程技术规范》(GB 50348-2004)</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《视频安防监控系统工程设计规范》（GB 50395-2007）</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《电子计算机机房设计规范》(GB50174-2008）</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《建筑物防雷设计规范》(GB50057-2010)</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《建筑物电子信息系统防雷技术规范》(GB50343-2004)</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《安全防范系统雷电浪涌防护技术要求》(GA/T670-2006)</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《民用建筑电气设计规范》(JGJ16-2008)</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6.视频系统工程验收方面：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《公安交通电视监视系统验收规范》（GA/T509）</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《安全防范系统验收规则》（GA308/2001）</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《中国电气装置安装工程施工及验收规范》（GBJ232-90.92）</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《综合布线系统工程验收规范》(GB50312-2007)</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7.其他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平安城市建设相关地方规范与标准</w:t>
      </w:r>
      <w:bookmarkStart w:id="0" w:name="_Toc302457630"/>
      <w:bookmarkStart w:id="1" w:name="_Toc294883713"/>
      <w:bookmarkStart w:id="2" w:name="_Toc302550607"/>
      <w:r>
        <w:rPr>
          <w:rFonts w:hint="eastAsia" w:ascii="宋体" w:hAnsi="宋体" w:cs="宋体"/>
          <w:sz w:val="24"/>
        </w:rPr>
        <w:t>；公安部《警用地理信息系统系列标准规范》；省“天网覆盖”工程设备地址属性规范</w:t>
      </w:r>
      <w:bookmarkEnd w:id="0"/>
      <w:bookmarkEnd w:id="1"/>
      <w:bookmarkEnd w:id="2"/>
      <w:r>
        <w:rPr>
          <w:rFonts w:hint="eastAsia" w:ascii="宋体" w:hAnsi="宋体" w:cs="宋体"/>
          <w:sz w:val="24"/>
        </w:rPr>
        <w:t xml:space="preserve">。     </w:t>
      </w:r>
    </w:p>
    <w:p>
      <w:pPr>
        <w:spacing w:line="360" w:lineRule="auto"/>
        <w:ind w:firstLine="482" w:firstLineChars="200"/>
        <w:contextualSpacing/>
        <w:rPr>
          <w:rFonts w:cs="宋体" w:asciiTheme="minorEastAsia" w:hAnsiTheme="minorEastAsia"/>
          <w:b/>
          <w:color w:val="000000"/>
          <w:kern w:val="0"/>
          <w:sz w:val="24"/>
          <w:lang w:val="zh-CN"/>
        </w:rPr>
      </w:pPr>
      <w:r>
        <w:rPr>
          <w:rFonts w:hint="eastAsia" w:cs="微软雅黑" w:asciiTheme="minorEastAsia" w:hAnsiTheme="minorEastAsia"/>
          <w:b/>
          <w:color w:val="FF0000"/>
          <w:sz w:val="24"/>
        </w:rPr>
        <w:t>★</w:t>
      </w:r>
      <w:r>
        <w:rPr>
          <w:rFonts w:hint="eastAsia" w:cs="宋体" w:asciiTheme="minorEastAsia" w:hAnsiTheme="minorEastAsia"/>
          <w:b/>
          <w:color w:val="000000"/>
          <w:kern w:val="0"/>
          <w:sz w:val="24"/>
          <w:lang w:val="zh-CN"/>
        </w:rPr>
        <w:t>四、采购标的的其他技术、服务等要求</w:t>
      </w:r>
    </w:p>
    <w:p>
      <w:pPr>
        <w:wordWrap w:val="0"/>
        <w:topLinePunct/>
        <w:spacing w:line="420" w:lineRule="exact"/>
        <w:ind w:firstLine="480" w:firstLineChars="200"/>
        <w:rPr>
          <w:rFonts w:ascii="宋体" w:cs="宋体"/>
          <w:bCs/>
          <w:sz w:val="24"/>
          <w:lang w:val="zh-CN"/>
        </w:rPr>
      </w:pPr>
      <w:r>
        <w:rPr>
          <w:rFonts w:hint="eastAsia" w:ascii="宋体" w:cs="宋体"/>
          <w:bCs/>
          <w:sz w:val="24"/>
          <w:lang w:val="zh-CN"/>
        </w:rPr>
        <w:t>1</w:t>
      </w:r>
      <w:r>
        <w:rPr>
          <w:rFonts w:hint="eastAsia" w:ascii="宋体" w:cs="宋体"/>
          <w:bCs/>
          <w:sz w:val="24"/>
        </w:rPr>
        <w:t>.</w:t>
      </w:r>
      <w:r>
        <w:rPr>
          <w:rFonts w:hint="eastAsia" w:ascii="宋体" w:cs="宋体"/>
          <w:bCs/>
          <w:sz w:val="24"/>
          <w:lang w:val="zh-CN"/>
        </w:rPr>
        <w:t>投标人根据自己需求自行进行现场勘察，如有招标文件中没有明确，而本项目必须的各种材料、设备、施工器械、线路铺设及与协助单位产生的费用均应包括在本项目总报价中，采购人不再另行支付有关费用。</w:t>
      </w:r>
    </w:p>
    <w:p>
      <w:pPr>
        <w:spacing w:line="360" w:lineRule="auto"/>
        <w:ind w:firstLine="480" w:firstLineChars="200"/>
        <w:contextualSpacing/>
        <w:rPr>
          <w:rFonts w:ascii="宋体" w:cs="宋体"/>
          <w:b/>
          <w:sz w:val="24"/>
          <w:lang w:val="zh-CN"/>
        </w:rPr>
      </w:pPr>
      <w:r>
        <w:rPr>
          <w:rFonts w:hint="eastAsia" w:ascii="宋体" w:cs="宋体"/>
          <w:bCs/>
          <w:sz w:val="24"/>
        </w:rPr>
        <w:t>2.</w:t>
      </w:r>
      <w:r>
        <w:rPr>
          <w:rFonts w:hint="eastAsia" w:ascii="宋体" w:hAnsi="宋体"/>
          <w:sz w:val="24"/>
          <w:szCs w:val="24"/>
        </w:rPr>
        <w:t>投标人须明确投标产品采购清单序号1.2.3.4.5.6.7.8.13.19.20.23.24.25.26.48.49.50.51.52.53.54.55.60.74.75.79.80.81.82.83.101.102.105的厂家、产地、品牌、规格型号、详细参数及功能，功能技术参数必须满足招标文件要求，所投产品采购清单序号66.67.68.69.70.71.72.73须明确厂家、产地、品牌、详细参数及功能，功能技术参数必须满足招标文件要求，</w:t>
      </w:r>
      <w:r>
        <w:rPr>
          <w:rFonts w:hint="eastAsia" w:ascii="宋体" w:hAnsi="宋体" w:cs="仿宋_GB2312"/>
          <w:sz w:val="24"/>
          <w:szCs w:val="24"/>
          <w:lang w:val="zh-CN"/>
        </w:rPr>
        <w:t>采购清单所有线缆的数量</w:t>
      </w:r>
      <w:r>
        <w:rPr>
          <w:rFonts w:ascii="宋体" w:hAnsi="宋体" w:cs="仿宋_GB2312"/>
          <w:sz w:val="24"/>
          <w:szCs w:val="24"/>
          <w:lang w:val="zh-CN"/>
        </w:rPr>
        <w:t>为</w:t>
      </w:r>
      <w:r>
        <w:rPr>
          <w:rFonts w:hint="eastAsia" w:ascii="宋体" w:hAnsi="宋体" w:cs="仿宋_GB2312"/>
          <w:sz w:val="24"/>
          <w:szCs w:val="24"/>
          <w:lang w:val="zh-CN"/>
        </w:rPr>
        <w:t>最低要求，具体数量由投标人现场自行测量，新增费用投标人自理。</w:t>
      </w:r>
      <w:r>
        <w:rPr>
          <w:rFonts w:hint="eastAsia" w:ascii="宋体" w:hAnsi="宋体"/>
          <w:b/>
          <w:bCs/>
          <w:sz w:val="24"/>
          <w:szCs w:val="24"/>
        </w:rPr>
        <w:t xml:space="preserve">否则为无效投标。 </w:t>
      </w:r>
    </w:p>
    <w:p>
      <w:pPr>
        <w:wordWrap w:val="0"/>
        <w:topLinePunct/>
        <w:spacing w:line="420" w:lineRule="exact"/>
        <w:ind w:firstLine="480" w:firstLineChars="200"/>
        <w:rPr>
          <w:rFonts w:ascii="宋体" w:cs="宋体"/>
          <w:b/>
          <w:sz w:val="24"/>
          <w:lang w:val="zh-CN"/>
        </w:rPr>
      </w:pPr>
      <w:r>
        <w:rPr>
          <w:rFonts w:hint="eastAsia" w:ascii="宋体" w:cs="宋体"/>
          <w:bCs/>
          <w:sz w:val="24"/>
        </w:rPr>
        <w:t>3.</w:t>
      </w:r>
      <w:r>
        <w:rPr>
          <w:rFonts w:hint="eastAsia" w:ascii="宋体" w:cs="宋体"/>
          <w:bCs/>
          <w:sz w:val="24"/>
          <w:lang w:val="zh-CN"/>
        </w:rPr>
        <w:t>投标人须对照节能产品政府采购清单，如果本次采购的产品属于强制采购范围的（国办发[2007]51号文），投标文件中所投产品应属于强制采购产品。</w:t>
      </w:r>
    </w:p>
    <w:p>
      <w:pPr>
        <w:wordWrap w:val="0"/>
        <w:topLinePunct/>
        <w:snapToGrid w:val="0"/>
        <w:spacing w:line="420" w:lineRule="exact"/>
        <w:ind w:firstLine="480" w:firstLineChars="200"/>
        <w:rPr>
          <w:rFonts w:ascii="宋体" w:cs="宋体"/>
          <w:sz w:val="24"/>
          <w:lang w:val="zh-CN"/>
        </w:rPr>
      </w:pPr>
      <w:r>
        <w:rPr>
          <w:rFonts w:hint="eastAsia" w:ascii="宋体" w:cs="宋体"/>
          <w:sz w:val="24"/>
        </w:rPr>
        <w:t>4.</w:t>
      </w:r>
      <w:r>
        <w:rPr>
          <w:rFonts w:hint="eastAsia" w:ascii="宋体" w:cs="宋体"/>
          <w:sz w:val="24"/>
          <w:lang w:val="zh-CN"/>
        </w:rPr>
        <w:t>产品必须符合国家质量检测标准和本招标文件规定标准的全新正品现货，提供随货物《产品合格证》及其它相关质量证明文件。</w:t>
      </w:r>
    </w:p>
    <w:p>
      <w:pPr>
        <w:adjustRightInd w:val="0"/>
        <w:snapToGrid w:val="0"/>
        <w:spacing w:line="420" w:lineRule="exact"/>
        <w:ind w:firstLine="480" w:firstLineChars="200"/>
        <w:outlineLvl w:val="0"/>
        <w:rPr>
          <w:rFonts w:ascii="宋体" w:hAnsi="宋体"/>
          <w:sz w:val="24"/>
          <w:szCs w:val="24"/>
        </w:rPr>
      </w:pPr>
      <w:r>
        <w:rPr>
          <w:rFonts w:hint="eastAsia" w:ascii="宋体" w:hAnsi="宋体"/>
          <w:sz w:val="24"/>
          <w:szCs w:val="24"/>
        </w:rPr>
        <w:t>5.售后服务</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5.1投</w:t>
      </w:r>
      <w:r>
        <w:rPr>
          <w:rFonts w:ascii="宋体" w:hAnsi="宋体"/>
          <w:sz w:val="24"/>
          <w:szCs w:val="24"/>
        </w:rPr>
        <w:t>标人须</w:t>
      </w:r>
      <w:r>
        <w:rPr>
          <w:rFonts w:hint="eastAsia" w:ascii="宋体" w:hAnsi="宋体"/>
          <w:sz w:val="24"/>
          <w:szCs w:val="24"/>
        </w:rPr>
        <w:t>对整体系统免费提供三年产品质量保证和免费三年售后运维服</w:t>
      </w:r>
      <w:r>
        <w:rPr>
          <w:rFonts w:hint="eastAsia" w:ascii="宋体" w:hAnsi="宋体"/>
          <w:b/>
          <w:bCs/>
          <w:sz w:val="24"/>
          <w:szCs w:val="24"/>
        </w:rPr>
        <w:t>务，不响应者为无效投标。</w:t>
      </w:r>
      <w:r>
        <w:rPr>
          <w:rFonts w:hint="eastAsia" w:ascii="宋体" w:hAnsi="宋体"/>
          <w:sz w:val="24"/>
          <w:szCs w:val="24"/>
        </w:rPr>
        <w:t>三年运维期内确保年故障发生率不超过20%，月故障率不超过2%，不可抗力除外。</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5.2应急维修响应时间：系统出现故障，供应商接到通知后，应在2小时内现场找出故障原因并解决问题。</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5.3运维售后服务方案应当包括：售后运维团队技术人员简介、应急维修时间安排、保修、保障服务计划、备品备件等主要内容。</w:t>
      </w:r>
    </w:p>
    <w:p>
      <w:pPr>
        <w:wordWrap w:val="0"/>
        <w:topLinePunct/>
        <w:snapToGrid w:val="0"/>
        <w:spacing w:line="420" w:lineRule="exact"/>
        <w:ind w:firstLine="480" w:firstLineChars="200"/>
        <w:rPr>
          <w:rFonts w:ascii="宋体" w:cs="宋体"/>
          <w:sz w:val="24"/>
          <w:lang w:val="zh-CN"/>
        </w:rPr>
      </w:pPr>
      <w:r>
        <w:rPr>
          <w:rFonts w:hint="eastAsia" w:ascii="宋体" w:cs="宋体"/>
          <w:sz w:val="24"/>
        </w:rPr>
        <w:t>6.</w:t>
      </w:r>
      <w:r>
        <w:rPr>
          <w:rFonts w:hint="eastAsia" w:ascii="宋体" w:cs="宋体"/>
          <w:sz w:val="24"/>
          <w:lang w:val="zh-CN"/>
        </w:rPr>
        <w:t>专利权：投标人应保证用户在使用该货物或其任何一部分时不受第三方提出侵犯其专利权、商标权和工业设计权等的起诉。</w:t>
      </w:r>
    </w:p>
    <w:p>
      <w:pPr>
        <w:wordWrap w:val="0"/>
        <w:topLinePunct/>
        <w:autoSpaceDE w:val="0"/>
        <w:autoSpaceDN w:val="0"/>
        <w:adjustRightInd w:val="0"/>
        <w:snapToGrid w:val="0"/>
        <w:spacing w:line="420" w:lineRule="exact"/>
        <w:ind w:firstLine="482"/>
        <w:rPr>
          <w:rFonts w:ascii="宋体" w:cs="宋体"/>
          <w:b/>
          <w:sz w:val="24"/>
          <w:lang w:val="zh-CN"/>
        </w:rPr>
      </w:pPr>
      <w:r>
        <w:rPr>
          <w:rFonts w:hint="eastAsia" w:ascii="宋体" w:cs="宋体"/>
          <w:sz w:val="24"/>
        </w:rPr>
        <w:t>7.</w:t>
      </w:r>
      <w:r>
        <w:rPr>
          <w:rFonts w:hint="eastAsia" w:ascii="宋体" w:cs="宋体"/>
          <w:sz w:val="24"/>
          <w:lang w:val="zh-CN"/>
        </w:rPr>
        <w:t>本项目为交钥匙工程（包括设备、材料、元件等购置、安装调试、验收、运维服务、与其它施工单位协作所产生的费用等）。</w:t>
      </w:r>
      <w:r>
        <w:rPr>
          <w:rFonts w:hint="eastAsia" w:ascii="宋体" w:cs="宋体"/>
          <w:b/>
          <w:sz w:val="24"/>
          <w:lang w:val="zh-CN"/>
        </w:rPr>
        <w:t xml:space="preserve"> </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rPr>
        <w:t>★</w:t>
      </w:r>
      <w:r>
        <w:rPr>
          <w:rFonts w:hint="eastAsia" w:cs="宋体" w:asciiTheme="minorEastAsia" w:hAnsiTheme="minorEastAsia"/>
          <w:b/>
          <w:color w:val="000000"/>
          <w:kern w:val="0"/>
          <w:sz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lang w:val="zh-CN"/>
        </w:rPr>
      </w:pPr>
      <w:r>
        <w:rPr>
          <w:rFonts w:hint="eastAsia" w:cs="宋体" w:asciiTheme="minorEastAsia" w:hAnsiTheme="minorEastAsia"/>
          <w:kern w:val="0"/>
          <w:sz w:val="24"/>
        </w:rPr>
        <w:t>1、</w:t>
      </w:r>
      <w:r>
        <w:rPr>
          <w:rFonts w:hint="eastAsia" w:ascii="宋体" w:hAnsi="宋体"/>
          <w:sz w:val="24"/>
        </w:rPr>
        <w:t>本项目由采购人组织验收，也可委托第三方检测机构进行验收。验收按照招标文件要求包括：全部设备、产品、型号、规格、数量、外型、外观、包装及资料、文件（如装箱单、保修单、随箱介质等）、线路、后台管理及监控系统实际效果等。</w:t>
      </w:r>
    </w:p>
    <w:p>
      <w:pPr>
        <w:widowControl/>
        <w:shd w:val="clear" w:color="auto" w:fill="FFFFFF"/>
        <w:spacing w:line="360" w:lineRule="auto"/>
        <w:ind w:firstLine="480" w:firstLineChars="200"/>
        <w:contextualSpacing/>
        <w:jc w:val="left"/>
        <w:rPr>
          <w:rFonts w:cs="宋体" w:asciiTheme="minorEastAsia" w:hAnsiTheme="minorEastAsia"/>
          <w:kern w:val="0"/>
          <w:sz w:val="24"/>
        </w:rPr>
      </w:pPr>
      <w:r>
        <w:rPr>
          <w:rFonts w:hint="eastAsia" w:cs="宋体" w:asciiTheme="minorEastAsia" w:hAnsiTheme="minorEastAsia"/>
          <w:kern w:val="0"/>
          <w:sz w:val="24"/>
        </w:rPr>
        <w:t>2、</w:t>
      </w:r>
      <w:r>
        <w:rPr>
          <w:rFonts w:hint="eastAsia" w:cs="宋体" w:asciiTheme="minorEastAsia" w:hAnsiTheme="minorEastAsia"/>
          <w:kern w:val="0"/>
          <w:sz w:val="24"/>
          <w:lang w:val="zh-CN"/>
        </w:rPr>
        <w:t>按照招标文件要求、投标文件响应和承诺验收</w:t>
      </w:r>
      <w:r>
        <w:rPr>
          <w:rFonts w:hint="eastAsia" w:ascii="仿宋" w:hAnsi="仿宋" w:eastAsia="仿宋" w:cs="宋体"/>
          <w:kern w:val="0"/>
          <w:sz w:val="28"/>
          <w:szCs w:val="28"/>
          <w:lang w:val="zh-CN"/>
        </w:rPr>
        <w:t>。</w:t>
      </w:r>
    </w:p>
    <w:p>
      <w:pPr>
        <w:autoSpaceDE w:val="0"/>
        <w:autoSpaceDN w:val="0"/>
        <w:adjustRightInd w:val="0"/>
        <w:spacing w:line="360" w:lineRule="auto"/>
        <w:ind w:firstLine="482" w:firstLineChars="200"/>
        <w:rPr>
          <w:rFonts w:cs="黑体" w:asciiTheme="minorEastAsia" w:hAnsiTheme="minorEastAsia"/>
          <w:b/>
          <w:bCs/>
          <w:shd w:val="clear" w:color="auto" w:fill="FFFFFF"/>
        </w:rPr>
      </w:pPr>
      <w:r>
        <w:rPr>
          <w:rFonts w:hint="eastAsia" w:cs="微软雅黑" w:asciiTheme="minorEastAsia" w:hAnsiTheme="minorEastAsia"/>
          <w:b/>
          <w:color w:val="FF0000"/>
          <w:sz w:val="24"/>
        </w:rPr>
        <w:t>★</w:t>
      </w:r>
      <w:r>
        <w:rPr>
          <w:rFonts w:hint="eastAsia" w:cs="微软雅黑" w:asciiTheme="minorEastAsia" w:hAnsiTheme="minorEastAsia"/>
          <w:b/>
          <w:sz w:val="24"/>
        </w:rPr>
        <w:t>六、预算金额：8582857.00元，最高限价：8582857.00元；超出最高</w:t>
      </w:r>
      <w:r>
        <w:rPr>
          <w:rFonts w:hint="eastAsia" w:cs="微软雅黑" w:asciiTheme="minorEastAsia" w:hAnsiTheme="minorEastAsia"/>
          <w:b/>
          <w:sz w:val="24"/>
          <w:lang w:val="zh-CN"/>
        </w:rPr>
        <w:t>限价的投标无效（</w:t>
      </w:r>
      <w:r>
        <w:rPr>
          <w:rFonts w:hint="eastAsia" w:cs="微软雅黑" w:asciiTheme="minorEastAsia" w:hAnsiTheme="minorEastAsia"/>
          <w:b/>
          <w:sz w:val="24"/>
        </w:rPr>
        <w:t>其中包含了本项目所有通信线路12个月的线路租用服务费和需新建通信线路的费用，线路租用费固定为403200元</w:t>
      </w:r>
      <w:r>
        <w:rPr>
          <w:rFonts w:hint="eastAsia" w:cs="微软雅黑" w:asciiTheme="minorEastAsia" w:hAnsiTheme="minorEastAsia"/>
          <w:b/>
          <w:sz w:val="24"/>
          <w:lang w:val="zh-CN"/>
        </w:rPr>
        <w:t>）</w:t>
      </w:r>
    </w:p>
    <w:p>
      <w:pPr>
        <w:widowControl/>
        <w:shd w:val="clear" w:color="auto" w:fill="FFFFFF"/>
        <w:spacing w:line="360" w:lineRule="auto"/>
        <w:contextualSpacing/>
        <w:jc w:val="left"/>
        <w:rPr>
          <w:rFonts w:cs="宋体" w:asciiTheme="minorEastAsia" w:hAnsiTheme="minorEastAsia"/>
          <w:b/>
          <w:color w:val="000000"/>
          <w:kern w:val="0"/>
          <w:sz w:val="24"/>
          <w:lang w:val="zh-CN"/>
        </w:rPr>
      </w:pPr>
      <w:r>
        <w:rPr>
          <w:rFonts w:hint="eastAsia" w:cs="微软雅黑" w:asciiTheme="minorEastAsia" w:hAnsiTheme="minorEastAsia"/>
          <w:b/>
          <w:color w:val="FF0000"/>
          <w:sz w:val="24"/>
        </w:rPr>
        <w:t xml:space="preserve">    ★</w:t>
      </w:r>
      <w:r>
        <w:rPr>
          <w:rFonts w:hint="eastAsia" w:cs="微软雅黑" w:asciiTheme="minorEastAsia" w:hAnsiTheme="minorEastAsia"/>
          <w:b/>
          <w:sz w:val="24"/>
        </w:rPr>
        <w:t>七</w:t>
      </w:r>
      <w:r>
        <w:rPr>
          <w:rFonts w:hint="eastAsia" w:cs="宋体" w:asciiTheme="minorEastAsia" w:hAnsiTheme="minorEastAsia"/>
          <w:b/>
          <w:color w:val="000000"/>
          <w:kern w:val="0"/>
          <w:sz w:val="24"/>
          <w:lang w:val="zh-CN"/>
        </w:rPr>
        <w:t>、资金支付</w:t>
      </w:r>
    </w:p>
    <w:p>
      <w:pPr>
        <w:widowControl/>
        <w:shd w:val="clear" w:color="auto" w:fill="FFFFFF"/>
        <w:spacing w:line="360" w:lineRule="auto"/>
        <w:ind w:firstLine="480" w:firstLineChars="200"/>
        <w:jc w:val="left"/>
        <w:rPr>
          <w:rFonts w:cs="宋体" w:asciiTheme="minorEastAsia" w:hAnsiTheme="minorEastAsia"/>
          <w:kern w:val="0"/>
          <w:sz w:val="24"/>
          <w:lang w:val="zh-CN"/>
        </w:rPr>
      </w:pPr>
      <w:r>
        <w:rPr>
          <w:rFonts w:hint="eastAsia" w:cs="宋体" w:asciiTheme="minorEastAsia" w:hAnsiTheme="minorEastAsia"/>
          <w:kern w:val="0"/>
          <w:sz w:val="24"/>
        </w:rPr>
        <w:t>1</w:t>
      </w:r>
      <w:r>
        <w:rPr>
          <w:rFonts w:hint="eastAsia" w:cs="宋体" w:asciiTheme="minorEastAsia" w:hAnsiTheme="minorEastAsia"/>
          <w:kern w:val="0"/>
          <w:sz w:val="24"/>
          <w:lang w:val="zh-CN"/>
        </w:rPr>
        <w:t>、支付方式：银行转账。</w:t>
      </w:r>
    </w:p>
    <w:p>
      <w:pPr>
        <w:widowControl/>
        <w:shd w:val="clear" w:color="auto" w:fill="FFFFFF"/>
        <w:spacing w:line="360" w:lineRule="auto"/>
        <w:ind w:firstLine="480" w:firstLineChars="200"/>
        <w:jc w:val="left"/>
      </w:pPr>
      <w:r>
        <w:rPr>
          <w:rFonts w:hint="eastAsia" w:cs="宋体" w:asciiTheme="minorEastAsia" w:hAnsiTheme="minorEastAsia"/>
          <w:kern w:val="0"/>
          <w:sz w:val="24"/>
        </w:rPr>
        <w:t>2</w:t>
      </w:r>
      <w:r>
        <w:rPr>
          <w:rFonts w:hint="eastAsia" w:cs="宋体" w:asciiTheme="minorEastAsia" w:hAnsiTheme="minorEastAsia"/>
          <w:kern w:val="0"/>
          <w:sz w:val="24"/>
          <w:lang w:val="zh-CN"/>
        </w:rPr>
        <w:t>、</w:t>
      </w:r>
      <w:r>
        <w:rPr>
          <w:rFonts w:hint="eastAsia" w:ascii="宋体" w:hAnsi="宋体" w:cs="宋体"/>
          <w:kern w:val="0"/>
          <w:sz w:val="24"/>
          <w:szCs w:val="24"/>
        </w:rPr>
        <w:t>支付时间及条件：</w:t>
      </w:r>
      <w:r>
        <w:rPr>
          <w:rFonts w:hint="eastAsia" w:ascii="宋体" w:hAnsi="宋体" w:cs="仿宋"/>
          <w:kern w:val="0"/>
          <w:sz w:val="24"/>
          <w:szCs w:val="24"/>
          <w:shd w:val="clear" w:color="auto" w:fill="FFFFFF"/>
        </w:rPr>
        <w:t>项目验收合格后付合同总价款的6</w:t>
      </w:r>
      <w:r>
        <w:rPr>
          <w:rFonts w:ascii="宋体" w:hAnsi="宋体" w:cs="仿宋"/>
          <w:kern w:val="0"/>
          <w:sz w:val="24"/>
          <w:szCs w:val="24"/>
          <w:shd w:val="clear" w:color="auto" w:fill="FFFFFF"/>
        </w:rPr>
        <w:t>0%</w:t>
      </w:r>
      <w:r>
        <w:rPr>
          <w:rFonts w:hint="eastAsia" w:ascii="宋体" w:hAnsi="宋体" w:cs="仿宋"/>
          <w:kern w:val="0"/>
          <w:sz w:val="24"/>
          <w:szCs w:val="24"/>
          <w:shd w:val="clear" w:color="auto" w:fill="FFFFFF"/>
        </w:rPr>
        <w:t xml:space="preserve">，验收合格后满1年无质量问题支付中标额的40%。 </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bookmarkStart w:id="16" w:name="_GoBack"/>
      <w:bookmarkEnd w:id="16"/>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4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rPr>
                <w:rFonts w:ascii="Calibri" w:hAnsi="Calibri" w:eastAsia="宋体" w:cs="Times New Roman"/>
                <w:sz w:val="24"/>
                <w:szCs w:val="24"/>
              </w:rPr>
            </w:pPr>
            <w:r>
              <w:rPr>
                <w:rFonts w:hint="eastAsia" w:cs="仿宋_GB2312" w:asciiTheme="minorEastAsia" w:hAnsiTheme="minorEastAsia"/>
                <w:sz w:val="24"/>
                <w:szCs w:val="24"/>
              </w:rPr>
              <w:t>项目名称：</w:t>
            </w:r>
            <w:r>
              <w:rPr>
                <w:rFonts w:hint="eastAsia" w:ascii="Calibri" w:hAnsi="Calibri" w:eastAsia="宋体" w:cs="Times New Roman"/>
                <w:sz w:val="24"/>
                <w:szCs w:val="24"/>
              </w:rPr>
              <w:t>许昌市东城区社会治安综合治理办公室“许昌市东城区技防体系五期工程项目”</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项目编号：JZFCG-G2018114号</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项目内容：详见招标公告</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项目地址：许昌市东城区所辖区域内。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采购人：许昌市东城区社会治安综合治理办公室</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地 址：许昌市东城区管委会</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联 系 人：闫明     联系电话：17637957777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代理机构：河南建标工程管理有限公司</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地 址：许昌市劳动路7号</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联系人：万丽娜     联系电话：13782222730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6、资质等级证书。</w:t>
            </w:r>
            <w:r>
              <w:rPr>
                <w:rFonts w:hint="eastAsia" w:cs="宋体" w:asciiTheme="minorEastAsia" w:hAnsiTheme="minorEastAsia"/>
                <w:bCs/>
                <w:sz w:val="24"/>
                <w:szCs w:val="24"/>
                <w:lang w:val="zh-CN"/>
              </w:rPr>
              <w:t>（企业投标提供）</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7、安全生产许可证。</w:t>
            </w:r>
            <w:r>
              <w:rPr>
                <w:rFonts w:hint="eastAsia" w:cs="宋体" w:asciiTheme="minorEastAsia" w:hAnsiTheme="minorEastAsia"/>
                <w:bCs/>
                <w:sz w:val="24"/>
                <w:szCs w:val="24"/>
                <w:lang w:val="zh-CN"/>
              </w:rPr>
              <w:t>（企业投标提供）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会计报表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相关专业技术人员职称证书、用工合同等或者附投标人相关承诺函或声明</w:t>
            </w:r>
            <w:r>
              <w:rPr>
                <w:rFonts w:hint="eastAsia" w:cs="宋体" w:asciiTheme="minorEastAsia" w:hAnsiTheme="minorEastAsia"/>
                <w:kern w:val="0"/>
                <w:sz w:val="24"/>
                <w:szCs w:val="24"/>
              </w:rPr>
              <w:t>。</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p>
            <w:pPr>
              <w:autoSpaceDE w:val="0"/>
              <w:autoSpaceDN w:val="0"/>
              <w:adjustRightInd w:val="0"/>
              <w:spacing w:line="276" w:lineRule="auto"/>
              <w:ind w:firstLine="360" w:firstLineChars="150"/>
              <w:rPr>
                <w:rFonts w:cs="宋体" w:asciiTheme="minorEastAsia" w:hAnsiTheme="minorEastAsia"/>
                <w:bCs/>
                <w:sz w:val="24"/>
                <w:szCs w:val="24"/>
                <w:lang w:val="zh-CN"/>
              </w:rPr>
            </w:pPr>
            <w:r>
              <w:rPr>
                <w:rFonts w:hint="eastAsia" w:cs="宋体" w:asciiTheme="minorEastAsia" w:hAnsiTheme="minorEastAsia"/>
                <w:bCs/>
                <w:sz w:val="24"/>
                <w:szCs w:val="24"/>
                <w:lang w:val="zh-CN"/>
              </w:rPr>
              <w:t>（年度费用）</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8582857.00元；</w:t>
            </w:r>
            <w:r>
              <w:rPr>
                <w:rFonts w:hint="eastAsia" w:cs="宋体" w:asciiTheme="minorEastAsia" w:hAnsiTheme="minorEastAsia"/>
                <w:kern w:val="0"/>
                <w:sz w:val="24"/>
                <w:szCs w:val="24"/>
              </w:rPr>
              <w:t>最高限价：</w:t>
            </w:r>
            <w:r>
              <w:rPr>
                <w:rFonts w:hint="eastAsia" w:cs="仿宋_GB2312" w:asciiTheme="minorEastAsia" w:hAnsiTheme="minorEastAsia"/>
                <w:sz w:val="24"/>
                <w:szCs w:val="24"/>
                <w:shd w:val="clear" w:color="auto" w:fill="FFFFFF"/>
              </w:rPr>
              <w:t>8582857.00元</w:t>
            </w:r>
            <w:r>
              <w:rPr>
                <w:rFonts w:hint="eastAsia" w:cs="宋体" w:asciiTheme="minorEastAsia" w:hAnsiTheme="minorEastAsia"/>
                <w:kern w:val="0"/>
                <w:sz w:val="24"/>
                <w:szCs w:val="24"/>
              </w:rPr>
              <w:t>。（</w:t>
            </w:r>
            <w:r>
              <w:rPr>
                <w:rFonts w:hint="eastAsia" w:cs="宋体" w:asciiTheme="minorEastAsia" w:hAnsiTheme="minorEastAsia"/>
                <w:b/>
                <w:sz w:val="24"/>
                <w:szCs w:val="24"/>
                <w:lang w:val="zh-CN"/>
              </w:rPr>
              <w:t>超出最高限价的投标无效</w:t>
            </w:r>
            <w:r>
              <w:rPr>
                <w:rFonts w:hint="eastAsia" w:cs="宋体"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年12月13日10时30分（北京时间）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3</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金额：壹拾柒万元整（¥</w:t>
            </w:r>
            <w:r>
              <w:rPr>
                <w:rFonts w:hint="eastAsia" w:cs="仿宋_GB2312" w:asciiTheme="minorEastAsia" w:hAnsiTheme="minorEastAsia"/>
                <w:sz w:val="24"/>
                <w:szCs w:val="24"/>
                <w:shd w:val="clear" w:color="auto" w:fill="FFFFFF"/>
              </w:rPr>
              <w:t>170000.00</w:t>
            </w:r>
            <w:r>
              <w:rPr>
                <w:rFonts w:hint="eastAsia" w:cs="仿宋_GB2312" w:asciiTheme="minorEastAsia" w:hAnsiTheme="minorEastAsia"/>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□无要求</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eq \o\ac(□,√)</w:instrTex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要求提交。履约保证金的数额为合同金额的</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1.5</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hnjbgc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pStyle w:val="2"/>
        <w:ind w:firstLine="240"/>
        <w:rPr>
          <w:rFonts w:cs="宋体" w:asciiTheme="minorEastAsia" w:hAnsiTheme="minorEastAsia"/>
          <w:sz w:val="24"/>
          <w:szCs w:val="24"/>
        </w:rPr>
      </w:pPr>
    </w:p>
    <w:p>
      <w:pPr>
        <w:pStyle w:val="2"/>
        <w:ind w:firstLine="240"/>
        <w:rPr>
          <w:rFonts w:cs="宋体" w:asciiTheme="minorEastAsia" w:hAnsiTheme="minorEastAsia"/>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53"/>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“投标人须知前附表”中规定中标人提交履约保证金的，中标人应当以支票、汇票、本票或者金融机构、担保机构出具的保函等非现金形式向采购人提交。履约保证金的数额为采购合同金额的</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宋体" w:asciiTheme="majorEastAsia" w:hAnsiTheme="majorEastAsia" w:eastAsiaTheme="majorEastAsia"/>
          <w:b/>
          <w:kern w:val="0"/>
          <w:sz w:val="36"/>
          <w:szCs w:val="36"/>
        </w:rPr>
      </w:pPr>
      <w:r>
        <w:rPr>
          <w:rFonts w:hint="eastAsia" w:cs="仿宋_GB2312" w:asciiTheme="minorEastAsia" w:hAnsiTheme="minorEastAsia"/>
          <w:sz w:val="24"/>
          <w:szCs w:val="24"/>
        </w:rPr>
        <w:t>2、履约保证金的退还：自签订合同之日起满一年后（试用期过后），服务验收合格，无息按原提交账户退还全部履约保证金。</w:t>
      </w:r>
      <w:r>
        <w:rPr>
          <w:rFonts w:hint="eastAsia" w:cs="仿宋_GB2312" w:asciiTheme="minorEastAsia" w:hAnsiTheme="minorEastAsia"/>
          <w:sz w:val="24"/>
          <w:szCs w:val="24"/>
          <w:lang w:val="zh-CN"/>
        </w:rPr>
        <w:br w:type="textWrapping"/>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20"/>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 w:name="OLE_LINK6"/>
      <w:r>
        <w:rPr>
          <w:rFonts w:hint="eastAsia" w:cs="仿宋_GB2312" w:asciiTheme="minorEastAsia" w:hAnsiTheme="minorEastAsia"/>
          <w:sz w:val="24"/>
          <w:szCs w:val="24"/>
          <w:lang w:val="zh-CN"/>
        </w:rPr>
        <w:t>财库[2014]68号</w:t>
      </w:r>
      <w:bookmarkEnd w:id="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0"/>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第六章 资格审查与评标</w:t>
      </w:r>
    </w:p>
    <w:p>
      <w:pPr>
        <w:pStyle w:val="20"/>
        <w:spacing w:line="360" w:lineRule="auto"/>
        <w:contextualSpacing/>
        <w:rPr>
          <w:rFonts w:cs="仿宋_GB2312" w:asciiTheme="minorEastAsia" w:hAnsiTheme="minorEastAsia"/>
          <w:lang w:val="zh-CN"/>
        </w:rPr>
      </w:pPr>
    </w:p>
    <w:p>
      <w:pPr>
        <w:pStyle w:val="20"/>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4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Cs/>
                <w:sz w:val="24"/>
                <w:szCs w:val="24"/>
              </w:rPr>
            </w:pPr>
            <w:r>
              <w:rPr>
                <w:rFonts w:hint="eastAsia" w:asciiTheme="minorEastAsia" w:hAnsiTheme="minorEastAsia"/>
                <w:bCs/>
                <w:sz w:val="24"/>
                <w:szCs w:val="24"/>
              </w:rPr>
              <w:t>（5）自然人身份证明。（自然人投标提供）</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（6）资质等级证书。</w:t>
            </w:r>
            <w:r>
              <w:rPr>
                <w:rFonts w:hint="eastAsia" w:cs="宋体" w:asciiTheme="minorEastAsia" w:hAnsiTheme="minorEastAsia"/>
                <w:bCs/>
                <w:sz w:val="24"/>
                <w:szCs w:val="24"/>
                <w:lang w:val="zh-CN"/>
              </w:rPr>
              <w:t>（企业投标提供）</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（7）安全生产许可证。</w:t>
            </w:r>
            <w:r>
              <w:rPr>
                <w:rFonts w:hint="eastAsia" w:cs="宋体" w:asciiTheme="minorEastAsia" w:hAnsiTheme="minorEastAsia"/>
                <w:bCs/>
                <w:sz w:val="24"/>
                <w:szCs w:val="24"/>
                <w:lang w:val="zh-CN"/>
              </w:rPr>
              <w:t>（企业投标提供）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eastAsia="zh-CN"/>
              </w:rPr>
              <w:t>2017年度</w:t>
            </w:r>
            <w:r>
              <w:rPr>
                <w:rFonts w:hint="eastAsia" w:asciiTheme="minorEastAsia" w:hAnsiTheme="minorEastAsia"/>
                <w:bCs/>
                <w:sz w:val="24"/>
                <w:szCs w:val="24"/>
              </w:rPr>
              <w:t>经审计的财务报告，包括资产负债表、利润表、现金流量表</w:t>
            </w:r>
            <w:r>
              <w:rPr>
                <w:rFonts w:hint="eastAsia" w:asciiTheme="minorEastAsia" w:hAnsiTheme="minorEastAsia"/>
                <w:bCs/>
                <w:sz w:val="24"/>
                <w:szCs w:val="24"/>
                <w:lang w:val="zh-CN"/>
              </w:rPr>
              <w:t>、会计报表附注</w:t>
            </w:r>
            <w:r>
              <w:rPr>
                <w:rFonts w:hint="eastAsia" w:asciiTheme="minorEastAsia" w:hAnsiTheme="minor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20"/>
        <w:spacing w:line="360" w:lineRule="auto"/>
        <w:ind w:firstLine="482" w:firstLineChars="200"/>
        <w:contextualSpacing/>
        <w:rPr>
          <w:rFonts w:cs="仿宋_GB2312" w:asciiTheme="minorEastAsia" w:hAnsiTheme="minorEastAsia" w:eastAsiaTheme="minorEastAsia"/>
          <w:b/>
          <w:szCs w:val="24"/>
          <w:lang w:val="zh-CN"/>
        </w:rPr>
      </w:pPr>
    </w:p>
    <w:p>
      <w:pPr>
        <w:pStyle w:val="20"/>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20"/>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20"/>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20"/>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0"/>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20"/>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20"/>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20"/>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20"/>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20"/>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20"/>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20"/>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a. 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lang w:val="zh-CN"/>
        </w:rPr>
        <w:t>http://cx.cnca.cn/rjwcx/web/cert/index.do</w:t>
      </w:r>
      <w:r>
        <w:rPr>
          <w:rFonts w:hint="eastAsia" w:cs="仿宋_GB2312" w:asciiTheme="minorEastAsia" w:hAnsiTheme="minorEastAsia"/>
          <w:lang w:val="zh-CN"/>
        </w:rPr>
        <w:fldChar w:fldCharType="end"/>
      </w:r>
      <w:r>
        <w:rPr>
          <w:rFonts w:hint="eastAsia" w:cs="仿宋_GB2312" w:asciiTheme="minorEastAsia" w:hAnsiTheme="minorEastAsia"/>
          <w:sz w:val="24"/>
          <w:szCs w:val="24"/>
          <w:lang w:val="zh-CN"/>
        </w:rPr>
        <w:t>）产品认证证书的原件扫描件（或图片）并加盖投标人公章。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强制性产品认证机构颁发的CCC认证证书的原件扫描件（或图片）并加盖投标人公章。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c. 投标人</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a</w:t>
      </w:r>
      <w:r>
        <w:rPr>
          <w:rFonts w:hint="eastAsia" w:cs="宋体" w:asciiTheme="minorEastAsia" w:hAnsiTheme="minorEastAsia"/>
          <w:kern w:val="0"/>
          <w:sz w:val="24"/>
          <w:szCs w:val="24"/>
        </w:rPr>
        <w:t>. 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w:t>
      </w:r>
      <w:r>
        <w:rPr>
          <w:rFonts w:hint="eastAsia" w:cs="宋体" w:asciiTheme="minorEastAsia" w:hAnsiTheme="minorEastAsia"/>
          <w:kern w:val="0"/>
          <w:sz w:val="24"/>
          <w:szCs w:val="24"/>
        </w:rPr>
        <w:t>. 中国信息安全认证中心</w:t>
      </w:r>
      <w:r>
        <w:rPr>
          <w:rFonts w:hint="eastAsia" w:cs="仿宋_GB2312" w:asciiTheme="minorEastAsia" w:hAnsiTheme="minorEastAsia"/>
          <w:sz w:val="24"/>
          <w:szCs w:val="24"/>
          <w:lang w:val="zh-CN"/>
        </w:rPr>
        <w:t>颁发的《中国国家信息安全产品认证证书》的原件扫描件（或图片）并加盖投标人公章。</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40"/>
        <w:tblW w:w="87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17"/>
        <w:gridCol w:w="20"/>
        <w:gridCol w:w="20"/>
        <w:gridCol w:w="6410"/>
        <w:gridCol w:w="8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color w:val="000000"/>
                <w:kern w:val="0"/>
                <w:sz w:val="24"/>
                <w:szCs w:val="24"/>
              </w:rPr>
              <w:t xml:space="preserve"> 分值构成</w:t>
            </w:r>
          </w:p>
          <w:p>
            <w:pPr>
              <w:widowControl/>
              <w:spacing w:line="330" w:lineRule="atLeast"/>
              <w:jc w:val="center"/>
              <w:rPr>
                <w:rFonts w:ascii="宋体" w:hAnsi="宋体" w:eastAsia="宋体" w:cs="宋体"/>
                <w:color w:val="000000"/>
                <w:kern w:val="0"/>
                <w:sz w:val="24"/>
                <w:szCs w:val="24"/>
              </w:rPr>
            </w:pP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总分</w:t>
            </w:r>
            <w:r>
              <w:rPr>
                <w:rFonts w:ascii="宋体" w:hAnsi="宋体" w:eastAsia="宋体" w:cs="仿宋"/>
                <w:color w:val="000000"/>
                <w:kern w:val="0"/>
                <w:sz w:val="24"/>
                <w:szCs w:val="24"/>
              </w:rPr>
              <w:t>100</w:t>
            </w:r>
            <w:r>
              <w:rPr>
                <w:rFonts w:hint="eastAsia" w:ascii="宋体" w:hAnsi="宋体" w:eastAsia="宋体" w:cs="仿宋"/>
                <w:color w:val="000000"/>
                <w:kern w:val="0"/>
                <w:sz w:val="24"/>
                <w:szCs w:val="24"/>
              </w:rPr>
              <w:t>分</w:t>
            </w:r>
            <w:r>
              <w:rPr>
                <w:rFonts w:ascii="宋体" w:hAnsi="宋体" w:eastAsia="宋体" w:cs="仿宋"/>
                <w:color w:val="000000"/>
                <w:kern w:val="0"/>
                <w:sz w:val="24"/>
                <w:szCs w:val="24"/>
              </w:rPr>
              <w:t>)</w:t>
            </w:r>
          </w:p>
        </w:tc>
        <w:tc>
          <w:tcPr>
            <w:tcW w:w="7315"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firstLine="480"/>
              <w:jc w:val="center"/>
              <w:rPr>
                <w:rFonts w:ascii="宋体" w:hAnsi="宋体" w:eastAsia="宋体" w:cs="宋体"/>
                <w:color w:val="000000"/>
                <w:kern w:val="0"/>
                <w:sz w:val="24"/>
                <w:szCs w:val="24"/>
              </w:rPr>
            </w:pPr>
            <w:r>
              <w:rPr>
                <w:rFonts w:hint="eastAsia" w:ascii="宋体" w:hAnsi="宋体" w:eastAsia="宋体" w:cs="仿宋"/>
                <w:color w:val="000000"/>
                <w:kern w:val="0"/>
                <w:sz w:val="24"/>
                <w:szCs w:val="24"/>
              </w:rPr>
              <w:t>价格分值：</w:t>
            </w:r>
            <w:r>
              <w:rPr>
                <w:rFonts w:ascii="宋体" w:hAnsi="宋体" w:eastAsia="宋体" w:cs="宋体"/>
                <w:color w:val="000000"/>
                <w:kern w:val="0"/>
                <w:sz w:val="24"/>
                <w:szCs w:val="24"/>
              </w:rPr>
              <w:t>30</w:t>
            </w:r>
            <w:r>
              <w:rPr>
                <w:rFonts w:hint="eastAsia" w:ascii="宋体" w:hAnsi="宋体" w:eastAsia="宋体" w:cs="仿宋"/>
                <w:color w:val="000000"/>
                <w:kern w:val="0"/>
                <w:sz w:val="24"/>
                <w:szCs w:val="24"/>
              </w:rPr>
              <w:t>分</w:t>
            </w:r>
          </w:p>
          <w:p>
            <w:pPr>
              <w:widowControl/>
              <w:spacing w:line="360" w:lineRule="atLeast"/>
              <w:ind w:firstLine="480"/>
              <w:jc w:val="center"/>
              <w:rPr>
                <w:rFonts w:ascii="宋体" w:hAnsi="宋体" w:eastAsia="宋体" w:cs="宋体"/>
                <w:color w:val="000000"/>
                <w:kern w:val="0"/>
                <w:sz w:val="24"/>
                <w:szCs w:val="24"/>
              </w:rPr>
            </w:pPr>
            <w:r>
              <w:rPr>
                <w:rFonts w:hint="eastAsia" w:ascii="宋体" w:hAnsi="宋体" w:eastAsia="宋体" w:cs="仿宋"/>
                <w:color w:val="000000"/>
                <w:kern w:val="0"/>
                <w:sz w:val="24"/>
                <w:szCs w:val="24"/>
              </w:rPr>
              <w:t>商务部分：</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2</w:t>
            </w:r>
            <w:r>
              <w:rPr>
                <w:rFonts w:hint="eastAsia" w:ascii="宋体" w:hAnsi="宋体" w:eastAsia="宋体" w:cs="仿宋"/>
                <w:color w:val="000000"/>
                <w:kern w:val="0"/>
                <w:sz w:val="24"/>
                <w:szCs w:val="24"/>
              </w:rPr>
              <w:t>分</w:t>
            </w:r>
          </w:p>
          <w:p>
            <w:pPr>
              <w:widowControl/>
              <w:spacing w:line="360" w:lineRule="atLeast"/>
              <w:ind w:firstLine="480"/>
              <w:jc w:val="center"/>
              <w:rPr>
                <w:rFonts w:ascii="宋体" w:hAnsi="宋体" w:eastAsia="宋体" w:cs="宋体"/>
                <w:color w:val="000000"/>
                <w:kern w:val="0"/>
                <w:sz w:val="24"/>
                <w:szCs w:val="24"/>
              </w:rPr>
            </w:pPr>
            <w:r>
              <w:rPr>
                <w:rFonts w:hint="eastAsia" w:ascii="宋体" w:hAnsi="宋体" w:eastAsia="宋体" w:cs="仿宋"/>
                <w:color w:val="000000"/>
                <w:kern w:val="0"/>
                <w:sz w:val="24"/>
                <w:szCs w:val="24"/>
              </w:rPr>
              <w:t>技术部分：</w:t>
            </w: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8</w:t>
            </w:r>
            <w:r>
              <w:rPr>
                <w:rFonts w:hint="eastAsia" w:ascii="宋体" w:hAnsi="宋体" w:eastAsia="宋体"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一、价格部分（满分</w:t>
            </w:r>
            <w:r>
              <w:rPr>
                <w:rFonts w:ascii="宋体" w:hAnsi="宋体" w:eastAsia="宋体" w:cs="宋体"/>
                <w:b/>
                <w:color w:val="000000"/>
                <w:kern w:val="0"/>
                <w:sz w:val="24"/>
                <w:szCs w:val="24"/>
              </w:rPr>
              <w:t>30</w:t>
            </w:r>
            <w:r>
              <w:rPr>
                <w:rFonts w:hint="eastAsia" w:ascii="宋体" w:hAnsi="宋体" w:eastAsia="宋体" w:cs="仿宋"/>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评分因素</w:t>
            </w:r>
          </w:p>
        </w:tc>
        <w:tc>
          <w:tcPr>
            <w:tcW w:w="64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评分标准</w:t>
            </w:r>
          </w:p>
        </w:tc>
        <w:tc>
          <w:tcPr>
            <w:tcW w:w="8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color w:val="000000"/>
                <w:kern w:val="0"/>
                <w:sz w:val="24"/>
                <w:szCs w:val="24"/>
              </w:rPr>
              <w:t>投标报价</w:t>
            </w:r>
          </w:p>
          <w:p>
            <w:pPr>
              <w:widowControl/>
              <w:spacing w:line="90" w:lineRule="atLeast"/>
              <w:jc w:val="center"/>
              <w:rPr>
                <w:rFonts w:ascii="宋体" w:hAnsi="宋体" w:eastAsia="宋体" w:cs="宋体"/>
                <w:color w:val="000000"/>
                <w:kern w:val="0"/>
                <w:sz w:val="24"/>
                <w:szCs w:val="24"/>
              </w:rPr>
            </w:pPr>
            <w:r>
              <w:rPr>
                <w:rFonts w:hint="eastAsia" w:ascii="宋体" w:hAnsi="宋体" w:eastAsia="宋体" w:cs="仿宋"/>
                <w:color w:val="000000"/>
                <w:kern w:val="0"/>
                <w:sz w:val="24"/>
                <w:szCs w:val="24"/>
              </w:rPr>
              <w:t>评分标准</w:t>
            </w:r>
          </w:p>
        </w:tc>
        <w:tc>
          <w:tcPr>
            <w:tcW w:w="64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rPr>
                <w:rFonts w:ascii="宋体" w:hAnsi="宋体" w:eastAsia="宋体" w:cs="宋体"/>
                <w:color w:val="000000"/>
                <w:kern w:val="0"/>
                <w:sz w:val="24"/>
                <w:szCs w:val="24"/>
              </w:rPr>
            </w:pPr>
            <w:r>
              <w:rPr>
                <w:rFonts w:hint="eastAsia" w:ascii="宋体" w:hAnsi="宋体" w:eastAsia="宋体" w:cs="仿宋"/>
                <w:color w:val="000000"/>
                <w:kern w:val="0"/>
                <w:sz w:val="24"/>
                <w:szCs w:val="24"/>
              </w:rPr>
              <w:t>评标基准价：满足招标文件要求的有效投标报价中，最低的投标报价为评标基准价。</w:t>
            </w:r>
          </w:p>
          <w:p>
            <w:pPr>
              <w:widowControl/>
              <w:spacing w:line="90" w:lineRule="atLeast"/>
              <w:jc w:val="left"/>
              <w:rPr>
                <w:rFonts w:ascii="宋体" w:hAnsi="宋体" w:eastAsia="宋体" w:cs="宋体"/>
                <w:color w:val="000000"/>
                <w:kern w:val="0"/>
                <w:sz w:val="24"/>
                <w:szCs w:val="24"/>
              </w:rPr>
            </w:pPr>
            <w:r>
              <w:rPr>
                <w:rFonts w:hint="eastAsia" w:ascii="宋体" w:hAnsi="宋体" w:eastAsia="宋体" w:cs="仿宋"/>
                <w:color w:val="000000"/>
                <w:kern w:val="0"/>
                <w:sz w:val="24"/>
                <w:szCs w:val="24"/>
              </w:rPr>
              <w:t>投标报价得分</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（评标基准价</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投标报价）×</w:t>
            </w:r>
            <w:r>
              <w:rPr>
                <w:rFonts w:ascii="宋体" w:hAnsi="宋体" w:eastAsia="宋体" w:cs="宋体"/>
                <w:color w:val="000000"/>
                <w:kern w:val="0"/>
                <w:sz w:val="24"/>
                <w:szCs w:val="24"/>
              </w:rPr>
              <w:t> 30 </w:t>
            </w:r>
          </w:p>
        </w:tc>
        <w:tc>
          <w:tcPr>
            <w:tcW w:w="8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30</w:t>
            </w:r>
            <w:r>
              <w:rPr>
                <w:rFonts w:hint="eastAsia" w:ascii="宋体" w:hAnsi="宋体" w:eastAsia="宋体"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二、商务部分（满分</w:t>
            </w:r>
            <w:r>
              <w:rPr>
                <w:rFonts w:ascii="宋体" w:hAnsi="宋体" w:eastAsia="宋体" w:cs="宋体"/>
                <w:b/>
                <w:color w:val="000000"/>
                <w:kern w:val="0"/>
                <w:sz w:val="24"/>
                <w:szCs w:val="24"/>
              </w:rPr>
              <w:t>2</w:t>
            </w:r>
            <w:r>
              <w:rPr>
                <w:rFonts w:hint="eastAsia" w:ascii="宋体" w:hAnsi="宋体" w:eastAsia="宋体" w:cs="宋体"/>
                <w:b/>
                <w:color w:val="000000"/>
                <w:kern w:val="0"/>
                <w:sz w:val="24"/>
                <w:szCs w:val="24"/>
              </w:rPr>
              <w:t>2</w:t>
            </w:r>
            <w:r>
              <w:rPr>
                <w:rFonts w:hint="eastAsia" w:ascii="宋体" w:hAnsi="宋体" w:eastAsia="宋体" w:cs="仿宋"/>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评分因素</w:t>
            </w:r>
          </w:p>
        </w:tc>
        <w:tc>
          <w:tcPr>
            <w:tcW w:w="64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评分标准</w:t>
            </w:r>
          </w:p>
        </w:tc>
        <w:tc>
          <w:tcPr>
            <w:tcW w:w="8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企业实力</w:t>
            </w:r>
          </w:p>
        </w:tc>
        <w:tc>
          <w:tcPr>
            <w:tcW w:w="64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1、投标人能够提供近三年来获得的守合同重信用证书的，每提供一份得1分，满分3分，不提供不得分。</w:t>
            </w:r>
          </w:p>
          <w:p>
            <w:pPr>
              <w:widowControl/>
              <w:spacing w:line="320" w:lineRule="exact"/>
              <w:rPr>
                <w:rFonts w:ascii="宋体" w:hAnsi="宋体" w:eastAsia="宋体" w:cs="仿宋"/>
                <w:color w:val="000000"/>
                <w:kern w:val="0"/>
                <w:sz w:val="24"/>
                <w:szCs w:val="24"/>
              </w:rPr>
            </w:pPr>
            <w:r>
              <w:rPr>
                <w:rFonts w:ascii="宋体" w:hAnsi="宋体" w:eastAsia="宋体" w:cs="仿宋"/>
                <w:color w:val="000000"/>
                <w:kern w:val="0"/>
                <w:sz w:val="24"/>
                <w:szCs w:val="24"/>
              </w:rPr>
              <w:t>2</w:t>
            </w:r>
            <w:r>
              <w:rPr>
                <w:rFonts w:hint="eastAsia" w:ascii="宋体" w:hAnsi="宋体" w:eastAsia="宋体" w:cs="仿宋"/>
                <w:color w:val="000000"/>
                <w:kern w:val="0"/>
                <w:sz w:val="24"/>
                <w:szCs w:val="24"/>
              </w:rPr>
              <w:t>、投标人应具有ISO9001质量体系认证；ISO14001环境质量管理体系认证；OHSM18001职业健康安全管理体系；ISO27001信息安全管理体系认证；ISO20000 IT服务管理体系认证（提供证书复印件并加盖投标人公章）；每提供一项加1分，满分</w:t>
            </w:r>
            <w:r>
              <w:rPr>
                <w:rFonts w:ascii="宋体" w:hAnsi="宋体" w:eastAsia="宋体" w:cs="仿宋"/>
                <w:color w:val="000000"/>
                <w:kern w:val="0"/>
                <w:sz w:val="24"/>
                <w:szCs w:val="24"/>
              </w:rPr>
              <w:t>5</w:t>
            </w:r>
            <w:r>
              <w:rPr>
                <w:rFonts w:hint="eastAsia" w:ascii="宋体" w:hAnsi="宋体" w:eastAsia="宋体" w:cs="仿宋"/>
                <w:color w:val="000000"/>
                <w:kern w:val="0"/>
                <w:sz w:val="24"/>
                <w:szCs w:val="24"/>
              </w:rPr>
              <w:t>分，不提供的不得分。</w:t>
            </w:r>
          </w:p>
          <w:p>
            <w:pPr>
              <w:widowControl/>
              <w:spacing w:line="320" w:lineRule="exact"/>
              <w:rPr>
                <w:rFonts w:ascii="宋体" w:hAnsi="宋体" w:eastAsia="宋体" w:cs="仿宋"/>
                <w:color w:val="000000"/>
                <w:kern w:val="0"/>
                <w:sz w:val="24"/>
                <w:szCs w:val="24"/>
                <w:highlight w:val="green"/>
              </w:rPr>
            </w:pPr>
            <w:r>
              <w:rPr>
                <w:rFonts w:hint="eastAsia" w:ascii="宋体" w:hAnsi="宋体" w:eastAsia="宋体" w:cs="仿宋"/>
                <w:color w:val="000000"/>
                <w:kern w:val="0"/>
                <w:sz w:val="24"/>
                <w:szCs w:val="24"/>
              </w:rPr>
              <w:t>3、投标人具有ITSS信息技术服务运行维护标准符合性证书、信息系统集成及服务运行维护分项资质证书三级及以上的（提供证书复印件并加盖投标人公章），全部提供得3分，否则不得分。</w:t>
            </w:r>
          </w:p>
          <w:p>
            <w:pPr>
              <w:widowControl/>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4、投标人具有较高软件集成能力，需具备CMMI软件能力成熟度模型集成证书，5级者得3分，4级者得2分,3级者得1分，2级及其以下的不得分，（提供证书复印件并加盖投标人公章）。</w:t>
            </w:r>
            <w:r>
              <w:rPr>
                <w:rFonts w:ascii="宋体" w:hAnsi="宋体" w:eastAsia="宋体" w:cs="仿宋"/>
                <w:color w:val="000000"/>
                <w:kern w:val="0"/>
                <w:sz w:val="24"/>
                <w:szCs w:val="24"/>
              </w:rPr>
              <w:t xml:space="preserve"> </w:t>
            </w:r>
          </w:p>
          <w:p>
            <w:pPr>
              <w:widowControl/>
              <w:spacing w:line="320" w:lineRule="exact"/>
              <w:rPr>
                <w:rFonts w:ascii="宋体" w:hAnsi="宋体" w:eastAsia="宋体" w:cs="宋体"/>
                <w:color w:val="FF0000"/>
                <w:kern w:val="0"/>
                <w:szCs w:val="21"/>
              </w:rPr>
            </w:pPr>
            <w:r>
              <w:rPr>
                <w:rFonts w:hint="eastAsia" w:ascii="宋体" w:hAnsi="宋体" w:eastAsia="宋体" w:cs="仿宋"/>
                <w:color w:val="000000"/>
                <w:kern w:val="0"/>
                <w:sz w:val="24"/>
                <w:szCs w:val="24"/>
              </w:rPr>
              <w:t>5、本项目所配备项目负责人具有本科及以上学历，并同时具备工信部颁发的信息系统项目管理师证书的，得2分，满分2分。（需提供3个月以上社保证明，否则不得分）。</w:t>
            </w:r>
          </w:p>
        </w:tc>
        <w:tc>
          <w:tcPr>
            <w:tcW w:w="8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仿宋"/>
                <w:color w:val="000000"/>
                <w:kern w:val="0"/>
                <w:sz w:val="24"/>
                <w:szCs w:val="24"/>
              </w:rPr>
            </w:pPr>
            <w:r>
              <w:rPr>
                <w:rFonts w:ascii="宋体" w:hAnsi="宋体" w:eastAsia="宋体" w:cs="仿宋"/>
                <w:color w:val="000000"/>
                <w:kern w:val="0"/>
                <w:sz w:val="24"/>
                <w:szCs w:val="24"/>
              </w:rPr>
              <w:t>1</w:t>
            </w:r>
            <w:r>
              <w:rPr>
                <w:rFonts w:hint="eastAsia" w:ascii="宋体" w:hAnsi="宋体" w:eastAsia="宋体" w:cs="仿宋"/>
                <w:color w:val="000000"/>
                <w:kern w:val="0"/>
                <w:sz w:val="24"/>
                <w:szCs w:val="24"/>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3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业绩</w:t>
            </w:r>
          </w:p>
        </w:tc>
        <w:tc>
          <w:tcPr>
            <w:tcW w:w="64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投标人提供2015年1月至今（以合同签订日期为准）以来800万以上类似项目合同，每个得2分；最多得6分（同时提供合同复印件、中标通知书、验收报告和中标公示网站截图等，缺项不得分）。</w:t>
            </w:r>
          </w:p>
        </w:tc>
        <w:tc>
          <w:tcPr>
            <w:tcW w:w="8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仿宋"/>
                <w:color w:val="000000"/>
                <w:kern w:val="0"/>
                <w:sz w:val="24"/>
                <w:szCs w:val="24"/>
              </w:rPr>
            </w:pPr>
            <w:r>
              <w:rPr>
                <w:rFonts w:ascii="宋体" w:hAnsi="宋体" w:eastAsia="宋体" w:cs="仿宋"/>
                <w:color w:val="000000"/>
                <w:kern w:val="0"/>
                <w:sz w:val="24"/>
                <w:szCs w:val="24"/>
              </w:rPr>
              <w:t>6</w:t>
            </w:r>
            <w:r>
              <w:rPr>
                <w:rFonts w:hint="eastAsia" w:ascii="宋体" w:hAnsi="宋体" w:eastAsia="宋体"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三、技术部分（满分</w:t>
            </w:r>
            <w:r>
              <w:rPr>
                <w:rFonts w:ascii="宋体" w:hAnsi="宋体" w:eastAsia="宋体" w:cs="宋体"/>
                <w:b/>
                <w:color w:val="000000"/>
                <w:kern w:val="0"/>
                <w:sz w:val="24"/>
                <w:szCs w:val="24"/>
              </w:rPr>
              <w:t> 4</w:t>
            </w:r>
            <w:r>
              <w:rPr>
                <w:rFonts w:hint="eastAsia" w:ascii="宋体" w:hAnsi="宋体" w:eastAsia="宋体" w:cs="宋体"/>
                <w:b/>
                <w:color w:val="000000"/>
                <w:kern w:val="0"/>
                <w:sz w:val="24"/>
                <w:szCs w:val="24"/>
              </w:rPr>
              <w:t>8</w:t>
            </w:r>
            <w:r>
              <w:rPr>
                <w:rFonts w:ascii="宋体" w:hAnsi="宋体" w:eastAsia="宋体" w:cs="宋体"/>
                <w:b/>
                <w:color w:val="000000"/>
                <w:kern w:val="0"/>
                <w:sz w:val="24"/>
                <w:szCs w:val="24"/>
              </w:rPr>
              <w:t> </w:t>
            </w:r>
            <w:r>
              <w:rPr>
                <w:rFonts w:hint="eastAsia" w:ascii="宋体" w:hAnsi="宋体" w:eastAsia="宋体" w:cs="仿宋"/>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评分因素</w:t>
            </w:r>
          </w:p>
        </w:tc>
        <w:tc>
          <w:tcPr>
            <w:tcW w:w="64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评分标准</w:t>
            </w:r>
          </w:p>
        </w:tc>
        <w:tc>
          <w:tcPr>
            <w:tcW w:w="8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仿宋"/>
                <w:b/>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对招标文件响应程度</w:t>
            </w:r>
          </w:p>
        </w:tc>
        <w:tc>
          <w:tcPr>
            <w:tcW w:w="64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1、技术参数中加★项为关键技术要求，投标人提供国家权威机构出具的技术证明文件复印件并加盖厂家公章。加★项全部满足得14分。评委根据技术证明文件逐项检查，每有一项不满足的，扣0.5分，扣完为止。（未提供所投产品加盖厂家公章技术证明文件复印件的，或提供的技术证明文件内容不详细，评委作出不利判断，投标人自负。中标后所提供的产品与所投产品不符视为提供虚假的证明文件，并承担相应的法定责任）</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2、投标人所投货物清单序号2</w:t>
            </w:r>
            <w:r>
              <w:rPr>
                <w:rFonts w:hint="eastAsia" w:ascii="宋体" w:hAnsi="宋体" w:eastAsia="宋体" w:cs="仿宋"/>
                <w:color w:val="000000"/>
                <w:sz w:val="24"/>
                <w:szCs w:val="24"/>
                <w:shd w:val="clear" w:color="auto" w:fill="FFFFFF"/>
              </w:rPr>
              <w:t>设备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国家安全防范报警系统产品质量监督检验中心关于视频监控系统网络及安全解决方案的安全测评报告证书复印件并加盖厂家公章的得3分，不提供的不得分。</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3、</w:t>
            </w:r>
            <w:r>
              <w:rPr>
                <w:rFonts w:ascii="宋体" w:hAnsi="宋体" w:eastAsia="宋体" w:cs="仿宋"/>
                <w:color w:val="000000"/>
                <w:kern w:val="0"/>
                <w:sz w:val="24"/>
                <w:szCs w:val="24"/>
              </w:rPr>
              <w:t>投标人所投</w:t>
            </w:r>
            <w:r>
              <w:rPr>
                <w:rFonts w:hint="eastAsia" w:ascii="宋体" w:hAnsi="宋体" w:eastAsia="宋体" w:cs="仿宋"/>
                <w:color w:val="000000"/>
                <w:kern w:val="0"/>
                <w:sz w:val="24"/>
                <w:szCs w:val="24"/>
              </w:rPr>
              <w:t>货物清单序号2设备应具有节点负载均衡功能：云存储集群内节点读写实时任务数负载压力差距应在1%以内，提供国家权威机构出具的技术证明文件复印件并加盖厂家公章的得1分</w:t>
            </w:r>
            <w:r>
              <w:rPr>
                <w:rFonts w:ascii="宋体" w:hAnsi="宋体" w:eastAsia="宋体" w:cs="仿宋"/>
                <w:color w:val="000000"/>
                <w:kern w:val="0"/>
                <w:sz w:val="24"/>
                <w:szCs w:val="24"/>
              </w:rPr>
              <w:t>，不提供的不得分。</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4、</w:t>
            </w:r>
            <w:r>
              <w:rPr>
                <w:rFonts w:ascii="宋体" w:hAnsi="宋体" w:eastAsia="宋体" w:cs="仿宋"/>
                <w:color w:val="000000"/>
                <w:kern w:val="0"/>
                <w:sz w:val="24"/>
                <w:szCs w:val="24"/>
              </w:rPr>
              <w:t>投标人所投</w:t>
            </w:r>
            <w:r>
              <w:rPr>
                <w:rFonts w:hint="eastAsia" w:ascii="宋体" w:hAnsi="宋体" w:eastAsia="宋体" w:cs="仿宋"/>
                <w:color w:val="000000"/>
                <w:kern w:val="0"/>
                <w:sz w:val="24"/>
                <w:szCs w:val="24"/>
              </w:rPr>
              <w:t>货物清单序号2设备支持在一个控制器内，支持双BIOS，当主BIOS异常时，能从备用BIOS启动，提供提供国家权威机构出具的技术证明文件复印件并加盖厂家公章的得1分</w:t>
            </w:r>
            <w:r>
              <w:rPr>
                <w:rFonts w:ascii="宋体" w:hAnsi="宋体" w:eastAsia="宋体" w:cs="仿宋"/>
                <w:color w:val="000000"/>
                <w:kern w:val="0"/>
                <w:sz w:val="24"/>
                <w:szCs w:val="24"/>
              </w:rPr>
              <w:t>，不提供的不得分。</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5、</w:t>
            </w:r>
            <w:r>
              <w:rPr>
                <w:rFonts w:ascii="宋体" w:hAnsi="宋体" w:eastAsia="宋体" w:cs="仿宋"/>
                <w:color w:val="000000"/>
                <w:kern w:val="0"/>
                <w:sz w:val="24"/>
                <w:szCs w:val="24"/>
              </w:rPr>
              <w:t>投标人所投</w:t>
            </w:r>
            <w:r>
              <w:rPr>
                <w:rFonts w:hint="eastAsia" w:ascii="宋体" w:hAnsi="宋体" w:eastAsia="宋体" w:cs="仿宋"/>
                <w:color w:val="000000"/>
                <w:kern w:val="0"/>
                <w:sz w:val="24"/>
                <w:szCs w:val="24"/>
              </w:rPr>
              <w:t>货物清单序号2设备应支持动态扩容和缩容，整个过程中业务不受影响，提供国家权威机构出具的技术证明文件复印件并加盖厂家公章的得1分</w:t>
            </w:r>
            <w:r>
              <w:rPr>
                <w:rFonts w:ascii="宋体" w:hAnsi="宋体" w:eastAsia="宋体" w:cs="仿宋"/>
                <w:color w:val="000000"/>
                <w:kern w:val="0"/>
                <w:sz w:val="24"/>
                <w:szCs w:val="24"/>
              </w:rPr>
              <w:t>，不提供的不得分。</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6、</w:t>
            </w:r>
            <w:r>
              <w:rPr>
                <w:rFonts w:ascii="宋体" w:hAnsi="宋体" w:eastAsia="宋体" w:cs="仿宋"/>
                <w:color w:val="000000"/>
                <w:kern w:val="0"/>
                <w:sz w:val="24"/>
                <w:szCs w:val="24"/>
              </w:rPr>
              <w:t>投标人所投</w:t>
            </w:r>
            <w:r>
              <w:rPr>
                <w:rFonts w:hint="eastAsia" w:ascii="宋体" w:hAnsi="宋体" w:eastAsia="宋体" w:cs="仿宋"/>
                <w:color w:val="000000"/>
                <w:kern w:val="0"/>
                <w:sz w:val="24"/>
                <w:szCs w:val="24"/>
              </w:rPr>
              <w:t>货物清单序号7设备同时提供以太网电口和SFP光口，并支持电口和光口串接功能，提供设备接口图片并加盖厂家公章证明的得1分</w:t>
            </w:r>
            <w:r>
              <w:rPr>
                <w:rFonts w:ascii="宋体" w:hAnsi="宋体" w:eastAsia="宋体" w:cs="仿宋"/>
                <w:color w:val="000000"/>
                <w:kern w:val="0"/>
                <w:sz w:val="24"/>
                <w:szCs w:val="24"/>
              </w:rPr>
              <w:t>，不提供的不得分。</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7、</w:t>
            </w:r>
            <w:r>
              <w:rPr>
                <w:rFonts w:ascii="宋体" w:hAnsi="宋体" w:eastAsia="宋体" w:cs="仿宋"/>
                <w:color w:val="000000"/>
                <w:kern w:val="0"/>
                <w:sz w:val="24"/>
                <w:szCs w:val="24"/>
              </w:rPr>
              <w:t>投标人所投</w:t>
            </w:r>
            <w:r>
              <w:rPr>
                <w:rFonts w:hint="eastAsia" w:ascii="宋体" w:hAnsi="宋体" w:eastAsia="宋体" w:cs="仿宋"/>
                <w:color w:val="000000"/>
                <w:kern w:val="0"/>
                <w:sz w:val="24"/>
                <w:szCs w:val="24"/>
              </w:rPr>
              <w:t>货物清单序号73城区社会管理服务综合信息平台、序号71防火墙及序号72数据库审计厂家需具备较强的综合实力，具备涉及国家秘密的计算机信息系统集成资质证书甲级； 具备中国信息安全认证中心（ISCCC）颁发的软件安全开发服务资质一级证书；具备中国信息安全认证中心（ISCCC）颁发的信息系统安全集成服务一级资质证书；具有CMMI软件能力成熟度模型集成证书5级；提供上述证书复印件并加盖厂家公章。全部提供得4分，</w:t>
            </w:r>
            <w:r>
              <w:rPr>
                <w:rFonts w:ascii="宋体" w:hAnsi="宋体" w:eastAsia="宋体" w:cs="仿宋"/>
                <w:color w:val="000000"/>
                <w:kern w:val="0"/>
                <w:sz w:val="24"/>
                <w:szCs w:val="24"/>
              </w:rPr>
              <w:t>不提供的不得分</w:t>
            </w:r>
            <w:r>
              <w:rPr>
                <w:rFonts w:hint="eastAsia" w:ascii="宋体" w:hAnsi="宋体" w:eastAsia="宋体" w:cs="仿宋"/>
                <w:color w:val="000000"/>
                <w:kern w:val="0"/>
                <w:sz w:val="24"/>
                <w:szCs w:val="24"/>
              </w:rPr>
              <w:t xml:space="preserve">。 </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8、投标人所投货物清单序号71设备黑客攻防控制子模板具有国家版权局颁发的《软件著作权登记证书》，提供加盖厂家公章的证书复印件，得1分，不提供的不得分。</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9、投标人所投货物清单序号73软件模块因本项目要求基于成熟技术平台产品开发，投标人提供智慧社区便民综合服务管理、数字化社区服务管理类信息系统技术专利或软件著作权等技术成熟度证明材料复印件并加盖厂家公章的得1分，不提供的不得分。 </w:t>
            </w:r>
          </w:p>
          <w:p>
            <w:p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10、投标人提供所投货物清单序号79、序号80、序号81</w:t>
            </w:r>
            <w:r>
              <w:rPr>
                <w:rFonts w:ascii="宋体" w:hAnsi="宋体" w:eastAsia="宋体" w:cs="仿宋"/>
                <w:color w:val="000000"/>
                <w:kern w:val="0"/>
                <w:sz w:val="24"/>
                <w:szCs w:val="24"/>
              </w:rPr>
              <w:t>产品制造商具备中国合格评定国家认可委员会实验室认可证书</w:t>
            </w:r>
            <w:r>
              <w:rPr>
                <w:rFonts w:hint="eastAsia" w:ascii="宋体" w:hAnsi="宋体" w:eastAsia="宋体" w:cs="仿宋"/>
                <w:color w:val="000000"/>
                <w:kern w:val="0"/>
                <w:sz w:val="24"/>
                <w:szCs w:val="24"/>
              </w:rPr>
              <w:t>，提供证书复印件并加盖厂家公章的，</w:t>
            </w:r>
            <w:r>
              <w:rPr>
                <w:rFonts w:ascii="宋体" w:hAnsi="宋体" w:eastAsia="宋体" w:cs="仿宋"/>
                <w:color w:val="000000"/>
                <w:kern w:val="0"/>
                <w:sz w:val="24"/>
                <w:szCs w:val="24"/>
              </w:rPr>
              <w:t>得</w:t>
            </w: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分。</w:t>
            </w:r>
            <w:r>
              <w:rPr>
                <w:rFonts w:ascii="宋体" w:hAnsi="宋体" w:eastAsia="宋体" w:cs="仿宋"/>
                <w:color w:val="000000"/>
                <w:kern w:val="0"/>
                <w:sz w:val="24"/>
                <w:szCs w:val="24"/>
              </w:rPr>
              <w:br w:type="textWrapping"/>
            </w:r>
            <w:r>
              <w:rPr>
                <w:rFonts w:hint="eastAsia" w:ascii="宋体" w:hAnsi="宋体" w:eastAsia="宋体" w:cs="仿宋"/>
                <w:color w:val="000000"/>
                <w:kern w:val="0"/>
                <w:sz w:val="24"/>
                <w:szCs w:val="24"/>
              </w:rPr>
              <w:t>11、投标人提供所投货物清单序号79、序号80、序号81</w:t>
            </w:r>
            <w:r>
              <w:rPr>
                <w:rFonts w:ascii="宋体" w:hAnsi="宋体" w:eastAsia="宋体" w:cs="仿宋"/>
                <w:color w:val="000000"/>
                <w:kern w:val="0"/>
                <w:sz w:val="24"/>
                <w:szCs w:val="24"/>
              </w:rPr>
              <w:t>产品制造商具备国家信息安全漏洞库（CNNVD)技术支撑单位等级证书一级，</w:t>
            </w:r>
            <w:r>
              <w:rPr>
                <w:rFonts w:hint="eastAsia" w:ascii="宋体" w:hAnsi="宋体" w:eastAsia="宋体" w:cs="仿宋"/>
                <w:color w:val="000000"/>
                <w:kern w:val="0"/>
                <w:sz w:val="24"/>
                <w:szCs w:val="24"/>
              </w:rPr>
              <w:t>提供证书复印件并加盖厂家公章的，</w:t>
            </w:r>
            <w:r>
              <w:rPr>
                <w:rFonts w:ascii="宋体" w:hAnsi="宋体" w:eastAsia="宋体" w:cs="仿宋"/>
                <w:color w:val="000000"/>
                <w:kern w:val="0"/>
                <w:sz w:val="24"/>
                <w:szCs w:val="24"/>
              </w:rPr>
              <w:t>得</w:t>
            </w: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分。</w:t>
            </w:r>
          </w:p>
          <w:p>
            <w:pPr>
              <w:widowControl/>
              <w:jc w:val="left"/>
              <w:textAlignment w:val="center"/>
              <w:rPr>
                <w:rFonts w:ascii="宋体" w:hAnsi="宋体" w:eastAsia="宋体" w:cs="宋体"/>
                <w:color w:val="000000"/>
                <w:kern w:val="0"/>
                <w:sz w:val="22"/>
              </w:rPr>
            </w:pPr>
            <w:r>
              <w:rPr>
                <w:rFonts w:hint="eastAsia" w:ascii="宋体" w:hAnsi="宋体" w:eastAsia="宋体" w:cs="仿宋"/>
                <w:color w:val="000000"/>
                <w:kern w:val="0"/>
                <w:sz w:val="24"/>
                <w:szCs w:val="24"/>
              </w:rPr>
              <w:t>12、投标人所投货物清单序号20、序号75、序号102设备具备透雾、低照度图像增强处理技术的功能，可自动根据图像白雾或暗光情况下进行特殊数字运算处理，对图像画面进行白雾去除或对光暗画面亮度提升。可还原出图像清晰、色彩亮丽的画面。提供国家权威机构出具的技术证明文件复印件并加盖厂家公章的得1分</w:t>
            </w:r>
            <w:r>
              <w:rPr>
                <w:rFonts w:ascii="宋体" w:hAnsi="宋体" w:eastAsia="宋体" w:cs="仿宋"/>
                <w:color w:val="000000"/>
                <w:kern w:val="0"/>
                <w:sz w:val="24"/>
                <w:szCs w:val="24"/>
              </w:rPr>
              <w:t>，不提供的不得分</w:t>
            </w:r>
            <w:r>
              <w:rPr>
                <w:rFonts w:hint="eastAsia" w:ascii="宋体" w:hAnsi="宋体" w:eastAsia="宋体" w:cs="仿宋"/>
                <w:color w:val="000000"/>
                <w:kern w:val="0"/>
                <w:sz w:val="24"/>
                <w:szCs w:val="24"/>
              </w:rPr>
              <w:t xml:space="preserve"> </w:t>
            </w:r>
          </w:p>
        </w:tc>
        <w:tc>
          <w:tcPr>
            <w:tcW w:w="8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1" w:hRule="atLeast"/>
        </w:trPr>
        <w:tc>
          <w:tcPr>
            <w:tcW w:w="1457" w:type="dxa"/>
            <w:gridSpan w:val="3"/>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售后服务承诺及技术方案</w:t>
            </w:r>
          </w:p>
        </w:tc>
        <w:tc>
          <w:tcPr>
            <w:tcW w:w="641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numPr>
                <w:ilvl w:val="0"/>
                <w:numId w:val="9"/>
              </w:numPr>
              <w:spacing w:line="320" w:lineRule="exact"/>
              <w:rPr>
                <w:rFonts w:ascii="宋体" w:hAnsi="宋体" w:eastAsia="宋体" w:cs="仿宋"/>
                <w:kern w:val="0"/>
                <w:sz w:val="24"/>
                <w:szCs w:val="24"/>
              </w:rPr>
            </w:pPr>
            <w:r>
              <w:rPr>
                <w:rFonts w:hint="eastAsia" w:ascii="宋体" w:hAnsi="宋体" w:eastAsia="宋体" w:cs="仿宋"/>
                <w:kern w:val="0"/>
                <w:sz w:val="24"/>
                <w:szCs w:val="24"/>
              </w:rPr>
              <w:t>投标人对该项目整体提供三年免费质保的得2分，满分2分；</w:t>
            </w:r>
          </w:p>
          <w:p>
            <w:pPr>
              <w:widowControl/>
              <w:numPr>
                <w:ilvl w:val="0"/>
                <w:numId w:val="9"/>
              </w:numPr>
              <w:spacing w:line="320" w:lineRule="exact"/>
              <w:rPr>
                <w:rFonts w:ascii="宋体" w:hAnsi="宋体" w:eastAsia="宋体" w:cs="仿宋"/>
                <w:kern w:val="0"/>
                <w:sz w:val="24"/>
                <w:szCs w:val="24"/>
              </w:rPr>
            </w:pPr>
            <w:r>
              <w:rPr>
                <w:rFonts w:hint="eastAsia" w:ascii="宋体" w:hAnsi="宋体" w:eastAsia="宋体" w:cs="仿宋"/>
                <w:kern w:val="0"/>
                <w:sz w:val="24"/>
                <w:szCs w:val="24"/>
              </w:rPr>
              <w:t>根据投标人提供的运维服务承诺、运维方案完整，并提供免费质保函加盖投标人公章，详细阐述的得3分，有相关描述的得2分，不提的不得分，满分3分。</w:t>
            </w:r>
          </w:p>
          <w:p>
            <w:pPr>
              <w:numPr>
                <w:ilvl w:val="0"/>
                <w:numId w:val="9"/>
              </w:num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社区网络化建设技术方案的科学性，系统的细化考虑周全性，系统安全可靠性，系统的兼容性等方面进行评比分档，优秀得2-3分；良好得1-2分；一般得0-1分。</w:t>
            </w:r>
          </w:p>
          <w:p>
            <w:pPr>
              <w:numPr>
                <w:ilvl w:val="0"/>
                <w:numId w:val="9"/>
              </w:numPr>
              <w:spacing w:line="320" w:lineRule="exact"/>
              <w:rPr>
                <w:rFonts w:ascii="宋体" w:hAnsi="宋体" w:eastAsia="宋体" w:cs="仿宋"/>
                <w:color w:val="000000"/>
                <w:kern w:val="0"/>
                <w:sz w:val="24"/>
                <w:szCs w:val="24"/>
              </w:rPr>
            </w:pPr>
            <w:r>
              <w:rPr>
                <w:rFonts w:hint="eastAsia" w:ascii="宋体" w:hAnsi="宋体" w:eastAsia="宋体" w:cs="仿宋"/>
                <w:color w:val="000000"/>
                <w:kern w:val="0"/>
                <w:sz w:val="24"/>
                <w:szCs w:val="24"/>
              </w:rPr>
              <w:t>治安监控技术方案中详细描述前端产品的性能、通信链路租用保障能力、后台设备的功能和性能、运维服务技术规划，并提供齐全技术证明资料，且方案完整、可行性，技术先进，得8分，良好得5分，一般得3分；</w:t>
            </w:r>
          </w:p>
          <w:p>
            <w:pPr>
              <w:widowControl/>
              <w:spacing w:line="320" w:lineRule="exact"/>
              <w:rPr>
                <w:rFonts w:ascii="宋体" w:hAnsi="宋体" w:eastAsia="宋体" w:cs="仿宋"/>
                <w:color w:val="FF0000"/>
                <w:kern w:val="0"/>
                <w:sz w:val="24"/>
                <w:szCs w:val="24"/>
              </w:rPr>
            </w:pPr>
          </w:p>
        </w:tc>
        <w:tc>
          <w:tcPr>
            <w:tcW w:w="86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color w:val="000000"/>
                <w:kern w:val="0"/>
                <w:sz w:val="24"/>
              </w:rPr>
            </w:pPr>
            <w:r>
              <w:rPr>
                <w:rFonts w:hint="eastAsia" w:ascii="宋体" w:hAnsi="宋体" w:eastAsia="宋体" w:cs="宋体"/>
                <w:color w:val="000000"/>
                <w:kern w:val="0"/>
                <w:sz w:val="24"/>
              </w:rPr>
              <w:t>16分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1" w:hRule="atLeast"/>
        </w:trPr>
        <w:tc>
          <w:tcPr>
            <w:tcW w:w="1457"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投标文件</w:t>
            </w:r>
          </w:p>
          <w:p>
            <w:pPr>
              <w:widowControl/>
              <w:spacing w:line="320" w:lineRule="exact"/>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规范程度</w:t>
            </w:r>
          </w:p>
        </w:tc>
        <w:tc>
          <w:tcPr>
            <w:tcW w:w="641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ascii="宋体" w:hAnsi="宋体" w:eastAsia="宋体" w:cs="仿宋"/>
                <w:color w:val="FF0000"/>
                <w:kern w:val="0"/>
                <w:sz w:val="24"/>
                <w:szCs w:val="24"/>
              </w:rPr>
            </w:pPr>
            <w:r>
              <w:rPr>
                <w:rFonts w:hint="eastAsia" w:ascii="宋体" w:hAnsi="宋体" w:eastAsia="宋体" w:cs="仿宋"/>
                <w:color w:val="000000"/>
                <w:kern w:val="0"/>
                <w:sz w:val="24"/>
                <w:szCs w:val="24"/>
              </w:rPr>
              <w:t>投标文件的编制符合招标文件规定、装订整齐、印刷精美得2分；较好得1分，投标文件编制无目录和页码、排序混乱、空白页和缺篇少页的不得分。</w:t>
            </w:r>
          </w:p>
        </w:tc>
        <w:tc>
          <w:tcPr>
            <w:tcW w:w="86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color w:val="000000"/>
                <w:kern w:val="0"/>
                <w:sz w:val="24"/>
              </w:rPr>
            </w:pPr>
            <w:r>
              <w:rPr>
                <w:rFonts w:hint="eastAsia" w:ascii="宋体" w:hAnsi="宋体" w:eastAsia="宋体" w:cs="宋体"/>
                <w:color w:val="000000"/>
                <w:kern w:val="0"/>
                <w:sz w:val="24"/>
              </w:rPr>
              <w:t>2分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4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20"/>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pStyle w:val="20"/>
        <w:spacing w:line="360" w:lineRule="auto"/>
        <w:contextualSpacing/>
        <w:jc w:val="center"/>
        <w:rPr>
          <w:rFonts w:cs="宋体" w:asciiTheme="majorEastAsia" w:hAnsiTheme="majorEastAsia" w:eastAsiaTheme="majorEastAsia"/>
          <w:b/>
          <w:kern w:val="0"/>
          <w:sz w:val="36"/>
          <w:szCs w:val="36"/>
        </w:rPr>
      </w:pPr>
    </w:p>
    <w:p>
      <w:pPr>
        <w:pStyle w:val="2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2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Cs w:val="21"/>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2530"/>
        <w:contextualSpacing/>
        <w:rPr>
          <w:rFonts w:ascii="Cambria" w:hAnsi="Cambria" w:eastAsia="Cambria" w:cs="宋体"/>
          <w:b/>
          <w:sz w:val="36"/>
          <w:szCs w:val="36"/>
        </w:rPr>
      </w:pPr>
      <w:r>
        <w:rPr>
          <w:rFonts w:hint="eastAsia" w:ascii="宋体" w:hAnsi="宋体" w:eastAsia="宋体" w:cs="宋体"/>
          <w:b/>
          <w:sz w:val="36"/>
          <w:szCs w:val="36"/>
        </w:rPr>
        <w:t>（一）合同一般条款</w:t>
      </w:r>
    </w:p>
    <w:p>
      <w:pPr>
        <w:spacing w:line="360" w:lineRule="auto"/>
        <w:ind w:firstLine="480"/>
        <w:rPr>
          <w:rFonts w:ascii="宋体" w:hAnsi="宋体" w:cs="宋体"/>
          <w:sz w:val="24"/>
        </w:rPr>
      </w:pPr>
      <w:r>
        <w:rPr>
          <w:rFonts w:ascii="宋体" w:hAnsi="宋体" w:cs="宋体"/>
          <w:sz w:val="24"/>
        </w:rPr>
        <w:t xml:space="preserve">1. </w:t>
      </w:r>
      <w:r>
        <w:rPr>
          <w:rFonts w:hint="eastAsia" w:ascii="宋体" w:hAnsi="宋体" w:cs="宋体"/>
          <w:sz w:val="24"/>
        </w:rPr>
        <w:t>定义</w:t>
      </w:r>
    </w:p>
    <w:p>
      <w:pPr>
        <w:spacing w:line="360" w:lineRule="auto"/>
        <w:ind w:firstLine="480"/>
        <w:rPr>
          <w:rFonts w:ascii="宋体" w:hAnsi="宋体" w:cs="宋体"/>
          <w:sz w:val="24"/>
        </w:rPr>
      </w:pPr>
      <w:r>
        <w:rPr>
          <w:rFonts w:ascii="宋体" w:hAnsi="宋体" w:cs="宋体"/>
          <w:sz w:val="24"/>
        </w:rPr>
        <w:t>1.1</w:t>
      </w:r>
      <w:r>
        <w:rPr>
          <w:sz w:val="24"/>
        </w:rPr>
        <w:t>“</w:t>
      </w:r>
      <w:r>
        <w:rPr>
          <w:rFonts w:hint="eastAsia" w:ascii="宋体" w:hAnsi="宋体" w:cs="宋体"/>
          <w:sz w:val="24"/>
        </w:rPr>
        <w:t>合同</w:t>
      </w:r>
      <w:r>
        <w:rPr>
          <w:sz w:val="24"/>
        </w:rPr>
        <w:t>”</w:t>
      </w:r>
      <w:r>
        <w:rPr>
          <w:rFonts w:hint="eastAsia" w:ascii="宋体" w:hAnsi="宋体" w:cs="宋体"/>
          <w:sz w:val="24"/>
        </w:rPr>
        <w:t>系指甲方和乙方（简称合同双方）已达成的协议，即由双方签订的合同格式中的文件，包括所有的附件和组成合同部分的所有其他文件。</w:t>
      </w:r>
    </w:p>
    <w:p>
      <w:pPr>
        <w:spacing w:line="360" w:lineRule="auto"/>
        <w:ind w:firstLine="480"/>
        <w:rPr>
          <w:rFonts w:ascii="宋体" w:hAnsi="宋体" w:cs="宋体"/>
          <w:sz w:val="24"/>
        </w:rPr>
      </w:pPr>
      <w:r>
        <w:rPr>
          <w:rFonts w:ascii="宋体" w:hAnsi="宋体" w:cs="宋体"/>
          <w:sz w:val="24"/>
        </w:rPr>
        <w:t>1.2</w:t>
      </w:r>
      <w:r>
        <w:rPr>
          <w:sz w:val="24"/>
        </w:rPr>
        <w:t>“</w:t>
      </w:r>
      <w:r>
        <w:rPr>
          <w:rFonts w:hint="eastAsia" w:ascii="宋体" w:hAnsi="宋体" w:cs="宋体"/>
          <w:sz w:val="24"/>
        </w:rPr>
        <w:t>合同价格</w:t>
      </w:r>
      <w:r>
        <w:rPr>
          <w:sz w:val="24"/>
        </w:rPr>
        <w:t>”</w:t>
      </w:r>
      <w:r>
        <w:rPr>
          <w:rFonts w:hint="eastAsia" w:ascii="宋体" w:hAnsi="宋体" w:cs="宋体"/>
          <w:sz w:val="24"/>
        </w:rPr>
        <w:t>系指根据合同规定，在乙方全面正确地履行合同义务时应支付给乙方的款项。</w:t>
      </w:r>
    </w:p>
    <w:p>
      <w:pPr>
        <w:spacing w:line="360" w:lineRule="auto"/>
        <w:ind w:firstLine="480"/>
        <w:rPr>
          <w:rFonts w:ascii="宋体" w:hAnsi="宋体" w:cs="宋体"/>
          <w:sz w:val="24"/>
        </w:rPr>
      </w:pPr>
      <w:r>
        <w:rPr>
          <w:rFonts w:ascii="宋体" w:hAnsi="宋体" w:cs="宋体"/>
          <w:sz w:val="24"/>
        </w:rPr>
        <w:t>1.3</w:t>
      </w:r>
      <w:r>
        <w:rPr>
          <w:sz w:val="24"/>
        </w:rPr>
        <w:t>“</w:t>
      </w:r>
      <w:r>
        <w:rPr>
          <w:rFonts w:hint="eastAsia" w:ascii="宋体" w:hAnsi="宋体" w:cs="宋体"/>
          <w:sz w:val="24"/>
        </w:rPr>
        <w:t>甲方</w:t>
      </w:r>
      <w:r>
        <w:rPr>
          <w:sz w:val="24"/>
        </w:rPr>
        <w:t>”</w:t>
      </w:r>
      <w:r>
        <w:rPr>
          <w:rFonts w:hint="eastAsia" w:ascii="宋体" w:hAnsi="宋体" w:cs="宋体"/>
          <w:sz w:val="24"/>
        </w:rPr>
        <w:t>系指通过招标方式，接受合同服务的采购人</w:t>
      </w:r>
    </w:p>
    <w:p>
      <w:pPr>
        <w:spacing w:line="360" w:lineRule="auto"/>
        <w:ind w:firstLine="480"/>
        <w:rPr>
          <w:rFonts w:ascii="宋体" w:hAnsi="宋体" w:cs="宋体"/>
          <w:sz w:val="24"/>
        </w:rPr>
      </w:pPr>
      <w:r>
        <w:rPr>
          <w:rFonts w:ascii="宋体" w:hAnsi="宋体" w:cs="宋体"/>
          <w:sz w:val="24"/>
        </w:rPr>
        <w:t>1.4</w:t>
      </w:r>
      <w:r>
        <w:rPr>
          <w:sz w:val="24"/>
        </w:rPr>
        <w:t>“</w:t>
      </w:r>
      <w:r>
        <w:rPr>
          <w:rFonts w:hint="eastAsia" w:ascii="宋体" w:hAnsi="宋体" w:cs="宋体"/>
          <w:sz w:val="24"/>
        </w:rPr>
        <w:t>乙方</w:t>
      </w:r>
      <w:r>
        <w:rPr>
          <w:sz w:val="24"/>
        </w:rPr>
        <w:t>”</w:t>
      </w:r>
      <w:r>
        <w:rPr>
          <w:rFonts w:hint="eastAsia" w:ascii="宋体" w:hAnsi="宋体" w:cs="宋体"/>
          <w:sz w:val="24"/>
        </w:rPr>
        <w:t>系指中标后提供合同服务的</w:t>
      </w:r>
      <w:r>
        <w:rPr>
          <w:rFonts w:hint="eastAsia" w:ascii="宋体" w:hAnsi="宋体" w:cs="宋体"/>
          <w:bCs/>
          <w:sz w:val="24"/>
        </w:rPr>
        <w:t>中标方</w:t>
      </w:r>
      <w:r>
        <w:rPr>
          <w:rFonts w:hint="eastAsia" w:ascii="宋体" w:hAnsi="宋体" w:cs="宋体"/>
          <w:sz w:val="24"/>
        </w:rPr>
        <w:t>或供应商。</w:t>
      </w:r>
    </w:p>
    <w:p>
      <w:pPr>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适用范围</w:t>
      </w:r>
    </w:p>
    <w:p>
      <w:pPr>
        <w:spacing w:line="360" w:lineRule="auto"/>
        <w:ind w:firstLine="480"/>
        <w:rPr>
          <w:rFonts w:ascii="宋体" w:hAnsi="宋体" w:cs="宋体"/>
          <w:sz w:val="24"/>
        </w:rPr>
      </w:pPr>
      <w:r>
        <w:rPr>
          <w:rFonts w:hint="eastAsia" w:ascii="宋体" w:hAnsi="宋体" w:cs="宋体"/>
          <w:sz w:val="24"/>
        </w:rPr>
        <w:t>本合同条款仅适用于本次招标活动。</w:t>
      </w:r>
    </w:p>
    <w:p>
      <w:pPr>
        <w:spacing w:line="360" w:lineRule="auto"/>
        <w:ind w:firstLine="480"/>
        <w:rPr>
          <w:rFonts w:ascii="宋体" w:hAnsi="宋体" w:cs="宋体"/>
          <w:sz w:val="24"/>
        </w:rPr>
      </w:pPr>
      <w:r>
        <w:rPr>
          <w:rFonts w:ascii="宋体" w:hAnsi="宋体" w:cs="宋体"/>
          <w:sz w:val="24"/>
        </w:rPr>
        <w:t>3.</w:t>
      </w:r>
      <w:r>
        <w:rPr>
          <w:rFonts w:hint="eastAsia" w:ascii="宋体" w:hAnsi="宋体" w:cs="宋体"/>
          <w:sz w:val="24"/>
        </w:rPr>
        <w:t>技术规格和标准</w:t>
      </w:r>
    </w:p>
    <w:p>
      <w:pPr>
        <w:spacing w:line="360" w:lineRule="auto"/>
        <w:ind w:firstLine="480"/>
        <w:rPr>
          <w:rFonts w:ascii="宋体" w:hAnsi="宋体" w:cs="宋体"/>
          <w:sz w:val="24"/>
        </w:rPr>
      </w:pPr>
      <w:r>
        <w:rPr>
          <w:rFonts w:hint="eastAsia" w:ascii="宋体" w:hAnsi="宋体" w:cs="宋体"/>
          <w:sz w:val="24"/>
        </w:rPr>
        <w:t>本合同项下所提供货物设备和服务应与本招标文件规定的标准相一致。</w:t>
      </w:r>
    </w:p>
    <w:p>
      <w:pPr>
        <w:spacing w:line="360" w:lineRule="auto"/>
        <w:ind w:firstLine="480"/>
        <w:rPr>
          <w:rFonts w:ascii="宋体" w:hAnsi="宋体" w:cs="宋体"/>
          <w:sz w:val="24"/>
        </w:rPr>
      </w:pPr>
      <w:r>
        <w:rPr>
          <w:rFonts w:ascii="宋体" w:hAnsi="宋体" w:cs="宋体"/>
          <w:sz w:val="24"/>
        </w:rPr>
        <w:t>4.</w:t>
      </w:r>
      <w:r>
        <w:rPr>
          <w:rFonts w:hint="eastAsia" w:ascii="宋体" w:hAnsi="宋体" w:cs="宋体"/>
          <w:sz w:val="24"/>
        </w:rPr>
        <w:t>合同期限</w:t>
      </w:r>
    </w:p>
    <w:p>
      <w:pPr>
        <w:spacing w:line="360" w:lineRule="auto"/>
        <w:ind w:firstLine="480"/>
        <w:rPr>
          <w:rFonts w:ascii="宋体" w:hAnsi="宋体" w:cs="宋体"/>
          <w:sz w:val="24"/>
        </w:rPr>
      </w:pPr>
      <w:r>
        <w:rPr>
          <w:rFonts w:hint="eastAsia" w:ascii="宋体" w:hAnsi="宋体" w:cs="宋体"/>
          <w:sz w:val="24"/>
        </w:rPr>
        <w:t>即自</w:t>
      </w:r>
      <w:r>
        <w:rPr>
          <w:rFonts w:ascii="宋体" w:hAnsi="宋体" w:cs="宋体"/>
          <w:sz w:val="24"/>
        </w:rPr>
        <w:tab/>
      </w:r>
      <w:r>
        <w:rPr>
          <w:rFonts w:hint="eastAsia" w:ascii="宋体" w:hAnsi="宋体" w:cs="宋体"/>
          <w:sz w:val="24"/>
        </w:rPr>
        <w:t>年</w:t>
      </w:r>
      <w:r>
        <w:rPr>
          <w:rFonts w:ascii="宋体" w:hAnsi="宋体" w:cs="宋体"/>
          <w:sz w:val="24"/>
        </w:rPr>
        <w:tab/>
      </w:r>
      <w:r>
        <w:rPr>
          <w:rFonts w:hint="eastAsia" w:ascii="宋体" w:hAnsi="宋体" w:cs="宋体"/>
          <w:sz w:val="24"/>
        </w:rPr>
        <w:t>月</w:t>
      </w:r>
      <w:r>
        <w:rPr>
          <w:rFonts w:ascii="宋体" w:hAnsi="宋体" w:cs="宋体"/>
          <w:sz w:val="24"/>
        </w:rPr>
        <w:tab/>
      </w:r>
      <w:r>
        <w:rPr>
          <w:rFonts w:hint="eastAsia" w:ascii="宋体" w:hAnsi="宋体" w:cs="宋体"/>
          <w:sz w:val="24"/>
        </w:rPr>
        <w:t>日起至</w:t>
      </w:r>
      <w:r>
        <w:rPr>
          <w:rFonts w:ascii="宋体" w:hAnsi="宋体" w:cs="宋体"/>
          <w:sz w:val="24"/>
        </w:rPr>
        <w:tab/>
      </w:r>
      <w:r>
        <w:rPr>
          <w:rFonts w:hint="eastAsia" w:ascii="宋体" w:hAnsi="宋体" w:cs="宋体"/>
          <w:sz w:val="24"/>
        </w:rPr>
        <w:t>年</w:t>
      </w:r>
      <w:r>
        <w:rPr>
          <w:rFonts w:ascii="宋体" w:hAnsi="宋体" w:cs="宋体"/>
          <w:sz w:val="24"/>
        </w:rPr>
        <w:tab/>
      </w:r>
      <w:r>
        <w:rPr>
          <w:rFonts w:hint="eastAsia" w:ascii="宋体" w:hAnsi="宋体" w:cs="宋体"/>
          <w:sz w:val="24"/>
        </w:rPr>
        <w:t>月</w:t>
      </w:r>
      <w:r>
        <w:rPr>
          <w:rFonts w:ascii="宋体" w:hAnsi="宋体" w:cs="宋体"/>
          <w:sz w:val="24"/>
        </w:rPr>
        <w:tab/>
      </w:r>
      <w:r>
        <w:rPr>
          <w:rFonts w:hint="eastAsia" w:ascii="宋体" w:hAnsi="宋体" w:cs="宋体"/>
          <w:sz w:val="24"/>
        </w:rPr>
        <w:t>日止。</w:t>
      </w:r>
    </w:p>
    <w:p>
      <w:pPr>
        <w:spacing w:line="360" w:lineRule="auto"/>
        <w:ind w:firstLine="480"/>
        <w:rPr>
          <w:rFonts w:ascii="宋体" w:hAnsi="宋体" w:cs="宋体"/>
          <w:sz w:val="24"/>
        </w:rPr>
      </w:pPr>
      <w:r>
        <w:rPr>
          <w:rFonts w:ascii="宋体" w:hAnsi="宋体" w:cs="宋体"/>
          <w:sz w:val="24"/>
        </w:rPr>
        <w:t>5.</w:t>
      </w:r>
      <w:r>
        <w:rPr>
          <w:rFonts w:hint="eastAsia" w:ascii="宋体" w:hAnsi="宋体" w:cs="宋体"/>
          <w:sz w:val="24"/>
        </w:rPr>
        <w:t>价格</w:t>
      </w:r>
    </w:p>
    <w:p>
      <w:pPr>
        <w:spacing w:line="360" w:lineRule="auto"/>
        <w:ind w:firstLine="480"/>
        <w:rPr>
          <w:rFonts w:ascii="宋体" w:hAnsi="宋体" w:cs="宋体"/>
          <w:sz w:val="24"/>
        </w:rPr>
      </w:pPr>
      <w:r>
        <w:rPr>
          <w:rFonts w:hint="eastAsia" w:ascii="宋体" w:hAnsi="宋体" w:cs="宋体"/>
          <w:sz w:val="24"/>
        </w:rPr>
        <w:t>除非合同中另有规定，乙方为其所提供货物设备和服务而要求甲方支付的金额应与其投标报价一致。</w:t>
      </w:r>
    </w:p>
    <w:p>
      <w:pPr>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索赔</w:t>
      </w:r>
    </w:p>
    <w:p>
      <w:pPr>
        <w:spacing w:line="360" w:lineRule="auto"/>
        <w:ind w:firstLine="480"/>
        <w:rPr>
          <w:rFonts w:ascii="宋体" w:hAnsi="宋体" w:cs="宋体"/>
          <w:sz w:val="24"/>
        </w:rPr>
      </w:pPr>
      <w:r>
        <w:rPr>
          <w:rFonts w:ascii="宋体" w:hAnsi="宋体" w:cs="宋体"/>
          <w:sz w:val="24"/>
        </w:rPr>
        <w:t>6.1</w:t>
      </w:r>
      <w:r>
        <w:rPr>
          <w:rFonts w:hint="eastAsia" w:ascii="宋体" w:hAnsi="宋体" w:cs="宋体"/>
          <w:sz w:val="24"/>
        </w:rPr>
        <w:t>乙方对所提供货物设备和服务与合同要求不符负有责任，并且甲方已于合同规定的期限内提出索赔，乙方应按甲方同意的下述一种或多种方法解决索赔事宜。</w:t>
      </w:r>
    </w:p>
    <w:p>
      <w:pPr>
        <w:spacing w:line="360" w:lineRule="auto"/>
        <w:ind w:firstLine="480"/>
        <w:rPr>
          <w:rFonts w:ascii="宋体" w:hAnsi="宋体" w:cs="宋体"/>
          <w:sz w:val="24"/>
        </w:rPr>
      </w:pPr>
      <w:r>
        <w:rPr>
          <w:rFonts w:ascii="宋体" w:hAnsi="宋体" w:cs="宋体"/>
          <w:sz w:val="24"/>
        </w:rPr>
        <w:t>6.1.1</w:t>
      </w:r>
      <w:r>
        <w:rPr>
          <w:rFonts w:hint="eastAsia" w:ascii="宋体" w:hAnsi="宋体" w:cs="宋体"/>
          <w:sz w:val="24"/>
        </w:rPr>
        <w:t>乙方同意甲方取消其不符合要求的货物设备和服务项目，退还已经收取的该类货物设备的货款。</w:t>
      </w:r>
    </w:p>
    <w:p>
      <w:pPr>
        <w:spacing w:line="360" w:lineRule="auto"/>
        <w:ind w:firstLine="480"/>
        <w:rPr>
          <w:rFonts w:ascii="宋体" w:hAnsi="宋体" w:cs="宋体"/>
          <w:sz w:val="24"/>
        </w:rPr>
      </w:pPr>
      <w:r>
        <w:rPr>
          <w:rFonts w:ascii="宋体" w:hAnsi="宋体" w:cs="宋体"/>
          <w:sz w:val="24"/>
        </w:rPr>
        <w:t>6.1.2</w:t>
      </w:r>
      <w:r>
        <w:rPr>
          <w:rFonts w:hint="eastAsia" w:ascii="宋体" w:hAnsi="宋体" w:cs="宋体"/>
          <w:sz w:val="24"/>
        </w:rPr>
        <w:t>对于情节严重、造成甲方损失金额巨大的，同意甲方终止全部项目合同，并赔偿甲方因此造成的损失。</w:t>
      </w:r>
    </w:p>
    <w:p>
      <w:pPr>
        <w:spacing w:line="360" w:lineRule="auto"/>
        <w:ind w:firstLine="480"/>
        <w:rPr>
          <w:rFonts w:ascii="宋体" w:hAnsi="宋体" w:cs="宋体"/>
          <w:sz w:val="24"/>
        </w:rPr>
      </w:pPr>
      <w:r>
        <w:rPr>
          <w:rFonts w:ascii="宋体" w:hAnsi="宋体" w:cs="宋体"/>
          <w:sz w:val="24"/>
        </w:rPr>
        <w:t xml:space="preserve">6.2 </w:t>
      </w:r>
      <w:r>
        <w:rPr>
          <w:rFonts w:hint="eastAsia" w:ascii="宋体" w:hAnsi="宋体" w:cs="宋体"/>
          <w:sz w:val="24"/>
        </w:rPr>
        <w:t>如果甲方提出索赔通知后</w:t>
      </w:r>
      <w:r>
        <w:rPr>
          <w:rFonts w:ascii="宋体" w:hAnsi="宋体" w:cs="宋体"/>
          <w:sz w:val="24"/>
        </w:rPr>
        <w:t xml:space="preserve"> 30</w:t>
      </w:r>
      <w:r>
        <w:rPr>
          <w:rFonts w:hint="eastAsia" w:ascii="宋体" w:hAnsi="宋体" w:cs="宋体"/>
          <w:sz w:val="24"/>
        </w:rPr>
        <w:t>天内乙方未能予以签复，该索赔应视为已被乙方接受。若乙方未能在甲方提出索赔通知的</w:t>
      </w:r>
      <w:r>
        <w:rPr>
          <w:rFonts w:ascii="宋体" w:hAnsi="宋体" w:cs="宋体"/>
          <w:sz w:val="24"/>
        </w:rPr>
        <w:t xml:space="preserve"> 30</w:t>
      </w:r>
      <w:r>
        <w:rPr>
          <w:rFonts w:hint="eastAsia" w:ascii="宋体" w:hAnsi="宋体" w:cs="宋体"/>
          <w:sz w:val="24"/>
        </w:rPr>
        <w:t>天内或甲方同意的更长一些的时间内，按甲方同意的上述任何一种方式处理索赔事宜，甲方将乙方提供的履约保证金中扣回索赔金额，同时保留进一步要求赔偿的权利。</w:t>
      </w:r>
    </w:p>
    <w:p>
      <w:pPr>
        <w:spacing w:line="360" w:lineRule="auto"/>
        <w:ind w:firstLine="480"/>
        <w:rPr>
          <w:rFonts w:ascii="宋体" w:hAnsi="宋体" w:cs="宋体"/>
          <w:sz w:val="24"/>
        </w:rPr>
      </w:pPr>
      <w:r>
        <w:rPr>
          <w:rFonts w:ascii="宋体" w:hAnsi="宋体" w:cs="宋体"/>
          <w:sz w:val="24"/>
        </w:rPr>
        <w:t>7.</w:t>
      </w:r>
      <w:r>
        <w:rPr>
          <w:rFonts w:hint="eastAsia" w:ascii="宋体" w:hAnsi="宋体" w:cs="宋体"/>
          <w:sz w:val="24"/>
        </w:rPr>
        <w:t>不可抗力</w:t>
      </w:r>
    </w:p>
    <w:p>
      <w:pPr>
        <w:spacing w:line="360" w:lineRule="auto"/>
        <w:ind w:firstLine="480"/>
        <w:rPr>
          <w:rFonts w:ascii="宋体" w:hAnsi="宋体" w:cs="宋体"/>
          <w:sz w:val="24"/>
        </w:rPr>
      </w:pPr>
      <w:r>
        <w:rPr>
          <w:rFonts w:ascii="宋体" w:hAnsi="宋体" w:cs="宋体"/>
          <w:sz w:val="24"/>
        </w:rPr>
        <w:t>7.1</w:t>
      </w:r>
      <w:r>
        <w:rPr>
          <w:rFonts w:hint="eastAsia" w:ascii="宋体" w:hAnsi="宋体" w:cs="宋体"/>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rPr>
          <w:rFonts w:ascii="宋体" w:hAnsi="宋体" w:cs="宋体"/>
          <w:sz w:val="24"/>
        </w:rPr>
      </w:pPr>
      <w:r>
        <w:rPr>
          <w:rFonts w:ascii="宋体" w:hAnsi="宋体" w:cs="宋体"/>
          <w:sz w:val="24"/>
        </w:rPr>
        <w:t>7.2</w:t>
      </w:r>
      <w:r>
        <w:rPr>
          <w:rFonts w:hint="eastAsia" w:ascii="宋体" w:hAnsi="宋体" w:cs="宋体"/>
          <w:sz w:val="24"/>
        </w:rPr>
        <w:t>受损一方应在不可抗力事故发生后尽快用电报、传真或电传通知对方，并于事故发生后</w:t>
      </w:r>
      <w:r>
        <w:rPr>
          <w:rFonts w:ascii="宋体" w:hAnsi="宋体" w:cs="宋体"/>
          <w:sz w:val="24"/>
        </w:rPr>
        <w:t xml:space="preserve"> 14</w:t>
      </w:r>
      <w:r>
        <w:rPr>
          <w:rFonts w:hint="eastAsia" w:ascii="宋体" w:hAnsi="宋体" w:cs="宋体"/>
          <w:sz w:val="24"/>
        </w:rPr>
        <w:t>天内将有关部门出具的证明文件用特快专递或挂号信寄给对方审阅确认。一旦不可抗力事故的影响持续</w:t>
      </w:r>
      <w:r>
        <w:rPr>
          <w:rFonts w:ascii="宋体" w:hAnsi="宋体" w:cs="宋体"/>
          <w:sz w:val="24"/>
        </w:rPr>
        <w:t xml:space="preserve"> 60</w:t>
      </w:r>
      <w:r>
        <w:rPr>
          <w:rFonts w:hint="eastAsia" w:ascii="宋体" w:hAnsi="宋体" w:cs="宋体"/>
          <w:sz w:val="24"/>
        </w:rPr>
        <w:t>天以上，双方应通过友好协商，在合理的时间内达成进一步履行合同的协议。</w:t>
      </w:r>
    </w:p>
    <w:p>
      <w:pPr>
        <w:spacing w:line="360" w:lineRule="auto"/>
        <w:ind w:firstLine="480"/>
        <w:rPr>
          <w:rFonts w:ascii="宋体" w:hAnsi="宋体" w:cs="宋体"/>
          <w:sz w:val="24"/>
        </w:rPr>
      </w:pPr>
      <w:r>
        <w:rPr>
          <w:rFonts w:ascii="宋体" w:hAnsi="宋体" w:cs="宋体"/>
          <w:sz w:val="24"/>
        </w:rPr>
        <w:t>8.</w:t>
      </w:r>
      <w:r>
        <w:rPr>
          <w:rFonts w:hint="eastAsia" w:ascii="宋体" w:hAnsi="宋体" w:cs="宋体"/>
          <w:sz w:val="24"/>
        </w:rPr>
        <w:t>履约保证金</w:t>
      </w:r>
    </w:p>
    <w:p>
      <w:pPr>
        <w:spacing w:line="360" w:lineRule="auto"/>
        <w:ind w:firstLine="480"/>
        <w:rPr>
          <w:rFonts w:ascii="宋体" w:hAnsi="宋体" w:cs="宋体"/>
          <w:sz w:val="24"/>
        </w:rPr>
      </w:pPr>
      <w:r>
        <w:rPr>
          <w:rFonts w:ascii="宋体" w:hAnsi="宋体" w:cs="宋体"/>
          <w:sz w:val="24"/>
        </w:rPr>
        <w:t>8.1</w:t>
      </w:r>
      <w:r>
        <w:rPr>
          <w:rFonts w:hint="eastAsia" w:ascii="宋体" w:hAnsi="宋体" w:cs="宋体"/>
          <w:sz w:val="24"/>
        </w:rPr>
        <w:t>履约保证金的有效期至供货完毕且验收合格。</w:t>
      </w:r>
    </w:p>
    <w:p>
      <w:pPr>
        <w:spacing w:line="360" w:lineRule="auto"/>
        <w:ind w:firstLine="480"/>
        <w:rPr>
          <w:rFonts w:ascii="宋体" w:hAnsi="宋体" w:cs="宋体"/>
          <w:sz w:val="24"/>
        </w:rPr>
      </w:pPr>
      <w:r>
        <w:rPr>
          <w:rFonts w:ascii="宋体" w:hAnsi="宋体" w:cs="宋体"/>
          <w:sz w:val="24"/>
        </w:rPr>
        <w:t>8.2</w:t>
      </w:r>
      <w:r>
        <w:rPr>
          <w:rFonts w:hint="eastAsia" w:ascii="宋体" w:hAnsi="宋体" w:cs="宋体"/>
          <w:sz w:val="24"/>
        </w:rPr>
        <w:t>乙方提供的履约保证金按规定格式转帐支票、电汇的形式提供，与此有关的费用由乙方负担。</w:t>
      </w:r>
    </w:p>
    <w:p>
      <w:pPr>
        <w:spacing w:line="360" w:lineRule="auto"/>
        <w:ind w:firstLine="480"/>
        <w:rPr>
          <w:rFonts w:ascii="宋体" w:hAnsi="宋体" w:cs="宋体"/>
          <w:sz w:val="24"/>
        </w:rPr>
      </w:pPr>
      <w:r>
        <w:rPr>
          <w:rFonts w:ascii="宋体" w:hAnsi="宋体" w:cs="宋体"/>
          <w:sz w:val="24"/>
        </w:rPr>
        <w:t>8.4</w:t>
      </w:r>
      <w:r>
        <w:rPr>
          <w:rFonts w:hint="eastAsia" w:ascii="宋体" w:hAnsi="宋体" w:cs="宋体"/>
          <w:sz w:val="24"/>
        </w:rPr>
        <w:t>如果乙方未能按合同规定履行其义务，甲方有权从履约保证金取得补偿。</w:t>
      </w:r>
    </w:p>
    <w:p>
      <w:pPr>
        <w:spacing w:line="360" w:lineRule="auto"/>
        <w:ind w:firstLine="480"/>
        <w:rPr>
          <w:rFonts w:ascii="宋体" w:hAnsi="宋体" w:cs="宋体"/>
          <w:sz w:val="24"/>
        </w:rPr>
      </w:pPr>
      <w:r>
        <w:rPr>
          <w:rFonts w:ascii="宋体" w:hAnsi="宋体" w:cs="宋体"/>
          <w:sz w:val="24"/>
        </w:rPr>
        <w:t>9.</w:t>
      </w:r>
      <w:r>
        <w:rPr>
          <w:rFonts w:hint="eastAsia" w:ascii="宋体" w:hAnsi="宋体" w:cs="宋体"/>
          <w:sz w:val="24"/>
        </w:rPr>
        <w:t>争议的解决</w:t>
      </w:r>
    </w:p>
    <w:p>
      <w:pPr>
        <w:spacing w:line="360" w:lineRule="auto"/>
        <w:ind w:firstLine="480"/>
        <w:rPr>
          <w:rFonts w:ascii="宋体" w:hAnsi="宋体" w:cs="宋体"/>
          <w:sz w:val="24"/>
        </w:rPr>
      </w:pPr>
      <w:r>
        <w:rPr>
          <w:rFonts w:ascii="宋体" w:hAnsi="宋体" w:cs="宋体"/>
          <w:sz w:val="24"/>
        </w:rPr>
        <w:t>9.1</w:t>
      </w:r>
      <w:r>
        <w:rPr>
          <w:rFonts w:hint="eastAsia" w:ascii="宋体" w:hAnsi="宋体" w:cs="宋体"/>
          <w:sz w:val="24"/>
        </w:rPr>
        <w:t>在执行合同中发生的与本合同有关的争端，双方应通过友好协商解决，经协商在</w:t>
      </w:r>
      <w:r>
        <w:rPr>
          <w:rFonts w:ascii="宋体" w:hAnsi="宋体" w:cs="宋体"/>
          <w:sz w:val="24"/>
        </w:rPr>
        <w:t xml:space="preserve"> 60</w:t>
      </w:r>
      <w:r>
        <w:rPr>
          <w:rFonts w:hint="eastAsia" w:ascii="宋体" w:hAnsi="宋体" w:cs="宋体"/>
          <w:sz w:val="24"/>
        </w:rPr>
        <w:t>天内不能达成协议时，应提交仲裁。</w:t>
      </w:r>
    </w:p>
    <w:p>
      <w:pPr>
        <w:spacing w:line="360" w:lineRule="auto"/>
        <w:ind w:firstLine="480"/>
        <w:rPr>
          <w:rFonts w:ascii="宋体" w:hAnsi="宋体" w:cs="宋体"/>
          <w:sz w:val="24"/>
        </w:rPr>
      </w:pPr>
      <w:r>
        <w:rPr>
          <w:rFonts w:ascii="宋体" w:hAnsi="宋体" w:cs="宋体"/>
          <w:sz w:val="24"/>
        </w:rPr>
        <w:t xml:space="preserve">9.2 </w:t>
      </w:r>
      <w:r>
        <w:rPr>
          <w:rFonts w:hint="eastAsia" w:ascii="宋体" w:hAnsi="宋体" w:cs="宋体"/>
          <w:sz w:val="24"/>
        </w:rPr>
        <w:t>提交正式仲裁的争端属涉外的，应在北京或中国国内其他地点，由指定的国际经济仲裁委员会根据该委员会的仲裁程序或规则予以最终裁决。</w:t>
      </w:r>
    </w:p>
    <w:p>
      <w:pPr>
        <w:spacing w:line="360" w:lineRule="auto"/>
        <w:ind w:firstLine="480"/>
        <w:rPr>
          <w:rFonts w:ascii="宋体" w:hAnsi="宋体" w:cs="宋体"/>
          <w:sz w:val="24"/>
        </w:rPr>
      </w:pPr>
      <w:r>
        <w:rPr>
          <w:rFonts w:ascii="宋体" w:hAnsi="宋体" w:cs="宋体"/>
          <w:sz w:val="24"/>
        </w:rPr>
        <w:t xml:space="preserve">9.3 </w:t>
      </w:r>
      <w:r>
        <w:rPr>
          <w:rFonts w:hint="eastAsia" w:ascii="宋体" w:hAnsi="宋体" w:cs="宋体"/>
          <w:sz w:val="24"/>
        </w:rPr>
        <w:t>合同双方均为国内法人的，其争端的仲裁应由合同发生地许昌仲裁委员会根据其仲裁程序进行。</w:t>
      </w:r>
    </w:p>
    <w:p>
      <w:pPr>
        <w:spacing w:line="360" w:lineRule="auto"/>
        <w:ind w:firstLine="480"/>
        <w:rPr>
          <w:rFonts w:ascii="宋体" w:hAnsi="宋体" w:cs="宋体"/>
          <w:sz w:val="24"/>
        </w:rPr>
      </w:pPr>
      <w:r>
        <w:rPr>
          <w:rFonts w:ascii="宋体" w:hAnsi="宋体" w:cs="宋体"/>
          <w:sz w:val="24"/>
        </w:rPr>
        <w:t xml:space="preserve">9.4 </w:t>
      </w:r>
      <w:r>
        <w:rPr>
          <w:rFonts w:hint="eastAsia" w:ascii="宋体" w:hAnsi="宋体" w:cs="宋体"/>
          <w:sz w:val="24"/>
        </w:rPr>
        <w:t>仲裁裁决应为最终决定，并对双方具有约束力。</w:t>
      </w:r>
    </w:p>
    <w:p>
      <w:pPr>
        <w:spacing w:line="360" w:lineRule="auto"/>
        <w:ind w:firstLine="480"/>
        <w:rPr>
          <w:rFonts w:ascii="宋体" w:hAnsi="宋体" w:cs="宋体"/>
          <w:sz w:val="24"/>
        </w:rPr>
      </w:pPr>
      <w:r>
        <w:rPr>
          <w:rFonts w:ascii="宋体" w:hAnsi="宋体" w:cs="宋体"/>
          <w:sz w:val="24"/>
        </w:rPr>
        <w:t xml:space="preserve">9.5 </w:t>
      </w:r>
      <w:r>
        <w:rPr>
          <w:rFonts w:hint="eastAsia" w:ascii="宋体" w:hAnsi="宋体" w:cs="宋体"/>
          <w:sz w:val="24"/>
        </w:rPr>
        <w:t>除另有裁决外，仲裁费应由败诉方负担。</w:t>
      </w:r>
    </w:p>
    <w:p>
      <w:pPr>
        <w:spacing w:line="360" w:lineRule="auto"/>
        <w:ind w:firstLine="480"/>
        <w:rPr>
          <w:rFonts w:ascii="宋体" w:hAnsi="宋体" w:cs="宋体"/>
          <w:sz w:val="24"/>
        </w:rPr>
      </w:pPr>
      <w:r>
        <w:rPr>
          <w:rFonts w:ascii="宋体" w:hAnsi="宋体" w:cs="宋体"/>
          <w:sz w:val="24"/>
        </w:rPr>
        <w:t xml:space="preserve">9.6 </w:t>
      </w:r>
      <w:r>
        <w:rPr>
          <w:rFonts w:hint="eastAsia" w:ascii="宋体" w:hAnsi="宋体" w:cs="宋体"/>
          <w:sz w:val="24"/>
        </w:rPr>
        <w:t>在仲裁期间，除正在进行的仲裁部分外，合同其他部分继续执行。</w:t>
      </w:r>
    </w:p>
    <w:p>
      <w:pPr>
        <w:spacing w:line="360" w:lineRule="auto"/>
        <w:ind w:firstLine="480"/>
        <w:rPr>
          <w:rFonts w:ascii="宋体" w:hAnsi="宋体" w:cs="宋体"/>
          <w:sz w:val="24"/>
        </w:rPr>
      </w:pPr>
      <w:r>
        <w:rPr>
          <w:rFonts w:ascii="宋体" w:hAnsi="宋体" w:cs="宋体"/>
          <w:sz w:val="24"/>
        </w:rPr>
        <w:t>10.</w:t>
      </w:r>
      <w:r>
        <w:rPr>
          <w:rFonts w:hint="eastAsia" w:ascii="宋体" w:hAnsi="宋体" w:cs="宋体"/>
          <w:sz w:val="24"/>
        </w:rPr>
        <w:t>合同终止</w:t>
      </w:r>
    </w:p>
    <w:p>
      <w:pPr>
        <w:spacing w:line="360" w:lineRule="auto"/>
        <w:ind w:firstLine="480"/>
        <w:rPr>
          <w:rFonts w:ascii="宋体" w:hAnsi="宋体" w:cs="宋体"/>
          <w:sz w:val="24"/>
        </w:rPr>
      </w:pPr>
      <w:r>
        <w:rPr>
          <w:rFonts w:ascii="宋体" w:hAnsi="宋体" w:cs="宋体"/>
          <w:sz w:val="24"/>
        </w:rPr>
        <w:t>10.1</w:t>
      </w:r>
      <w:r>
        <w:rPr>
          <w:rFonts w:hint="eastAsia" w:ascii="宋体" w:hAnsi="宋体" w:cs="宋体"/>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rPr>
          <w:rFonts w:ascii="宋体" w:hAnsi="宋体" w:cs="宋体"/>
          <w:sz w:val="24"/>
        </w:rPr>
      </w:pPr>
      <w:r>
        <w:rPr>
          <w:rFonts w:ascii="宋体" w:hAnsi="宋体" w:cs="宋体"/>
          <w:sz w:val="24"/>
        </w:rPr>
        <w:t xml:space="preserve">10.2 </w:t>
      </w:r>
      <w:r>
        <w:rPr>
          <w:rFonts w:hint="eastAsia" w:ascii="宋体" w:hAnsi="宋体" w:cs="宋体"/>
          <w:sz w:val="24"/>
        </w:rPr>
        <w:t>出现下列情况时合同自动终止：</w:t>
      </w:r>
    </w:p>
    <w:p>
      <w:pPr>
        <w:spacing w:line="360" w:lineRule="auto"/>
        <w:ind w:firstLine="480"/>
        <w:rPr>
          <w:rFonts w:ascii="宋体" w:hAnsi="宋体" w:cs="宋体"/>
          <w:sz w:val="24"/>
        </w:rPr>
      </w:pPr>
      <w:r>
        <w:rPr>
          <w:rFonts w:ascii="宋体" w:hAnsi="宋体" w:cs="宋体"/>
          <w:sz w:val="24"/>
        </w:rPr>
        <w:t>10.2.1</w:t>
      </w:r>
      <w:r>
        <w:rPr>
          <w:rFonts w:hint="eastAsia" w:ascii="宋体" w:hAnsi="宋体" w:cs="宋体"/>
          <w:sz w:val="24"/>
        </w:rPr>
        <w:t>发生不可抗力时。</w:t>
      </w:r>
    </w:p>
    <w:p>
      <w:pPr>
        <w:spacing w:line="360" w:lineRule="auto"/>
        <w:ind w:firstLine="480"/>
        <w:rPr>
          <w:rFonts w:ascii="宋体" w:hAnsi="宋体" w:cs="宋体"/>
          <w:sz w:val="24"/>
        </w:rPr>
      </w:pPr>
      <w:r>
        <w:rPr>
          <w:rFonts w:ascii="宋体" w:hAnsi="宋体" w:cs="宋体"/>
          <w:sz w:val="24"/>
        </w:rPr>
        <w:t>10.2.2</w:t>
      </w:r>
      <w:r>
        <w:rPr>
          <w:rFonts w:hint="eastAsia" w:ascii="宋体" w:hAnsi="宋体" w:cs="宋体"/>
          <w:sz w:val="24"/>
        </w:rPr>
        <w:t>一方不履行合同条款，造成另一方无法执行合同协议，协商又不能求得解决，合同终止，责任方赔偿损失。</w:t>
      </w:r>
    </w:p>
    <w:p>
      <w:pPr>
        <w:spacing w:line="360" w:lineRule="auto"/>
        <w:ind w:firstLine="480"/>
        <w:rPr>
          <w:rFonts w:ascii="宋体" w:hAnsi="宋体" w:cs="宋体"/>
          <w:sz w:val="24"/>
        </w:rPr>
      </w:pPr>
      <w:r>
        <w:rPr>
          <w:rFonts w:ascii="宋体" w:hAnsi="宋体" w:cs="宋体"/>
          <w:sz w:val="24"/>
        </w:rPr>
        <w:t>11.</w:t>
      </w:r>
      <w:r>
        <w:rPr>
          <w:rFonts w:hint="eastAsia" w:ascii="宋体" w:hAnsi="宋体" w:cs="宋体"/>
          <w:sz w:val="24"/>
        </w:rPr>
        <w:t>合同修改</w:t>
      </w:r>
    </w:p>
    <w:p>
      <w:pPr>
        <w:spacing w:line="360" w:lineRule="auto"/>
        <w:ind w:firstLine="480"/>
        <w:rPr>
          <w:rFonts w:ascii="宋体" w:hAnsi="宋体" w:cs="宋体"/>
          <w:sz w:val="24"/>
        </w:rPr>
      </w:pPr>
      <w:r>
        <w:rPr>
          <w:rFonts w:hint="eastAsia" w:ascii="宋体" w:hAnsi="宋体" w:cs="宋体"/>
          <w:sz w:val="24"/>
        </w:rPr>
        <w:t>对于合同的未尽事宜，需进行修改、补充和完善的，甲乙双方必须就所修改的内容签订书面的合同修改书，作为合同的补充协议。</w:t>
      </w:r>
    </w:p>
    <w:p>
      <w:pPr>
        <w:spacing w:line="360" w:lineRule="auto"/>
        <w:ind w:firstLine="480"/>
        <w:rPr>
          <w:rFonts w:ascii="宋体" w:hAnsi="宋体" w:cs="宋体"/>
          <w:sz w:val="24"/>
        </w:rPr>
      </w:pPr>
      <w:r>
        <w:rPr>
          <w:rFonts w:ascii="宋体" w:hAnsi="宋体" w:cs="宋体"/>
          <w:sz w:val="24"/>
        </w:rPr>
        <w:t>12.</w:t>
      </w:r>
      <w:r>
        <w:rPr>
          <w:rFonts w:hint="eastAsia" w:ascii="宋体" w:hAnsi="宋体" w:cs="宋体"/>
          <w:sz w:val="24"/>
        </w:rPr>
        <w:t>适用法律</w:t>
      </w:r>
    </w:p>
    <w:p>
      <w:pPr>
        <w:spacing w:line="360" w:lineRule="auto"/>
        <w:ind w:firstLine="480"/>
        <w:rPr>
          <w:rFonts w:ascii="宋体" w:hAnsi="宋体" w:cs="宋体"/>
          <w:sz w:val="24"/>
        </w:rPr>
      </w:pPr>
      <w:r>
        <w:rPr>
          <w:rFonts w:hint="eastAsia" w:ascii="宋体" w:hAnsi="宋体" w:cs="宋体"/>
          <w:sz w:val="24"/>
        </w:rPr>
        <w:t>本合同应按中华人民共和国的法律解释。</w:t>
      </w:r>
    </w:p>
    <w:p>
      <w:pPr>
        <w:spacing w:line="360" w:lineRule="auto"/>
        <w:ind w:firstLine="480"/>
        <w:rPr>
          <w:rFonts w:ascii="宋体" w:hAnsi="宋体" w:cs="宋体"/>
          <w:sz w:val="24"/>
        </w:rPr>
      </w:pPr>
      <w:r>
        <w:rPr>
          <w:rFonts w:ascii="宋体" w:hAnsi="宋体" w:cs="宋体"/>
          <w:sz w:val="24"/>
        </w:rPr>
        <w:t>13.</w:t>
      </w:r>
      <w:r>
        <w:rPr>
          <w:rFonts w:hint="eastAsia" w:ascii="宋体" w:hAnsi="宋体" w:cs="宋体"/>
          <w:sz w:val="24"/>
        </w:rPr>
        <w:t>主导语言与计量单位</w:t>
      </w:r>
    </w:p>
    <w:p>
      <w:pPr>
        <w:spacing w:line="360" w:lineRule="auto"/>
        <w:ind w:firstLine="480"/>
        <w:rPr>
          <w:rFonts w:ascii="宋体" w:hAnsi="宋体" w:cs="宋体"/>
          <w:sz w:val="24"/>
        </w:rPr>
      </w:pPr>
      <w:r>
        <w:rPr>
          <w:rFonts w:ascii="宋体" w:hAnsi="宋体" w:cs="宋体"/>
          <w:sz w:val="24"/>
        </w:rPr>
        <w:t xml:space="preserve">13.1 </w:t>
      </w:r>
      <w:r>
        <w:rPr>
          <w:rFonts w:hint="eastAsia" w:ascii="宋体" w:hAnsi="宋体" w:cs="宋体"/>
          <w:sz w:val="24"/>
        </w:rPr>
        <w:t>合同书写应用中文书写。甲乙双方及相关部门各执一份，具有同等法律效力。</w:t>
      </w:r>
    </w:p>
    <w:p>
      <w:pPr>
        <w:spacing w:line="360" w:lineRule="auto"/>
        <w:ind w:firstLine="480"/>
        <w:rPr>
          <w:rFonts w:ascii="宋体" w:hAnsi="宋体" w:cs="宋体"/>
          <w:sz w:val="24"/>
        </w:rPr>
      </w:pPr>
      <w:r>
        <w:rPr>
          <w:rFonts w:ascii="宋体" w:hAnsi="宋体" w:cs="宋体"/>
          <w:sz w:val="24"/>
        </w:rPr>
        <w:t xml:space="preserve">13.2 </w:t>
      </w:r>
      <w:r>
        <w:rPr>
          <w:rFonts w:hint="eastAsia" w:ascii="宋体" w:hAnsi="宋体" w:cs="宋体"/>
          <w:sz w:val="24"/>
        </w:rPr>
        <w:t>除技术规格另有规定外，计量单位均使用中华人民共和国法定计量单位。</w:t>
      </w:r>
    </w:p>
    <w:p>
      <w:pPr>
        <w:spacing w:line="360" w:lineRule="auto"/>
        <w:ind w:firstLine="480"/>
        <w:rPr>
          <w:rFonts w:ascii="宋体" w:hAnsi="宋体" w:cs="宋体"/>
          <w:sz w:val="24"/>
        </w:rPr>
      </w:pPr>
      <w:r>
        <w:rPr>
          <w:rFonts w:ascii="宋体" w:hAnsi="宋体" w:cs="宋体"/>
          <w:sz w:val="24"/>
        </w:rPr>
        <w:t>14.</w:t>
      </w:r>
      <w:r>
        <w:rPr>
          <w:rFonts w:hint="eastAsia" w:ascii="宋体" w:hAnsi="宋体" w:cs="宋体"/>
          <w:sz w:val="24"/>
        </w:rPr>
        <w:t>合同生效</w:t>
      </w:r>
    </w:p>
    <w:p>
      <w:pPr>
        <w:spacing w:line="360" w:lineRule="auto"/>
        <w:ind w:firstLine="480"/>
        <w:rPr>
          <w:rFonts w:ascii="宋体" w:hAnsi="宋体" w:cs="宋体"/>
          <w:sz w:val="24"/>
        </w:rPr>
      </w:pPr>
      <w:r>
        <w:rPr>
          <w:rFonts w:hint="eastAsia" w:ascii="宋体" w:hAnsi="宋体" w:cs="宋体"/>
          <w:sz w:val="24"/>
        </w:rPr>
        <w:t>除非合同中另有说明，本合同经双方签字盖章，并在招标人收到乙方的履约保证金后，即开始生效。</w:t>
      </w:r>
    </w:p>
    <w:p>
      <w:pPr>
        <w:spacing w:line="360" w:lineRule="auto"/>
        <w:jc w:val="center"/>
        <w:rPr>
          <w:rFonts w:ascii="黑体" w:hAnsi="黑体" w:eastAsia="黑体" w:cs="黑体"/>
          <w:b/>
          <w:bCs/>
          <w:sz w:val="28"/>
          <w:szCs w:val="28"/>
        </w:rPr>
      </w:pPr>
    </w:p>
    <w:p>
      <w:pPr>
        <w:spacing w:line="360" w:lineRule="auto"/>
        <w:contextualSpacing/>
        <w:jc w:val="center"/>
        <w:rPr>
          <w:rFonts w:ascii="Cambria" w:hAnsi="Cambria" w:eastAsia="Cambria" w:cs="宋体"/>
          <w:b/>
          <w:sz w:val="36"/>
          <w:szCs w:val="36"/>
        </w:rPr>
      </w:pPr>
    </w:p>
    <w:p>
      <w:pPr>
        <w:spacing w:line="360" w:lineRule="auto"/>
        <w:contextualSpacing/>
        <w:jc w:val="center"/>
        <w:rPr>
          <w:rFonts w:ascii="Cambria" w:hAnsi="Cambria" w:eastAsia="Cambria" w:cs="宋体"/>
          <w:b/>
          <w:sz w:val="36"/>
          <w:szCs w:val="36"/>
        </w:rPr>
      </w:pPr>
    </w:p>
    <w:p>
      <w:pPr>
        <w:spacing w:line="360" w:lineRule="auto"/>
        <w:jc w:val="center"/>
        <w:outlineLvl w:val="0"/>
        <w:rPr>
          <w:rFonts w:ascii="Cambria" w:hAnsi="Cambria" w:eastAsia="Cambria" w:cs="宋体"/>
          <w:b/>
          <w:sz w:val="36"/>
          <w:szCs w:val="36"/>
        </w:rPr>
      </w:pPr>
      <w:r>
        <w:rPr>
          <w:rFonts w:hint="eastAsia" w:ascii="宋体" w:hAnsi="宋体" w:eastAsia="宋体" w:cs="宋体"/>
          <w:b/>
          <w:sz w:val="36"/>
          <w:szCs w:val="36"/>
        </w:rPr>
        <w:t>（二）合同特殊条款</w:t>
      </w:r>
    </w:p>
    <w:p>
      <w:pPr>
        <w:spacing w:line="360" w:lineRule="auto"/>
        <w:jc w:val="center"/>
        <w:rPr>
          <w:rFonts w:ascii="宋体" w:hAnsi="宋体" w:cs="宋体"/>
          <w:b/>
          <w:bCs/>
          <w:sz w:val="30"/>
          <w:szCs w:val="30"/>
        </w:rPr>
      </w:pPr>
    </w:p>
    <w:p>
      <w:pPr>
        <w:spacing w:line="360" w:lineRule="auto"/>
        <w:ind w:firstLine="480"/>
        <w:rPr>
          <w:rFonts w:ascii="宋体" w:hAnsi="宋体" w:cs="宋体"/>
          <w:sz w:val="24"/>
        </w:rPr>
      </w:pPr>
      <w:r>
        <w:rPr>
          <w:rFonts w:hint="eastAsia" w:ascii="宋体" w:hAnsi="宋体" w:cs="宋体"/>
          <w:sz w:val="24"/>
        </w:rPr>
        <w:t>（具体条款由甲乙双方根据该项目的特殊性协商约定）略。</w:t>
      </w:r>
    </w:p>
    <w:p>
      <w:pPr>
        <w:spacing w:line="360" w:lineRule="auto"/>
        <w:ind w:firstLine="480"/>
        <w:rPr>
          <w:rFonts w:ascii="宋体" w:hAnsi="宋体" w:cs="宋体"/>
          <w:sz w:val="24"/>
        </w:rPr>
      </w:pPr>
      <w:r>
        <w:rPr>
          <w:rFonts w:hint="eastAsia" w:ascii="宋体" w:hAnsi="宋体" w:cs="宋体"/>
          <w:sz w:val="24"/>
        </w:rPr>
        <w:t>合同特殊条款是合同一般条款的补充和修改。如果两者之间有抵触，应以特殊条款为准。</w:t>
      </w:r>
    </w:p>
    <w:p>
      <w:pPr>
        <w:pStyle w:val="20"/>
        <w:spacing w:line="360" w:lineRule="auto"/>
        <w:contextualSpacing/>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pPr>
        <w:pStyle w:val="2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43"/>
          <w:rFonts w:ascii="宋体" w:hAnsi="宋体" w:eastAsia="宋体"/>
        </w:rPr>
      </w:pPr>
      <w:r>
        <w:rPr>
          <w:rStyle w:val="43"/>
          <w:rFonts w:hint="eastAsia" w:ascii="宋体" w:hAnsi="宋体" w:eastAsia="宋体"/>
        </w:rPr>
        <w:t>投标文件封皮格式</w:t>
      </w:r>
      <w:bookmarkStart w:id="4" w:name="_Toc12595"/>
      <w:bookmarkStart w:id="5" w:name="_Toc14398"/>
      <w:bookmarkStart w:id="6" w:name="_Toc16238"/>
      <w:bookmarkStart w:id="7" w:name="_Toc5131"/>
    </w:p>
    <w:p>
      <w:pPr>
        <w:pStyle w:val="2"/>
        <w:ind w:firstLine="340"/>
      </w:pPr>
    </w:p>
    <w:p>
      <w:pPr>
        <w:jc w:val="right"/>
        <w:rPr>
          <w:rStyle w:val="43"/>
          <w:rFonts w:ascii="宋体" w:hAnsi="宋体" w:eastAsia="宋体"/>
        </w:rPr>
      </w:pPr>
      <w:r>
        <w:rPr>
          <w:rStyle w:val="43"/>
          <w:rFonts w:hint="eastAsia" w:ascii="宋体" w:hAnsi="宋体" w:eastAsia="宋体"/>
        </w:rPr>
        <w:t>正本/副本</w:t>
      </w:r>
    </w:p>
    <w:bookmarkEnd w:id="4"/>
    <w:bookmarkEnd w:id="5"/>
    <w:bookmarkEnd w:id="6"/>
    <w:bookmarkEnd w:id="7"/>
    <w:p>
      <w:pPr>
        <w:jc w:val="left"/>
        <w:rPr>
          <w:rStyle w:val="43"/>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rPr>
      </w:pPr>
      <w:r>
        <w:rPr>
          <w:rFonts w:hint="eastAsia" w:ascii="宋体" w:hAnsi="宋体" w:eastAsia="宋体" w:cs="宋体"/>
          <w:b/>
          <w:bCs/>
          <w:sz w:val="40"/>
          <w:szCs w:val="40"/>
          <w:u w:val="single"/>
        </w:rPr>
        <w:t xml:space="preserve">（项目名称）  </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pStyle w:val="2"/>
        <w:ind w:firstLine="340"/>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bookmarkStart w:id="8" w:name="_Toc174185203"/>
      <w:bookmarkStart w:id="9" w:name="_Toc186274126"/>
      <w:bookmarkStart w:id="10" w:name="_Toc184023138"/>
    </w:p>
    <w:bookmarkEnd w:id="8"/>
    <w:bookmarkEnd w:id="9"/>
    <w:bookmarkEnd w:id="10"/>
    <w:p>
      <w:pPr>
        <w:pStyle w:val="20"/>
        <w:spacing w:line="360" w:lineRule="auto"/>
        <w:ind w:firstLine="361"/>
        <w:jc w:val="left"/>
        <w:outlineLvl w:val="0"/>
        <w:rPr>
          <w:rFonts w:ascii="宋体" w:hAnsi="宋体"/>
          <w:b/>
          <w:bCs/>
          <w:kern w:val="0"/>
          <w:sz w:val="36"/>
          <w:szCs w:val="36"/>
        </w:rPr>
      </w:pPr>
      <w:r>
        <w:rPr>
          <w:rFonts w:hint="eastAsia" w:ascii="宋体" w:hAnsi="宋体"/>
          <w:b/>
          <w:bCs/>
          <w:kern w:val="0"/>
          <w:sz w:val="36"/>
          <w:szCs w:val="36"/>
        </w:rPr>
        <w:t>一、投标人应答索引表</w:t>
      </w:r>
    </w:p>
    <w:tbl>
      <w:tblPr>
        <w:tblStyle w:val="4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bCs/>
                <w:sz w:val="24"/>
                <w:szCs w:val="24"/>
              </w:rPr>
            </w:pPr>
            <w:r>
              <w:rPr>
                <w:rFonts w:hint="eastAsia" w:ascii="宋体" w:hAnsi="宋体" w:cs="微软雅黑"/>
                <w:b/>
                <w:bCs/>
                <w:sz w:val="24"/>
                <w:szCs w:val="24"/>
              </w:rPr>
              <w:t>序号</w:t>
            </w:r>
          </w:p>
        </w:tc>
        <w:tc>
          <w:tcPr>
            <w:tcW w:w="3751" w:type="dxa"/>
            <w:gridSpan w:val="4"/>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b/>
                <w:bCs/>
                <w:sz w:val="24"/>
                <w:szCs w:val="24"/>
              </w:rPr>
            </w:pPr>
            <w:r>
              <w:rPr>
                <w:rFonts w:hint="eastAsia" w:ascii="宋体" w:hAnsi="宋体" w:cs="微软雅黑"/>
                <w:b/>
                <w:bCs/>
                <w:sz w:val="24"/>
                <w:szCs w:val="24"/>
              </w:rPr>
              <w:t>项  目</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b/>
                <w:bCs/>
                <w:sz w:val="24"/>
                <w:szCs w:val="24"/>
              </w:rPr>
            </w:pPr>
            <w:r>
              <w:rPr>
                <w:rFonts w:hint="eastAsia" w:ascii="宋体" w:hAnsi="宋体" w:cs="微软雅黑"/>
                <w:b/>
                <w:bCs/>
                <w:sz w:val="24"/>
                <w:szCs w:val="24"/>
              </w:rPr>
              <w:t>投标人应答</w:t>
            </w:r>
          </w:p>
          <w:p>
            <w:pPr>
              <w:snapToGrid w:val="0"/>
              <w:spacing w:line="400" w:lineRule="exact"/>
              <w:jc w:val="center"/>
              <w:rPr>
                <w:rFonts w:ascii="宋体" w:hAnsi="宋体" w:cs="微软雅黑"/>
                <w:b/>
                <w:bCs/>
                <w:sz w:val="24"/>
                <w:szCs w:val="24"/>
              </w:rPr>
            </w:pPr>
            <w:r>
              <w:rPr>
                <w:rFonts w:hint="eastAsia" w:ascii="宋体" w:hAnsi="宋体" w:cs="微软雅黑"/>
                <w:b/>
                <w:bCs/>
                <w:sz w:val="24"/>
                <w:szCs w:val="24"/>
              </w:rPr>
              <w:t>（有/没有）</w:t>
            </w: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b/>
                <w:bCs/>
                <w:sz w:val="24"/>
                <w:szCs w:val="24"/>
              </w:rPr>
            </w:pPr>
            <w:r>
              <w:rPr>
                <w:rFonts w:hint="eastAsia" w:ascii="宋体" w:hAnsi="宋体" w:cs="微软雅黑"/>
                <w:b/>
                <w:bCs/>
                <w:sz w:val="24"/>
                <w:szCs w:val="24"/>
              </w:rPr>
              <w:t>投标文件中所在页码</w:t>
            </w: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b/>
                <w:bCs/>
                <w:sz w:val="24"/>
                <w:szCs w:val="24"/>
              </w:rPr>
            </w:pPr>
            <w:r>
              <w:rPr>
                <w:rFonts w:hint="eastAsia" w:ascii="宋体" w:hAnsi="宋体" w:cs="微软雅黑"/>
                <w:b/>
                <w:bCs/>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kern w:val="0"/>
              </w:rPr>
              <w:t>投标人应答索引表</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kern w:val="0"/>
              </w:rPr>
            </w:pPr>
            <w:r>
              <w:rPr>
                <w:rFonts w:hint="eastAsia" w:ascii="宋体" w:hAnsi="宋体"/>
                <w:kern w:val="0"/>
              </w:rPr>
              <w:t>开标一览表</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kern w:val="0"/>
              </w:rPr>
              <w:t>投标函</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kern w:val="0"/>
              </w:rPr>
            </w:pPr>
            <w:r>
              <w:rPr>
                <w:rFonts w:hint="eastAsia" w:ascii="宋体" w:hAnsi="宋体"/>
              </w:rPr>
              <w:t>法定代表人资格证明书</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kern w:val="0"/>
              </w:rPr>
            </w:pPr>
            <w:r>
              <w:rPr>
                <w:rFonts w:hint="eastAsia" w:ascii="宋体" w:hAnsi="宋体"/>
                <w:kern w:val="0"/>
              </w:rPr>
              <w:t>法定代表人授权书</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kern w:val="0"/>
              </w:rPr>
            </w:pPr>
            <w:r>
              <w:rPr>
                <w:rFonts w:hint="eastAsia" w:ascii="宋体" w:hAnsi="宋体"/>
                <w:kern w:val="0"/>
              </w:rPr>
              <w:t>营业执照等证明</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774" w:type="dxa"/>
            <w:vMerge w:val="restart"/>
            <w:tcBorders>
              <w:top w:val="nil"/>
              <w:left w:val="nil"/>
              <w:bottom w:val="single" w:color="000000" w:sz="6" w:space="0"/>
              <w:right w:val="single" w:color="auto" w:sz="6" w:space="0"/>
            </w:tcBorders>
            <w:vAlign w:val="center"/>
          </w:tcPr>
          <w:p>
            <w:pPr>
              <w:pStyle w:val="20"/>
              <w:kinsoku w:val="0"/>
              <w:overflowPunct w:val="0"/>
              <w:autoSpaceDE w:val="0"/>
              <w:autoSpaceDN w:val="0"/>
              <w:spacing w:line="320" w:lineRule="exact"/>
              <w:jc w:val="center"/>
              <w:rPr>
                <w:rFonts w:ascii="宋体" w:hAnsi="宋体" w:cs="微软雅黑"/>
                <w:kern w:val="0"/>
              </w:rPr>
            </w:pPr>
            <w:r>
              <w:rPr>
                <w:rFonts w:hint="eastAsia" w:ascii="宋体" w:hAnsi="宋体"/>
                <w:kern w:val="0"/>
              </w:rPr>
              <w:t>纳税证明</w:t>
            </w:r>
          </w:p>
        </w:tc>
        <w:tc>
          <w:tcPr>
            <w:tcW w:w="2977" w:type="dxa"/>
            <w:gridSpan w:val="3"/>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税务登记证</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cs="微软雅黑"/>
                <w:kern w:val="0"/>
                <w:sz w:val="24"/>
                <w:szCs w:val="24"/>
              </w:rPr>
            </w:pPr>
          </w:p>
        </w:tc>
        <w:tc>
          <w:tcPr>
            <w:tcW w:w="2977" w:type="dxa"/>
            <w:gridSpan w:val="3"/>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kern w:val="0"/>
              </w:rPr>
            </w:pPr>
            <w:r>
              <w:rPr>
                <w:rFonts w:hint="eastAsia" w:ascii="宋体" w:hAnsi="宋体"/>
              </w:rPr>
              <w:t>纳税凭据复印件</w:t>
            </w:r>
          </w:p>
        </w:tc>
        <w:tc>
          <w:tcPr>
            <w:tcW w:w="1559" w:type="dxa"/>
            <w:tcBorders>
              <w:top w:val="single" w:color="000000" w:sz="6" w:space="0"/>
              <w:left w:val="nil"/>
              <w:bottom w:val="single" w:color="000000" w:sz="6" w:space="0"/>
              <w:right w:val="single" w:color="000000" w:sz="6" w:space="0"/>
            </w:tcBorders>
            <w:vAlign w:val="center"/>
          </w:tcPr>
          <w:p>
            <w:pPr>
              <w:pStyle w:val="20"/>
              <w:rPr>
                <w:rFonts w:ascii="宋体" w:hAnsi="宋体" w:cs="微软雅黑"/>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top w:val="nil"/>
              <w:left w:val="nil"/>
              <w:bottom w:val="single" w:color="000000" w:sz="6" w:space="0"/>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top w:val="nil"/>
              <w:left w:val="nil"/>
              <w:bottom w:val="single" w:color="000000"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cs="微软雅黑"/>
                <w:sz w:val="24"/>
                <w:szCs w:val="24"/>
              </w:rPr>
            </w:pPr>
          </w:p>
        </w:tc>
        <w:tc>
          <w:tcPr>
            <w:tcW w:w="709" w:type="dxa"/>
            <w:gridSpan w:val="2"/>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226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cs="微软雅黑"/>
                <w:sz w:val="24"/>
                <w:szCs w:val="24"/>
              </w:rPr>
            </w:pPr>
          </w:p>
        </w:tc>
        <w:tc>
          <w:tcPr>
            <w:tcW w:w="709" w:type="dxa"/>
            <w:gridSpan w:val="2"/>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226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cs="微软雅黑"/>
                <w:sz w:val="24"/>
                <w:szCs w:val="24"/>
              </w:rPr>
            </w:pPr>
          </w:p>
        </w:tc>
        <w:tc>
          <w:tcPr>
            <w:tcW w:w="709" w:type="dxa"/>
            <w:gridSpan w:val="2"/>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226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cs="微软雅黑"/>
                <w:sz w:val="24"/>
                <w:szCs w:val="24"/>
              </w:rPr>
            </w:pPr>
          </w:p>
        </w:tc>
        <w:tc>
          <w:tcPr>
            <w:tcW w:w="709" w:type="dxa"/>
            <w:gridSpan w:val="2"/>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226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cs="微软雅黑"/>
                <w:sz w:val="24"/>
                <w:szCs w:val="24"/>
              </w:rPr>
            </w:pPr>
          </w:p>
        </w:tc>
        <w:tc>
          <w:tcPr>
            <w:tcW w:w="2977"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cs="微软雅黑"/>
                <w:sz w:val="24"/>
                <w:szCs w:val="24"/>
              </w:rPr>
            </w:pPr>
          </w:p>
        </w:tc>
        <w:tc>
          <w:tcPr>
            <w:tcW w:w="2977"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cs="微软雅黑"/>
                <w:sz w:val="24"/>
                <w:szCs w:val="24"/>
              </w:rPr>
            </w:pPr>
          </w:p>
        </w:tc>
        <w:tc>
          <w:tcPr>
            <w:tcW w:w="2977"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sz w:val="24"/>
                <w:szCs w:val="24"/>
              </w:rPr>
              <w:t>依法缴纳社会保险凭据复印件</w:t>
            </w:r>
          </w:p>
        </w:tc>
        <w:tc>
          <w:tcPr>
            <w:tcW w:w="1559"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cs="微软雅黑"/>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top w:val="nil"/>
              <w:left w:val="nil"/>
              <w:bottom w:val="single" w:color="000000" w:sz="6" w:space="0"/>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top w:val="nil"/>
              <w:left w:val="nil"/>
              <w:bottom w:val="single" w:color="000000"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709" w:type="dxa"/>
            <w:gridSpan w:val="2"/>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2268" w:type="dxa"/>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技术人员职称证书</w:t>
            </w:r>
          </w:p>
        </w:tc>
        <w:tc>
          <w:tcPr>
            <w:tcW w:w="1559" w:type="dxa"/>
            <w:tcBorders>
              <w:top w:val="single" w:color="000000" w:sz="6" w:space="0"/>
              <w:left w:val="nil"/>
              <w:bottom w:val="single" w:color="000000" w:sz="6" w:space="0"/>
              <w:right w:val="single" w:color="000000" w:sz="6" w:space="0"/>
            </w:tcBorders>
            <w:vAlign w:val="center"/>
          </w:tcPr>
          <w:p>
            <w:pPr>
              <w:pStyle w:val="20"/>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709" w:type="dxa"/>
            <w:gridSpan w:val="2"/>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2268" w:type="dxa"/>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用工合同</w:t>
            </w:r>
          </w:p>
        </w:tc>
        <w:tc>
          <w:tcPr>
            <w:tcW w:w="1559" w:type="dxa"/>
            <w:tcBorders>
              <w:top w:val="single" w:color="000000" w:sz="6" w:space="0"/>
              <w:left w:val="nil"/>
              <w:bottom w:val="single" w:color="000000" w:sz="6" w:space="0"/>
              <w:right w:val="single" w:color="000000" w:sz="6" w:space="0"/>
            </w:tcBorders>
            <w:vAlign w:val="center"/>
          </w:tcPr>
          <w:p>
            <w:pPr>
              <w:pStyle w:val="20"/>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cs="微软雅黑"/>
                <w:sz w:val="24"/>
                <w:szCs w:val="24"/>
              </w:rPr>
            </w:pPr>
          </w:p>
        </w:tc>
        <w:tc>
          <w:tcPr>
            <w:tcW w:w="2977" w:type="dxa"/>
            <w:gridSpan w:val="3"/>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rPr>
              <w:t>投标人相关承诺函或声明</w:t>
            </w:r>
          </w:p>
        </w:tc>
        <w:tc>
          <w:tcPr>
            <w:tcW w:w="1559" w:type="dxa"/>
            <w:tcBorders>
              <w:top w:val="single" w:color="000000" w:sz="6" w:space="0"/>
              <w:left w:val="nil"/>
              <w:bottom w:val="single" w:color="000000" w:sz="6" w:space="0"/>
              <w:right w:val="single" w:color="000000" w:sz="6" w:space="0"/>
            </w:tcBorders>
            <w:vAlign w:val="center"/>
          </w:tcPr>
          <w:p>
            <w:pPr>
              <w:pStyle w:val="20"/>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kern w:val="0"/>
              </w:rPr>
              <w:t>没有重大违法记录的声明</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kern w:val="0"/>
              </w:rPr>
            </w:pPr>
            <w:r>
              <w:rPr>
                <w:rFonts w:hint="eastAsia" w:ascii="宋体" w:hAnsi="宋体" w:cs="微软雅黑"/>
                <w:kern w:val="0"/>
              </w:rPr>
              <w:t>投标人须具备的特殊资质证书</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rPr>
              <w:t>投标保证金缴纳回执</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auto" w:sz="4"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14</w:t>
            </w:r>
          </w:p>
        </w:tc>
        <w:tc>
          <w:tcPr>
            <w:tcW w:w="3751" w:type="dxa"/>
            <w:gridSpan w:val="4"/>
            <w:tcBorders>
              <w:top w:val="single" w:color="000000" w:sz="6" w:space="0"/>
              <w:left w:val="nil"/>
              <w:bottom w:val="single" w:color="auto" w:sz="4" w:space="0"/>
              <w:right w:val="single" w:color="000000" w:sz="6" w:space="0"/>
            </w:tcBorders>
            <w:vAlign w:val="center"/>
          </w:tcPr>
          <w:p>
            <w:pPr>
              <w:pStyle w:val="20"/>
              <w:kinsoku w:val="0"/>
              <w:overflowPunct w:val="0"/>
              <w:autoSpaceDE w:val="0"/>
              <w:autoSpaceDN w:val="0"/>
              <w:spacing w:line="320" w:lineRule="exact"/>
              <w:rPr>
                <w:rFonts w:ascii="宋体" w:hAnsi="宋体"/>
              </w:rPr>
            </w:pPr>
            <w:r>
              <w:rPr>
                <w:rFonts w:hint="eastAsia" w:ascii="宋体" w:hAnsi="宋体"/>
              </w:rPr>
              <w:t>联合体协议</w:t>
            </w:r>
          </w:p>
        </w:tc>
        <w:tc>
          <w:tcPr>
            <w:tcW w:w="1559" w:type="dxa"/>
            <w:tcBorders>
              <w:top w:val="single" w:color="000000" w:sz="6" w:space="0"/>
              <w:left w:val="nil"/>
              <w:bottom w:val="single" w:color="auto" w:sz="4"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auto" w:sz="4"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auto" w:sz="4"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751" w:type="dxa"/>
            <w:gridSpan w:val="4"/>
            <w:tcBorders>
              <w:top w:val="single" w:color="auto" w:sz="4"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投标分项报价表</w:t>
            </w:r>
          </w:p>
        </w:tc>
        <w:tc>
          <w:tcPr>
            <w:tcW w:w="1559" w:type="dxa"/>
            <w:tcBorders>
              <w:top w:val="single" w:color="auto" w:sz="4"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auto" w:sz="4"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技术规格偏离表</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技术方案（实施方案）</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auto" w:sz="4"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售后服务方案</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业绩情况表</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强制节能产品政府采购清单情况</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优先采购节能产品政府采购清单情况</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olor w:val="000000"/>
              </w:rPr>
              <w:t>环境标志产品政府采购清单情况</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中小企业声明函</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仿宋_GB2312"/>
              </w:rPr>
              <w:t>残疾人福利性单位声明函</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监狱企业证明文件</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1058" w:type="dxa"/>
            <w:gridSpan w:val="2"/>
            <w:tcBorders>
              <w:top w:val="single" w:color="000000" w:sz="6" w:space="0"/>
              <w:left w:val="nil"/>
              <w:bottom w:val="single" w:color="000000" w:sz="6" w:space="0"/>
              <w:right w:val="single" w:color="auto" w:sz="4"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CCC强制性产品认证</w:t>
            </w:r>
          </w:p>
        </w:tc>
        <w:tc>
          <w:tcPr>
            <w:tcW w:w="2693" w:type="dxa"/>
            <w:gridSpan w:val="2"/>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rPr>
              <w:t>所投产品符合国家强制性要求承诺函</w:t>
            </w:r>
          </w:p>
        </w:tc>
        <w:tc>
          <w:tcPr>
            <w:tcW w:w="1559" w:type="dxa"/>
            <w:tcBorders>
              <w:top w:val="single" w:color="000000" w:sz="6" w:space="0"/>
              <w:left w:val="nil"/>
              <w:bottom w:val="single" w:color="000000" w:sz="6" w:space="0"/>
              <w:right w:val="single" w:color="000000" w:sz="6" w:space="0"/>
            </w:tcBorders>
            <w:vAlign w:val="center"/>
          </w:tcPr>
          <w:p>
            <w:pPr>
              <w:pStyle w:val="20"/>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1058" w:type="dxa"/>
            <w:gridSpan w:val="2"/>
            <w:vMerge w:val="restart"/>
            <w:tcBorders>
              <w:top w:val="nil"/>
              <w:left w:val="nil"/>
              <w:bottom w:val="single" w:color="000000" w:sz="6" w:space="0"/>
              <w:right w:val="single" w:color="auto" w:sz="4" w:space="0"/>
            </w:tcBorders>
            <w:vAlign w:val="center"/>
          </w:tcPr>
          <w:p>
            <w:pPr>
              <w:pStyle w:val="20"/>
              <w:kinsoku w:val="0"/>
              <w:overflowPunct w:val="0"/>
              <w:autoSpaceDE w:val="0"/>
              <w:autoSpaceDN w:val="0"/>
              <w:spacing w:line="320" w:lineRule="exact"/>
              <w:rPr>
                <w:rFonts w:ascii="宋体" w:hAnsi="宋体"/>
                <w:kern w:val="0"/>
              </w:rPr>
            </w:pPr>
            <w:r>
              <w:rPr>
                <w:rFonts w:hint="eastAsia" w:ascii="宋体" w:hAnsi="宋体"/>
                <w:kern w:val="0"/>
              </w:rPr>
              <w:t>信息安全产品强制性认证</w:t>
            </w:r>
          </w:p>
        </w:tc>
        <w:tc>
          <w:tcPr>
            <w:tcW w:w="2693" w:type="dxa"/>
            <w:gridSpan w:val="2"/>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rPr>
            </w:pPr>
            <w:r>
              <w:rPr>
                <w:rFonts w:hint="eastAsia" w:ascii="宋体" w:hAnsi="宋体"/>
                <w:kern w:val="0"/>
              </w:rPr>
              <w:t>认证机构颁发的认证证书</w:t>
            </w:r>
          </w:p>
        </w:tc>
        <w:tc>
          <w:tcPr>
            <w:tcW w:w="1559" w:type="dxa"/>
            <w:tcBorders>
              <w:top w:val="single" w:color="000000" w:sz="6" w:space="0"/>
              <w:left w:val="nil"/>
              <w:bottom w:val="single" w:color="000000" w:sz="6" w:space="0"/>
              <w:right w:val="single" w:color="000000" w:sz="6" w:space="0"/>
            </w:tcBorders>
            <w:vAlign w:val="center"/>
          </w:tcPr>
          <w:p>
            <w:pPr>
              <w:pStyle w:val="20"/>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s="微软雅黑"/>
                <w:sz w:val="24"/>
                <w:szCs w:val="24"/>
              </w:rPr>
            </w:pPr>
          </w:p>
        </w:tc>
        <w:tc>
          <w:tcPr>
            <w:tcW w:w="1058" w:type="dxa"/>
            <w:gridSpan w:val="2"/>
            <w:vMerge w:val="continue"/>
            <w:tcBorders>
              <w:top w:val="nil"/>
              <w:left w:val="nil"/>
              <w:bottom w:val="single" w:color="000000" w:sz="6" w:space="0"/>
              <w:right w:val="single" w:color="auto" w:sz="4" w:space="0"/>
            </w:tcBorders>
            <w:vAlign w:val="center"/>
          </w:tcPr>
          <w:p>
            <w:pPr>
              <w:widowControl/>
              <w:jc w:val="left"/>
              <w:rPr>
                <w:rFonts w:ascii="宋体" w:hAnsi="宋体"/>
                <w:kern w:val="0"/>
                <w:sz w:val="24"/>
                <w:szCs w:val="24"/>
              </w:rPr>
            </w:pPr>
          </w:p>
        </w:tc>
        <w:tc>
          <w:tcPr>
            <w:tcW w:w="2693" w:type="dxa"/>
            <w:gridSpan w:val="2"/>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rPr>
            </w:pPr>
            <w:r>
              <w:rPr>
                <w:rFonts w:hint="eastAsia" w:ascii="宋体" w:hAnsi="宋体"/>
                <w:kern w:val="0"/>
              </w:rPr>
              <w:t>中国信息安全认证中心官网产品查询结果截图</w:t>
            </w:r>
          </w:p>
        </w:tc>
        <w:tc>
          <w:tcPr>
            <w:tcW w:w="1559" w:type="dxa"/>
            <w:tcBorders>
              <w:top w:val="single" w:color="000000" w:sz="6" w:space="0"/>
              <w:left w:val="nil"/>
              <w:bottom w:val="single" w:color="000000" w:sz="6" w:space="0"/>
              <w:right w:val="single" w:color="000000" w:sz="6" w:space="0"/>
            </w:tcBorders>
            <w:vAlign w:val="center"/>
          </w:tcPr>
          <w:p>
            <w:pPr>
              <w:pStyle w:val="20"/>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r>
              <w:rPr>
                <w:rFonts w:hint="eastAsia" w:ascii="宋体" w:hAnsi="宋体" w:cs="微软雅黑"/>
                <w:kern w:val="0"/>
              </w:rPr>
              <w:t>其它资料</w:t>
            </w: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sz w:val="24"/>
                <w:szCs w:val="24"/>
              </w:rPr>
            </w:pPr>
          </w:p>
        </w:tc>
        <w:tc>
          <w:tcPr>
            <w:tcW w:w="3751" w:type="dxa"/>
            <w:gridSpan w:val="4"/>
            <w:tcBorders>
              <w:top w:val="single" w:color="000000" w:sz="6" w:space="0"/>
              <w:left w:val="nil"/>
              <w:bottom w:val="single" w:color="000000" w:sz="6" w:space="0"/>
              <w:right w:val="single" w:color="000000" w:sz="6" w:space="0"/>
            </w:tcBorders>
            <w:vAlign w:val="center"/>
          </w:tcPr>
          <w:p>
            <w:pPr>
              <w:pStyle w:val="20"/>
              <w:kinsoku w:val="0"/>
              <w:overflowPunct w:val="0"/>
              <w:autoSpaceDE w:val="0"/>
              <w:autoSpaceDN w:val="0"/>
              <w:spacing w:line="320" w:lineRule="exact"/>
              <w:rPr>
                <w:rFonts w:ascii="宋体" w:hAnsi="宋体" w:cs="微软雅黑"/>
                <w:kern w:val="0"/>
              </w:rPr>
            </w:pPr>
          </w:p>
        </w:tc>
        <w:tc>
          <w:tcPr>
            <w:tcW w:w="1559"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cs="微软雅黑"/>
                <w:sz w:val="24"/>
                <w:szCs w:val="24"/>
              </w:rPr>
            </w:pPr>
          </w:p>
        </w:tc>
      </w:tr>
    </w:tbl>
    <w:p>
      <w:pPr>
        <w:pStyle w:val="20"/>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20"/>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40"/>
        <w:tblW w:w="9537" w:type="dxa"/>
        <w:tblInd w:w="-459" w:type="dxa"/>
        <w:tblLayout w:type="fixed"/>
        <w:tblCellMar>
          <w:top w:w="0" w:type="dxa"/>
          <w:left w:w="108" w:type="dxa"/>
          <w:bottom w:w="0" w:type="dxa"/>
          <w:right w:w="108" w:type="dxa"/>
        </w:tblCellMar>
      </w:tblPr>
      <w:tblGrid>
        <w:gridCol w:w="975"/>
        <w:gridCol w:w="1327"/>
        <w:gridCol w:w="3685"/>
        <w:gridCol w:w="2550"/>
        <w:gridCol w:w="1000"/>
      </w:tblGrid>
      <w:tr>
        <w:tblPrEx>
          <w:tblLayout w:type="fixed"/>
          <w:tblCellMar>
            <w:top w:w="0" w:type="dxa"/>
            <w:left w:w="108" w:type="dxa"/>
            <w:bottom w:w="0" w:type="dxa"/>
            <w:right w:w="108" w:type="dxa"/>
          </w:tblCellMar>
        </w:tblPrEx>
        <w:trPr>
          <w:trHeight w:val="851" w:hRule="atLeast"/>
        </w:trPr>
        <w:tc>
          <w:tcPr>
            <w:tcW w:w="975"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327"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25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交付时间          （日历天）</w:t>
            </w:r>
          </w:p>
        </w:tc>
        <w:tc>
          <w:tcPr>
            <w:tcW w:w="10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32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25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20"/>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20"/>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20"/>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3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3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3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3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20"/>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20"/>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20"/>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20"/>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20"/>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55"/>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5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5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5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5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55"/>
        <w:spacing w:line="480" w:lineRule="auto"/>
        <w:ind w:firstLine="540" w:firstLineChars="225"/>
        <w:jc w:val="left"/>
        <w:rPr>
          <w:rFonts w:asciiTheme="minorEastAsia" w:hAnsiTheme="minorEastAsia"/>
          <w:color w:val="000000"/>
          <w:szCs w:val="24"/>
        </w:rPr>
      </w:pPr>
    </w:p>
    <w:p>
      <w:pPr>
        <w:pStyle w:val="55"/>
        <w:spacing w:line="480" w:lineRule="auto"/>
        <w:ind w:firstLine="540" w:firstLineChars="225"/>
        <w:jc w:val="left"/>
        <w:rPr>
          <w:rFonts w:asciiTheme="minorEastAsia" w:hAnsiTheme="minorEastAsia"/>
          <w:color w:val="000000"/>
          <w:szCs w:val="24"/>
        </w:rPr>
      </w:pPr>
    </w:p>
    <w:p>
      <w:pPr>
        <w:pStyle w:val="55"/>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55"/>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58"/>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57"/>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4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1" w:name="_资格证明文件"/>
            <w:bookmarkEnd w:id="11"/>
            <w:bookmarkStart w:id="12" w:name="_Toc364329026"/>
            <w:r>
              <w:rPr>
                <w:rFonts w:hint="eastAsia" w:asciiTheme="minorEastAsia" w:hAnsiTheme="minorEastAsia"/>
                <w:sz w:val="24"/>
                <w:szCs w:val="24"/>
              </w:rPr>
              <w:t>法定代表人授权代表身份证（正面）</w:t>
            </w:r>
            <w:bookmarkEnd w:id="12"/>
          </w:p>
        </w:tc>
        <w:tc>
          <w:tcPr>
            <w:tcW w:w="4492" w:type="dxa"/>
            <w:gridSpan w:val="2"/>
            <w:vAlign w:val="center"/>
          </w:tcPr>
          <w:p>
            <w:pPr>
              <w:jc w:val="center"/>
              <w:rPr>
                <w:rFonts w:asciiTheme="minorEastAsia" w:hAnsiTheme="minorEastAsia"/>
                <w:sz w:val="24"/>
                <w:szCs w:val="24"/>
              </w:rPr>
            </w:pPr>
            <w:bookmarkStart w:id="13" w:name="_Toc364329027"/>
            <w:r>
              <w:rPr>
                <w:rFonts w:hint="eastAsia" w:asciiTheme="minorEastAsia" w:hAnsiTheme="minorEastAsia"/>
                <w:sz w:val="24"/>
                <w:szCs w:val="24"/>
              </w:rPr>
              <w:t>法定代表人授权代表身份证（反面）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widowControl/>
        <w:spacing w:before="100" w:beforeAutospacing="1" w:after="100" w:afterAutospacing="1"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4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4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5"/>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5"/>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5"/>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4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12"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4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5"/>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5"/>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5"/>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4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5"/>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5"/>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5"/>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4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5"/>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5"/>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5"/>
              <w:spacing w:line="360" w:lineRule="auto"/>
              <w:rPr>
                <w:rFonts w:ascii="宋体" w:hAnsi="宋体" w:eastAsia="宋体" w:cs="Times New Roman"/>
                <w:sz w:val="21"/>
                <w:szCs w:val="21"/>
              </w:rPr>
            </w:pPr>
          </w:p>
        </w:tc>
        <w:tc>
          <w:tcPr>
            <w:tcW w:w="991" w:type="dxa"/>
            <w:vAlign w:val="center"/>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135" w:type="dxa"/>
          </w:tcPr>
          <w:p>
            <w:pPr>
              <w:pStyle w:val="15"/>
              <w:spacing w:line="360" w:lineRule="auto"/>
              <w:rPr>
                <w:rFonts w:ascii="宋体" w:hAnsi="宋体" w:eastAsia="宋体" w:cs="Times New Roman"/>
                <w:sz w:val="21"/>
                <w:szCs w:val="21"/>
              </w:rPr>
            </w:pPr>
          </w:p>
        </w:tc>
        <w:tc>
          <w:tcPr>
            <w:tcW w:w="1276" w:type="dxa"/>
          </w:tcPr>
          <w:p>
            <w:pPr>
              <w:pStyle w:val="15"/>
              <w:spacing w:line="360" w:lineRule="auto"/>
              <w:rPr>
                <w:rFonts w:ascii="宋体" w:hAnsi="宋体" w:eastAsia="宋体" w:cs="Times New Roman"/>
                <w:sz w:val="21"/>
                <w:szCs w:val="21"/>
              </w:rPr>
            </w:pPr>
          </w:p>
        </w:tc>
        <w:tc>
          <w:tcPr>
            <w:tcW w:w="1439" w:type="dxa"/>
          </w:tcPr>
          <w:p>
            <w:pPr>
              <w:pStyle w:val="15"/>
              <w:spacing w:line="360" w:lineRule="auto"/>
              <w:rPr>
                <w:rFonts w:ascii="宋体" w:hAnsi="宋体" w:eastAsia="宋体" w:cs="Times New Roman"/>
                <w:sz w:val="21"/>
                <w:szCs w:val="21"/>
              </w:rPr>
            </w:pPr>
          </w:p>
        </w:tc>
        <w:tc>
          <w:tcPr>
            <w:tcW w:w="1252" w:type="dxa"/>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Pr>
          <w:rFonts w:hint="eastAsia" w:ascii="宋体" w:hAnsi="宋体"/>
          <w:b/>
          <w:bCs/>
          <w:color w:val="000000"/>
          <w:sz w:val="24"/>
          <w:szCs w:val="24"/>
        </w:rPr>
        <w:t>4.10 残疾人福利性单位声明函</w:t>
      </w:r>
    </w:p>
    <w:bookmarkEnd w:id="14"/>
    <w:bookmarkEnd w:id="1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pStyle w:val="2"/>
        <w:ind w:firstLine="340"/>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pStyle w:val="2"/>
        <w:ind w:firstLine="340"/>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080E0000" w:usb2="00000000" w:usb3="00000000" w:csb0="00040001" w:csb1="00000000"/>
  </w:font>
  <w:font w:name="Cambria">
    <w:altName w:val="Palatino Linotype"/>
    <w:panose1 w:val="02040503050406030204"/>
    <w:charset w:val="00"/>
    <w:family w:val="roman"/>
    <w:pitch w:val="default"/>
    <w:sig w:usb0="00000000" w:usb1="00000000" w:usb2="00000000" w:usb3="00000000" w:csb0="0000019F" w:csb1="00000000"/>
  </w:font>
  <w:font w:name="Gulim">
    <w:panose1 w:val="020B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78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33B06155"/>
    <w:multiLevelType w:val="singleLevel"/>
    <w:tmpl w:val="33B06155"/>
    <w:lvl w:ilvl="0" w:tentative="0">
      <w:start w:val="1"/>
      <w:numFmt w:val="decimal"/>
      <w:lvlText w:val="%1."/>
      <w:lvlJc w:val="left"/>
      <w:pPr>
        <w:tabs>
          <w:tab w:val="left" w:pos="312"/>
        </w:tabs>
      </w:pPr>
    </w:lvl>
  </w:abstractNum>
  <w:abstractNum w:abstractNumId="3">
    <w:nsid w:val="4BAF42BD"/>
    <w:multiLevelType w:val="multilevel"/>
    <w:tmpl w:val="4BAF42BD"/>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64"/>
      <w:suff w:val="nothing"/>
      <w:lvlText w:val="%1、"/>
      <w:lvlJc w:val="left"/>
    </w:lvl>
  </w:abstractNum>
  <w:abstractNum w:abstractNumId="6">
    <w:nsid w:val="62EE1356"/>
    <w:multiLevelType w:val="multilevel"/>
    <w:tmpl w:val="62EE13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2D9217"/>
    <w:multiLevelType w:val="singleLevel"/>
    <w:tmpl w:val="692D9217"/>
    <w:lvl w:ilvl="0" w:tentative="0">
      <w:start w:val="1"/>
      <w:numFmt w:val="chineseCounting"/>
      <w:suff w:val="nothing"/>
      <w:lvlText w:val="%1、"/>
      <w:lvlJc w:val="left"/>
      <w:rPr>
        <w:rFonts w:hint="eastAsia"/>
      </w:rPr>
    </w:lvl>
  </w:abstractNum>
  <w:abstractNum w:abstractNumId="8">
    <w:nsid w:val="6A6C9BE8"/>
    <w:multiLevelType w:val="singleLevel"/>
    <w:tmpl w:val="6A6C9BE8"/>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7"/>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1229"/>
    <w:rsid w:val="000174F6"/>
    <w:rsid w:val="00024054"/>
    <w:rsid w:val="00034927"/>
    <w:rsid w:val="000522F2"/>
    <w:rsid w:val="00053214"/>
    <w:rsid w:val="000561A3"/>
    <w:rsid w:val="0006368C"/>
    <w:rsid w:val="00070D24"/>
    <w:rsid w:val="000812F5"/>
    <w:rsid w:val="00084157"/>
    <w:rsid w:val="000864CD"/>
    <w:rsid w:val="00091265"/>
    <w:rsid w:val="00093FDE"/>
    <w:rsid w:val="000A1DCA"/>
    <w:rsid w:val="000A1F13"/>
    <w:rsid w:val="000B3AFA"/>
    <w:rsid w:val="000C2E6B"/>
    <w:rsid w:val="000C317C"/>
    <w:rsid w:val="000D225B"/>
    <w:rsid w:val="000F4421"/>
    <w:rsid w:val="000F6EE6"/>
    <w:rsid w:val="00105FF2"/>
    <w:rsid w:val="001143EE"/>
    <w:rsid w:val="0012784E"/>
    <w:rsid w:val="00131E15"/>
    <w:rsid w:val="00132998"/>
    <w:rsid w:val="00142BC9"/>
    <w:rsid w:val="00144D56"/>
    <w:rsid w:val="001505B9"/>
    <w:rsid w:val="00153C54"/>
    <w:rsid w:val="00153ED4"/>
    <w:rsid w:val="001541EB"/>
    <w:rsid w:val="001549D6"/>
    <w:rsid w:val="00167679"/>
    <w:rsid w:val="00170D8C"/>
    <w:rsid w:val="00181B50"/>
    <w:rsid w:val="0018373A"/>
    <w:rsid w:val="00185115"/>
    <w:rsid w:val="0018573A"/>
    <w:rsid w:val="001909F0"/>
    <w:rsid w:val="001A10A1"/>
    <w:rsid w:val="001A2D2F"/>
    <w:rsid w:val="001A5813"/>
    <w:rsid w:val="001A7670"/>
    <w:rsid w:val="001B3695"/>
    <w:rsid w:val="001B3DBE"/>
    <w:rsid w:val="001B6662"/>
    <w:rsid w:val="001B66E8"/>
    <w:rsid w:val="001C7B78"/>
    <w:rsid w:val="001D477D"/>
    <w:rsid w:val="001F1A66"/>
    <w:rsid w:val="001F234F"/>
    <w:rsid w:val="00205D2E"/>
    <w:rsid w:val="002113BC"/>
    <w:rsid w:val="00212B60"/>
    <w:rsid w:val="0021478F"/>
    <w:rsid w:val="002261F2"/>
    <w:rsid w:val="002378D7"/>
    <w:rsid w:val="00250393"/>
    <w:rsid w:val="002648DE"/>
    <w:rsid w:val="00270226"/>
    <w:rsid w:val="0027133B"/>
    <w:rsid w:val="00271BD5"/>
    <w:rsid w:val="00280294"/>
    <w:rsid w:val="00283F49"/>
    <w:rsid w:val="002904B7"/>
    <w:rsid w:val="00294064"/>
    <w:rsid w:val="002A72EE"/>
    <w:rsid w:val="002A772B"/>
    <w:rsid w:val="002C4A4B"/>
    <w:rsid w:val="002D3B42"/>
    <w:rsid w:val="002D4451"/>
    <w:rsid w:val="002D54A8"/>
    <w:rsid w:val="002E03B5"/>
    <w:rsid w:val="002E12DC"/>
    <w:rsid w:val="002E440F"/>
    <w:rsid w:val="002F4A58"/>
    <w:rsid w:val="002F5B01"/>
    <w:rsid w:val="002F77AD"/>
    <w:rsid w:val="003043C9"/>
    <w:rsid w:val="003101C8"/>
    <w:rsid w:val="003106C6"/>
    <w:rsid w:val="00311229"/>
    <w:rsid w:val="00311F66"/>
    <w:rsid w:val="0032049B"/>
    <w:rsid w:val="0032182B"/>
    <w:rsid w:val="00322A1C"/>
    <w:rsid w:val="003246C7"/>
    <w:rsid w:val="003320D8"/>
    <w:rsid w:val="00332F80"/>
    <w:rsid w:val="00336A90"/>
    <w:rsid w:val="00350030"/>
    <w:rsid w:val="00352A93"/>
    <w:rsid w:val="003604D4"/>
    <w:rsid w:val="003637EF"/>
    <w:rsid w:val="003809C1"/>
    <w:rsid w:val="00381FC2"/>
    <w:rsid w:val="00384225"/>
    <w:rsid w:val="00390783"/>
    <w:rsid w:val="00390BCC"/>
    <w:rsid w:val="0039341D"/>
    <w:rsid w:val="00393954"/>
    <w:rsid w:val="00396801"/>
    <w:rsid w:val="00396958"/>
    <w:rsid w:val="003A16D0"/>
    <w:rsid w:val="003B0CE5"/>
    <w:rsid w:val="003B1A42"/>
    <w:rsid w:val="003D160A"/>
    <w:rsid w:val="003D66DE"/>
    <w:rsid w:val="003D7159"/>
    <w:rsid w:val="003E233E"/>
    <w:rsid w:val="00417EAF"/>
    <w:rsid w:val="00420E00"/>
    <w:rsid w:val="00421D20"/>
    <w:rsid w:val="0042727E"/>
    <w:rsid w:val="00431B1E"/>
    <w:rsid w:val="00442BDC"/>
    <w:rsid w:val="004571B7"/>
    <w:rsid w:val="00467ECA"/>
    <w:rsid w:val="004714C0"/>
    <w:rsid w:val="0047320C"/>
    <w:rsid w:val="00476C7B"/>
    <w:rsid w:val="00480D48"/>
    <w:rsid w:val="004823FB"/>
    <w:rsid w:val="0048489F"/>
    <w:rsid w:val="00496245"/>
    <w:rsid w:val="004A6807"/>
    <w:rsid w:val="004A7079"/>
    <w:rsid w:val="004B1AC8"/>
    <w:rsid w:val="004B1E7A"/>
    <w:rsid w:val="004B605A"/>
    <w:rsid w:val="004C3028"/>
    <w:rsid w:val="004D2997"/>
    <w:rsid w:val="004E058B"/>
    <w:rsid w:val="00500587"/>
    <w:rsid w:val="00514342"/>
    <w:rsid w:val="00531A8A"/>
    <w:rsid w:val="00545EF4"/>
    <w:rsid w:val="0054670A"/>
    <w:rsid w:val="00585EF8"/>
    <w:rsid w:val="005912B1"/>
    <w:rsid w:val="00593B17"/>
    <w:rsid w:val="005A5072"/>
    <w:rsid w:val="005A5ED3"/>
    <w:rsid w:val="005B0264"/>
    <w:rsid w:val="005B089F"/>
    <w:rsid w:val="005B71DC"/>
    <w:rsid w:val="005C548B"/>
    <w:rsid w:val="005C5922"/>
    <w:rsid w:val="005F21A2"/>
    <w:rsid w:val="00605B73"/>
    <w:rsid w:val="00625EEE"/>
    <w:rsid w:val="006262EE"/>
    <w:rsid w:val="006307FD"/>
    <w:rsid w:val="00636AAD"/>
    <w:rsid w:val="00645C33"/>
    <w:rsid w:val="0065083F"/>
    <w:rsid w:val="00650BE8"/>
    <w:rsid w:val="00654159"/>
    <w:rsid w:val="0065670D"/>
    <w:rsid w:val="00662157"/>
    <w:rsid w:val="006672E8"/>
    <w:rsid w:val="006766E0"/>
    <w:rsid w:val="00687A15"/>
    <w:rsid w:val="00694D85"/>
    <w:rsid w:val="006A2F6E"/>
    <w:rsid w:val="006A7C24"/>
    <w:rsid w:val="006B47D2"/>
    <w:rsid w:val="006B503D"/>
    <w:rsid w:val="006B6070"/>
    <w:rsid w:val="006C2AFA"/>
    <w:rsid w:val="006C48C4"/>
    <w:rsid w:val="006F3158"/>
    <w:rsid w:val="007048CB"/>
    <w:rsid w:val="00712D9A"/>
    <w:rsid w:val="00716E81"/>
    <w:rsid w:val="007258E2"/>
    <w:rsid w:val="00727437"/>
    <w:rsid w:val="007362E1"/>
    <w:rsid w:val="00743C27"/>
    <w:rsid w:val="007541C8"/>
    <w:rsid w:val="007541DB"/>
    <w:rsid w:val="0075546B"/>
    <w:rsid w:val="0075601B"/>
    <w:rsid w:val="007606D8"/>
    <w:rsid w:val="007674C6"/>
    <w:rsid w:val="0077130F"/>
    <w:rsid w:val="00781EF9"/>
    <w:rsid w:val="00790E33"/>
    <w:rsid w:val="00791F44"/>
    <w:rsid w:val="0079223D"/>
    <w:rsid w:val="00793047"/>
    <w:rsid w:val="007A4B27"/>
    <w:rsid w:val="007A7AB1"/>
    <w:rsid w:val="007B3250"/>
    <w:rsid w:val="007B7263"/>
    <w:rsid w:val="007C4F76"/>
    <w:rsid w:val="007D4D4F"/>
    <w:rsid w:val="007D5C87"/>
    <w:rsid w:val="007E71FA"/>
    <w:rsid w:val="007E7811"/>
    <w:rsid w:val="007F3D13"/>
    <w:rsid w:val="00802B33"/>
    <w:rsid w:val="00803A86"/>
    <w:rsid w:val="00805B9B"/>
    <w:rsid w:val="00806270"/>
    <w:rsid w:val="00806ADC"/>
    <w:rsid w:val="008122E4"/>
    <w:rsid w:val="008150BF"/>
    <w:rsid w:val="00817A09"/>
    <w:rsid w:val="00817D32"/>
    <w:rsid w:val="00817E1B"/>
    <w:rsid w:val="0082015A"/>
    <w:rsid w:val="008313DE"/>
    <w:rsid w:val="00831BAC"/>
    <w:rsid w:val="0084288F"/>
    <w:rsid w:val="008518B5"/>
    <w:rsid w:val="00853010"/>
    <w:rsid w:val="008559C6"/>
    <w:rsid w:val="008617F4"/>
    <w:rsid w:val="00862058"/>
    <w:rsid w:val="00876278"/>
    <w:rsid w:val="00876F80"/>
    <w:rsid w:val="00877284"/>
    <w:rsid w:val="008779C9"/>
    <w:rsid w:val="0088501B"/>
    <w:rsid w:val="00887B1F"/>
    <w:rsid w:val="00897071"/>
    <w:rsid w:val="008A672D"/>
    <w:rsid w:val="008B02AA"/>
    <w:rsid w:val="008B2F1D"/>
    <w:rsid w:val="008C3AB6"/>
    <w:rsid w:val="008E1E12"/>
    <w:rsid w:val="008E32CB"/>
    <w:rsid w:val="008E4865"/>
    <w:rsid w:val="008F23A9"/>
    <w:rsid w:val="00907206"/>
    <w:rsid w:val="0091043E"/>
    <w:rsid w:val="00911ABC"/>
    <w:rsid w:val="00912831"/>
    <w:rsid w:val="00922C8F"/>
    <w:rsid w:val="00923178"/>
    <w:rsid w:val="009367D6"/>
    <w:rsid w:val="00951722"/>
    <w:rsid w:val="00953888"/>
    <w:rsid w:val="00960A89"/>
    <w:rsid w:val="00976CA8"/>
    <w:rsid w:val="009863FE"/>
    <w:rsid w:val="00987C29"/>
    <w:rsid w:val="00991958"/>
    <w:rsid w:val="00996034"/>
    <w:rsid w:val="009A0B33"/>
    <w:rsid w:val="009A2461"/>
    <w:rsid w:val="009A2A37"/>
    <w:rsid w:val="009B0FD1"/>
    <w:rsid w:val="009B61E7"/>
    <w:rsid w:val="009C12AB"/>
    <w:rsid w:val="009C55A6"/>
    <w:rsid w:val="009D6453"/>
    <w:rsid w:val="009E0C90"/>
    <w:rsid w:val="009E7965"/>
    <w:rsid w:val="00A00136"/>
    <w:rsid w:val="00A0723B"/>
    <w:rsid w:val="00A1102E"/>
    <w:rsid w:val="00A16285"/>
    <w:rsid w:val="00A23B62"/>
    <w:rsid w:val="00A240CC"/>
    <w:rsid w:val="00A360FB"/>
    <w:rsid w:val="00A406CD"/>
    <w:rsid w:val="00A415A6"/>
    <w:rsid w:val="00A429B8"/>
    <w:rsid w:val="00A460DB"/>
    <w:rsid w:val="00A5039E"/>
    <w:rsid w:val="00A53B4E"/>
    <w:rsid w:val="00A634BA"/>
    <w:rsid w:val="00A63C9E"/>
    <w:rsid w:val="00A9632B"/>
    <w:rsid w:val="00AA1D8E"/>
    <w:rsid w:val="00AA45FC"/>
    <w:rsid w:val="00AC1D06"/>
    <w:rsid w:val="00AC5216"/>
    <w:rsid w:val="00AD0B93"/>
    <w:rsid w:val="00AE63D7"/>
    <w:rsid w:val="00AF3F09"/>
    <w:rsid w:val="00B07C4E"/>
    <w:rsid w:val="00B13210"/>
    <w:rsid w:val="00B15290"/>
    <w:rsid w:val="00B3334F"/>
    <w:rsid w:val="00B37810"/>
    <w:rsid w:val="00B414FB"/>
    <w:rsid w:val="00B45FB8"/>
    <w:rsid w:val="00B61353"/>
    <w:rsid w:val="00B832EB"/>
    <w:rsid w:val="00B85F9F"/>
    <w:rsid w:val="00B91B0C"/>
    <w:rsid w:val="00B9402C"/>
    <w:rsid w:val="00BC57E2"/>
    <w:rsid w:val="00BF1FB2"/>
    <w:rsid w:val="00BF23CF"/>
    <w:rsid w:val="00BF2919"/>
    <w:rsid w:val="00BF30BC"/>
    <w:rsid w:val="00BF607A"/>
    <w:rsid w:val="00C045A9"/>
    <w:rsid w:val="00C12DD1"/>
    <w:rsid w:val="00C22C04"/>
    <w:rsid w:val="00C25AC9"/>
    <w:rsid w:val="00C26D47"/>
    <w:rsid w:val="00C30148"/>
    <w:rsid w:val="00C34715"/>
    <w:rsid w:val="00C35A18"/>
    <w:rsid w:val="00C42DFB"/>
    <w:rsid w:val="00C43E11"/>
    <w:rsid w:val="00C619D7"/>
    <w:rsid w:val="00C627AC"/>
    <w:rsid w:val="00C66050"/>
    <w:rsid w:val="00C71948"/>
    <w:rsid w:val="00C7272C"/>
    <w:rsid w:val="00C74056"/>
    <w:rsid w:val="00C746AC"/>
    <w:rsid w:val="00C74F6D"/>
    <w:rsid w:val="00C83169"/>
    <w:rsid w:val="00C83C3B"/>
    <w:rsid w:val="00C91B4E"/>
    <w:rsid w:val="00C965FD"/>
    <w:rsid w:val="00C96741"/>
    <w:rsid w:val="00CA34F7"/>
    <w:rsid w:val="00CA6FC0"/>
    <w:rsid w:val="00CB0B5D"/>
    <w:rsid w:val="00CB14C1"/>
    <w:rsid w:val="00CB4321"/>
    <w:rsid w:val="00CC4862"/>
    <w:rsid w:val="00CD00BA"/>
    <w:rsid w:val="00CF21CB"/>
    <w:rsid w:val="00CF2CC4"/>
    <w:rsid w:val="00D01E89"/>
    <w:rsid w:val="00D13116"/>
    <w:rsid w:val="00D201B1"/>
    <w:rsid w:val="00D20A26"/>
    <w:rsid w:val="00D2343E"/>
    <w:rsid w:val="00D24329"/>
    <w:rsid w:val="00D27B47"/>
    <w:rsid w:val="00D3106B"/>
    <w:rsid w:val="00D3375C"/>
    <w:rsid w:val="00D40E17"/>
    <w:rsid w:val="00D465A0"/>
    <w:rsid w:val="00D46703"/>
    <w:rsid w:val="00D82539"/>
    <w:rsid w:val="00D83887"/>
    <w:rsid w:val="00D909A3"/>
    <w:rsid w:val="00D91F92"/>
    <w:rsid w:val="00D947EC"/>
    <w:rsid w:val="00D96E46"/>
    <w:rsid w:val="00D97238"/>
    <w:rsid w:val="00DA60C8"/>
    <w:rsid w:val="00DB0302"/>
    <w:rsid w:val="00DB2316"/>
    <w:rsid w:val="00DE3701"/>
    <w:rsid w:val="00E21891"/>
    <w:rsid w:val="00E22BA5"/>
    <w:rsid w:val="00E24C95"/>
    <w:rsid w:val="00E30C9F"/>
    <w:rsid w:val="00E349FC"/>
    <w:rsid w:val="00E40A92"/>
    <w:rsid w:val="00E41D45"/>
    <w:rsid w:val="00E44A5A"/>
    <w:rsid w:val="00E51E83"/>
    <w:rsid w:val="00E53BB1"/>
    <w:rsid w:val="00E634AC"/>
    <w:rsid w:val="00E67348"/>
    <w:rsid w:val="00E74ED7"/>
    <w:rsid w:val="00E822E4"/>
    <w:rsid w:val="00E91FFF"/>
    <w:rsid w:val="00EA3A24"/>
    <w:rsid w:val="00EA492E"/>
    <w:rsid w:val="00EB026A"/>
    <w:rsid w:val="00EB1D68"/>
    <w:rsid w:val="00EB281A"/>
    <w:rsid w:val="00EB76FC"/>
    <w:rsid w:val="00EC231C"/>
    <w:rsid w:val="00EC24E8"/>
    <w:rsid w:val="00ED0B1E"/>
    <w:rsid w:val="00ED6206"/>
    <w:rsid w:val="00ED684E"/>
    <w:rsid w:val="00EE7999"/>
    <w:rsid w:val="00EE7C5D"/>
    <w:rsid w:val="00EF5748"/>
    <w:rsid w:val="00F03DAE"/>
    <w:rsid w:val="00F21CB0"/>
    <w:rsid w:val="00F43838"/>
    <w:rsid w:val="00F5003F"/>
    <w:rsid w:val="00F567E7"/>
    <w:rsid w:val="00F56D5E"/>
    <w:rsid w:val="00F719E2"/>
    <w:rsid w:val="00F85D50"/>
    <w:rsid w:val="00F860C4"/>
    <w:rsid w:val="00F87BFF"/>
    <w:rsid w:val="00F95550"/>
    <w:rsid w:val="00FA3488"/>
    <w:rsid w:val="00FB175F"/>
    <w:rsid w:val="00FB664B"/>
    <w:rsid w:val="00FB7A77"/>
    <w:rsid w:val="00FC3244"/>
    <w:rsid w:val="00FD0B9B"/>
    <w:rsid w:val="00FD760E"/>
    <w:rsid w:val="00FE210E"/>
    <w:rsid w:val="00FE70AC"/>
    <w:rsid w:val="00FF0132"/>
    <w:rsid w:val="00FF200E"/>
    <w:rsid w:val="01634965"/>
    <w:rsid w:val="02C301C6"/>
    <w:rsid w:val="02CD7C4F"/>
    <w:rsid w:val="032C5333"/>
    <w:rsid w:val="044C3D02"/>
    <w:rsid w:val="087D1753"/>
    <w:rsid w:val="09127790"/>
    <w:rsid w:val="0CD722F6"/>
    <w:rsid w:val="0D997EFF"/>
    <w:rsid w:val="0DC81F08"/>
    <w:rsid w:val="0ED35762"/>
    <w:rsid w:val="0EF302F5"/>
    <w:rsid w:val="0F7277A0"/>
    <w:rsid w:val="121B4347"/>
    <w:rsid w:val="16127ECC"/>
    <w:rsid w:val="17A37FF1"/>
    <w:rsid w:val="1943106C"/>
    <w:rsid w:val="1C536039"/>
    <w:rsid w:val="1C714DF0"/>
    <w:rsid w:val="1DA479B8"/>
    <w:rsid w:val="1EE2525B"/>
    <w:rsid w:val="1F6F7D95"/>
    <w:rsid w:val="21707BA6"/>
    <w:rsid w:val="22012C71"/>
    <w:rsid w:val="22322847"/>
    <w:rsid w:val="22C33EA0"/>
    <w:rsid w:val="234112B0"/>
    <w:rsid w:val="236424CC"/>
    <w:rsid w:val="283160FA"/>
    <w:rsid w:val="28C07CD5"/>
    <w:rsid w:val="28C317C5"/>
    <w:rsid w:val="290C340C"/>
    <w:rsid w:val="29D2044C"/>
    <w:rsid w:val="2A4B3539"/>
    <w:rsid w:val="2A8373E7"/>
    <w:rsid w:val="2D0361BB"/>
    <w:rsid w:val="310D296C"/>
    <w:rsid w:val="3112472A"/>
    <w:rsid w:val="31456181"/>
    <w:rsid w:val="316B28FA"/>
    <w:rsid w:val="3207499E"/>
    <w:rsid w:val="340A153F"/>
    <w:rsid w:val="35B27DCA"/>
    <w:rsid w:val="39626E0D"/>
    <w:rsid w:val="3CCD336C"/>
    <w:rsid w:val="3E176C50"/>
    <w:rsid w:val="3E6B7053"/>
    <w:rsid w:val="3E6D2AAC"/>
    <w:rsid w:val="418455D1"/>
    <w:rsid w:val="41FD05AA"/>
    <w:rsid w:val="42D71BB4"/>
    <w:rsid w:val="447E5223"/>
    <w:rsid w:val="45A64082"/>
    <w:rsid w:val="45F617A8"/>
    <w:rsid w:val="4B152A79"/>
    <w:rsid w:val="4E096D84"/>
    <w:rsid w:val="4EC04E00"/>
    <w:rsid w:val="4F1C7FA1"/>
    <w:rsid w:val="52B552D9"/>
    <w:rsid w:val="55944F19"/>
    <w:rsid w:val="57293A3E"/>
    <w:rsid w:val="5A816991"/>
    <w:rsid w:val="5B3746FD"/>
    <w:rsid w:val="5CAC3BCC"/>
    <w:rsid w:val="5E047524"/>
    <w:rsid w:val="61A8597C"/>
    <w:rsid w:val="631646B7"/>
    <w:rsid w:val="64F77CE2"/>
    <w:rsid w:val="67F112FC"/>
    <w:rsid w:val="68A471C8"/>
    <w:rsid w:val="68D50FFC"/>
    <w:rsid w:val="6AAF399A"/>
    <w:rsid w:val="6B1A15C5"/>
    <w:rsid w:val="6B9D7BAB"/>
    <w:rsid w:val="6DF762CB"/>
    <w:rsid w:val="6F2D1FF3"/>
    <w:rsid w:val="6F7301B6"/>
    <w:rsid w:val="6FB74B66"/>
    <w:rsid w:val="710243C1"/>
    <w:rsid w:val="71F60127"/>
    <w:rsid w:val="72AC2697"/>
    <w:rsid w:val="7454796A"/>
    <w:rsid w:val="76FD040D"/>
    <w:rsid w:val="7855379D"/>
    <w:rsid w:val="7BEF5306"/>
    <w:rsid w:val="7C822C61"/>
    <w:rsid w:val="7F2A644D"/>
    <w:rsid w:val="7F6D3B93"/>
    <w:rsid w:val="7F831CC1"/>
    <w:rsid w:val="7FAB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link w:val="75"/>
    <w:unhideWhenUsed/>
    <w:qFormat/>
    <w:uiPriority w:val="0"/>
    <w:pPr>
      <w:keepNext/>
      <w:keepLines/>
      <w:ind w:firstLine="403"/>
      <w:outlineLvl w:val="4"/>
    </w:pPr>
    <w:rPr>
      <w:rFonts w:ascii="Calibri" w:hAnsi="Calibri" w:eastAsia="宋体" w:cs="Times New Roman"/>
      <w:b/>
      <w:sz w:val="28"/>
      <w:szCs w:val="20"/>
    </w:rPr>
  </w:style>
  <w:style w:type="paragraph" w:styleId="9">
    <w:name w:val="heading 6"/>
    <w:basedOn w:val="1"/>
    <w:next w:val="1"/>
    <w:link w:val="76"/>
    <w:unhideWhenUsed/>
    <w:qFormat/>
    <w:uiPriority w:val="0"/>
    <w:pPr>
      <w:keepNext/>
      <w:keepLines/>
      <w:ind w:firstLine="403"/>
      <w:outlineLvl w:val="5"/>
    </w:pPr>
    <w:rPr>
      <w:rFonts w:ascii="Arial" w:hAnsi="Arial" w:eastAsia="宋体" w:cs="Times New Roman"/>
      <w:b/>
      <w:sz w:val="24"/>
      <w:szCs w:val="20"/>
    </w:rPr>
  </w:style>
  <w:style w:type="paragraph" w:styleId="10">
    <w:name w:val="heading 7"/>
    <w:basedOn w:val="1"/>
    <w:next w:val="1"/>
    <w:link w:val="77"/>
    <w:unhideWhenUsed/>
    <w:qFormat/>
    <w:uiPriority w:val="0"/>
    <w:pPr>
      <w:keepNext/>
      <w:keepLines/>
      <w:ind w:firstLine="403"/>
      <w:outlineLvl w:val="6"/>
    </w:pPr>
    <w:rPr>
      <w:rFonts w:ascii="Calibri" w:hAnsi="Calibri" w:eastAsia="宋体" w:cs="Times New Roman"/>
      <w:b/>
      <w:sz w:val="24"/>
      <w:szCs w:val="20"/>
    </w:rPr>
  </w:style>
  <w:style w:type="paragraph" w:styleId="11">
    <w:name w:val="heading 8"/>
    <w:basedOn w:val="1"/>
    <w:next w:val="1"/>
    <w:link w:val="78"/>
    <w:unhideWhenUsed/>
    <w:qFormat/>
    <w:uiPriority w:val="0"/>
    <w:pPr>
      <w:keepNext/>
      <w:keepLines/>
      <w:ind w:firstLine="403"/>
      <w:outlineLvl w:val="7"/>
    </w:pPr>
    <w:rPr>
      <w:rFonts w:ascii="Arial" w:hAnsi="Arial" w:eastAsia="宋体" w:cs="Times New Roman"/>
      <w:sz w:val="24"/>
      <w:szCs w:val="20"/>
    </w:rPr>
  </w:style>
  <w:style w:type="paragraph" w:styleId="12">
    <w:name w:val="heading 9"/>
    <w:basedOn w:val="1"/>
    <w:next w:val="1"/>
    <w:link w:val="79"/>
    <w:unhideWhenUsed/>
    <w:qFormat/>
    <w:uiPriority w:val="0"/>
    <w:pPr>
      <w:keepNext/>
      <w:keepLines/>
      <w:spacing w:line="317" w:lineRule="auto"/>
      <w:ind w:firstLine="402"/>
      <w:outlineLvl w:val="8"/>
    </w:pPr>
    <w:rPr>
      <w:rFonts w:ascii="Arial" w:hAnsi="Arial" w:eastAsia="宋体" w:cs="Times New Roman"/>
      <w:sz w:val="30"/>
      <w:szCs w:val="20"/>
    </w:rPr>
  </w:style>
  <w:style w:type="character" w:default="1" w:styleId="35">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6"/>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65"/>
    <w:semiHidden/>
    <w:unhideWhenUsed/>
    <w:qFormat/>
    <w:uiPriority w:val="99"/>
    <w:pPr>
      <w:spacing w:after="120"/>
    </w:pPr>
  </w:style>
  <w:style w:type="paragraph" w:styleId="13">
    <w:name w:val="toc 7"/>
    <w:basedOn w:val="1"/>
    <w:next w:val="1"/>
    <w:qFormat/>
    <w:uiPriority w:val="0"/>
    <w:pPr>
      <w:ind w:left="2520" w:leftChars="1200"/>
    </w:pPr>
    <w:rPr>
      <w:rFonts w:ascii="Times New Roman" w:hAnsi="Times New Roman" w:eastAsia="仿宋" w:cs="Times New Roman"/>
      <w:sz w:val="30"/>
      <w:szCs w:val="20"/>
    </w:rPr>
  </w:style>
  <w:style w:type="paragraph" w:styleId="14">
    <w:name w:val="Normal Indent"/>
    <w:basedOn w:val="1"/>
    <w:qFormat/>
    <w:uiPriority w:val="0"/>
    <w:pPr>
      <w:ind w:firstLine="425"/>
    </w:pPr>
    <w:rPr>
      <w:rFonts w:ascii="Times New Roman" w:hAnsi="Times New Roman" w:eastAsia="宋体" w:cs="Times New Roman"/>
      <w:szCs w:val="20"/>
    </w:rPr>
  </w:style>
  <w:style w:type="paragraph" w:styleId="15">
    <w:name w:val="caption"/>
    <w:basedOn w:val="1"/>
    <w:next w:val="1"/>
    <w:qFormat/>
    <w:uiPriority w:val="0"/>
    <w:rPr>
      <w:rFonts w:ascii="Arial" w:hAnsi="Arial" w:eastAsia="黑体" w:cs="Arial"/>
      <w:sz w:val="20"/>
      <w:szCs w:val="20"/>
    </w:rPr>
  </w:style>
  <w:style w:type="paragraph" w:styleId="16">
    <w:name w:val="annotation text"/>
    <w:basedOn w:val="1"/>
    <w:unhideWhenUsed/>
    <w:qFormat/>
    <w:uiPriority w:val="0"/>
    <w:pPr>
      <w:jc w:val="left"/>
    </w:pPr>
  </w:style>
  <w:style w:type="paragraph" w:styleId="17">
    <w:name w:val="Body Text 3"/>
    <w:basedOn w:val="1"/>
    <w:link w:val="61"/>
    <w:qFormat/>
    <w:uiPriority w:val="0"/>
    <w:rPr>
      <w:rFonts w:ascii="Times New Roman" w:hAnsi="Times New Roman" w:eastAsia="宋体" w:cs="Times New Roman"/>
      <w:color w:val="FF0000"/>
      <w:sz w:val="24"/>
      <w:szCs w:val="24"/>
    </w:rPr>
  </w:style>
  <w:style w:type="paragraph" w:styleId="18">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20">
    <w:name w:val="Plain Text"/>
    <w:basedOn w:val="1"/>
    <w:link w:val="46"/>
    <w:qFormat/>
    <w:uiPriority w:val="99"/>
    <w:rPr>
      <w:rFonts w:eastAsia="宋体"/>
      <w:sz w:val="24"/>
    </w:rPr>
  </w:style>
  <w:style w:type="paragraph" w:styleId="21">
    <w:name w:val="toc 8"/>
    <w:basedOn w:val="1"/>
    <w:next w:val="1"/>
    <w:qFormat/>
    <w:uiPriority w:val="0"/>
    <w:pPr>
      <w:ind w:left="2940" w:leftChars="1400"/>
    </w:pPr>
    <w:rPr>
      <w:rFonts w:ascii="Times New Roman" w:hAnsi="Times New Roman" w:eastAsia="仿宋" w:cs="Times New Roman"/>
      <w:sz w:val="30"/>
      <w:szCs w:val="20"/>
    </w:rPr>
  </w:style>
  <w:style w:type="paragraph" w:styleId="22">
    <w:name w:val="Date"/>
    <w:basedOn w:val="1"/>
    <w:next w:val="1"/>
    <w:link w:val="47"/>
    <w:unhideWhenUsed/>
    <w:qFormat/>
    <w:uiPriority w:val="99"/>
    <w:pPr>
      <w:ind w:left="100" w:leftChars="2500"/>
    </w:p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26">
    <w:name w:val="toc 4"/>
    <w:basedOn w:val="1"/>
    <w:next w:val="1"/>
    <w:qFormat/>
    <w:uiPriority w:val="0"/>
    <w:pPr>
      <w:ind w:left="1260" w:leftChars="600"/>
    </w:pPr>
    <w:rPr>
      <w:rFonts w:ascii="Times New Roman" w:hAnsi="Times New Roman" w:eastAsia="仿宋" w:cs="Times New Roman"/>
      <w:sz w:val="30"/>
      <w:szCs w:val="20"/>
    </w:rPr>
  </w:style>
  <w:style w:type="paragraph" w:styleId="27">
    <w:name w:val="footnote text"/>
    <w:basedOn w:val="1"/>
    <w:link w:val="80"/>
    <w:qFormat/>
    <w:uiPriority w:val="0"/>
    <w:pPr>
      <w:snapToGrid w:val="0"/>
      <w:jc w:val="left"/>
    </w:pPr>
    <w:rPr>
      <w:rFonts w:ascii="Times New Roman" w:hAnsi="Times New Roman" w:eastAsia="仿宋" w:cs="Times New Roman"/>
      <w:sz w:val="18"/>
      <w:szCs w:val="20"/>
    </w:rPr>
  </w:style>
  <w:style w:type="paragraph" w:styleId="28">
    <w:name w:val="toc 6"/>
    <w:basedOn w:val="1"/>
    <w:next w:val="1"/>
    <w:qFormat/>
    <w:uiPriority w:val="0"/>
    <w:pPr>
      <w:ind w:left="2100" w:leftChars="1000"/>
    </w:pPr>
    <w:rPr>
      <w:rFonts w:ascii="Times New Roman" w:hAnsi="Times New Roman" w:eastAsia="仿宋" w:cs="Times New Roman"/>
      <w:sz w:val="30"/>
      <w:szCs w:val="20"/>
    </w:rPr>
  </w:style>
  <w:style w:type="paragraph" w:styleId="29">
    <w:name w:val="toc 2"/>
    <w:basedOn w:val="1"/>
    <w:next w:val="1"/>
    <w:qFormat/>
    <w:uiPriority w:val="0"/>
    <w:pPr>
      <w:ind w:left="420" w:leftChars="200"/>
    </w:pPr>
    <w:rPr>
      <w:rFonts w:ascii="Times New Roman" w:hAnsi="Times New Roman" w:eastAsia="仿宋" w:cs="Times New Roman"/>
      <w:sz w:val="30"/>
      <w:szCs w:val="20"/>
    </w:rPr>
  </w:style>
  <w:style w:type="paragraph" w:styleId="30">
    <w:name w:val="toc 9"/>
    <w:basedOn w:val="1"/>
    <w:next w:val="1"/>
    <w:qFormat/>
    <w:uiPriority w:val="0"/>
    <w:pPr>
      <w:ind w:left="3360" w:leftChars="1600"/>
    </w:pPr>
    <w:rPr>
      <w:rFonts w:ascii="Times New Roman" w:hAnsi="Times New Roman" w:eastAsia="仿宋" w:cs="Times New Roman"/>
      <w:sz w:val="30"/>
      <w:szCs w:val="20"/>
    </w:rPr>
  </w:style>
  <w:style w:type="paragraph" w:styleId="3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2">
    <w:name w:val="HTML Preformatted"/>
    <w:basedOn w:val="1"/>
    <w:link w:val="6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3">
    <w:name w:val="Normal (Web)"/>
    <w:basedOn w:val="1"/>
    <w:qFormat/>
    <w:uiPriority w:val="99"/>
    <w:rPr>
      <w:rFonts w:ascii="Calibri" w:hAnsi="Calibri" w:eastAsia="宋体" w:cs="Times New Roman"/>
      <w:sz w:val="24"/>
      <w:szCs w:val="24"/>
    </w:rPr>
  </w:style>
  <w:style w:type="paragraph" w:styleId="34">
    <w:name w:val="Title"/>
    <w:basedOn w:val="1"/>
    <w:link w:val="81"/>
    <w:qFormat/>
    <w:uiPriority w:val="0"/>
    <w:pPr>
      <w:jc w:val="center"/>
      <w:outlineLvl w:val="0"/>
    </w:pPr>
    <w:rPr>
      <w:rFonts w:ascii="Arial" w:hAnsi="Arial" w:eastAsia="仿宋" w:cs="Times New Roman"/>
      <w:b/>
      <w:sz w:val="32"/>
      <w:szCs w:val="20"/>
    </w:rPr>
  </w:style>
  <w:style w:type="character" w:styleId="36">
    <w:name w:val="Strong"/>
    <w:basedOn w:val="35"/>
    <w:qFormat/>
    <w:uiPriority w:val="22"/>
    <w:rPr>
      <w:b/>
      <w:bCs/>
    </w:rPr>
  </w:style>
  <w:style w:type="character" w:styleId="37">
    <w:name w:val="FollowedHyperlink"/>
    <w:basedOn w:val="35"/>
    <w:semiHidden/>
    <w:unhideWhenUsed/>
    <w:qFormat/>
    <w:uiPriority w:val="99"/>
    <w:rPr>
      <w:color w:val="800080" w:themeColor="followedHyperlink"/>
      <w:u w:val="single"/>
    </w:rPr>
  </w:style>
  <w:style w:type="character" w:styleId="38">
    <w:name w:val="Hyperlink"/>
    <w:basedOn w:val="35"/>
    <w:unhideWhenUsed/>
    <w:qFormat/>
    <w:uiPriority w:val="99"/>
    <w:rPr>
      <w:color w:val="0000FF"/>
      <w:u w:val="single"/>
    </w:rPr>
  </w:style>
  <w:style w:type="character" w:styleId="39">
    <w:name w:val="footnote reference"/>
    <w:basedOn w:val="35"/>
    <w:qFormat/>
    <w:uiPriority w:val="0"/>
    <w:rPr>
      <w:vertAlign w:val="superscript"/>
    </w:r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2">
    <w:name w:val="标题 1 Char"/>
    <w:basedOn w:val="35"/>
    <w:link w:val="4"/>
    <w:qFormat/>
    <w:uiPriority w:val="0"/>
    <w:rPr>
      <w:rFonts w:ascii="Calibri" w:hAnsi="Calibri" w:eastAsia="宋体" w:cs="Times New Roman"/>
      <w:b/>
      <w:bCs/>
      <w:kern w:val="44"/>
      <w:sz w:val="44"/>
      <w:szCs w:val="44"/>
    </w:rPr>
  </w:style>
  <w:style w:type="character" w:customStyle="1" w:styleId="43">
    <w:name w:val="标题 2 Char"/>
    <w:basedOn w:val="35"/>
    <w:link w:val="5"/>
    <w:qFormat/>
    <w:uiPriority w:val="0"/>
    <w:rPr>
      <w:rFonts w:ascii="Arial" w:hAnsi="Arial" w:eastAsia="黑体" w:cs="Times New Roman"/>
      <w:b/>
      <w:bCs/>
      <w:kern w:val="0"/>
      <w:sz w:val="32"/>
      <w:szCs w:val="32"/>
    </w:rPr>
  </w:style>
  <w:style w:type="character" w:customStyle="1" w:styleId="44">
    <w:name w:val="标题 3 Char"/>
    <w:basedOn w:val="35"/>
    <w:link w:val="6"/>
    <w:qFormat/>
    <w:uiPriority w:val="0"/>
    <w:rPr>
      <w:rFonts w:ascii="宋体" w:hAnsi="宋体" w:eastAsia="宋体" w:cs="Times New Roman"/>
      <w:b/>
      <w:color w:val="000000"/>
      <w:kern w:val="0"/>
      <w:sz w:val="24"/>
      <w:szCs w:val="20"/>
      <w:lang w:val="en-GB"/>
    </w:rPr>
  </w:style>
  <w:style w:type="character" w:customStyle="1" w:styleId="45">
    <w:name w:val="标题 4 Char"/>
    <w:basedOn w:val="35"/>
    <w:link w:val="7"/>
    <w:qFormat/>
    <w:uiPriority w:val="0"/>
    <w:rPr>
      <w:rFonts w:ascii="Arial" w:hAnsi="Arial" w:eastAsia="黑体" w:cs="Times New Roman"/>
      <w:b/>
      <w:bCs/>
      <w:kern w:val="0"/>
      <w:sz w:val="28"/>
      <w:szCs w:val="28"/>
    </w:rPr>
  </w:style>
  <w:style w:type="character" w:customStyle="1" w:styleId="46">
    <w:name w:val="纯文本 Char"/>
    <w:basedOn w:val="35"/>
    <w:link w:val="20"/>
    <w:qFormat/>
    <w:uiPriority w:val="99"/>
    <w:rPr>
      <w:rFonts w:eastAsia="宋体"/>
      <w:sz w:val="24"/>
    </w:rPr>
  </w:style>
  <w:style w:type="character" w:customStyle="1" w:styleId="47">
    <w:name w:val="日期 Char"/>
    <w:basedOn w:val="35"/>
    <w:link w:val="22"/>
    <w:qFormat/>
    <w:uiPriority w:val="99"/>
  </w:style>
  <w:style w:type="character" w:customStyle="1" w:styleId="48">
    <w:name w:val="页脚 Char"/>
    <w:basedOn w:val="35"/>
    <w:link w:val="23"/>
    <w:qFormat/>
    <w:uiPriority w:val="99"/>
    <w:rPr>
      <w:sz w:val="18"/>
      <w:szCs w:val="18"/>
    </w:rPr>
  </w:style>
  <w:style w:type="character" w:customStyle="1" w:styleId="49">
    <w:name w:val="页眉 Char"/>
    <w:basedOn w:val="35"/>
    <w:link w:val="24"/>
    <w:qFormat/>
    <w:uiPriority w:val="99"/>
    <w:rPr>
      <w:sz w:val="18"/>
      <w:szCs w:val="18"/>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2">
    <w:name w:val="列出段落1"/>
    <w:basedOn w:val="1"/>
    <w:qFormat/>
    <w:uiPriority w:val="34"/>
    <w:pPr>
      <w:ind w:firstLine="420" w:firstLineChars="200"/>
    </w:pPr>
  </w:style>
  <w:style w:type="paragraph" w:styleId="53">
    <w:name w:val="List Paragraph"/>
    <w:basedOn w:val="1"/>
    <w:unhideWhenUsed/>
    <w:qFormat/>
    <w:uiPriority w:val="34"/>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正文文本 3 Char"/>
    <w:basedOn w:val="35"/>
    <w:link w:val="17"/>
    <w:qFormat/>
    <w:uiPriority w:val="0"/>
    <w:rPr>
      <w:rFonts w:ascii="Times New Roman" w:hAnsi="Times New Roman" w:eastAsia="宋体" w:cs="Times New Roman"/>
      <w:color w:val="FF0000"/>
      <w:sz w:val="24"/>
      <w:szCs w:val="24"/>
    </w:rPr>
  </w:style>
  <w:style w:type="character" w:customStyle="1" w:styleId="62">
    <w:name w:val="edittexttarea"/>
    <w:basedOn w:val="35"/>
    <w:qFormat/>
    <w:uiPriority w:val="0"/>
  </w:style>
  <w:style w:type="paragraph" w:customStyle="1" w:styleId="6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 Char"/>
    <w:basedOn w:val="35"/>
    <w:link w:val="3"/>
    <w:semiHidden/>
    <w:qFormat/>
    <w:uiPriority w:val="99"/>
  </w:style>
  <w:style w:type="character" w:customStyle="1" w:styleId="66">
    <w:name w:val="正文首行缩进 Char"/>
    <w:basedOn w:val="65"/>
    <w:link w:val="2"/>
    <w:qFormat/>
    <w:uiPriority w:val="0"/>
    <w:rPr>
      <w:rFonts w:ascii="宋体" w:hAnsi="Times New Roman" w:eastAsia="宋体" w:cs="Times New Roman"/>
      <w:kern w:val="0"/>
      <w:sz w:val="34"/>
      <w:szCs w:val="20"/>
    </w:rPr>
  </w:style>
  <w:style w:type="character" w:customStyle="1" w:styleId="67">
    <w:name w:val="HTML 预设格式 Char"/>
    <w:basedOn w:val="35"/>
    <w:link w:val="32"/>
    <w:semiHidden/>
    <w:qFormat/>
    <w:uiPriority w:val="99"/>
    <w:rPr>
      <w:rFonts w:ascii="宋体" w:hAnsi="宋体" w:eastAsia="宋体" w:cs="宋体"/>
      <w:kern w:val="0"/>
      <w:sz w:val="24"/>
      <w:szCs w:val="24"/>
    </w:rPr>
  </w:style>
  <w:style w:type="paragraph" w:customStyle="1" w:styleId="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二级条标题"/>
    <w:basedOn w:val="70"/>
    <w:next w:val="71"/>
    <w:qFormat/>
    <w:uiPriority w:val="0"/>
    <w:pPr>
      <w:outlineLvl w:val="3"/>
    </w:pPr>
  </w:style>
  <w:style w:type="paragraph" w:customStyle="1" w:styleId="70">
    <w:name w:val="一级条标题"/>
    <w:next w:val="71"/>
    <w:qFormat/>
    <w:uiPriority w:val="0"/>
    <w:pPr>
      <w:spacing w:beforeLines="50" w:afterLines="50"/>
      <w:ind w:left="2552"/>
      <w:outlineLvl w:val="2"/>
    </w:pPr>
    <w:rPr>
      <w:rFonts w:ascii="黑体" w:eastAsia="黑体" w:cs="黑体" w:hAnsiTheme="minorHAnsi"/>
      <w:kern w:val="2"/>
      <w:sz w:val="21"/>
      <w:szCs w:val="21"/>
      <w:lang w:val="en-US" w:eastAsia="zh-CN" w:bidi="ar-SA"/>
    </w:rPr>
  </w:style>
  <w:style w:type="paragraph" w:customStyle="1" w:styleId="71">
    <w:name w:val="段"/>
    <w:qFormat/>
    <w:uiPriority w:val="0"/>
    <w:pPr>
      <w:tabs>
        <w:tab w:val="center" w:pos="4201"/>
        <w:tab w:val="right" w:leader="dot" w:pos="9298"/>
      </w:tabs>
      <w:autoSpaceDE w:val="0"/>
      <w:autoSpaceDN w:val="0"/>
      <w:spacing w:beforeLines="50" w:afterLines="50"/>
      <w:ind w:firstLine="420" w:firstLineChars="200"/>
      <w:jc w:val="both"/>
    </w:pPr>
    <w:rPr>
      <w:rFonts w:ascii="宋体" w:hAnsi="Times New Roman" w:eastAsia="宋体" w:cs="宋体"/>
      <w:sz w:val="21"/>
      <w:szCs w:val="21"/>
      <w:lang w:val="en-US" w:eastAsia="zh-CN" w:bidi="ar-SA"/>
    </w:rPr>
  </w:style>
  <w:style w:type="paragraph" w:customStyle="1" w:styleId="72">
    <w:name w:val="三级条标题"/>
    <w:basedOn w:val="69"/>
    <w:next w:val="1"/>
    <w:qFormat/>
    <w:uiPriority w:val="0"/>
    <w:pPr>
      <w:outlineLvl w:val="4"/>
    </w:pPr>
  </w:style>
  <w:style w:type="character" w:customStyle="1" w:styleId="73">
    <w:name w:val="font51"/>
    <w:basedOn w:val="35"/>
    <w:qFormat/>
    <w:uiPriority w:val="0"/>
    <w:rPr>
      <w:rFonts w:hint="eastAsia" w:ascii="宋体" w:hAnsi="宋体" w:eastAsia="宋体" w:cs="宋体"/>
      <w:color w:val="000000"/>
      <w:sz w:val="22"/>
      <w:szCs w:val="22"/>
      <w:u w:val="none"/>
    </w:rPr>
  </w:style>
  <w:style w:type="character" w:customStyle="1" w:styleId="74">
    <w:name w:val="font41"/>
    <w:basedOn w:val="35"/>
    <w:qFormat/>
    <w:uiPriority w:val="0"/>
    <w:rPr>
      <w:rFonts w:hint="eastAsia" w:ascii="仿宋" w:hAnsi="仿宋" w:eastAsia="仿宋" w:cs="仿宋"/>
      <w:color w:val="000000"/>
      <w:sz w:val="22"/>
      <w:szCs w:val="22"/>
      <w:u w:val="none"/>
    </w:rPr>
  </w:style>
  <w:style w:type="character" w:customStyle="1" w:styleId="75">
    <w:name w:val="标题 5 Char"/>
    <w:basedOn w:val="35"/>
    <w:link w:val="8"/>
    <w:qFormat/>
    <w:uiPriority w:val="0"/>
    <w:rPr>
      <w:rFonts w:ascii="Calibri" w:hAnsi="Calibri"/>
      <w:b/>
      <w:kern w:val="2"/>
      <w:sz w:val="28"/>
    </w:rPr>
  </w:style>
  <w:style w:type="character" w:customStyle="1" w:styleId="76">
    <w:name w:val="标题 6 Char"/>
    <w:basedOn w:val="35"/>
    <w:link w:val="9"/>
    <w:qFormat/>
    <w:uiPriority w:val="0"/>
    <w:rPr>
      <w:rFonts w:ascii="Arial" w:hAnsi="Arial"/>
      <w:b/>
      <w:kern w:val="2"/>
      <w:sz w:val="24"/>
    </w:rPr>
  </w:style>
  <w:style w:type="character" w:customStyle="1" w:styleId="77">
    <w:name w:val="标题 7 Char"/>
    <w:basedOn w:val="35"/>
    <w:link w:val="10"/>
    <w:qFormat/>
    <w:uiPriority w:val="0"/>
    <w:rPr>
      <w:rFonts w:ascii="Calibri" w:hAnsi="Calibri"/>
      <w:b/>
      <w:kern w:val="2"/>
      <w:sz w:val="24"/>
    </w:rPr>
  </w:style>
  <w:style w:type="character" w:customStyle="1" w:styleId="78">
    <w:name w:val="标题 8 Char"/>
    <w:basedOn w:val="35"/>
    <w:link w:val="11"/>
    <w:qFormat/>
    <w:uiPriority w:val="0"/>
    <w:rPr>
      <w:rFonts w:ascii="Arial" w:hAnsi="Arial"/>
      <w:kern w:val="2"/>
      <w:sz w:val="24"/>
    </w:rPr>
  </w:style>
  <w:style w:type="character" w:customStyle="1" w:styleId="79">
    <w:name w:val="标题 9 Char"/>
    <w:basedOn w:val="35"/>
    <w:link w:val="12"/>
    <w:qFormat/>
    <w:uiPriority w:val="0"/>
    <w:rPr>
      <w:rFonts w:ascii="Arial" w:hAnsi="Arial"/>
      <w:kern w:val="2"/>
      <w:sz w:val="30"/>
    </w:rPr>
  </w:style>
  <w:style w:type="character" w:customStyle="1" w:styleId="80">
    <w:name w:val="脚注文本 Char"/>
    <w:basedOn w:val="35"/>
    <w:link w:val="27"/>
    <w:qFormat/>
    <w:uiPriority w:val="0"/>
    <w:rPr>
      <w:rFonts w:eastAsia="仿宋"/>
      <w:kern w:val="2"/>
      <w:sz w:val="18"/>
    </w:rPr>
  </w:style>
  <w:style w:type="character" w:customStyle="1" w:styleId="81">
    <w:name w:val="标题 Char"/>
    <w:basedOn w:val="35"/>
    <w:link w:val="34"/>
    <w:qFormat/>
    <w:uiPriority w:val="0"/>
    <w:rPr>
      <w:rFonts w:ascii="Arial" w:hAnsi="Arial" w:eastAsia="仿宋"/>
      <w:b/>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93354-35B5-4174-BE7E-E94C6EC1899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100</Pages>
  <Words>9446</Words>
  <Characters>53848</Characters>
  <Lines>448</Lines>
  <Paragraphs>126</Paragraphs>
  <TotalTime>91</TotalTime>
  <ScaleCrop>false</ScaleCrop>
  <LinksUpToDate>false</LinksUpToDate>
  <CharactersWithSpaces>63168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Administrator</cp:lastModifiedBy>
  <cp:lastPrinted>2018-11-08T02:27:00Z</cp:lastPrinted>
  <dcterms:modified xsi:type="dcterms:W3CDTF">2018-11-20T06:40:28Z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