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/>
          <w:b/>
          <w:snapToGrid w:val="0"/>
          <w:kern w:val="0"/>
          <w:sz w:val="36"/>
          <w:szCs w:val="36"/>
        </w:rPr>
      </w:pPr>
      <w:r>
        <w:rPr>
          <w:rFonts w:hint="eastAsia" w:hAnsi="宋体"/>
          <w:b/>
          <w:snapToGrid w:val="0"/>
          <w:kern w:val="0"/>
          <w:sz w:val="36"/>
          <w:szCs w:val="36"/>
        </w:rPr>
        <w:t>投标分项报价表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afterLines="50" w:line="240" w:lineRule="auto"/>
        <w:contextualSpacing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项目编号：ZFCG-G2018159号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156" w:afterLines="50" w:line="240" w:lineRule="auto"/>
        <w:contextualSpacing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项目名称：羁押外挂电梯</w:t>
      </w:r>
    </w:p>
    <w:tbl>
      <w:tblPr>
        <w:tblStyle w:val="11"/>
        <w:tblW w:w="9985" w:type="dxa"/>
        <w:jc w:val="center"/>
        <w:tblInd w:w="-5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08"/>
        <w:gridCol w:w="1344"/>
        <w:gridCol w:w="1896"/>
        <w:gridCol w:w="756"/>
        <w:gridCol w:w="636"/>
        <w:gridCol w:w="1043"/>
        <w:gridCol w:w="1080"/>
        <w:gridCol w:w="11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120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2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AU" w:eastAsia="zh-CN"/>
              </w:rPr>
              <w:t>无机房曳引式残障客梯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it-IT" w:eastAsia="zh-CN"/>
              </w:rPr>
              <w:t>KONE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it-IT" w:eastAsia="zh-CN"/>
              </w:rPr>
              <w:t>N MonoSpace /PW13/10-19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载重：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1600kg        速度：1.0m/s        层站门：4层4站4门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331900.00元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331900.00元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/通力电梯有限公司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AU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AU" w:eastAsia="zh-CN"/>
              </w:rPr>
              <w:t>钢结构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深色镀膜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玻璃厚度6mm*6mm，钢架立柱200mm×200×6mm厚方钢，钢架横梁200mm×200×6mm厚方钢，厅门横梁200mm×5mm厚槽钢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127300.00元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127300.00元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河南省正大钢结构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土建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基础坑洞挖掘和墙面打洞及除渣清理、回填及门洞不锈钢大门套的制作，底坑挖掘、抽水、清理、加高浇筑、回填并制作防水处理，需要处理的面积为32平方米，底坑浇灌混凝土不低于C30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21300.00元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300.00元</w:t>
            </w: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中国/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河南省正大钢结构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计</w:t>
            </w:r>
          </w:p>
        </w:tc>
        <w:tc>
          <w:tcPr>
            <w:tcW w:w="79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大写：　　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24"/>
          <w:szCs w:val="24"/>
        </w:rPr>
        <w:t>投标报价为提供本项目所要求的全部服务所发生的一切成本、税费和利润，包括人工（含工资、社会统筹保险金、加班工资、工作餐、相关福利、关于人员聘用的费用等）、设备、国家规定检测、外发包、材料（含辅材）、管理、税费及利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4"/>
        </w:rPr>
        <w:t>本项目所涉及的运输、施工、安装、集成、调试、验收、备品和工具等费用均包含在投标报价中。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0FDE"/>
    <w:rsid w:val="58300F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</w:rPr>
  </w:style>
  <w:style w:type="paragraph" w:customStyle="1" w:styleId="3">
    <w:name w:val="style4"/>
    <w:basedOn w:val="1"/>
    <w:next w:val="4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eastAsia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spacing w:line="460" w:lineRule="exact"/>
      <w:ind w:firstLine="200" w:firstLineChars="200"/>
    </w:pPr>
    <w:rPr>
      <w:spacing w:val="14"/>
      <w:kern w:val="24"/>
      <w:sz w:val="24"/>
    </w:rPr>
  </w:style>
  <w:style w:type="paragraph" w:styleId="7">
    <w:name w:val="Body Text First Indent"/>
    <w:basedOn w:val="2"/>
    <w:next w:val="8"/>
    <w:qFormat/>
    <w:uiPriority w:val="0"/>
    <w:pPr>
      <w:ind w:firstLine="420" w:firstLineChars="100"/>
    </w:pPr>
    <w:rPr>
      <w:rFonts w:eastAsia="仿宋_GB2312"/>
      <w:sz w:val="28"/>
    </w:rPr>
  </w:style>
  <w:style w:type="paragraph" w:styleId="8">
    <w:name w:val="Body Text First Indent 2"/>
    <w:basedOn w:val="9"/>
    <w:qFormat/>
    <w:uiPriority w:val="0"/>
    <w:pPr>
      <w:spacing w:after="120"/>
      <w:ind w:firstLine="420" w:firstLineChars="200"/>
    </w:pPr>
    <w:rPr>
      <w:szCs w:val="24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2018-11-16T07:07:00Z</dcterms:created>
  <dc:creator>‍♀️</dc:creator>
  <cp:lastModifiedBy>‍♀️</cp:lastModifiedBy>
  <dcterms:modified xsi:type="dcterms:W3CDTF">2018-11-16T07:10:13Z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