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numPr>
          <w:ilvl w:val="0"/>
          <w:numId w:val="2"/>
        </w:numPr>
        <w:tabs>
          <w:tab w:val="left" w:pos="0"/>
        </w:tabs>
        <w:spacing w:before="60" w:after="60" w:line="500" w:lineRule="exact"/>
        <w:ind w:firstLine="643"/>
        <w:jc w:val="center"/>
        <w:rPr>
          <w:rFonts w:ascii="宋体" w:hAnsi="宋体"/>
          <w:b/>
          <w:bCs/>
          <w:kern w:val="0"/>
          <w:sz w:val="32"/>
        </w:rPr>
      </w:pPr>
      <w:r>
        <w:rPr>
          <w:rFonts w:hint="eastAsia" w:ascii="宋体" w:hAnsi="宋体"/>
          <w:b/>
          <w:bCs/>
          <w:kern w:val="0"/>
          <w:sz w:val="32"/>
        </w:rPr>
        <w:t>技术部分</w:t>
      </w: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t>（一）实施方案</w:t>
      </w:r>
    </w:p>
    <w:p>
      <w:pPr>
        <w:pStyle w:val="9"/>
        <w:tabs>
          <w:tab w:val="left" w:pos="0"/>
        </w:tabs>
        <w:spacing w:before="60" w:after="60" w:line="500" w:lineRule="exact"/>
        <w:ind w:firstLine="0" w:firstLineChars="0"/>
        <w:rPr>
          <w:rFonts w:ascii="宋体" w:hAnsi="宋体"/>
          <w:b/>
          <w:bCs/>
          <w:kern w:val="0"/>
          <w:sz w:val="30"/>
          <w:szCs w:val="30"/>
        </w:rPr>
      </w:pPr>
      <w:r>
        <w:rPr>
          <w:rFonts w:hint="eastAsia" w:ascii="宋体" w:hAnsi="宋体"/>
          <w:b/>
          <w:bCs/>
          <w:sz w:val="30"/>
          <w:szCs w:val="30"/>
        </w:rPr>
        <w:t>1、项目的理解和总体设计思路</w:t>
      </w:r>
    </w:p>
    <w:p>
      <w:pPr>
        <w:spacing w:line="500" w:lineRule="exact"/>
        <w:rPr>
          <w:rFonts w:ascii="宋体" w:hAnsi="宋体"/>
          <w:b/>
          <w:bCs/>
          <w:sz w:val="24"/>
        </w:rPr>
      </w:pPr>
      <w:r>
        <w:rPr>
          <w:rFonts w:hint="eastAsia" w:ascii="宋体" w:hAnsi="宋体"/>
          <w:b/>
          <w:bCs/>
          <w:sz w:val="24"/>
        </w:rPr>
        <w:t>1）规划背景</w:t>
      </w:r>
    </w:p>
    <w:p>
      <w:pPr>
        <w:spacing w:line="500" w:lineRule="exact"/>
        <w:ind w:firstLine="480" w:firstLineChars="200"/>
        <w:rPr>
          <w:rFonts w:ascii="宋体" w:hAnsi="宋体"/>
          <w:sz w:val="24"/>
          <w:szCs w:val="22"/>
        </w:rPr>
      </w:pPr>
      <w:r>
        <w:rPr>
          <w:rFonts w:hint="eastAsia" w:ascii="宋体" w:hAnsi="宋体" w:cs="宋体"/>
          <w:color w:val="000000"/>
          <w:sz w:val="24"/>
          <w:szCs w:val="24"/>
          <w:shd w:val="clear" w:color="auto" w:fill="FFFFFF"/>
        </w:rPr>
        <w:t>以党的十九大精神为指导，以办好人民满意的教育为宗旨，以优化教育资源、改善办学条件、提高办学效益和教育质量为目标，以创建标准化、规范化寄宿制学校为突破口，坚持以人为本，立足实际，正确处理需求与可能、数量与质量、当前与长远的关系，因地制宜、科学规划、合理设校、稳步推进。在切实保证适龄儿童少年接受九年义务教育的前提下，使全县中小学布局结构更趋合理，教育资源配置更加优化，办学效益和教育教学质量稳步提高，促进全县教育事业协调、均衡、健康发展。</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为贯彻落实《河南省人民政府关于优化农村中小学布局加强寄宿制学校建设全面提高教育质量和办学效益的意见》（豫政〔2016〕71号）、《中共鄢陵县委鄢陵县人民政府关于进一步加快教育改革发展建设教育强县的意见》（鄢发〔2015〕15号）和《鄢陵县人民政府关于鄢陵县教育提升五年行动计划（2016-2020年）的通知》（〔2016〕50）号文件精神，高起点、高标准规划中小学校，合理解决县城区学校大班额和全县教育均衡发展问题，加快推进全县中小学校科学发展、内涵发展、跨越发展，实现教育强县目标。</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为了促进鄢陵县教育事业优先发展，优化教育资源配置，使中小学校的发展建设与社会经济发展、城市发展相适应，合理规划和保护县域及城区中小学校用地，确保学校的标准化建设，为鄢陵县中小学校建设规划管理提供依据。</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2）规划依据</w:t>
      </w:r>
    </w:p>
    <w:p>
      <w:pPr>
        <w:spacing w:line="500" w:lineRule="exact"/>
        <w:rPr>
          <w:rFonts w:hint="eastAsia" w:ascii="宋体" w:hAnsi="宋体" w:eastAsia="宋体"/>
          <w:sz w:val="24"/>
          <w:szCs w:val="22"/>
          <w:lang w:eastAsia="zh-CN"/>
        </w:rPr>
      </w:pPr>
      <w:r>
        <w:rPr>
          <w:rFonts w:hint="eastAsia" w:ascii="宋体" w:hAnsi="宋体"/>
          <w:sz w:val="24"/>
          <w:szCs w:val="22"/>
        </w:rPr>
        <w:t>1、《中华人民共和国城乡规划法》（2008年）</w:t>
      </w:r>
      <w:r>
        <w:rPr>
          <w:rFonts w:hint="eastAsia" w:ascii="宋体" w:hAnsi="宋体"/>
          <w:sz w:val="24"/>
          <w:szCs w:val="22"/>
          <w:lang w:eastAsia="zh-CN"/>
        </w:rPr>
        <w:t>；</w:t>
      </w:r>
    </w:p>
    <w:p>
      <w:pPr>
        <w:spacing w:line="500" w:lineRule="exact"/>
        <w:rPr>
          <w:rFonts w:hint="eastAsia" w:ascii="宋体" w:hAnsi="宋体" w:eastAsia="宋体"/>
          <w:sz w:val="24"/>
          <w:szCs w:val="22"/>
          <w:lang w:eastAsia="zh-CN"/>
        </w:rPr>
      </w:pPr>
      <w:r>
        <w:rPr>
          <w:rFonts w:hint="eastAsia" w:ascii="宋体" w:hAnsi="宋体"/>
          <w:sz w:val="24"/>
          <w:szCs w:val="22"/>
        </w:rPr>
        <w:t>2、《中华人民共和国义务教育法》（2015年）</w:t>
      </w:r>
      <w:r>
        <w:rPr>
          <w:rFonts w:hint="eastAsia" w:ascii="宋体" w:hAnsi="宋体"/>
          <w:sz w:val="24"/>
          <w:szCs w:val="22"/>
          <w:lang w:eastAsia="zh-CN"/>
        </w:rPr>
        <w:t>；</w:t>
      </w:r>
    </w:p>
    <w:p>
      <w:pPr>
        <w:spacing w:line="500" w:lineRule="exact"/>
        <w:rPr>
          <w:rFonts w:ascii="宋体" w:hAnsi="宋体"/>
          <w:sz w:val="24"/>
          <w:szCs w:val="22"/>
        </w:rPr>
      </w:pPr>
      <w:r>
        <w:rPr>
          <w:rFonts w:hint="eastAsia" w:ascii="宋体" w:hAnsi="宋体"/>
          <w:sz w:val="24"/>
          <w:szCs w:val="22"/>
        </w:rPr>
        <w:t>3、国务院关于基础教育改革与发展的决定（2001年）；</w:t>
      </w:r>
    </w:p>
    <w:p>
      <w:pPr>
        <w:spacing w:line="500" w:lineRule="exact"/>
        <w:rPr>
          <w:rFonts w:ascii="宋体" w:hAnsi="宋体"/>
          <w:sz w:val="24"/>
          <w:szCs w:val="22"/>
        </w:rPr>
      </w:pPr>
      <w:r>
        <w:rPr>
          <w:rFonts w:hint="eastAsia" w:ascii="宋体" w:hAnsi="宋体"/>
          <w:sz w:val="24"/>
          <w:szCs w:val="22"/>
        </w:rPr>
        <w:t>4、国家教委提出的“实行义务教育实施办法”；</w:t>
      </w:r>
    </w:p>
    <w:p>
      <w:pPr>
        <w:spacing w:line="500" w:lineRule="exact"/>
        <w:rPr>
          <w:rFonts w:ascii="宋体" w:hAnsi="宋体"/>
          <w:sz w:val="24"/>
          <w:szCs w:val="22"/>
        </w:rPr>
      </w:pPr>
      <w:r>
        <w:rPr>
          <w:rFonts w:hint="eastAsia" w:ascii="宋体" w:hAnsi="宋体"/>
          <w:sz w:val="24"/>
          <w:szCs w:val="22"/>
        </w:rPr>
        <w:t>5、国务院批转教育部制定的《面向21世纪教育振兴行动计划》；</w:t>
      </w:r>
    </w:p>
    <w:p>
      <w:pPr>
        <w:spacing w:line="500" w:lineRule="exact"/>
        <w:rPr>
          <w:rFonts w:ascii="宋体" w:hAnsi="宋体"/>
          <w:sz w:val="24"/>
          <w:szCs w:val="22"/>
        </w:rPr>
      </w:pPr>
      <w:r>
        <w:rPr>
          <w:rFonts w:hint="eastAsia" w:ascii="宋体" w:hAnsi="宋体"/>
          <w:sz w:val="24"/>
          <w:szCs w:val="22"/>
        </w:rPr>
        <w:t>6、《国家中长期教育改革和发展规划纲要》（2010—2020年）；</w:t>
      </w:r>
    </w:p>
    <w:p>
      <w:pPr>
        <w:spacing w:line="500" w:lineRule="exact"/>
        <w:rPr>
          <w:rFonts w:hint="eastAsia" w:ascii="宋体" w:hAnsi="宋体"/>
          <w:sz w:val="24"/>
          <w:szCs w:val="22"/>
        </w:rPr>
      </w:pPr>
      <w:r>
        <w:rPr>
          <w:rFonts w:hint="eastAsia" w:ascii="宋体" w:hAnsi="宋体"/>
          <w:sz w:val="24"/>
          <w:szCs w:val="22"/>
        </w:rPr>
        <w:t xml:space="preserve">7、河南省教育事业发展“十三五”规划； </w:t>
      </w:r>
    </w:p>
    <w:p>
      <w:pPr>
        <w:spacing w:line="500" w:lineRule="exact"/>
        <w:rPr>
          <w:rFonts w:hint="eastAsia" w:ascii="宋体" w:hAnsi="宋体"/>
          <w:sz w:val="24"/>
          <w:szCs w:val="22"/>
        </w:rPr>
      </w:pPr>
      <w:r>
        <w:rPr>
          <w:rFonts w:hint="eastAsia" w:ascii="宋体" w:hAnsi="宋体"/>
          <w:sz w:val="24"/>
          <w:szCs w:val="22"/>
          <w:lang w:val="en-US" w:eastAsia="zh-CN"/>
        </w:rPr>
        <w:t>8、</w:t>
      </w:r>
      <w:r>
        <w:rPr>
          <w:rFonts w:hint="eastAsia" w:ascii="宋体" w:hAnsi="宋体"/>
          <w:sz w:val="24"/>
          <w:szCs w:val="22"/>
        </w:rPr>
        <w:t>河南省教育综合改革方案 豫教改〔2016〕3号</w:t>
      </w:r>
    </w:p>
    <w:p>
      <w:pPr>
        <w:spacing w:line="500" w:lineRule="exact"/>
        <w:rPr>
          <w:rFonts w:hint="eastAsia" w:ascii="宋体" w:hAnsi="宋体"/>
          <w:sz w:val="24"/>
          <w:szCs w:val="22"/>
          <w:lang w:val="en-US" w:eastAsia="zh-CN"/>
        </w:rPr>
      </w:pPr>
      <w:r>
        <w:rPr>
          <w:rFonts w:hint="eastAsia" w:ascii="宋体" w:hAnsi="宋体"/>
          <w:sz w:val="24"/>
          <w:szCs w:val="22"/>
          <w:lang w:val="en-US" w:eastAsia="zh-CN"/>
        </w:rPr>
        <w:t>9、《河南省义务教育学校办学条件基本标准（试行）》</w:t>
      </w:r>
    </w:p>
    <w:p>
      <w:pPr>
        <w:spacing w:line="500" w:lineRule="exact"/>
        <w:rPr>
          <w:rFonts w:hint="eastAsia" w:ascii="宋体" w:hAnsi="宋体"/>
          <w:sz w:val="24"/>
          <w:szCs w:val="22"/>
        </w:rPr>
      </w:pPr>
      <w:r>
        <w:rPr>
          <w:rFonts w:hint="eastAsia" w:ascii="宋体" w:hAnsi="宋体"/>
          <w:sz w:val="24"/>
          <w:szCs w:val="22"/>
          <w:lang w:val="en-US" w:eastAsia="zh-CN"/>
        </w:rPr>
        <w:t>10、</w:t>
      </w:r>
      <w:r>
        <w:rPr>
          <w:rFonts w:hint="eastAsia" w:ascii="宋体" w:hAnsi="宋体"/>
          <w:sz w:val="24"/>
          <w:szCs w:val="22"/>
        </w:rPr>
        <w:t>关于进一步推进中小学布局调整的意见(省教育厅二○一○年十二月十七日)</w:t>
      </w:r>
    </w:p>
    <w:p>
      <w:pPr>
        <w:spacing w:line="500" w:lineRule="exact"/>
        <w:rPr>
          <w:rFonts w:ascii="宋体" w:hAnsi="宋体"/>
          <w:sz w:val="24"/>
          <w:szCs w:val="22"/>
        </w:rPr>
      </w:pPr>
      <w:r>
        <w:rPr>
          <w:rFonts w:hint="eastAsia" w:ascii="宋体" w:hAnsi="宋体"/>
          <w:sz w:val="24"/>
          <w:szCs w:val="22"/>
          <w:lang w:val="en-US" w:eastAsia="zh-CN"/>
        </w:rPr>
        <w:t>11、</w:t>
      </w:r>
      <w:r>
        <w:rPr>
          <w:rFonts w:hint="eastAsia" w:ascii="宋体" w:hAnsi="宋体"/>
          <w:sz w:val="24"/>
          <w:szCs w:val="22"/>
        </w:rPr>
        <w:t>《河南省城镇小区配套幼儿园建设管理办法》的通知豫教基二〔2017140号</w:t>
      </w:r>
    </w:p>
    <w:p>
      <w:pPr>
        <w:spacing w:line="500" w:lineRule="exact"/>
        <w:rPr>
          <w:rFonts w:ascii="宋体" w:hAnsi="宋体"/>
          <w:sz w:val="24"/>
          <w:szCs w:val="22"/>
        </w:rPr>
      </w:pPr>
      <w:r>
        <w:rPr>
          <w:rFonts w:hint="eastAsia" w:ascii="宋体" w:hAnsi="宋体"/>
          <w:sz w:val="24"/>
          <w:szCs w:val="22"/>
          <w:lang w:val="en-US" w:eastAsia="zh-CN"/>
        </w:rPr>
        <w:t>12</w:t>
      </w:r>
      <w:r>
        <w:rPr>
          <w:rFonts w:hint="eastAsia" w:ascii="宋体" w:hAnsi="宋体"/>
          <w:sz w:val="24"/>
          <w:szCs w:val="22"/>
        </w:rPr>
        <w:t>、《鄢陵县城乡总体规划》（2015～2030年）；</w:t>
      </w:r>
    </w:p>
    <w:p>
      <w:pPr>
        <w:spacing w:line="500" w:lineRule="exact"/>
        <w:rPr>
          <w:rFonts w:hint="eastAsia" w:ascii="宋体" w:hAnsi="宋体"/>
          <w:sz w:val="24"/>
          <w:szCs w:val="22"/>
        </w:rPr>
      </w:pPr>
      <w:r>
        <w:rPr>
          <w:rFonts w:hint="eastAsia" w:ascii="宋体" w:hAnsi="宋体"/>
          <w:sz w:val="24"/>
          <w:szCs w:val="22"/>
          <w:lang w:val="en-US" w:eastAsia="zh-CN"/>
        </w:rPr>
        <w:t>13、</w:t>
      </w:r>
      <w:r>
        <w:rPr>
          <w:rFonts w:hint="eastAsia" w:ascii="宋体" w:hAnsi="宋体"/>
          <w:sz w:val="24"/>
          <w:szCs w:val="22"/>
        </w:rPr>
        <w:t>《城市居住区规划设计规范》（GB50180-93）</w:t>
      </w:r>
    </w:p>
    <w:p>
      <w:pPr>
        <w:spacing w:line="500" w:lineRule="exact"/>
        <w:rPr>
          <w:rFonts w:hint="eastAsia" w:ascii="宋体" w:hAnsi="宋体"/>
          <w:sz w:val="24"/>
          <w:szCs w:val="22"/>
        </w:rPr>
      </w:pPr>
      <w:r>
        <w:rPr>
          <w:rFonts w:hint="eastAsia" w:ascii="宋体" w:hAnsi="宋体"/>
          <w:sz w:val="24"/>
          <w:szCs w:val="22"/>
          <w:lang w:val="en-US" w:eastAsia="zh-CN"/>
        </w:rPr>
        <w:t>14、</w:t>
      </w:r>
      <w:r>
        <w:rPr>
          <w:rFonts w:hint="eastAsia" w:ascii="宋体" w:hAnsi="宋体"/>
          <w:sz w:val="24"/>
          <w:szCs w:val="22"/>
        </w:rPr>
        <w:t>《托儿所、幼儿园建筑设计规范》（JGJ39-2016）</w:t>
      </w:r>
    </w:p>
    <w:p>
      <w:pPr>
        <w:spacing w:line="500" w:lineRule="exact"/>
        <w:rPr>
          <w:rFonts w:hint="eastAsia" w:ascii="宋体" w:hAnsi="宋体"/>
          <w:sz w:val="24"/>
          <w:szCs w:val="22"/>
        </w:rPr>
      </w:pPr>
      <w:r>
        <w:rPr>
          <w:rFonts w:hint="eastAsia" w:ascii="宋体" w:hAnsi="宋体"/>
          <w:sz w:val="24"/>
          <w:szCs w:val="22"/>
          <w:lang w:val="en-US" w:eastAsia="zh-CN"/>
        </w:rPr>
        <w:t>15、</w:t>
      </w:r>
      <w:r>
        <w:rPr>
          <w:rFonts w:hint="eastAsia" w:ascii="宋体" w:hAnsi="宋体"/>
          <w:sz w:val="24"/>
          <w:szCs w:val="22"/>
        </w:rPr>
        <w:t>《幼儿园建设标准》（建标175—2016）</w:t>
      </w:r>
    </w:p>
    <w:p>
      <w:pPr>
        <w:spacing w:line="500" w:lineRule="exact"/>
        <w:rPr>
          <w:rFonts w:hint="eastAsia" w:ascii="宋体" w:hAnsi="宋体"/>
          <w:sz w:val="24"/>
          <w:szCs w:val="22"/>
        </w:rPr>
      </w:pPr>
      <w:r>
        <w:rPr>
          <w:rFonts w:hint="eastAsia" w:ascii="宋体" w:hAnsi="宋体"/>
          <w:sz w:val="24"/>
          <w:szCs w:val="22"/>
          <w:lang w:val="en-US" w:eastAsia="zh-CN"/>
        </w:rPr>
        <w:t>16</w:t>
      </w:r>
      <w:r>
        <w:rPr>
          <w:rFonts w:hint="eastAsia" w:ascii="宋体" w:hAnsi="宋体"/>
          <w:sz w:val="24"/>
          <w:szCs w:val="22"/>
        </w:rPr>
        <w:t>、《中小学设计规范》（GB50099—2011）；</w:t>
      </w:r>
    </w:p>
    <w:p>
      <w:pPr>
        <w:spacing w:line="500" w:lineRule="exact"/>
        <w:rPr>
          <w:rFonts w:ascii="宋体" w:hAnsi="宋体"/>
          <w:sz w:val="24"/>
          <w:szCs w:val="22"/>
        </w:rPr>
      </w:pPr>
      <w:r>
        <w:rPr>
          <w:rFonts w:hint="eastAsia" w:ascii="宋体" w:hAnsi="宋体"/>
          <w:sz w:val="24"/>
          <w:szCs w:val="22"/>
          <w:lang w:val="en-US" w:eastAsia="zh-CN"/>
        </w:rPr>
        <w:t>17</w:t>
      </w:r>
      <w:r>
        <w:rPr>
          <w:rFonts w:hint="eastAsia" w:ascii="宋体" w:hAnsi="宋体"/>
          <w:sz w:val="24"/>
          <w:szCs w:val="22"/>
        </w:rPr>
        <w:t>、《城市普通中小学校校舍建筑标准》(2002年)；</w:t>
      </w:r>
    </w:p>
    <w:p>
      <w:pPr>
        <w:spacing w:line="500" w:lineRule="exact"/>
        <w:rPr>
          <w:rFonts w:ascii="宋体" w:hAnsi="宋体"/>
          <w:sz w:val="24"/>
          <w:szCs w:val="22"/>
        </w:rPr>
      </w:pPr>
      <w:r>
        <w:rPr>
          <w:rFonts w:hint="eastAsia" w:ascii="宋体" w:hAnsi="宋体"/>
          <w:sz w:val="24"/>
          <w:szCs w:val="22"/>
          <w:lang w:val="en-US" w:eastAsia="zh-CN"/>
        </w:rPr>
        <w:t>18</w:t>
      </w:r>
      <w:r>
        <w:rPr>
          <w:rFonts w:hint="eastAsia" w:ascii="宋体" w:hAnsi="宋体"/>
          <w:sz w:val="24"/>
          <w:szCs w:val="22"/>
        </w:rPr>
        <w:t>、国家、省、市有关公共教育设施的法规、文件及规范等。</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3）规划指导思想</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全面贯彻党的教育方针，认真落实“科教兴国”战略以及教育部《关于进一步推进义务教育均衡发展的若干意见》，全面推进素质教育，以科学发展观为指导，坚持因地制宜，平衡布局，标本兼治，分期实施，持续发展的原则，使中小学布局规划成为基础教育建设的基石，合理利用土地资源的保障，教育用地法制化的基础，政府进行建设决策的依据。</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通过规划，进一步优化教育资源配置，提高教育质量和办学效益，扩大办学规模，实现“布局基本合理，建设全面达标，发展相对平衡”的目标，为鄢陵县的经济发展和社会进步提供人才保证和知识基础。</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4）规划原则</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坚持循序渐进与节约资源原则。根据我县的人口流动趋势和经济社会发展趋势，按照教育发展的规律和国家规定的学校建设要求和标准，立足当前实际，适应未来需要，统筹规划，科学布点，确保规划的全局性、科学性和稳定性，避免重复建设，严防结构性浪费。同时根据财力许可和实际需要，按照轻重缓急、先易后难，分阶段、分步骤组织实施。“全面改薄”、长效机制资金、初改工程等资金统筹考虑，合理使用，优先用于规划保留的学校。对规划撤并的学校，不再安排投资项目。</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2、坚持就近入学与规模适度原则。小学服务半径一般不超过2000米（不含寄宿制学校）。小学办学规模原则上每级2班，新建小学每级4班以上，每班45人；初中原则上每级4-8班，新建初中每级8班以上，每班50人。生均用地面积初中不低于26平方米，小学不低于22平方米。积极推进寄宿制学校建设，原则上对不满100人的学校和教学点予以撤并，进一步优化学校布局结构，扩大优质教育资源覆盖率。</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坚持整合资源与力求效益原则。撤并和改扩建一批规模小、办学效益低的学校，充分利用现有校舍，尽可能在现有学校、特别是基础条件较好的学校扩建，做到少花钱、多办事、办好事。中小学布局调整要向人口集中的区域发展，打破乡镇区域界线，方便学生上学，合理利用教育资源。</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4、坚持积极稳妥与注重实效原则。布局调整采取逐年推进、分步实施、先易后难、分年消化或先撤并高年级段，再撤并低年级段的办法有序进行，避免“一刀切”。根据不同地理环境、交通情况、人口覆盖状况和人文因素，对于行程较远、交通不便的中小学校暂时保留。按照先建后撤、边建边撤的方法，使保留的学校能够容纳并入学校的学生，教育教学设施能够满足正常需求，避免因撤点并校造成学生流失、辍学和上学难等现象发生。</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5）规划目标</w:t>
      </w:r>
    </w:p>
    <w:p>
      <w:pPr>
        <w:spacing w:line="360" w:lineRule="auto"/>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十三五”期间，全县教育发展的总体目标是：全县各级各类学校办学条件明显改善，布局结构更趋合理，整体办学效益、办学水平明显提高。五年内，基本实现教育现代化、城乡教育发展一体化，教育体系更趋完备，教育体制充满活力，服务能力不断增强，教育质量显著提升，跻身全市乃至全省教育强县行列。</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1、高标准、高质量普及九年义务教育，努力实现义务教育的均衡发展，为每一位学生提供相对公平的受教育机会。到2030年，全市小学班额控制在45人，初中班额控制在50人，达到国家规定的班额标准。</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2、普及高中段教育，到2030年，继续保持市区高中教育普及发展的势头，保证初中毕业生100%的升学率，建成一批市级以上的示范性普通高中，满足人民群众对优质教育资源的要求。优化整合现有的中等职业教育资源，建成一批大规模，高水平的中等职业学校。</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3、完成义务教育全面改薄计划、城镇义务教育学校扩容和教育园区建设等，办学条件明显改善，各级各类学校的校舍、图书、教学仪器设备、文化卫生设施达到国家和地方规定的标准。</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6）规划范围与期限</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规划范围：本规划适用于鄢陵县城区及县域范围内中小学校发展规划，建设管理。规划范围由鄢陵县城区和城乡发展区共五个部分组成，占地面积为869.69平方公里，规划人口规模为84.8万人。</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规划期限：为与国家经济、社会发展计划相协调，本次规划确定规划年限为2016-2030年，其中：近期——2016-2020年； 远期——2020-2030年。</w:t>
      </w:r>
    </w:p>
    <w:p>
      <w:pPr>
        <w:pStyle w:val="9"/>
        <w:tabs>
          <w:tab w:val="left" w:pos="0"/>
        </w:tabs>
        <w:spacing w:before="60" w:after="60" w:line="500" w:lineRule="exact"/>
        <w:ind w:firstLine="0" w:firstLineChars="0"/>
        <w:rPr>
          <w:rFonts w:ascii="宋体" w:hAnsi="宋体"/>
          <w:b/>
          <w:bCs/>
          <w:sz w:val="30"/>
          <w:szCs w:val="30"/>
        </w:rPr>
      </w:pPr>
      <w:r>
        <w:rPr>
          <w:rFonts w:hint="eastAsia" w:ascii="宋体" w:hAnsi="宋体"/>
          <w:b/>
          <w:bCs/>
          <w:sz w:val="30"/>
          <w:szCs w:val="30"/>
        </w:rPr>
        <w:t>2、规划范围内教育及体育设施的现状情况</w:t>
      </w:r>
    </w:p>
    <w:p>
      <w:pPr>
        <w:spacing w:line="500" w:lineRule="exact"/>
        <w:ind w:firstLine="482" w:firstLineChars="200"/>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1）教育设施现状</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鄢陵县辖12个乡镇386个行政村，总人口70万。全县共有公办中小学151所，在校生82745人，教职工5559人。其中高中2所，在校生8366人，教职工698人；成建制小学132所，在校生54031人，教职工2341人；教学点60个，在校生2762人，教职工546人；公办初中17所，在校生17586人，教职工1974人。</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截止到2016年底，全县共有各级各类学校238所（不含幼儿园），其中高中2所、初中25所、小学209所；职教中心1所；特殊教育1所。城区教育设施：高中2所、初中8所、小学13所；县域教育设施：初中17所、小学196所、幼儿园184所。</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鄢陵县城区常住人口16万人，共有中小学校16所，其中高中2所，即鄢陵县第一高级中学、鄢陵县第二高级中学；初中4所，即鄢陵县初级中学、鄢陵县实验中学、鄢陵县第二初级中学、鄢陵县二高初中部；小学10所，即鄢陵县实验小学、安陵镇中心小学、安陵镇北街小学、安陵镇新庄小学、安陵镇轩岗小学、柏梁镇六湾小学、柏梁镇岗底张小学、柏梁镇王岗小学、马栏镇于寨小学、马栏镇唐庄小学。现有教职工2100人，在校生30000人。</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柏梁镇辖31个行政村，总人口5.3万人。现有教职工440人，在校生5603人。初中1所，即柏梁镇第一初级中学；成建制小学12所，即柏梁镇中心小学（寄宿制）、柏梁镇六湾小学、柏梁镇岗底张小学、柏梁镇文范小学、柏梁镇漆井小学、柏梁镇袁拐小学、柏梁镇小王庄小学、柏梁镇陈家小学、柏梁镇张坊小学、柏梁镇滕岗小学、柏梁镇党岗小学、柏梁镇黄龙社区中心小学；教学点7处，即姚家教学点、孟家教学点、柏梁镇实验小学教学点、大路王教学点、王岗教学点、林家教学点、安庄教学点。</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陈化店镇辖26个行政村，总人口3.2万人。现有教职工210人，在校生2519人；中小学校、教学点13所（处），其中初级中学1所，即陈化店镇初级中学；成建制小学9所，即陈化店镇中心小学、陈化店镇东明义小学、陈化店镇云杜小学、陈化店镇双堂小学、陈化店镇赵寨小学、陈化店镇王岳小学、陈化店镇所村小学、陈化店镇伍子小学，陈化店镇西明义小学；教学点3处，即陈化店镇杨刘小学教学点、陈化店镇丁集小学教学点、陈化店镇黄陵小学教学点。</w:t>
      </w:r>
    </w:p>
    <w:p>
      <w:pPr>
        <w:numPr>
          <w:ilvl w:val="0"/>
          <w:numId w:val="3"/>
        </w:numPr>
        <w:spacing w:line="500" w:lineRule="exact"/>
        <w:ind w:firstLine="482" w:firstLineChars="200"/>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教育设施存在的问题</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(1)</w:t>
      </w:r>
      <w:r>
        <w:rPr>
          <w:rFonts w:hint="eastAsia" w:ascii="宋体" w:hAnsi="宋体" w:cs="宋体"/>
          <w:color w:val="000000"/>
          <w:sz w:val="24"/>
          <w:szCs w:val="24"/>
          <w:shd w:val="clear" w:color="auto" w:fill="FFFFFF"/>
        </w:rPr>
        <w:t>城区中小学现状存在的问题</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a</w:t>
      </w:r>
      <w:r>
        <w:rPr>
          <w:rFonts w:hint="eastAsia" w:ascii="宋体" w:hAnsi="宋体" w:cs="宋体"/>
          <w:color w:val="000000"/>
          <w:sz w:val="24"/>
          <w:szCs w:val="24"/>
          <w:shd w:val="clear" w:color="auto" w:fill="FFFFFF"/>
        </w:rPr>
        <w:t>、班数规模过大，如鄢陵县实验小学有52班，鄢陵县外国语小学有42班。</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b</w:t>
      </w:r>
      <w:r>
        <w:rPr>
          <w:rFonts w:hint="eastAsia" w:ascii="宋体" w:hAnsi="宋体" w:cs="宋体"/>
          <w:color w:val="000000"/>
          <w:sz w:val="24"/>
          <w:szCs w:val="24"/>
          <w:shd w:val="clear" w:color="auto" w:fill="FFFFFF"/>
        </w:rPr>
        <w:t>、学校班额规模过大，如鄢陵县实验小学89人/班，安陵镇中心小学91人/班，几近国家标准的2倍。</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c</w:t>
      </w:r>
      <w:r>
        <w:rPr>
          <w:rFonts w:hint="eastAsia" w:ascii="宋体" w:hAnsi="宋体" w:cs="宋体"/>
          <w:color w:val="000000"/>
          <w:sz w:val="24"/>
          <w:szCs w:val="24"/>
          <w:shd w:val="clear" w:color="auto" w:fill="FFFFFF"/>
        </w:rPr>
        <w:t>、生均用地严重不足，《许昌市城乡规划指标指导意见》（修订稿）要求，小学人均占地面积不宜少于22平方米，初中人均占地面积不宜少于24平方米，高中人均占地面积不宜少于30平方米。</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d</w:t>
      </w:r>
      <w:r>
        <w:rPr>
          <w:rFonts w:hint="eastAsia" w:ascii="宋体" w:hAnsi="宋体" w:cs="宋体"/>
          <w:color w:val="000000"/>
          <w:sz w:val="24"/>
          <w:szCs w:val="24"/>
          <w:shd w:val="clear" w:color="auto" w:fill="FFFFFF"/>
        </w:rPr>
        <w:t>、城区学校布局不尽合理，教育质量较好的学校相对集中于老城区， 空间分布很不均匀，而且老城区的中小学校园用地面积严重不足，发展空间受到限制。</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(2)</w:t>
      </w:r>
      <w:r>
        <w:rPr>
          <w:rFonts w:hint="eastAsia" w:ascii="宋体" w:hAnsi="宋体" w:cs="宋体"/>
          <w:color w:val="000000"/>
          <w:sz w:val="24"/>
          <w:szCs w:val="24"/>
          <w:shd w:val="clear" w:color="auto" w:fill="FFFFFF"/>
        </w:rPr>
        <w:t>县域乡镇中小学存在的问题</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a</w:t>
      </w:r>
      <w:r>
        <w:rPr>
          <w:rFonts w:hint="eastAsia" w:ascii="宋体" w:hAnsi="宋体" w:cs="宋体"/>
          <w:color w:val="000000"/>
          <w:sz w:val="24"/>
          <w:szCs w:val="24"/>
          <w:shd w:val="clear" w:color="auto" w:fill="FFFFFF"/>
        </w:rPr>
        <w:t>．规模较小的学校还占有一定比例，尤其是部分小学、初中，由于规模较小，教育硬件、软件设施较落后，不能满足教学的需要，影响教学质量。</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b</w:t>
      </w:r>
      <w:r>
        <w:rPr>
          <w:rFonts w:hint="eastAsia" w:ascii="宋体" w:hAnsi="宋体" w:cs="宋体"/>
          <w:color w:val="000000"/>
          <w:sz w:val="24"/>
          <w:szCs w:val="24"/>
          <w:shd w:val="clear" w:color="auto" w:fill="FFFFFF"/>
        </w:rPr>
        <w:t>．城乡教育发展有较大差距，在教学条件、师资力量、学校规模等方面，中心城区与周围村镇相比有较大优势，发展不够平衡。</w:t>
      </w:r>
    </w:p>
    <w:p>
      <w:pPr>
        <w:pStyle w:val="9"/>
        <w:tabs>
          <w:tab w:val="left" w:pos="0"/>
        </w:tabs>
        <w:spacing w:line="360" w:lineRule="auto"/>
        <w:ind w:firstLine="480"/>
        <w:rPr>
          <w:rFonts w:ascii="宋体" w:hAnsi="宋体" w:cs="宋体"/>
          <w:color w:val="000000"/>
          <w:sz w:val="24"/>
          <w:szCs w:val="24"/>
          <w:shd w:val="clear" w:color="auto" w:fill="FFFFFF"/>
        </w:rPr>
      </w:pPr>
      <w:r>
        <w:rPr>
          <w:rFonts w:ascii="宋体" w:hAnsi="宋体" w:cs="宋体"/>
          <w:color w:val="000000"/>
          <w:sz w:val="24"/>
          <w:szCs w:val="24"/>
          <w:shd w:val="clear" w:color="auto" w:fill="FFFFFF"/>
        </w:rPr>
        <w:t>c</w:t>
      </w:r>
      <w:r>
        <w:rPr>
          <w:rFonts w:hint="eastAsia" w:ascii="宋体" w:hAnsi="宋体" w:cs="宋体"/>
          <w:color w:val="000000"/>
          <w:sz w:val="24"/>
          <w:szCs w:val="24"/>
          <w:shd w:val="clear" w:color="auto" w:fill="FFFFFF"/>
        </w:rPr>
        <w:t>．新学制的改革及生源总量的减少，以及城市化进程带来的城市人口变化，对学校的布局调整提出了新的要求。</w:t>
      </w:r>
    </w:p>
    <w:p>
      <w:pPr>
        <w:pStyle w:val="9"/>
        <w:tabs>
          <w:tab w:val="left" w:pos="0"/>
        </w:tabs>
        <w:spacing w:line="360" w:lineRule="auto"/>
        <w:ind w:firstLine="480"/>
        <w:rPr>
          <w:rFonts w:ascii="宋体" w:hAnsi="宋体" w:cs="宋体"/>
          <w:b/>
          <w:bCs/>
          <w:color w:val="000000"/>
          <w:sz w:val="24"/>
          <w:szCs w:val="24"/>
          <w:shd w:val="clear" w:color="auto" w:fill="FFFFFF"/>
        </w:rPr>
      </w:pPr>
      <w:r>
        <w:rPr>
          <w:rFonts w:ascii="宋体" w:hAnsi="宋体" w:cs="宋体"/>
          <w:color w:val="000000"/>
          <w:sz w:val="24"/>
          <w:szCs w:val="24"/>
          <w:shd w:val="clear" w:color="auto" w:fill="FFFFFF"/>
        </w:rPr>
        <w:t>d</w:t>
      </w:r>
      <w:r>
        <w:rPr>
          <w:rFonts w:hint="eastAsia" w:ascii="宋体" w:hAnsi="宋体" w:cs="宋体"/>
          <w:color w:val="000000"/>
          <w:sz w:val="24"/>
          <w:szCs w:val="24"/>
          <w:shd w:val="clear" w:color="auto" w:fill="FFFFFF"/>
        </w:rPr>
        <w:t>．基础教育投入不足，教育经费紧张；教育评价机制不够科学、完善。</w:t>
      </w:r>
    </w:p>
    <w:p>
      <w:pPr>
        <w:spacing w:line="500" w:lineRule="exact"/>
        <w:ind w:left="420" w:leftChars="200"/>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3）老城区8个休闲活动广场</w:t>
      </w:r>
    </w:p>
    <w:p>
      <w:pPr>
        <w:spacing w:line="500" w:lineRule="exact"/>
        <w:ind w:left="239" w:leftChars="114"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1、三角休闲广场2、小北关河道广场3、公疗医院院内广场4、县医院对面护城河广场5、职教中心对面路北广场6、文化广场东合欢路北面广场7、六湾小学南面广场8、鹤鸣湖东北角广场。</w:t>
      </w:r>
    </w:p>
    <w:p>
      <w:pPr>
        <w:spacing w:line="500" w:lineRule="exact"/>
        <w:ind w:left="239" w:leftChars="114"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城区的活动广场严重不足，居民活动空间很狭小，老城区仅有的8个休闲广场面积较小，后期扩建基本没有空地，城区活动空间严重滞后，制约城区发展。</w:t>
      </w:r>
    </w:p>
    <w:p>
      <w:pPr>
        <w:pStyle w:val="9"/>
        <w:tabs>
          <w:tab w:val="left" w:pos="0"/>
        </w:tabs>
        <w:spacing w:before="60" w:after="60" w:line="500" w:lineRule="exact"/>
        <w:ind w:firstLine="0" w:firstLineChars="0"/>
        <w:rPr>
          <w:rFonts w:ascii="宋体" w:hAnsi="宋体" w:cs="宋体"/>
          <w:color w:val="000000"/>
          <w:sz w:val="24"/>
          <w:szCs w:val="24"/>
          <w:shd w:val="clear" w:color="auto" w:fill="FFFFFF"/>
        </w:rPr>
      </w:pPr>
      <w:r>
        <w:rPr>
          <w:rFonts w:hint="eastAsia" w:ascii="宋体" w:hAnsi="宋体"/>
          <w:b/>
          <w:bCs/>
          <w:sz w:val="30"/>
          <w:szCs w:val="30"/>
        </w:rPr>
        <w:t>3、规划区各级教育及体育设施规划布局</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1）中小学生需求预测</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根据鄢陵县中小学发展规划，至2030年，初中、高中普及率达到100%。规划确定鄢陵县中小学生千人指标为：小学生72人/千人，初中生42人/千人，普通高中生25人/千人。</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依据《鄢陵县城乡总体规划》（2015-2030），到2030年鄢陵县规划总人口为84.8万人，预计小学生人数为8.6万人，初中生人数为4.5万人，普通高中生人数为1.9万人。</w:t>
      </w:r>
    </w:p>
    <w:p>
      <w:pPr>
        <w:spacing w:line="500" w:lineRule="exact"/>
        <w:ind w:firstLine="480" w:firstLineChars="200"/>
        <w:rPr>
          <w:rFonts w:ascii="宋体" w:hAnsi="宋体" w:cs="宋体"/>
          <w:color w:val="000000"/>
          <w:sz w:val="24"/>
          <w:szCs w:val="24"/>
          <w:shd w:val="clear" w:color="auto" w:fill="FFFFFF"/>
        </w:rPr>
      </w:pPr>
    </w:p>
    <w:p>
      <w:pPr>
        <w:spacing w:line="600" w:lineRule="exact"/>
        <w:ind w:left="525" w:leftChars="250" w:firstLine="480" w:firstLineChars="200"/>
        <w:jc w:val="center"/>
        <w:rPr>
          <w:color w:val="000000"/>
          <w:sz w:val="24"/>
        </w:rPr>
      </w:pPr>
      <w:r>
        <w:rPr>
          <w:rFonts w:hint="eastAsia"/>
          <w:color w:val="000000"/>
          <w:sz w:val="24"/>
        </w:rPr>
        <w:t>2030年鄢陵县中小学数量预测表：</w:t>
      </w:r>
    </w:p>
    <w:tbl>
      <w:tblPr>
        <w:tblStyle w:val="8"/>
        <w:tblW w:w="7888" w:type="dxa"/>
        <w:jc w:val="right"/>
        <w:tblInd w:w="0" w:type="dxa"/>
        <w:tblLayout w:type="fixed"/>
        <w:tblCellMar>
          <w:top w:w="0" w:type="dxa"/>
          <w:left w:w="108" w:type="dxa"/>
          <w:bottom w:w="0" w:type="dxa"/>
          <w:right w:w="108" w:type="dxa"/>
        </w:tblCellMar>
      </w:tblPr>
      <w:tblGrid>
        <w:gridCol w:w="2028"/>
        <w:gridCol w:w="1466"/>
        <w:gridCol w:w="1466"/>
        <w:gridCol w:w="1466"/>
        <w:gridCol w:w="1462"/>
      </w:tblGrid>
      <w:tr>
        <w:tblPrEx>
          <w:tblLayout w:type="fixed"/>
          <w:tblCellMar>
            <w:top w:w="0" w:type="dxa"/>
            <w:left w:w="108" w:type="dxa"/>
            <w:bottom w:w="0" w:type="dxa"/>
            <w:right w:w="108" w:type="dxa"/>
          </w:tblCellMar>
        </w:tblPrEx>
        <w:trPr>
          <w:trHeight w:val="600" w:hRule="atLeast"/>
          <w:jc w:val="right"/>
        </w:trPr>
        <w:tc>
          <w:tcPr>
            <w:tcW w:w="2028" w:type="dxa"/>
            <w:vMerge w:val="restart"/>
            <w:tcBorders>
              <w:top w:val="double" w:color="auto" w:sz="6" w:space="0"/>
              <w:left w:val="double" w:color="auto" w:sz="6" w:space="0"/>
              <w:bottom w:val="double" w:color="000000"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分区</w:t>
            </w:r>
          </w:p>
        </w:tc>
        <w:tc>
          <w:tcPr>
            <w:tcW w:w="1466" w:type="dxa"/>
            <w:vMerge w:val="restart"/>
            <w:tcBorders>
              <w:top w:val="double" w:color="auto" w:sz="6" w:space="0"/>
              <w:left w:val="nil"/>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城市人口规模</w:t>
            </w:r>
          </w:p>
          <w:p>
            <w:pPr>
              <w:jc w:val="center"/>
              <w:rPr>
                <w:rFonts w:ascii="宋体" w:hAnsi="宋体" w:cs="宋体"/>
                <w:color w:val="000000"/>
                <w:kern w:val="0"/>
                <w:sz w:val="24"/>
              </w:rPr>
            </w:pPr>
            <w:r>
              <w:rPr>
                <w:rFonts w:hint="eastAsia" w:ascii="宋体" w:hAnsi="宋体" w:cs="宋体"/>
                <w:color w:val="000000"/>
                <w:kern w:val="0"/>
                <w:sz w:val="24"/>
              </w:rPr>
              <w:t>（万人）</w:t>
            </w:r>
          </w:p>
        </w:tc>
        <w:tc>
          <w:tcPr>
            <w:tcW w:w="4394" w:type="dxa"/>
            <w:gridSpan w:val="3"/>
            <w:tcBorders>
              <w:top w:val="double" w:color="auto" w:sz="6" w:space="0"/>
              <w:left w:val="nil"/>
              <w:bottom w:val="double" w:color="auto" w:sz="6" w:space="0"/>
              <w:right w:val="double" w:color="000000"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中小学生数量（人）</w:t>
            </w:r>
          </w:p>
        </w:tc>
      </w:tr>
      <w:tr>
        <w:tblPrEx>
          <w:tblLayout w:type="fixed"/>
          <w:tblCellMar>
            <w:top w:w="0" w:type="dxa"/>
            <w:left w:w="108" w:type="dxa"/>
            <w:bottom w:w="0" w:type="dxa"/>
            <w:right w:w="108" w:type="dxa"/>
          </w:tblCellMar>
        </w:tblPrEx>
        <w:trPr>
          <w:trHeight w:val="315" w:hRule="atLeast"/>
          <w:jc w:val="right"/>
        </w:trPr>
        <w:tc>
          <w:tcPr>
            <w:tcW w:w="2028" w:type="dxa"/>
            <w:vMerge w:val="continue"/>
            <w:tcBorders>
              <w:top w:val="double" w:color="auto" w:sz="6" w:space="0"/>
              <w:left w:val="double" w:color="auto" w:sz="6" w:space="0"/>
              <w:bottom w:val="double" w:color="000000" w:sz="6" w:space="0"/>
              <w:right w:val="double" w:color="auto" w:sz="6" w:space="0"/>
            </w:tcBorders>
            <w:vAlign w:val="center"/>
          </w:tcPr>
          <w:p>
            <w:pPr>
              <w:widowControl/>
              <w:jc w:val="center"/>
              <w:rPr>
                <w:rFonts w:ascii="宋体" w:hAnsi="宋体" w:cs="宋体"/>
                <w:color w:val="000000"/>
                <w:kern w:val="0"/>
                <w:sz w:val="24"/>
              </w:rPr>
            </w:pPr>
          </w:p>
        </w:tc>
        <w:tc>
          <w:tcPr>
            <w:tcW w:w="1466" w:type="dxa"/>
            <w:vMerge w:val="continue"/>
            <w:tcBorders>
              <w:left w:val="nil"/>
              <w:bottom w:val="double" w:color="auto" w:sz="6" w:space="0"/>
              <w:right w:val="double" w:color="auto" w:sz="6" w:space="0"/>
            </w:tcBorders>
            <w:vAlign w:val="center"/>
          </w:tcPr>
          <w:p>
            <w:pPr>
              <w:widowControl/>
              <w:jc w:val="center"/>
              <w:rPr>
                <w:rFonts w:ascii="宋体" w:hAnsi="宋体" w:cs="宋体"/>
                <w:color w:val="000000"/>
                <w:kern w:val="0"/>
                <w:sz w:val="24"/>
              </w:rPr>
            </w:pPr>
          </w:p>
        </w:tc>
        <w:tc>
          <w:tcPr>
            <w:tcW w:w="1466" w:type="dxa"/>
            <w:tcBorders>
              <w:top w:val="nil"/>
              <w:left w:val="nil"/>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小学生</w:t>
            </w:r>
          </w:p>
        </w:tc>
        <w:tc>
          <w:tcPr>
            <w:tcW w:w="1466" w:type="dxa"/>
            <w:tcBorders>
              <w:top w:val="nil"/>
              <w:left w:val="nil"/>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初中生</w:t>
            </w:r>
          </w:p>
        </w:tc>
        <w:tc>
          <w:tcPr>
            <w:tcW w:w="1462" w:type="dxa"/>
            <w:tcBorders>
              <w:top w:val="nil"/>
              <w:left w:val="nil"/>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高中生</w:t>
            </w: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城区（含</w:t>
            </w:r>
            <w:r>
              <w:rPr>
                <w:rFonts w:hint="eastAsia"/>
                <w:color w:val="000000"/>
                <w:sz w:val="24"/>
              </w:rPr>
              <w:t>柏梁镇</w:t>
            </w:r>
            <w:r>
              <w:rPr>
                <w:rFonts w:hint="eastAsia" w:ascii="宋体" w:hAnsi="宋体" w:cs="宋体"/>
                <w:color w:val="000000"/>
                <w:kern w:val="0"/>
                <w:sz w:val="24"/>
              </w:rPr>
              <w:t>）</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43.2</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39060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28950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19200</w:t>
            </w:r>
          </w:p>
        </w:tc>
      </w:tr>
      <w:tr>
        <w:tblPrEx>
          <w:tblLayout w:type="fixed"/>
          <w:tblCellMar>
            <w:top w:w="0" w:type="dxa"/>
            <w:left w:w="108" w:type="dxa"/>
            <w:bottom w:w="0" w:type="dxa"/>
            <w:right w:w="108" w:type="dxa"/>
          </w:tblCellMar>
        </w:tblPrEx>
        <w:trPr>
          <w:trHeight w:val="359"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彭店镇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6.7</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5715</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1200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陈化店镇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4.1</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3960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1200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马坊镇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6.4</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5220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900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大马镇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5.0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4410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1500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马栏镇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9.2</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5490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1800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只乐镇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5.9</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3645</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2100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张桥镇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8.5</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4005</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1500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陶城镇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6.9</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5040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1200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望田镇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5.2</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5220</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900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r>
        <w:tblPrEx>
          <w:tblLayout w:type="fixed"/>
          <w:tblCellMar>
            <w:top w:w="0" w:type="dxa"/>
            <w:left w:w="108" w:type="dxa"/>
            <w:bottom w:w="0" w:type="dxa"/>
            <w:right w:w="108" w:type="dxa"/>
          </w:tblCellMar>
        </w:tblPrEx>
        <w:trPr>
          <w:trHeight w:val="345" w:hRule="atLeast"/>
          <w:jc w:val="right"/>
        </w:trPr>
        <w:tc>
          <w:tcPr>
            <w:tcW w:w="2028" w:type="dxa"/>
            <w:tcBorders>
              <w:top w:val="nil"/>
              <w:left w:val="double" w:color="auto" w:sz="6" w:space="0"/>
              <w:bottom w:val="double" w:color="auto" w:sz="6" w:space="0"/>
              <w:right w:val="double" w:color="auto" w:sz="6" w:space="0"/>
            </w:tcBorders>
            <w:vAlign w:val="center"/>
          </w:tcPr>
          <w:p>
            <w:pPr>
              <w:widowControl/>
              <w:jc w:val="center"/>
              <w:rPr>
                <w:rFonts w:ascii="宋体" w:hAnsi="宋体" w:cs="宋体"/>
                <w:color w:val="000000"/>
                <w:kern w:val="0"/>
                <w:sz w:val="24"/>
              </w:rPr>
            </w:pPr>
            <w:r>
              <w:rPr>
                <w:rFonts w:hint="eastAsia" w:ascii="宋体" w:hAnsi="宋体" w:cs="宋体"/>
                <w:color w:val="000000"/>
                <w:kern w:val="0"/>
                <w:sz w:val="24"/>
              </w:rPr>
              <w:t>南坞镇</w:t>
            </w:r>
          </w:p>
        </w:tc>
        <w:tc>
          <w:tcPr>
            <w:tcW w:w="1466" w:type="dxa"/>
            <w:tcBorders>
              <w:top w:val="nil"/>
              <w:left w:val="nil"/>
              <w:bottom w:val="double" w:color="auto" w:sz="6" w:space="0"/>
              <w:right w:val="double" w:color="auto" w:sz="6" w:space="0"/>
            </w:tcBorders>
            <w:vAlign w:val="center"/>
          </w:tcPr>
          <w:p>
            <w:pPr>
              <w:widowControl/>
              <w:jc w:val="center"/>
              <w:rPr>
                <w:color w:val="000000"/>
                <w:kern w:val="0"/>
                <w:sz w:val="24"/>
              </w:rPr>
            </w:pPr>
            <w:r>
              <w:rPr>
                <w:rFonts w:hint="eastAsia"/>
                <w:color w:val="000000"/>
                <w:kern w:val="0"/>
                <w:sz w:val="24"/>
              </w:rPr>
              <w:t>4.3</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4088</w:t>
            </w:r>
          </w:p>
        </w:tc>
        <w:tc>
          <w:tcPr>
            <w:tcW w:w="1466"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r>
              <w:rPr>
                <w:rFonts w:hint="eastAsia"/>
                <w:color w:val="000000" w:themeColor="text1"/>
                <w:kern w:val="0"/>
                <w:sz w:val="24"/>
                <w14:textFill>
                  <w14:solidFill>
                    <w14:schemeClr w14:val="tx1"/>
                  </w14:solidFill>
                </w14:textFill>
              </w:rPr>
              <w:t>3750</w:t>
            </w:r>
          </w:p>
        </w:tc>
        <w:tc>
          <w:tcPr>
            <w:tcW w:w="1462" w:type="dxa"/>
            <w:tcBorders>
              <w:top w:val="nil"/>
              <w:left w:val="nil"/>
              <w:bottom w:val="double" w:color="auto" w:sz="6" w:space="0"/>
              <w:right w:val="double" w:color="auto" w:sz="6" w:space="0"/>
            </w:tcBorders>
            <w:vAlign w:val="center"/>
          </w:tcPr>
          <w:p>
            <w:pPr>
              <w:widowControl/>
              <w:jc w:val="center"/>
              <w:rPr>
                <w:color w:val="000000" w:themeColor="text1"/>
                <w:kern w:val="0"/>
                <w:sz w:val="24"/>
                <w14:textFill>
                  <w14:solidFill>
                    <w14:schemeClr w14:val="tx1"/>
                  </w14:solidFill>
                </w14:textFill>
              </w:rPr>
            </w:pPr>
          </w:p>
        </w:tc>
      </w:tr>
    </w:tbl>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2）中小学</w:t>
      </w:r>
      <w:r>
        <w:rPr>
          <w:rFonts w:hint="eastAsia" w:ascii="宋体" w:hAnsi="宋体" w:cs="宋体"/>
          <w:b/>
          <w:bCs/>
          <w:color w:val="000000"/>
          <w:sz w:val="24"/>
          <w:szCs w:val="24"/>
          <w:shd w:val="clear" w:color="auto" w:fill="FFFFFF"/>
          <w:lang w:eastAsia="zh-CN"/>
        </w:rPr>
        <w:t>（幼儿园）</w:t>
      </w:r>
      <w:r>
        <w:rPr>
          <w:rFonts w:hint="eastAsia" w:ascii="宋体" w:hAnsi="宋体" w:cs="宋体"/>
          <w:b/>
          <w:bCs/>
          <w:color w:val="000000"/>
          <w:sz w:val="24"/>
          <w:szCs w:val="24"/>
          <w:shd w:val="clear" w:color="auto" w:fill="FFFFFF"/>
        </w:rPr>
        <w:t>控制指标</w:t>
      </w:r>
    </w:p>
    <w:p>
      <w:pPr>
        <w:spacing w:line="500" w:lineRule="exact"/>
        <w:ind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1）城区新建学校建设规模依据国家相关标准执行。城区需扩建的中小学校，原则上初中生均用地标准不低于15㎡，小学生均用地标准不低于9㎡。确因周边用地限制而无法扩建的中小学校，报市教育行政主管部门审查后，生均用地指标可酌情降低。</w:t>
      </w:r>
    </w:p>
    <w:p>
      <w:pPr>
        <w:spacing w:line="500" w:lineRule="exact"/>
        <w:ind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（2）</w:t>
      </w:r>
      <w:r>
        <w:rPr>
          <w:rFonts w:hint="eastAsia" w:ascii="宋体" w:hAnsi="宋体"/>
          <w:color w:val="000000"/>
          <w:sz w:val="24"/>
        </w:rPr>
        <w:t>平原地区的农村中心小学，原则上不低于18班规模；山区、丘陵地区的农村中心小学，原则上不低于12班规模。地处偏远、人口稀少、交通不便的地方应保留或设置必要的非完全小学（教学点）。</w:t>
      </w:r>
    </w:p>
    <w:p>
      <w:pPr>
        <w:spacing w:line="500" w:lineRule="exact"/>
        <w:ind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（3）城市中心城区根据居民区规模、公共交通状况、流动人口子女入学因素等合理设置完全小学、初级中学，原则上完全小学不低于24班规模，初级中学不低于30班规模。</w:t>
      </w:r>
    </w:p>
    <w:p>
      <w:pPr>
        <w:spacing w:line="500" w:lineRule="exact"/>
        <w:ind w:firstLine="240" w:firstLineChars="1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4）学校占地面积应满足与其办学规模相适应的建筑用地、体育用地、绿化用地、道路及广场、停车场等用地的需要。有条件时宜预留发展用地。应根据实际情况和生源变化趋势，按照科学合理、节约用地、资源共享的原则进行规划、建设。结合城市规划，在学校主出入口外应设置人员集散场地。义务教育学校生均用地面积见表1。</w:t>
      </w:r>
    </w:p>
    <w:p>
      <w:pPr>
        <w:autoSpaceDE w:val="0"/>
        <w:autoSpaceDN w:val="0"/>
        <w:adjustRightInd w:val="0"/>
        <w:snapToGrid w:val="0"/>
        <w:spacing w:line="560" w:lineRule="exact"/>
        <w:jc w:val="center"/>
        <w:rPr>
          <w:rFonts w:ascii="宋体" w:hAnsi="宋体" w:cs="黑体"/>
          <w:kern w:val="0"/>
          <w:sz w:val="24"/>
          <w:lang w:val="zh-CN"/>
        </w:rPr>
      </w:pPr>
      <w:r>
        <w:rPr>
          <w:rFonts w:hint="eastAsia" w:ascii="宋体" w:hAnsi="宋体" w:cs="黑体"/>
          <w:kern w:val="0"/>
          <w:sz w:val="24"/>
          <w:lang w:val="zh-CN"/>
        </w:rPr>
        <w:t>表1 义务教育学校生均用地面积</w:t>
      </w:r>
    </w:p>
    <w:p>
      <w:pPr>
        <w:adjustRightInd w:val="0"/>
        <w:snapToGrid w:val="0"/>
        <w:jc w:val="right"/>
        <w:rPr>
          <w:rFonts w:ascii="宋体" w:hAnsi="宋体"/>
          <w:sz w:val="24"/>
        </w:rPr>
      </w:pPr>
      <w:r>
        <w:rPr>
          <w:rFonts w:hint="eastAsia" w:ascii="宋体" w:hAnsi="宋体"/>
          <w:sz w:val="24"/>
        </w:rPr>
        <w:t>单位：</w:t>
      </w:r>
      <w:r>
        <w:rPr>
          <w:rFonts w:hint="eastAsia" w:ascii="宋体" w:hAnsi="宋体" w:cs="Segoe UI Symbol"/>
          <w:sz w:val="24"/>
        </w:rPr>
        <w:t>平方米</w:t>
      </w:r>
    </w:p>
    <w:tbl>
      <w:tblPr>
        <w:tblStyle w:val="8"/>
        <w:tblW w:w="866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60"/>
        <w:gridCol w:w="2968"/>
        <w:gridCol w:w="2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0" w:hRule="atLeast"/>
        </w:trPr>
        <w:tc>
          <w:tcPr>
            <w:tcW w:w="2860" w:type="dxa"/>
            <w:vMerge w:val="restart"/>
            <w:vAlign w:val="center"/>
          </w:tcPr>
          <w:p>
            <w:pPr>
              <w:adjustRightInd w:val="0"/>
              <w:snapToGrid w:val="0"/>
              <w:jc w:val="center"/>
              <w:rPr>
                <w:rFonts w:ascii="宋体" w:hAnsi="宋体"/>
                <w:sz w:val="24"/>
              </w:rPr>
            </w:pPr>
            <w:r>
              <w:rPr>
                <w:rFonts w:hint="eastAsia" w:ascii="宋体" w:hAnsi="宋体"/>
                <w:sz w:val="24"/>
              </w:rPr>
              <w:t>学校类别</w:t>
            </w:r>
          </w:p>
        </w:tc>
        <w:tc>
          <w:tcPr>
            <w:tcW w:w="5803" w:type="dxa"/>
            <w:gridSpan w:val="2"/>
            <w:vAlign w:val="center"/>
          </w:tcPr>
          <w:p>
            <w:pPr>
              <w:adjustRightInd w:val="0"/>
              <w:snapToGrid w:val="0"/>
              <w:jc w:val="center"/>
              <w:rPr>
                <w:rFonts w:ascii="宋体" w:hAnsi="宋体"/>
                <w:sz w:val="24"/>
              </w:rPr>
            </w:pPr>
            <w:r>
              <w:rPr>
                <w:rFonts w:hint="eastAsia" w:ascii="宋体" w:hAnsi="宋体"/>
                <w:sz w:val="24"/>
              </w:rPr>
              <w:t>学校规模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1" w:hRule="atLeast"/>
        </w:trPr>
        <w:tc>
          <w:tcPr>
            <w:tcW w:w="2860" w:type="dxa"/>
            <w:vMerge w:val="continue"/>
            <w:vAlign w:val="center"/>
          </w:tcPr>
          <w:p>
            <w:pPr>
              <w:adjustRightInd w:val="0"/>
              <w:snapToGrid w:val="0"/>
              <w:jc w:val="center"/>
              <w:rPr>
                <w:rFonts w:ascii="宋体" w:hAnsi="宋体"/>
                <w:sz w:val="24"/>
              </w:rPr>
            </w:pPr>
          </w:p>
        </w:tc>
        <w:tc>
          <w:tcPr>
            <w:tcW w:w="2968" w:type="dxa"/>
            <w:vAlign w:val="center"/>
          </w:tcPr>
          <w:p>
            <w:pPr>
              <w:adjustRightInd w:val="0"/>
              <w:snapToGrid w:val="0"/>
              <w:jc w:val="center"/>
              <w:rPr>
                <w:rFonts w:ascii="宋体" w:hAnsi="宋体"/>
                <w:sz w:val="24"/>
              </w:rPr>
            </w:pPr>
            <w:r>
              <w:rPr>
                <w:rFonts w:hint="eastAsia" w:ascii="宋体" w:hAnsi="宋体"/>
                <w:sz w:val="24"/>
              </w:rPr>
              <w:t>≤24班</w:t>
            </w:r>
          </w:p>
        </w:tc>
        <w:tc>
          <w:tcPr>
            <w:tcW w:w="2835" w:type="dxa"/>
            <w:vAlign w:val="center"/>
          </w:tcPr>
          <w:p>
            <w:pPr>
              <w:adjustRightInd w:val="0"/>
              <w:snapToGrid w:val="0"/>
              <w:jc w:val="center"/>
              <w:rPr>
                <w:rFonts w:ascii="宋体" w:hAnsi="宋体"/>
                <w:sz w:val="24"/>
              </w:rPr>
            </w:pPr>
            <w:r>
              <w:rPr>
                <w:rFonts w:hint="eastAsia" w:ascii="宋体" w:hAnsi="宋体"/>
                <w:sz w:val="24"/>
              </w:rPr>
              <w:t>≥30班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4" w:hRule="atLeast"/>
        </w:trPr>
        <w:tc>
          <w:tcPr>
            <w:tcW w:w="2860" w:type="dxa"/>
            <w:vAlign w:val="center"/>
          </w:tcPr>
          <w:p>
            <w:pPr>
              <w:adjustRightInd w:val="0"/>
              <w:snapToGrid w:val="0"/>
              <w:jc w:val="center"/>
              <w:rPr>
                <w:rFonts w:ascii="宋体" w:hAnsi="宋体"/>
                <w:sz w:val="24"/>
              </w:rPr>
            </w:pPr>
            <w:r>
              <w:rPr>
                <w:rFonts w:hint="eastAsia" w:ascii="宋体" w:hAnsi="宋体"/>
                <w:sz w:val="24"/>
              </w:rPr>
              <w:t>完全小学</w:t>
            </w:r>
          </w:p>
        </w:tc>
        <w:tc>
          <w:tcPr>
            <w:tcW w:w="2968" w:type="dxa"/>
            <w:vAlign w:val="center"/>
          </w:tcPr>
          <w:p>
            <w:pPr>
              <w:adjustRightInd w:val="0"/>
              <w:snapToGrid w:val="0"/>
              <w:jc w:val="center"/>
              <w:rPr>
                <w:rFonts w:ascii="宋体" w:hAnsi="宋体"/>
                <w:sz w:val="24"/>
              </w:rPr>
            </w:pPr>
            <w:r>
              <w:rPr>
                <w:rFonts w:hint="eastAsia" w:ascii="宋体" w:hAnsi="宋体"/>
                <w:sz w:val="24"/>
              </w:rPr>
              <w:t>18</w:t>
            </w:r>
          </w:p>
        </w:tc>
        <w:tc>
          <w:tcPr>
            <w:tcW w:w="2835" w:type="dxa"/>
            <w:vAlign w:val="center"/>
          </w:tcPr>
          <w:p>
            <w:pPr>
              <w:adjustRightInd w:val="0"/>
              <w:snapToGrid w:val="0"/>
              <w:jc w:val="center"/>
              <w:rPr>
                <w:rFonts w:ascii="宋体" w:hAnsi="宋体"/>
                <w:sz w:val="24"/>
              </w:rPr>
            </w:pPr>
            <w:r>
              <w:rPr>
                <w:rFonts w:hint="eastAsia" w:ascii="宋体" w:hAnsi="宋体"/>
                <w:sz w:val="24"/>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3" w:hRule="atLeast"/>
        </w:trPr>
        <w:tc>
          <w:tcPr>
            <w:tcW w:w="2860" w:type="dxa"/>
            <w:vAlign w:val="center"/>
          </w:tcPr>
          <w:p>
            <w:pPr>
              <w:adjustRightInd w:val="0"/>
              <w:snapToGrid w:val="0"/>
              <w:jc w:val="center"/>
              <w:rPr>
                <w:rFonts w:ascii="宋体" w:hAnsi="宋体"/>
                <w:sz w:val="24"/>
              </w:rPr>
            </w:pPr>
            <w:r>
              <w:rPr>
                <w:rFonts w:hint="eastAsia" w:ascii="宋体" w:hAnsi="宋体"/>
                <w:sz w:val="24"/>
              </w:rPr>
              <w:t>初级中学</w:t>
            </w:r>
          </w:p>
        </w:tc>
        <w:tc>
          <w:tcPr>
            <w:tcW w:w="2968" w:type="dxa"/>
            <w:vAlign w:val="center"/>
          </w:tcPr>
          <w:p>
            <w:pPr>
              <w:adjustRightInd w:val="0"/>
              <w:snapToGrid w:val="0"/>
              <w:jc w:val="center"/>
              <w:rPr>
                <w:rFonts w:ascii="宋体" w:hAnsi="宋体"/>
                <w:sz w:val="24"/>
              </w:rPr>
            </w:pPr>
            <w:r>
              <w:rPr>
                <w:rFonts w:hint="eastAsia" w:ascii="宋体" w:hAnsi="宋体"/>
                <w:sz w:val="24"/>
              </w:rPr>
              <w:t>22</w:t>
            </w:r>
          </w:p>
        </w:tc>
        <w:tc>
          <w:tcPr>
            <w:tcW w:w="2835" w:type="dxa"/>
            <w:vAlign w:val="center"/>
          </w:tcPr>
          <w:p>
            <w:pPr>
              <w:adjustRightInd w:val="0"/>
              <w:snapToGrid w:val="0"/>
              <w:jc w:val="center"/>
              <w:rPr>
                <w:rFonts w:ascii="宋体" w:hAnsi="宋体"/>
                <w:sz w:val="24"/>
              </w:rPr>
            </w:pPr>
            <w:r>
              <w:rPr>
                <w:rFonts w:hint="eastAsia" w:ascii="宋体" w:hAnsi="宋体"/>
                <w:sz w:val="24"/>
              </w:rPr>
              <w:t>20</w:t>
            </w:r>
          </w:p>
        </w:tc>
      </w:tr>
    </w:tbl>
    <w:p>
      <w:pPr>
        <w:adjustRightInd w:val="0"/>
        <w:snapToGrid w:val="0"/>
        <w:ind w:left="865" w:leftChars="129" w:hanging="594" w:hangingChars="283"/>
        <w:rPr>
          <w:rFonts w:ascii="宋体" w:hAnsi="宋体"/>
          <w:szCs w:val="21"/>
        </w:rPr>
      </w:pPr>
    </w:p>
    <w:p>
      <w:pPr>
        <w:adjustRightInd w:val="0"/>
        <w:snapToGrid w:val="0"/>
        <w:ind w:left="865" w:leftChars="129" w:hanging="594" w:hangingChars="283"/>
        <w:rPr>
          <w:rFonts w:ascii="宋体" w:hAnsi="宋体"/>
          <w:szCs w:val="21"/>
        </w:rPr>
      </w:pPr>
      <w:r>
        <w:rPr>
          <w:rFonts w:hint="eastAsia" w:ascii="宋体" w:hAnsi="宋体"/>
          <w:szCs w:val="21"/>
        </w:rPr>
        <w:t>注：1.表1中未计入学生宿舍和生活用地，学生宿舍和生活用地可根据实际情况确定，住宿生均用地面积应控制在4～5</w:t>
      </w:r>
      <w:r>
        <w:rPr>
          <w:rFonts w:hint="eastAsia" w:ascii="宋体" w:hAnsi="宋体" w:cs="Segoe UI Symbol"/>
          <w:szCs w:val="21"/>
        </w:rPr>
        <w:t>平方米</w:t>
      </w:r>
      <w:r>
        <w:rPr>
          <w:rFonts w:hint="eastAsia" w:ascii="宋体" w:hAnsi="宋体" w:cs="仿宋_GB2312"/>
          <w:szCs w:val="21"/>
        </w:rPr>
        <w:t>。学生住房容积率应为</w:t>
      </w:r>
      <w:r>
        <w:rPr>
          <w:rFonts w:hint="eastAsia" w:ascii="宋体" w:hAnsi="宋体"/>
          <w:szCs w:val="21"/>
        </w:rPr>
        <w:t>0.9。</w:t>
      </w:r>
    </w:p>
    <w:p>
      <w:pPr>
        <w:adjustRightInd w:val="0"/>
        <w:snapToGrid w:val="0"/>
        <w:ind w:left="908" w:leftChars="335" w:hanging="205" w:hangingChars="98"/>
        <w:rPr>
          <w:rFonts w:ascii="宋体" w:hAnsi="宋体" w:cs="宋体"/>
          <w:color w:val="000000"/>
          <w:sz w:val="24"/>
          <w:szCs w:val="24"/>
          <w:shd w:val="clear" w:color="auto" w:fill="FFFFFF"/>
        </w:rPr>
      </w:pPr>
      <w:r>
        <w:rPr>
          <w:rFonts w:hint="eastAsia" w:ascii="宋体" w:hAnsi="宋体"/>
          <w:szCs w:val="21"/>
        </w:rPr>
        <w:t>2.在山区和中心城区（中心城区指各省辖市、县级政府所在地的老城区，人口高度密集、周边建筑已定型，学校无法扩建又不能搬迁的城区）等特殊地区，学校用地条件确实受到限制的情况下，学校生均占地面积基本达标标准可适当降低。新建学校须严格执行标准。</w:t>
      </w:r>
    </w:p>
    <w:p>
      <w:pPr>
        <w:spacing w:line="500" w:lineRule="exact"/>
        <w:ind w:firstLine="240" w:firstLineChars="100"/>
        <w:rPr>
          <w:color w:val="000000"/>
          <w:sz w:val="24"/>
        </w:rPr>
      </w:pPr>
      <w:r>
        <w:rPr>
          <w:rFonts w:hint="eastAsia" w:ascii="宋体" w:hAnsi="宋体" w:cs="宋体"/>
          <w:color w:val="000000"/>
          <w:sz w:val="24"/>
          <w:szCs w:val="24"/>
          <w:shd w:val="clear" w:color="auto" w:fill="FFFFFF"/>
        </w:rPr>
        <w:t>（5）学校选址要求：1新建中小学校选址应便于学生就近入学，应处于就学区适中位置，就学路线便捷，有合理的就学距离；2</w:t>
      </w:r>
      <w:r>
        <w:rPr>
          <w:rFonts w:hint="eastAsia"/>
          <w:color w:val="000000"/>
          <w:sz w:val="24"/>
        </w:rPr>
        <w:t>新建中小学校校址应选择在交通方便，地势平坦开阔，空气清新，阳光充足，排水通畅，环境适宜，公用设施较为完善，远离污染源的地段；3校区应避开高层建筑的阴影区和地震断裂带。校内不应有架空的高压输电线、高压电缆等线路穿过。</w:t>
      </w:r>
    </w:p>
    <w:p>
      <w:pPr>
        <w:spacing w:line="500" w:lineRule="exact"/>
        <w:ind w:firstLine="240" w:firstLineChars="100"/>
        <w:rPr>
          <w:rFonts w:hint="eastAsia"/>
          <w:color w:val="000000"/>
          <w:sz w:val="24"/>
        </w:rPr>
      </w:pPr>
      <w:r>
        <w:rPr>
          <w:rFonts w:hint="eastAsia" w:ascii="宋体" w:hAnsi="宋体" w:cs="宋体"/>
          <w:color w:val="000000"/>
          <w:sz w:val="24"/>
          <w:szCs w:val="24"/>
          <w:shd w:val="clear" w:color="auto" w:fill="FFFFFF"/>
        </w:rPr>
        <w:t>（6）外部环境要求：1</w:t>
      </w:r>
      <w:r>
        <w:rPr>
          <w:rFonts w:hint="eastAsia"/>
          <w:color w:val="000000"/>
          <w:sz w:val="24"/>
        </w:rPr>
        <w:t>中小学上学路线不应跨越铁路干线，高速公路及车流量大，无立交设施的城市干道。2学校选址应与易燃、易爆等危险品或有害的研制、生产、贮运场所等保持一定的安全距离。3学校不宜与市场、公共娱乐场所、公安看守所等不利于学生学习和身心健康的场所相毗邻。4学校应尽量避开工厂的空气污染源，也不应邻近医院的传染病房区、太平间、精神病医院、餐馆的厨房、公厕等。5学校选址是应注意噪声源与学校校园的距离，以保证教学用房区内有安静的环境；周边噪声到达学校围墙处应低于70dB（A），到达教学用房窗外一米处的噪声应低于55 dB（A）。6交通道路干线快车道同侧边沿与校园间距不应小于80米；学校应尽可能远离铁路线，铁路沿线靠近学校一侧的外侧轨道中心与校园间距不应小于300米；校园与列车编组站间距不应小于380米。7露天市场边沿与中小学校园间距不宜小于200米；商业闹市与新建校园间距不应小于150米；露天体育场边沿与新建校园间距不宜小于200米；火车站、长途客运站边缘与新建校园间距不应小于300米。</w:t>
      </w:r>
    </w:p>
    <w:p>
      <w:pPr>
        <w:spacing w:line="500" w:lineRule="exact"/>
        <w:ind w:firstLine="240" w:firstLineChars="100"/>
        <w:rPr>
          <w:rFonts w:hint="eastAsia"/>
          <w:color w:val="000000"/>
          <w:sz w:val="24"/>
          <w:lang w:val="en-US" w:eastAsia="zh-CN"/>
        </w:rPr>
      </w:pPr>
      <w:r>
        <w:rPr>
          <w:rFonts w:hint="eastAsia"/>
          <w:color w:val="000000"/>
          <w:sz w:val="24"/>
          <w:lang w:eastAsia="zh-CN"/>
        </w:rPr>
        <w:t>（</w:t>
      </w:r>
      <w:r>
        <w:rPr>
          <w:rFonts w:hint="eastAsia"/>
          <w:color w:val="000000"/>
          <w:sz w:val="24"/>
          <w:lang w:val="en-US" w:eastAsia="zh-CN"/>
        </w:rPr>
        <w:t>7）幼儿园的建设布局标准</w:t>
      </w:r>
    </w:p>
    <w:p>
      <w:pPr>
        <w:spacing w:line="500" w:lineRule="exact"/>
        <w:ind w:firstLine="240" w:firstLineChars="100"/>
        <w:rPr>
          <w:rFonts w:hint="eastAsia"/>
          <w:color w:val="000000"/>
          <w:sz w:val="24"/>
          <w:szCs w:val="22"/>
          <w:lang w:eastAsia="zh-CN"/>
        </w:rPr>
      </w:pPr>
      <w:r>
        <w:rPr>
          <w:rFonts w:hint="eastAsia"/>
          <w:color w:val="000000"/>
          <w:sz w:val="24"/>
          <w:szCs w:val="22"/>
        </w:rPr>
        <w:t>幼儿园建设必须坚持“以幼儿为本”的原则，符合幼儿生理和心理成长规律。园区布局、房屋建筑和设施应功能完善、配置合理、绿色环保、经济美观，具有抵御自然灾害、保障幼儿安全的能力</w:t>
      </w:r>
      <w:r>
        <w:rPr>
          <w:rFonts w:hint="eastAsia"/>
          <w:color w:val="000000"/>
          <w:sz w:val="24"/>
          <w:szCs w:val="22"/>
          <w:lang w:eastAsia="zh-CN"/>
        </w:rPr>
        <w:t>。</w:t>
      </w:r>
    </w:p>
    <w:p>
      <w:pPr>
        <w:spacing w:line="500" w:lineRule="exact"/>
        <w:ind w:firstLine="240" w:firstLineChars="100"/>
        <w:rPr>
          <w:rFonts w:hint="eastAsia"/>
          <w:color w:val="000000"/>
          <w:sz w:val="24"/>
          <w:szCs w:val="22"/>
        </w:rPr>
      </w:pPr>
      <w:r>
        <w:rPr>
          <w:rFonts w:hint="eastAsia"/>
          <w:color w:val="000000"/>
          <w:sz w:val="24"/>
          <w:szCs w:val="22"/>
          <w:lang w:eastAsia="zh-CN"/>
        </w:rPr>
        <w:t>幼</w:t>
      </w:r>
      <w:r>
        <w:rPr>
          <w:rFonts w:hint="eastAsia"/>
          <w:color w:val="000000"/>
          <w:sz w:val="24"/>
          <w:szCs w:val="22"/>
        </w:rPr>
        <w:t>儿园建设应与学前教育发展和社会经济发展水平相适应。本建设标准对幼儿园各类及各项用房面积指标设置了低限和高限。普惠性幼儿园不得低于面积指标低限，也不宜高于面积指标高限。幼儿园可利用现有资源面向社区开展0岁～3岁科学育儿指导服务。</w:t>
      </w:r>
    </w:p>
    <w:p>
      <w:pPr>
        <w:spacing w:line="500" w:lineRule="exact"/>
        <w:ind w:firstLine="240" w:firstLineChars="100"/>
        <w:rPr>
          <w:rFonts w:hint="eastAsia"/>
          <w:color w:val="000000"/>
          <w:sz w:val="24"/>
          <w:szCs w:val="22"/>
          <w:lang w:eastAsia="zh-CN"/>
        </w:rPr>
      </w:pPr>
      <w:r>
        <w:rPr>
          <w:rFonts w:hint="eastAsia"/>
          <w:color w:val="000000"/>
          <w:sz w:val="24"/>
          <w:szCs w:val="22"/>
          <w:lang w:eastAsia="zh-CN"/>
        </w:rPr>
        <w:t>新建、改建、扩建的幼儿园项目，均应先规划后建设。各地应根据学前教育可持续发展的需要，按照房屋建筑面积指标进行园区规划。幼儿园建设用地应纳入当地城乡建设规划。</w:t>
      </w:r>
    </w:p>
    <w:p>
      <w:pPr>
        <w:spacing w:line="500" w:lineRule="exact"/>
        <w:ind w:firstLine="240" w:firstLineChars="100"/>
        <w:rPr>
          <w:rFonts w:hint="eastAsia"/>
          <w:color w:val="000000"/>
          <w:sz w:val="24"/>
          <w:szCs w:val="22"/>
          <w:lang w:val="en-US" w:eastAsia="zh-CN"/>
        </w:rPr>
      </w:pPr>
      <w:r>
        <w:rPr>
          <w:rFonts w:hint="eastAsia"/>
          <w:color w:val="000000"/>
          <w:sz w:val="24"/>
          <w:szCs w:val="22"/>
          <w:lang w:eastAsia="zh-CN"/>
        </w:rPr>
        <w:t>幼儿园布局应符合当地学前教育发展规划，结合人口密度、人口发展趋势、城乡建设规划、交通、环境等因素综合考虑，合理布点，保障安全。城镇幼儿园的服务半径宜为300m～500m。城镇居住小区应按居住区规划设计配建幼儿园。</w:t>
      </w:r>
    </w:p>
    <w:p>
      <w:pPr>
        <w:spacing w:line="500" w:lineRule="exact"/>
        <w:rPr>
          <w:rFonts w:ascii="宋体" w:hAnsi="宋体" w:cs="宋体"/>
          <w:color w:val="000000"/>
          <w:sz w:val="24"/>
          <w:szCs w:val="24"/>
          <w:shd w:val="clear" w:color="auto" w:fill="FFFFFF"/>
        </w:rPr>
      </w:pPr>
      <w:r>
        <w:rPr>
          <w:rFonts w:hint="eastAsia" w:ascii="宋体" w:hAnsi="宋体" w:cs="宋体"/>
          <w:b/>
          <w:bCs/>
          <w:color w:val="000000"/>
          <w:sz w:val="24"/>
          <w:szCs w:val="24"/>
          <w:shd w:val="clear" w:color="auto" w:fill="FFFFFF"/>
        </w:rPr>
        <w:t>3）教育设施规划布局</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鄢陵县中心城区分为4个教育片区，分别为鹤鸣湖片区、北部片区、南部片区、高铁片区；各个乡镇中小学教育设施布局依据现状有所增减，并满足本地的教育需求。</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鹤鸣湖片区范围：梅榕大道以东，花海大道以南；花博大道以西，花都大道以北区域；本片区居住用地约201公顷，居住人口约为6.54万人；本区域规划三所小学、两所九年制学校、一所初中、一所高中和一个教育园区（在建）。</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北部片区范围：花博大道以东，花海大道以南；百花路（于寨）以西，花都大道以北区域；本片区居住用地约550公顷，居住人口约为16.28万人；本区域规划一所高中、一所九年制学校、一所中专学校、四所初中、和十五所小学。</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 xml:space="preserve"> 南部片区范围：花博大道以东，花都大道以南；百花路以西，南环路以北区域；本片区居住用地约396公顷，居住人口约为14.98万人；本区域规划一所职业高中、一所高中、一所九年制学校、三所初中、和九所小学。</w:t>
      </w:r>
    </w:p>
    <w:p>
      <w:pPr>
        <w:spacing w:line="500" w:lineRule="exact"/>
        <w:ind w:firstLine="480" w:firstLineChars="200"/>
        <w:rPr>
          <w:rFonts w:hint="eastAsia"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 xml:space="preserve"> 高铁片区范围：梅榕大道以东，花都大道以南；花博大道以西，南环路以北区域；本片区居住用地约210公顷，居住人口约为7.47万人；本区域规划一所高中、一所九年制学校、一所初中、和四所小学。</w:t>
      </w:r>
    </w:p>
    <w:p>
      <w:pPr>
        <w:spacing w:line="500" w:lineRule="exact"/>
        <w:rPr>
          <w:rFonts w:ascii="宋体" w:hAnsi="宋体" w:cs="宋体"/>
          <w:b/>
          <w:color w:val="000000"/>
          <w:sz w:val="24"/>
          <w:szCs w:val="24"/>
          <w:shd w:val="clear" w:color="auto" w:fill="FFFFFF"/>
        </w:rPr>
      </w:pPr>
      <w:r>
        <w:rPr>
          <w:rFonts w:hint="eastAsia" w:ascii="宋体" w:hAnsi="宋体" w:cs="宋体"/>
          <w:b/>
          <w:bCs/>
          <w:color w:val="000000"/>
          <w:sz w:val="24"/>
          <w:szCs w:val="24"/>
          <w:shd w:val="clear" w:color="auto" w:fill="FFFFFF"/>
        </w:rPr>
        <w:t>4）</w:t>
      </w:r>
      <w:r>
        <w:rPr>
          <w:rFonts w:hint="eastAsia" w:ascii="宋体" w:hAnsi="宋体"/>
          <w:b/>
          <w:sz w:val="24"/>
          <w:szCs w:val="24"/>
        </w:rPr>
        <w:t>体育设施规划布局</w:t>
      </w:r>
    </w:p>
    <w:p>
      <w:pPr>
        <w:spacing w:line="360" w:lineRule="auto"/>
        <w:ind w:firstLine="480" w:firstLineChars="200"/>
        <w:rPr>
          <w:rFonts w:ascii="宋体" w:hAnsi="宋体"/>
          <w:bCs/>
          <w:sz w:val="24"/>
          <w:szCs w:val="24"/>
        </w:rPr>
      </w:pPr>
      <w:r>
        <w:rPr>
          <w:rFonts w:hint="eastAsia" w:ascii="宋体" w:hAnsi="宋体"/>
          <w:bCs/>
          <w:sz w:val="24"/>
          <w:szCs w:val="24"/>
        </w:rPr>
        <w:t>a</w:t>
      </w:r>
      <w:r>
        <w:rPr>
          <w:rFonts w:ascii="宋体" w:hAnsi="宋体"/>
          <w:bCs/>
          <w:sz w:val="24"/>
          <w:szCs w:val="24"/>
        </w:rPr>
        <w:t>.</w:t>
      </w:r>
      <w:r>
        <w:rPr>
          <w:rFonts w:hint="eastAsia" w:ascii="宋体" w:hAnsi="宋体"/>
          <w:bCs/>
          <w:sz w:val="24"/>
          <w:szCs w:val="24"/>
        </w:rPr>
        <w:t>鄢陵城区体育中心设施建设方案</w:t>
      </w:r>
    </w:p>
    <w:p>
      <w:pPr>
        <w:spacing w:line="360" w:lineRule="auto"/>
        <w:ind w:firstLine="480" w:firstLineChars="200"/>
        <w:rPr>
          <w:rFonts w:ascii="宋体" w:hAnsi="宋体"/>
          <w:bCs/>
          <w:sz w:val="24"/>
          <w:szCs w:val="24"/>
        </w:rPr>
      </w:pPr>
      <w:r>
        <w:rPr>
          <w:rFonts w:hint="eastAsia" w:ascii="宋体" w:hAnsi="宋体" w:cs="宋体"/>
          <w:color w:val="000000"/>
          <w:sz w:val="24"/>
          <w:szCs w:val="24"/>
          <w:shd w:val="clear" w:color="auto" w:fill="FFFFFF"/>
        </w:rPr>
        <w:t>鄢陵县体育中心以“两场三馆”即以20000座的体育场、全民健身广场、 4000 座体育馆、全民健身活动馆、1500座游泳馆为主要单体，集健身娱乐休闲、教学训练办赛为一体，满足广大人</w:t>
      </w:r>
      <w:r>
        <w:rPr>
          <w:rFonts w:hint="eastAsia" w:ascii="宋体" w:hAnsi="宋体"/>
          <w:sz w:val="24"/>
          <w:szCs w:val="24"/>
        </w:rPr>
        <w:t>民群众日益增长的物质文化生活的需求和体育事业发展的要求。</w:t>
      </w:r>
    </w:p>
    <w:p>
      <w:pPr>
        <w:spacing w:line="360" w:lineRule="auto"/>
        <w:ind w:firstLine="480" w:firstLineChars="200"/>
        <w:rPr>
          <w:rFonts w:ascii="宋体" w:hAnsi="宋体"/>
          <w:bCs/>
          <w:sz w:val="24"/>
          <w:szCs w:val="24"/>
        </w:rPr>
      </w:pPr>
      <w:r>
        <w:rPr>
          <w:rFonts w:hint="eastAsia" w:ascii="宋体" w:hAnsi="宋体"/>
          <w:bCs/>
          <w:sz w:val="24"/>
          <w:szCs w:val="24"/>
        </w:rPr>
        <w:t>b</w:t>
      </w:r>
      <w:r>
        <w:rPr>
          <w:rFonts w:ascii="宋体" w:hAnsi="宋体"/>
          <w:bCs/>
          <w:sz w:val="24"/>
          <w:szCs w:val="24"/>
        </w:rPr>
        <w:t>.</w:t>
      </w:r>
      <w:r>
        <w:rPr>
          <w:rFonts w:hint="eastAsia" w:ascii="宋体" w:hAnsi="宋体"/>
          <w:bCs/>
          <w:sz w:val="24"/>
          <w:szCs w:val="24"/>
        </w:rPr>
        <w:t>中心城区15分钟健身圈选址</w:t>
      </w:r>
    </w:p>
    <w:p>
      <w:pPr>
        <w:spacing w:line="360" w:lineRule="auto"/>
        <w:ind w:firstLine="480" w:firstLineChars="200"/>
        <w:rPr>
          <w:rFonts w:ascii="宋体" w:hAnsi="宋体"/>
          <w:sz w:val="24"/>
          <w:szCs w:val="24"/>
        </w:rPr>
      </w:pPr>
      <w:r>
        <w:rPr>
          <w:rFonts w:hint="eastAsia" w:ascii="宋体" w:hAnsi="宋体"/>
          <w:sz w:val="24"/>
          <w:szCs w:val="24"/>
        </w:rPr>
        <w:t>老城区8个休闲活动广场（现状）：1、三角休闲广场2、小北关河道广场3、公疗医院院内广场4、县医院对面护城河广场5、职教中心对面路北广场6、文化广场东合欢路北面广场7、六湾小学南面广场8、鹤鸣湖东北角广场。</w:t>
      </w:r>
    </w:p>
    <w:p>
      <w:pPr>
        <w:spacing w:line="360" w:lineRule="auto"/>
        <w:ind w:firstLine="480" w:firstLineChars="200"/>
        <w:rPr>
          <w:rFonts w:ascii="宋体" w:hAnsi="宋体"/>
          <w:sz w:val="24"/>
          <w:szCs w:val="24"/>
        </w:rPr>
      </w:pPr>
      <w:r>
        <w:rPr>
          <w:rFonts w:hint="eastAsia" w:ascii="宋体" w:hAnsi="宋体"/>
          <w:sz w:val="24"/>
          <w:szCs w:val="24"/>
        </w:rPr>
        <w:t xml:space="preserve">新增加5个休闲活动广场（规划）：1、绿博园活动广场2、南水北调水厂旁广场  3、西南休闲广场4、高铁小城休闲广场5、工业园区休闲广场。 </w:t>
      </w:r>
    </w:p>
    <w:p>
      <w:pPr>
        <w:spacing w:line="360" w:lineRule="auto"/>
        <w:ind w:firstLine="480" w:firstLineChars="200"/>
        <w:rPr>
          <w:rFonts w:ascii="宋体" w:hAnsi="宋体"/>
          <w:bCs/>
          <w:sz w:val="24"/>
          <w:szCs w:val="24"/>
        </w:rPr>
      </w:pPr>
      <w:r>
        <w:rPr>
          <w:rFonts w:ascii="宋体" w:hAnsi="宋体"/>
          <w:bCs/>
          <w:sz w:val="24"/>
          <w:szCs w:val="24"/>
        </w:rPr>
        <w:t>c</w:t>
      </w:r>
      <w:r>
        <w:rPr>
          <w:rFonts w:hint="eastAsia" w:ascii="宋体" w:hAnsi="宋体"/>
          <w:bCs/>
          <w:sz w:val="24"/>
          <w:szCs w:val="24"/>
        </w:rPr>
        <w:t>体育设施共享空间的确定及数量</w:t>
      </w:r>
    </w:p>
    <w:p>
      <w:pPr>
        <w:spacing w:line="360" w:lineRule="auto"/>
        <w:ind w:firstLine="480" w:firstLineChars="200"/>
        <w:rPr>
          <w:rFonts w:ascii="宋体" w:hAnsi="宋体"/>
          <w:sz w:val="24"/>
          <w:szCs w:val="24"/>
        </w:rPr>
      </w:pPr>
      <w:r>
        <w:rPr>
          <w:rFonts w:hint="eastAsia" w:ascii="宋体" w:hAnsi="宋体"/>
          <w:sz w:val="24"/>
          <w:szCs w:val="24"/>
        </w:rPr>
        <w:t>依据《教育部中小学校体育场地、器材配备基本标准》小学配置的体育设施。</w:t>
      </w:r>
    </w:p>
    <w:p>
      <w:pPr>
        <w:spacing w:line="360" w:lineRule="auto"/>
        <w:rPr>
          <w:rFonts w:ascii="宋体" w:hAnsi="宋体"/>
          <w:sz w:val="24"/>
          <w:szCs w:val="24"/>
        </w:rPr>
      </w:pPr>
      <w:r>
        <w:rPr>
          <w:rFonts w:hint="eastAsia" w:ascii="宋体" w:hAnsi="宋体"/>
          <w:sz w:val="24"/>
          <w:szCs w:val="24"/>
        </w:rPr>
        <w:t>在县城城区内确定18个共享空间：共享体育设施有足球场地、篮球场地、排球场地等；按其标准进行配置，符合《教育部中小学体育场地、器材配备基本标准》。 在县城城区内共有8所小型足球场（初中以上配置）、18个篮球场（54个篮球场地）、18个排球场（36个排球场地）。</w:t>
      </w:r>
    </w:p>
    <w:p>
      <w:pPr>
        <w:spacing w:line="360" w:lineRule="auto"/>
        <w:ind w:firstLine="480" w:firstLineChars="200"/>
        <w:rPr>
          <w:rFonts w:ascii="宋体" w:hAnsi="宋体"/>
          <w:bCs/>
          <w:sz w:val="24"/>
          <w:szCs w:val="24"/>
        </w:rPr>
      </w:pPr>
      <w:r>
        <w:rPr>
          <w:rFonts w:hint="eastAsia" w:ascii="宋体" w:hAnsi="宋体"/>
          <w:bCs/>
          <w:sz w:val="24"/>
          <w:szCs w:val="24"/>
        </w:rPr>
        <w:t>d中小学校园体育设施共享空间</w:t>
      </w:r>
    </w:p>
    <w:p>
      <w:pPr>
        <w:spacing w:line="360" w:lineRule="auto"/>
        <w:ind w:firstLine="480" w:firstLineChars="200"/>
        <w:rPr>
          <w:rFonts w:ascii="宋体" w:hAnsi="宋体"/>
          <w:sz w:val="24"/>
          <w:szCs w:val="24"/>
        </w:rPr>
      </w:pPr>
      <w:r>
        <w:rPr>
          <w:rFonts w:hint="eastAsia" w:ascii="宋体" w:hAnsi="宋体"/>
          <w:bCs/>
          <w:sz w:val="24"/>
          <w:szCs w:val="24"/>
        </w:rPr>
        <w:t>“服务配套共享”理念的提出：</w:t>
      </w:r>
      <w:r>
        <w:rPr>
          <w:rFonts w:hint="eastAsia" w:ascii="宋体" w:hAnsi="宋体"/>
          <w:sz w:val="24"/>
          <w:szCs w:val="24"/>
        </w:rPr>
        <w:t xml:space="preserve">在土地资源短缺和城市复合化发展的背景下，需要将与生活密切相关的公共服务设施组织到城市环境中，以发挥设施最大使用效益，同时缓解土地资源供需矛盾。在共享时代里，提出服务配套的共享理念，把中小学校园体育设施等社会服务配套拿来与市民共享，创造一个便民利民的共享服务。 </w:t>
      </w:r>
    </w:p>
    <w:p>
      <w:pPr>
        <w:spacing w:line="360" w:lineRule="auto"/>
        <w:ind w:firstLine="480" w:firstLineChars="200"/>
        <w:rPr>
          <w:rFonts w:ascii="宋体" w:hAnsi="宋体" w:cs="宋体"/>
          <w:b/>
          <w:bCs/>
          <w:color w:val="000000"/>
          <w:sz w:val="24"/>
          <w:szCs w:val="24"/>
          <w:shd w:val="clear" w:color="auto" w:fill="FFFFFF"/>
        </w:rPr>
      </w:pPr>
      <w:r>
        <w:rPr>
          <w:rFonts w:ascii="宋体" w:hAnsi="宋体"/>
          <w:sz w:val="24"/>
          <w:szCs w:val="24"/>
        </w:rPr>
        <w:t xml:space="preserve"> </w:t>
      </w:r>
      <w:r>
        <w:rPr>
          <w:rFonts w:hint="eastAsia" w:ascii="宋体" w:hAnsi="宋体"/>
          <w:sz w:val="24"/>
          <w:szCs w:val="24"/>
        </w:rPr>
        <w:t>教育部门还要制定设施配套使用的策略方法和管理制度，1、开放时间不影响教育教学；2、体育设施和器材在开放时间里要有专人管理；3、为民服务设施不得变相收费，凭有效证件即可入内等，使配套设施以便更好为民服务。</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5）近期建设规划</w:t>
      </w:r>
    </w:p>
    <w:p>
      <w:pPr>
        <w:spacing w:line="500" w:lineRule="exact"/>
        <w:ind w:firstLine="480" w:firstLineChars="200"/>
        <w:rPr>
          <w:rFonts w:ascii="宋体" w:hAnsi="宋体" w:cs="宋体"/>
          <w:color w:val="000000" w:themeColor="text1"/>
          <w:sz w:val="24"/>
          <w:szCs w:val="24"/>
          <w:shd w:val="clear" w:color="auto" w:fill="FFFFFF"/>
          <w14:textFill>
            <w14:solidFill>
              <w14:schemeClr w14:val="tx1"/>
            </w14:solidFill>
          </w14:textFill>
        </w:rPr>
      </w:pPr>
      <w:r>
        <w:rPr>
          <w:rFonts w:hint="eastAsia" w:ascii="宋体" w:hAnsi="宋体" w:cs="宋体"/>
          <w:color w:val="000000" w:themeColor="text1"/>
          <w:sz w:val="24"/>
          <w:szCs w:val="24"/>
          <w:shd w:val="clear" w:color="auto" w:fill="FFFFFF"/>
          <w14:textFill>
            <w14:solidFill>
              <w14:schemeClr w14:val="tx1"/>
            </w14:solidFill>
          </w14:textFill>
        </w:rPr>
        <w:t>通过调整教育结构、优化学校布局，进一步推进义务教育均衡发展，逐步缩小城乡、校际间的教育差别，从根本上缓解人民群众强烈的教育需求与优质教育供给不足之间的矛盾。在县城，结合老城区改造和新城区建设，改建、扩建、新建一批标准化学校，使进城务工人员子女和城市孩子共享优质教育；在城郊，超前规划和建设一批寄宿制中小学校，满足乡村农民子女进城就学需求；在乡镇，以乡镇政府所在地为中心，建设一批寄宿制中小学校，力争用三到五年时间实现“高中城市化、初中乡镇化、小学中心化”。</w:t>
      </w:r>
    </w:p>
    <w:p>
      <w:pPr>
        <w:spacing w:line="500" w:lineRule="exact"/>
        <w:ind w:firstLine="480" w:firstLineChars="200"/>
        <w:rPr>
          <w:rFonts w:ascii="宋体" w:hAnsi="宋体" w:cs="宋体"/>
          <w:color w:val="000000" w:themeColor="text1"/>
          <w:sz w:val="24"/>
          <w:szCs w:val="24"/>
          <w:shd w:val="clear" w:color="auto" w:fill="FFFFFF"/>
          <w14:textFill>
            <w14:solidFill>
              <w14:schemeClr w14:val="tx1"/>
            </w14:solidFill>
          </w14:textFill>
        </w:rPr>
      </w:pPr>
      <w:r>
        <w:rPr>
          <w:rFonts w:hint="eastAsia" w:ascii="宋体" w:hAnsi="宋体" w:cs="宋体"/>
          <w:color w:val="000000" w:themeColor="text1"/>
          <w:sz w:val="24"/>
          <w:szCs w:val="24"/>
          <w:shd w:val="clear" w:color="auto" w:fill="FFFFFF"/>
          <w14:textFill>
            <w14:solidFill>
              <w14:schemeClr w14:val="tx1"/>
            </w14:solidFill>
          </w14:textFill>
        </w:rPr>
        <w:t>到2020年，在县城区逐步实现“2、4、14”（ 2所高中、4所初中、14所小学）普通教育办学布局。县城郊新建初级中学1所、改建1所，新建小学3所；全县农村中小学撤并3所初中、25所小学；全县农村完成35所寄宿制小学建设任务。</w:t>
      </w:r>
    </w:p>
    <w:p>
      <w:pPr>
        <w:spacing w:line="500" w:lineRule="exact"/>
        <w:ind w:firstLine="480" w:firstLineChars="200"/>
        <w:rPr>
          <w:rFonts w:ascii="宋体" w:hAnsi="宋体" w:cs="宋体"/>
          <w:color w:val="000000" w:themeColor="text1"/>
          <w:sz w:val="24"/>
          <w:szCs w:val="24"/>
          <w:shd w:val="clear" w:color="auto" w:fill="FFFFFF"/>
          <w14:textFill>
            <w14:solidFill>
              <w14:schemeClr w14:val="tx1"/>
            </w14:solidFill>
          </w14:textFill>
        </w:rPr>
      </w:pPr>
      <w:r>
        <w:rPr>
          <w:rFonts w:hint="eastAsia" w:ascii="宋体" w:hAnsi="宋体" w:cs="宋体"/>
          <w:color w:val="000000" w:themeColor="text1"/>
          <w:sz w:val="24"/>
          <w:szCs w:val="24"/>
          <w:shd w:val="clear" w:color="auto" w:fill="FFFFFF"/>
          <w14:textFill>
            <w14:solidFill>
              <w14:schemeClr w14:val="tx1"/>
            </w14:solidFill>
          </w14:textFill>
        </w:rPr>
        <w:t>届时，全县共设置公办中小学校145所。其中，普通高中2所（鄢陵县第一高级中学、鄢陵县第二高级中学）；初中16所（城区初中4所，鄢陵县初级中学、鄢陵县第二初级中学、鄢陵县实验中学、鄢陵县第二高级中学初中部；乡镇初中12所）；小学124所（城区小学14所，即鄢陵县实验小学、安陵镇中心小学、安陵北街小学、安陵镇新庄小学、鄢望路街小学、安陵镇轩岗小学、县教育园区小学部、柏梁镇六湾小学、柏梁镇岗底张小学、产业集聚区小学、人民路小学、马栏镇唐庄小学、马栏镇于寨小学；乡镇小学113所）；小学教学点56个。</w:t>
      </w:r>
    </w:p>
    <w:p>
      <w:pPr>
        <w:pStyle w:val="9"/>
        <w:tabs>
          <w:tab w:val="left" w:pos="0"/>
        </w:tabs>
        <w:spacing w:before="60" w:after="60" w:line="500" w:lineRule="exact"/>
        <w:ind w:firstLine="0" w:firstLineChars="0"/>
        <w:rPr>
          <w:rFonts w:ascii="宋体" w:hAnsi="宋体"/>
          <w:b/>
          <w:bCs/>
          <w:color w:val="000000" w:themeColor="text1"/>
          <w:sz w:val="30"/>
          <w:szCs w:val="30"/>
          <w14:textFill>
            <w14:solidFill>
              <w14:schemeClr w14:val="tx1"/>
            </w14:solidFill>
          </w14:textFill>
        </w:rPr>
      </w:pPr>
      <w:r>
        <w:rPr>
          <w:rFonts w:hint="eastAsia" w:ascii="宋体" w:hAnsi="宋体"/>
          <w:b/>
          <w:bCs/>
          <w:color w:val="000000" w:themeColor="text1"/>
          <w:sz w:val="30"/>
          <w:szCs w:val="30"/>
          <w14:textFill>
            <w14:solidFill>
              <w14:schemeClr w14:val="tx1"/>
            </w14:solidFill>
          </w14:textFill>
        </w:rPr>
        <w:t>4、后续服务的安排及保证措施</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1）后期服务的安排</w:t>
      </w:r>
    </w:p>
    <w:p>
      <w:pPr>
        <w:pStyle w:val="9"/>
        <w:tabs>
          <w:tab w:val="left" w:pos="0"/>
        </w:tabs>
        <w:spacing w:before="60" w:after="60" w:line="500" w:lineRule="exact"/>
        <w:ind w:firstLine="480"/>
        <w:rPr>
          <w:rFonts w:ascii="宋体" w:hAnsi="宋体"/>
          <w:bCs/>
          <w:sz w:val="24"/>
          <w:szCs w:val="24"/>
        </w:rPr>
      </w:pPr>
      <w:r>
        <w:rPr>
          <w:rFonts w:hint="eastAsia" w:ascii="宋体" w:hAnsi="宋体"/>
          <w:bCs/>
          <w:sz w:val="24"/>
          <w:szCs w:val="24"/>
        </w:rPr>
        <w:t>拟定年度实施计划，落实中小学校建设。对拆、并的学校，应按照先增后减、先建后拆的原则，由教育部门拟定拆、并年度计划，保证学校建设按规定落实到位；对需占用农用地的学校，由教育部门拟定新建计划，再由国土资源管理部门将新建计划纳入到全市农用地转用计划中。分阶段、按步骤建设实施，并纳入到社会经济发展计划中。</w:t>
      </w:r>
    </w:p>
    <w:p>
      <w:pPr>
        <w:pStyle w:val="9"/>
        <w:tabs>
          <w:tab w:val="left" w:pos="0"/>
        </w:tabs>
        <w:spacing w:before="60" w:after="60" w:line="500" w:lineRule="exact"/>
        <w:ind w:firstLine="480"/>
        <w:rPr>
          <w:rFonts w:ascii="宋体" w:hAnsi="宋体"/>
          <w:bCs/>
          <w:sz w:val="24"/>
          <w:szCs w:val="24"/>
        </w:rPr>
      </w:pPr>
      <w:r>
        <w:rPr>
          <w:rFonts w:hint="eastAsia" w:ascii="宋体" w:hAnsi="宋体"/>
          <w:bCs/>
          <w:sz w:val="24"/>
          <w:szCs w:val="24"/>
        </w:rPr>
        <w:t>建立联席审查制度，加强建设和管理的透明度。受规划控制的中小学用地是为居住服务的配套设施用地，不得随意减少数量、降低规模或改变性质挪为他用。若确需调整或修改的，应建立以市发改委、市教育局、市财政局和市规划局等单位为主体的联席审查制度，必要时可采取听证会，并社会公示。</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2）保证措施</w:t>
      </w:r>
    </w:p>
    <w:p>
      <w:pPr>
        <w:spacing w:line="360" w:lineRule="auto"/>
        <w:rPr>
          <w:rFonts w:ascii="宋体" w:hAnsi="宋体"/>
          <w:bCs/>
          <w:sz w:val="24"/>
          <w:szCs w:val="24"/>
        </w:rPr>
      </w:pPr>
      <w:r>
        <w:rPr>
          <w:rFonts w:hint="eastAsia" w:ascii="宋体" w:hAnsi="宋体"/>
          <w:bCs/>
          <w:sz w:val="24"/>
          <w:szCs w:val="24"/>
        </w:rPr>
        <w:t>（1）提供设计优质服务的保证措施</w:t>
      </w:r>
    </w:p>
    <w:p>
      <w:pPr>
        <w:spacing w:line="360" w:lineRule="auto"/>
        <w:ind w:firstLine="480" w:firstLineChars="200"/>
        <w:rPr>
          <w:rFonts w:ascii="宋体" w:hAnsi="宋体"/>
          <w:bCs/>
          <w:sz w:val="24"/>
          <w:szCs w:val="24"/>
        </w:rPr>
      </w:pPr>
      <w:r>
        <w:rPr>
          <w:rFonts w:hint="eastAsia" w:ascii="宋体" w:hAnsi="宋体"/>
          <w:bCs/>
          <w:sz w:val="24"/>
          <w:szCs w:val="24"/>
        </w:rPr>
        <w:t>1确定优质服务的原则：工作至上，敬业至上，服务至上，质量至上。贯彻优质服务的思想，建立良好的工作制度和秩序，有条不紊地完成各项拟定的工作完成各项拟定的工作。</w:t>
      </w:r>
    </w:p>
    <w:p>
      <w:pPr>
        <w:spacing w:line="360" w:lineRule="auto"/>
        <w:ind w:firstLine="480" w:firstLineChars="200"/>
        <w:rPr>
          <w:rFonts w:ascii="宋体" w:hAnsi="宋体"/>
          <w:bCs/>
          <w:sz w:val="24"/>
          <w:szCs w:val="24"/>
        </w:rPr>
      </w:pPr>
      <w:r>
        <w:rPr>
          <w:rFonts w:hint="eastAsia" w:ascii="宋体" w:hAnsi="宋体"/>
          <w:bCs/>
          <w:sz w:val="24"/>
          <w:szCs w:val="24"/>
        </w:rPr>
        <w:t>2建立完善的项目工作组，制定完善的项目执行计划，定期向鄢陵县规划管理局汇报；严格要求参与项目的工作人员，尽职尽责地完成分配的工作。</w:t>
      </w:r>
    </w:p>
    <w:p>
      <w:pPr>
        <w:spacing w:line="360" w:lineRule="auto"/>
        <w:ind w:firstLine="480" w:firstLineChars="200"/>
        <w:rPr>
          <w:rFonts w:ascii="宋体" w:hAnsi="宋体"/>
          <w:bCs/>
          <w:sz w:val="24"/>
          <w:szCs w:val="24"/>
        </w:rPr>
      </w:pPr>
      <w:r>
        <w:rPr>
          <w:rFonts w:hint="eastAsia" w:ascii="宋体" w:hAnsi="宋体"/>
          <w:bCs/>
          <w:sz w:val="24"/>
          <w:szCs w:val="24"/>
        </w:rPr>
        <w:t>3设专人协调各项事务，确保所有意见能够得到充分传达。</w:t>
      </w:r>
    </w:p>
    <w:p>
      <w:pPr>
        <w:spacing w:line="360" w:lineRule="auto"/>
        <w:ind w:firstLine="480" w:firstLineChars="200"/>
        <w:rPr>
          <w:rFonts w:ascii="宋体" w:hAnsi="宋体"/>
          <w:bCs/>
          <w:sz w:val="24"/>
          <w:szCs w:val="24"/>
        </w:rPr>
      </w:pPr>
      <w:r>
        <w:rPr>
          <w:rFonts w:hint="eastAsia" w:ascii="宋体" w:hAnsi="宋体"/>
          <w:bCs/>
          <w:sz w:val="24"/>
          <w:szCs w:val="24"/>
        </w:rPr>
        <w:t>4项目进行的过程中主动向鄢陵县规划管理局提供项目进展的情况，使鄢陵县规划管理局随时把握项目进展，增进沟通，确保项目顺利完成。</w:t>
      </w:r>
    </w:p>
    <w:p>
      <w:pPr>
        <w:spacing w:line="360" w:lineRule="auto"/>
        <w:ind w:firstLine="480" w:firstLineChars="200"/>
        <w:rPr>
          <w:rFonts w:ascii="宋体" w:hAnsi="宋体"/>
          <w:bCs/>
          <w:sz w:val="24"/>
          <w:szCs w:val="24"/>
        </w:rPr>
      </w:pPr>
      <w:r>
        <w:rPr>
          <w:rFonts w:hint="eastAsia" w:ascii="宋体" w:hAnsi="宋体"/>
          <w:bCs/>
          <w:sz w:val="24"/>
          <w:szCs w:val="24"/>
        </w:rPr>
        <w:t>5重视鄢陵县规划管理局及其他相关职能部门、群众提出的项目建议，在尽可能短的时间内做出响应，尊重各方的权益。</w:t>
      </w:r>
    </w:p>
    <w:p>
      <w:pPr>
        <w:spacing w:line="360" w:lineRule="auto"/>
        <w:ind w:firstLine="480" w:firstLineChars="200"/>
        <w:rPr>
          <w:rFonts w:ascii="宋体" w:hAnsi="宋体"/>
          <w:bCs/>
          <w:sz w:val="24"/>
          <w:szCs w:val="24"/>
        </w:rPr>
      </w:pPr>
      <w:r>
        <w:rPr>
          <w:rFonts w:hint="eastAsia" w:ascii="宋体" w:hAnsi="宋体"/>
          <w:bCs/>
          <w:sz w:val="24"/>
          <w:szCs w:val="24"/>
        </w:rPr>
        <w:t>6在工作进程中如果遇到较大的障碍，主动邀请鄢陵县规划管理局及其他相关职能部门共同讨论，共同解决问题，保障工作顺利开展至上。</w:t>
      </w:r>
    </w:p>
    <w:p>
      <w:pPr>
        <w:spacing w:line="360" w:lineRule="auto"/>
        <w:ind w:firstLine="480" w:firstLineChars="200"/>
        <w:rPr>
          <w:rFonts w:ascii="宋体" w:hAnsi="宋体"/>
          <w:bCs/>
          <w:sz w:val="24"/>
          <w:szCs w:val="24"/>
        </w:rPr>
      </w:pPr>
      <w:r>
        <w:rPr>
          <w:rFonts w:hint="eastAsia" w:ascii="宋体" w:hAnsi="宋体"/>
          <w:bCs/>
          <w:sz w:val="24"/>
          <w:szCs w:val="24"/>
        </w:rPr>
        <w:t>7某些工作参考文件的获取可能存在程序上的困难，如有此情况发生则尽早通知甲方并尽最大努力获取，如尽力之后仍然未能取得则及时通知鄢陵县规划管理局协助。</w:t>
      </w:r>
    </w:p>
    <w:p>
      <w:pPr>
        <w:spacing w:line="360" w:lineRule="auto"/>
        <w:ind w:firstLine="480" w:firstLineChars="200"/>
        <w:rPr>
          <w:rFonts w:ascii="宋体" w:hAnsi="宋体"/>
          <w:bCs/>
          <w:sz w:val="24"/>
          <w:szCs w:val="24"/>
        </w:rPr>
      </w:pPr>
      <w:r>
        <w:rPr>
          <w:rFonts w:hint="eastAsia" w:ascii="宋体" w:hAnsi="宋体"/>
          <w:bCs/>
          <w:sz w:val="24"/>
          <w:szCs w:val="24"/>
        </w:rPr>
        <w:t>8提高工作效率，保证优势项目人力投入，尽最大的努力满足鄢陵县规划管理局对于规划的要求，对于规划进程中提出的各种疑问现场解答，未能现场解决的问题，适时做书面的解答提供传真给鄢陵县规划管理局。</w:t>
      </w:r>
    </w:p>
    <w:p>
      <w:pPr>
        <w:spacing w:line="360" w:lineRule="auto"/>
        <w:ind w:firstLine="480" w:firstLineChars="200"/>
        <w:rPr>
          <w:rFonts w:ascii="宋体" w:hAnsi="宋体"/>
          <w:bCs/>
          <w:sz w:val="24"/>
          <w:szCs w:val="24"/>
        </w:rPr>
      </w:pPr>
      <w:r>
        <w:rPr>
          <w:rFonts w:hint="eastAsia" w:ascii="宋体" w:hAnsi="宋体"/>
          <w:bCs/>
          <w:sz w:val="24"/>
          <w:szCs w:val="24"/>
        </w:rPr>
        <w:t>9按时按质完成工作，随时接受鄢陵县规划管理局的监督。在项目的进行过程中，若有时间计划的变更，至少提前24小时予以通知。</w:t>
      </w:r>
    </w:p>
    <w:p>
      <w:pPr>
        <w:spacing w:line="360" w:lineRule="auto"/>
        <w:rPr>
          <w:rFonts w:ascii="宋体" w:hAnsi="宋体"/>
          <w:bCs/>
          <w:sz w:val="24"/>
          <w:szCs w:val="24"/>
        </w:rPr>
      </w:pPr>
      <w:r>
        <w:rPr>
          <w:rFonts w:hint="eastAsia" w:ascii="宋体" w:hAnsi="宋体"/>
          <w:bCs/>
          <w:sz w:val="24"/>
          <w:szCs w:val="24"/>
        </w:rPr>
        <w:t>（2）保证设计进度的措施</w:t>
      </w:r>
    </w:p>
    <w:p>
      <w:pPr>
        <w:spacing w:line="360" w:lineRule="auto"/>
        <w:ind w:firstLine="480" w:firstLineChars="200"/>
        <w:rPr>
          <w:rFonts w:ascii="宋体" w:hAnsi="宋体"/>
          <w:bCs/>
          <w:sz w:val="24"/>
          <w:szCs w:val="24"/>
        </w:rPr>
      </w:pPr>
      <w:r>
        <w:rPr>
          <w:rFonts w:hint="eastAsia" w:ascii="宋体" w:hAnsi="宋体"/>
          <w:bCs/>
          <w:sz w:val="24"/>
          <w:szCs w:val="24"/>
        </w:rPr>
        <w:t>1严格贯彻拟定的时间计划，树立按时按质的工作思想。</w:t>
      </w:r>
    </w:p>
    <w:p>
      <w:pPr>
        <w:spacing w:line="360" w:lineRule="auto"/>
        <w:ind w:firstLine="480" w:firstLineChars="200"/>
        <w:rPr>
          <w:rFonts w:ascii="宋体" w:hAnsi="宋体"/>
          <w:bCs/>
          <w:sz w:val="24"/>
          <w:szCs w:val="24"/>
        </w:rPr>
      </w:pPr>
      <w:r>
        <w:rPr>
          <w:rFonts w:hint="eastAsia" w:ascii="宋体" w:hAnsi="宋体"/>
          <w:bCs/>
          <w:sz w:val="24"/>
          <w:szCs w:val="24"/>
        </w:rPr>
        <w:t>2拟定全面的进度计划，总进度计划和分项进度计划相互协调，环环相扣，杜绝时间管理不善带来的进度滞后。</w:t>
      </w:r>
    </w:p>
    <w:p>
      <w:pPr>
        <w:spacing w:line="360" w:lineRule="auto"/>
        <w:ind w:firstLine="480" w:firstLineChars="200"/>
        <w:rPr>
          <w:rFonts w:ascii="宋体" w:hAnsi="宋体"/>
          <w:bCs/>
          <w:sz w:val="24"/>
          <w:szCs w:val="24"/>
        </w:rPr>
      </w:pPr>
      <w:r>
        <w:rPr>
          <w:rFonts w:hint="eastAsia" w:ascii="宋体" w:hAnsi="宋体"/>
          <w:bCs/>
          <w:sz w:val="24"/>
          <w:szCs w:val="24"/>
        </w:rPr>
        <w:t>3协调项目参与人员的工作时间，相互督促，发扬团队精神。</w:t>
      </w:r>
    </w:p>
    <w:p>
      <w:pPr>
        <w:spacing w:line="360" w:lineRule="auto"/>
        <w:ind w:firstLine="480" w:firstLineChars="200"/>
        <w:rPr>
          <w:rFonts w:ascii="宋体" w:hAnsi="宋体"/>
          <w:bCs/>
          <w:sz w:val="24"/>
          <w:szCs w:val="24"/>
        </w:rPr>
      </w:pPr>
      <w:r>
        <w:rPr>
          <w:rFonts w:hint="eastAsia" w:ascii="宋体" w:hAnsi="宋体"/>
          <w:bCs/>
          <w:sz w:val="24"/>
          <w:szCs w:val="24"/>
        </w:rPr>
        <w:t>4立完善的管理制度，每个工作日都审查并记录当天的工作成果。</w:t>
      </w:r>
    </w:p>
    <w:p>
      <w:pPr>
        <w:spacing w:line="360" w:lineRule="auto"/>
        <w:ind w:firstLine="480" w:firstLineChars="200"/>
        <w:rPr>
          <w:rFonts w:ascii="宋体" w:hAnsi="宋体"/>
          <w:bCs/>
          <w:sz w:val="24"/>
          <w:szCs w:val="24"/>
        </w:rPr>
      </w:pPr>
      <w:r>
        <w:rPr>
          <w:rFonts w:hint="eastAsia" w:ascii="宋体" w:hAnsi="宋体"/>
          <w:bCs/>
          <w:sz w:val="24"/>
          <w:szCs w:val="24"/>
        </w:rPr>
        <w:t>5如果发生工作受阻的现象，及时变通项目进度计划，确保工作顺利。更改进度计划后及时通报鄢陵县规划管理局。</w:t>
      </w:r>
    </w:p>
    <w:p>
      <w:pPr>
        <w:spacing w:line="360" w:lineRule="auto"/>
        <w:ind w:firstLine="480" w:firstLineChars="200"/>
        <w:rPr>
          <w:rFonts w:ascii="宋体" w:hAnsi="宋体"/>
          <w:bCs/>
          <w:sz w:val="24"/>
          <w:szCs w:val="24"/>
        </w:rPr>
      </w:pPr>
      <w:r>
        <w:rPr>
          <w:rFonts w:hint="eastAsia" w:ascii="宋体" w:hAnsi="宋体"/>
          <w:bCs/>
          <w:sz w:val="24"/>
          <w:szCs w:val="24"/>
        </w:rPr>
        <w:t>6发扬遇到困难迎头赶上的精神，提高工作效率。</w:t>
      </w:r>
    </w:p>
    <w:p>
      <w:pPr>
        <w:spacing w:line="360" w:lineRule="auto"/>
        <w:ind w:firstLine="480" w:firstLineChars="200"/>
        <w:rPr>
          <w:rFonts w:ascii="宋体" w:hAnsi="宋体"/>
          <w:bCs/>
          <w:sz w:val="24"/>
          <w:szCs w:val="24"/>
        </w:rPr>
      </w:pPr>
      <w:r>
        <w:rPr>
          <w:rFonts w:hint="eastAsia" w:ascii="宋体" w:hAnsi="宋体"/>
          <w:bCs/>
          <w:sz w:val="24"/>
          <w:szCs w:val="24"/>
        </w:rPr>
        <w:t>7随时接受来自鄢陵县规划管理局及其他相关职能部门的突击检查。</w:t>
      </w:r>
    </w:p>
    <w:p>
      <w:pPr>
        <w:spacing w:line="360" w:lineRule="auto"/>
        <w:ind w:firstLine="480" w:firstLineChars="200"/>
        <w:rPr>
          <w:rFonts w:ascii="宋体" w:hAnsi="宋体"/>
          <w:bCs/>
          <w:sz w:val="24"/>
          <w:szCs w:val="24"/>
        </w:rPr>
      </w:pPr>
      <w:r>
        <w:rPr>
          <w:rFonts w:hint="eastAsia" w:ascii="宋体" w:hAnsi="宋体"/>
          <w:bCs/>
          <w:sz w:val="24"/>
          <w:szCs w:val="24"/>
        </w:rPr>
        <w:t>8在条件允许的情况下，加快进度，提前进入工作的下一阶段。</w:t>
      </w:r>
    </w:p>
    <w:p>
      <w:pPr>
        <w:spacing w:line="360" w:lineRule="auto"/>
        <w:ind w:firstLine="480" w:firstLineChars="200"/>
        <w:rPr>
          <w:rFonts w:ascii="宋体" w:hAnsi="宋体"/>
          <w:bCs/>
          <w:sz w:val="24"/>
          <w:szCs w:val="24"/>
        </w:rPr>
      </w:pPr>
      <w:r>
        <w:rPr>
          <w:rFonts w:hint="eastAsia" w:ascii="宋体" w:hAnsi="宋体"/>
          <w:bCs/>
          <w:sz w:val="24"/>
          <w:szCs w:val="24"/>
        </w:rPr>
        <w:t>9在任何条件下不能推后汇报、审查、审议及评审时间。</w:t>
      </w:r>
    </w:p>
    <w:p>
      <w:pPr>
        <w:spacing w:line="360" w:lineRule="auto"/>
        <w:rPr>
          <w:rFonts w:ascii="宋体" w:hAnsi="宋体"/>
          <w:bCs/>
          <w:sz w:val="24"/>
          <w:szCs w:val="24"/>
        </w:rPr>
      </w:pPr>
      <w:r>
        <w:rPr>
          <w:rFonts w:hint="eastAsia" w:ascii="宋体" w:hAnsi="宋体"/>
          <w:bCs/>
          <w:sz w:val="24"/>
          <w:szCs w:val="24"/>
        </w:rPr>
        <w:t>（3）规划实施期间的跟踪配合措施</w:t>
      </w:r>
    </w:p>
    <w:p>
      <w:pPr>
        <w:spacing w:line="360" w:lineRule="auto"/>
        <w:ind w:firstLine="480" w:firstLineChars="200"/>
        <w:rPr>
          <w:rFonts w:ascii="宋体" w:hAnsi="宋体"/>
          <w:bCs/>
          <w:sz w:val="24"/>
          <w:szCs w:val="24"/>
        </w:rPr>
      </w:pPr>
      <w:r>
        <w:rPr>
          <w:rFonts w:hint="eastAsia" w:ascii="宋体" w:hAnsi="宋体"/>
          <w:bCs/>
          <w:sz w:val="24"/>
          <w:szCs w:val="24"/>
        </w:rPr>
        <w:t>我院将在规划实施期间与鄢陵</w:t>
      </w:r>
      <w:r>
        <w:rPr>
          <w:rFonts w:ascii="宋体" w:hAnsi="宋体"/>
          <w:bCs/>
          <w:sz w:val="24"/>
          <w:szCs w:val="24"/>
        </w:rPr>
        <w:t>县规划管理局</w:t>
      </w:r>
      <w:r>
        <w:rPr>
          <w:rFonts w:hint="eastAsia" w:ascii="宋体" w:hAnsi="宋体"/>
          <w:bCs/>
          <w:sz w:val="24"/>
          <w:szCs w:val="24"/>
        </w:rPr>
        <w:t>建立良好的沟通机制，积极跟踪规划实施过程，并保证提供因规划成果信息错误等因素造成的成果维护服务，及时协助处理规划实施期间遇到的困难，配合鄢陵</w:t>
      </w:r>
      <w:r>
        <w:rPr>
          <w:rFonts w:ascii="宋体" w:hAnsi="宋体"/>
          <w:bCs/>
          <w:sz w:val="24"/>
          <w:szCs w:val="24"/>
        </w:rPr>
        <w:t>县规划管理局</w:t>
      </w:r>
      <w:r>
        <w:rPr>
          <w:rFonts w:hint="eastAsia" w:ascii="宋体" w:hAnsi="宋体"/>
          <w:bCs/>
          <w:sz w:val="24"/>
          <w:szCs w:val="24"/>
        </w:rPr>
        <w:t>解决规划实施期间发现的新问题，保证规划的可实施性，并及时、准确地更新和维护规划成果，具体措施如下：</w:t>
      </w:r>
    </w:p>
    <w:p>
      <w:pPr>
        <w:spacing w:line="360" w:lineRule="auto"/>
        <w:ind w:firstLine="480" w:firstLineChars="200"/>
        <w:rPr>
          <w:rFonts w:ascii="宋体" w:hAnsi="宋体"/>
          <w:bCs/>
          <w:sz w:val="24"/>
          <w:szCs w:val="24"/>
        </w:rPr>
      </w:pPr>
      <w:r>
        <w:rPr>
          <w:rFonts w:hint="eastAsia" w:ascii="宋体" w:hAnsi="宋体"/>
          <w:bCs/>
          <w:sz w:val="24"/>
          <w:szCs w:val="24"/>
        </w:rPr>
        <w:t>1设定专门联系人协调鄢陵县规划管理局发出的配合要求，并协助解决规划实施期间因规划方案引起的问题。</w:t>
      </w:r>
    </w:p>
    <w:p>
      <w:pPr>
        <w:spacing w:line="360" w:lineRule="auto"/>
        <w:ind w:firstLine="480" w:firstLineChars="200"/>
        <w:rPr>
          <w:rFonts w:ascii="宋体" w:hAnsi="宋体"/>
          <w:bCs/>
          <w:sz w:val="24"/>
          <w:szCs w:val="24"/>
        </w:rPr>
      </w:pPr>
      <w:r>
        <w:rPr>
          <w:rFonts w:hint="eastAsia" w:ascii="宋体" w:hAnsi="宋体"/>
          <w:bCs/>
          <w:sz w:val="24"/>
          <w:szCs w:val="24"/>
        </w:rPr>
        <w:t>2积极响应鄢陵县规划管理局提出的配合要求，尽力配合解决在实施期间因规划方案引起的所有问题，对鄢陵县规划管理局及其他相关职能部门、群众提出的问题采用多种可能的形式加以解决。协调人不能解决的问题要上报到项目总监或我院决策者加以解决。</w:t>
      </w:r>
    </w:p>
    <w:p>
      <w:pPr>
        <w:spacing w:line="360" w:lineRule="auto"/>
        <w:ind w:firstLine="480" w:firstLineChars="200"/>
        <w:rPr>
          <w:rFonts w:ascii="宋体" w:hAnsi="宋体"/>
          <w:bCs/>
          <w:sz w:val="24"/>
          <w:szCs w:val="24"/>
        </w:rPr>
      </w:pPr>
      <w:r>
        <w:rPr>
          <w:rFonts w:hint="eastAsia" w:ascii="宋体" w:hAnsi="宋体"/>
          <w:bCs/>
          <w:sz w:val="24"/>
          <w:szCs w:val="24"/>
        </w:rPr>
        <w:t>3在实施期间，鄢陵县规划管理局对与规划方案提出的修改要求在条件允许的情况下由我院积极组织人力进行修改。</w:t>
      </w:r>
    </w:p>
    <w:p>
      <w:pPr>
        <w:spacing w:line="360" w:lineRule="auto"/>
        <w:ind w:firstLine="480" w:firstLineChars="200"/>
        <w:rPr>
          <w:rFonts w:ascii="宋体" w:hAnsi="宋体"/>
          <w:bCs/>
          <w:sz w:val="24"/>
          <w:szCs w:val="24"/>
        </w:rPr>
      </w:pPr>
      <w:r>
        <w:rPr>
          <w:rFonts w:hint="eastAsia" w:ascii="宋体" w:hAnsi="宋体"/>
          <w:bCs/>
          <w:sz w:val="24"/>
          <w:szCs w:val="24"/>
        </w:rPr>
        <w:t>4遵循我院以服务至上为原则，规划实施期间不由规划方案引起的问题，我院亦义不容辞的协助鄢陵县规划管理局解决。</w:t>
      </w:r>
    </w:p>
    <w:p>
      <w:pPr>
        <w:spacing w:line="360" w:lineRule="auto"/>
        <w:ind w:firstLine="480" w:firstLineChars="200"/>
        <w:rPr>
          <w:rFonts w:hint="eastAsia" w:ascii="宋体" w:hAnsi="宋体"/>
          <w:bCs/>
          <w:sz w:val="24"/>
          <w:szCs w:val="24"/>
        </w:rPr>
      </w:pPr>
      <w:r>
        <w:rPr>
          <w:rFonts w:hint="eastAsia" w:ascii="宋体" w:hAnsi="宋体"/>
          <w:bCs/>
          <w:sz w:val="24"/>
          <w:szCs w:val="24"/>
        </w:rPr>
        <w:t>5认真贯彻正式成果提交后跟踪服务的工作措施。</w:t>
      </w:r>
    </w:p>
    <w:p>
      <w:pPr>
        <w:spacing w:line="360" w:lineRule="auto"/>
        <w:ind w:firstLine="480" w:firstLineChars="200"/>
        <w:rPr>
          <w:rFonts w:hint="eastAsia" w:ascii="宋体" w:hAnsi="宋体"/>
          <w:bCs/>
          <w:sz w:val="24"/>
          <w:szCs w:val="24"/>
        </w:rPr>
      </w:pPr>
    </w:p>
    <w:p>
      <w:pPr>
        <w:spacing w:line="360" w:lineRule="auto"/>
        <w:ind w:firstLine="480" w:firstLineChars="200"/>
        <w:rPr>
          <w:rFonts w:hint="eastAsia" w:ascii="宋体" w:hAnsi="宋体"/>
          <w:bCs/>
          <w:sz w:val="24"/>
          <w:szCs w:val="24"/>
        </w:rPr>
      </w:pPr>
    </w:p>
    <w:p>
      <w:pPr>
        <w:spacing w:line="360" w:lineRule="auto"/>
        <w:ind w:firstLine="480" w:firstLineChars="200"/>
        <w:rPr>
          <w:rFonts w:hint="eastAsia" w:ascii="宋体" w:hAnsi="宋体"/>
          <w:bCs/>
          <w:sz w:val="24"/>
          <w:szCs w:val="24"/>
        </w:rPr>
      </w:pPr>
    </w:p>
    <w:p>
      <w:pPr>
        <w:spacing w:line="360" w:lineRule="auto"/>
        <w:ind w:firstLine="480" w:firstLineChars="200"/>
        <w:rPr>
          <w:rFonts w:hint="eastAsia" w:ascii="宋体" w:hAnsi="宋体"/>
          <w:bCs/>
          <w:sz w:val="24"/>
          <w:szCs w:val="24"/>
        </w:rPr>
      </w:pPr>
    </w:p>
    <w:p>
      <w:pPr>
        <w:spacing w:line="360" w:lineRule="auto"/>
        <w:ind w:firstLine="480" w:firstLineChars="200"/>
        <w:rPr>
          <w:rFonts w:hint="eastAsia" w:ascii="宋体" w:hAnsi="宋体"/>
          <w:bCs/>
          <w:sz w:val="24"/>
          <w:szCs w:val="24"/>
        </w:rPr>
      </w:pPr>
    </w:p>
    <w:p>
      <w:pPr>
        <w:spacing w:line="360" w:lineRule="auto"/>
        <w:ind w:firstLine="480" w:firstLineChars="200"/>
        <w:rPr>
          <w:rFonts w:hint="eastAsia" w:ascii="宋体" w:hAnsi="宋体"/>
          <w:bCs/>
          <w:sz w:val="24"/>
          <w:szCs w:val="24"/>
        </w:rPr>
      </w:pPr>
      <w:bookmarkStart w:id="0" w:name="_GoBack"/>
      <w:bookmarkEnd w:id="0"/>
    </w:p>
    <w:p>
      <w:pPr>
        <w:pStyle w:val="9"/>
        <w:tabs>
          <w:tab w:val="left" w:pos="0"/>
        </w:tabs>
        <w:spacing w:before="60" w:after="60" w:line="500" w:lineRule="exact"/>
        <w:ind w:firstLine="0" w:firstLineChars="0"/>
        <w:rPr>
          <w:rFonts w:ascii="宋体" w:hAnsi="宋体"/>
          <w:b/>
          <w:bCs/>
          <w:sz w:val="30"/>
          <w:szCs w:val="30"/>
        </w:rPr>
      </w:pPr>
      <w:r>
        <w:rPr>
          <w:rFonts w:hint="eastAsia" w:ascii="宋体" w:hAnsi="宋体"/>
          <w:b/>
          <w:bCs/>
          <w:sz w:val="30"/>
          <w:szCs w:val="30"/>
        </w:rPr>
        <w:t>5、附图</w:t>
      </w:r>
    </w:p>
    <w:p>
      <w:pPr>
        <w:pStyle w:val="9"/>
        <w:tabs>
          <w:tab w:val="left" w:pos="0"/>
        </w:tabs>
        <w:spacing w:before="60" w:after="60" w:line="500" w:lineRule="exact"/>
        <w:ind w:firstLine="0" w:firstLineChars="0"/>
        <w:rPr>
          <w:rFonts w:ascii="宋体" w:hAnsi="宋体"/>
          <w:b/>
          <w:bCs/>
          <w:sz w:val="30"/>
          <w:szCs w:val="30"/>
        </w:rPr>
      </w:pPr>
      <w:r>
        <w:rPr>
          <w:rFonts w:hint="eastAsia" w:ascii="宋体" w:hAnsi="宋体" w:cs="宋体"/>
          <w:b/>
          <w:bCs/>
          <w:color w:val="000000"/>
          <w:sz w:val="24"/>
          <w:szCs w:val="24"/>
          <w:shd w:val="clear" w:color="auto" w:fill="FFFFFF"/>
        </w:rPr>
        <w:t>1）城区部分</w:t>
      </w:r>
    </w:p>
    <w:p>
      <w:pPr>
        <w:spacing w:line="500" w:lineRule="exact"/>
        <w:rPr>
          <w:rFonts w:ascii="宋体" w:hAnsi="宋体" w:cs="宋体"/>
          <w:b/>
          <w:bCs/>
          <w:color w:val="000000"/>
          <w:sz w:val="24"/>
          <w:szCs w:val="24"/>
          <w:shd w:val="clear" w:color="auto" w:fill="FFFFFF"/>
        </w:rPr>
      </w:pPr>
      <w:r>
        <w:drawing>
          <wp:anchor distT="0" distB="0" distL="114300" distR="114300" simplePos="0" relativeHeight="251658240" behindDoc="0" locked="0" layoutInCell="1" allowOverlap="1">
            <wp:simplePos x="0" y="0"/>
            <wp:positionH relativeFrom="column">
              <wp:posOffset>-1017905</wp:posOffset>
            </wp:positionH>
            <wp:positionV relativeFrom="paragraph">
              <wp:posOffset>1354455</wp:posOffset>
            </wp:positionV>
            <wp:extent cx="7305675" cy="5224145"/>
            <wp:effectExtent l="0" t="0" r="14605" b="9525"/>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
                    <a:stretch>
                      <a:fillRect/>
                    </a:stretch>
                  </pic:blipFill>
                  <pic:spPr>
                    <a:xfrm rot="16200000">
                      <a:off x="0" y="0"/>
                      <a:ext cx="7305675" cy="5224145"/>
                    </a:xfrm>
                    <a:prstGeom prst="rect">
                      <a:avLst/>
                    </a:prstGeom>
                    <a:noFill/>
                    <a:ln w="9525">
                      <a:noFill/>
                    </a:ln>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59264" behindDoc="0" locked="0" layoutInCell="1" allowOverlap="1">
            <wp:simplePos x="0" y="0"/>
            <wp:positionH relativeFrom="column">
              <wp:posOffset>-1084580</wp:posOffset>
            </wp:positionH>
            <wp:positionV relativeFrom="paragraph">
              <wp:posOffset>1188720</wp:posOffset>
            </wp:positionV>
            <wp:extent cx="7373620" cy="5215890"/>
            <wp:effectExtent l="0" t="0" r="3810" b="17780"/>
            <wp:wrapTopAndBottom/>
            <wp:docPr id="4" name="图片 4" descr="鄢陵县总规方案——学校-Model底图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鄢陵县总规方案——学校-Model底图00"/>
                    <pic:cNvPicPr>
                      <a:picLocks noChangeAspect="1"/>
                    </pic:cNvPicPr>
                  </pic:nvPicPr>
                  <pic:blipFill>
                    <a:blip r:embed="rId5"/>
                    <a:stretch>
                      <a:fillRect/>
                    </a:stretch>
                  </pic:blipFill>
                  <pic:spPr>
                    <a:xfrm rot="16200000">
                      <a:off x="0" y="0"/>
                      <a:ext cx="7373620" cy="521589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61312" behindDoc="0" locked="0" layoutInCell="1" allowOverlap="1">
            <wp:simplePos x="0" y="0"/>
            <wp:positionH relativeFrom="column">
              <wp:posOffset>-1083945</wp:posOffset>
            </wp:positionH>
            <wp:positionV relativeFrom="paragraph">
              <wp:posOffset>1188720</wp:posOffset>
            </wp:positionV>
            <wp:extent cx="7372985" cy="5215890"/>
            <wp:effectExtent l="0" t="0" r="3810" b="18415"/>
            <wp:wrapTopAndBottom/>
            <wp:docPr id="5" name="图片 5" descr="C:\Users\Administrator\Desktop\教育专项过程稿\城区部分\4图纸\鄢陵县总规方案——学校-Model底图01.jpg鄢陵县总规方案——学校-Model底图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教育专项过程稿\城区部分\4图纸\鄢陵县总规方案——学校-Model底图01.jpg鄢陵县总规方案——学校-Model底图01"/>
                    <pic:cNvPicPr>
                      <a:picLocks noChangeAspect="1"/>
                    </pic:cNvPicPr>
                  </pic:nvPicPr>
                  <pic:blipFill>
                    <a:blip r:embed="rId6"/>
                    <a:srcRect/>
                    <a:stretch>
                      <a:fillRect/>
                    </a:stretch>
                  </pic:blipFill>
                  <pic:spPr>
                    <a:xfrm rot="16200000">
                      <a:off x="0" y="0"/>
                      <a:ext cx="7372985" cy="521589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63360" behindDoc="0" locked="0" layoutInCell="1" allowOverlap="1">
            <wp:simplePos x="0" y="0"/>
            <wp:positionH relativeFrom="column">
              <wp:posOffset>-1083945</wp:posOffset>
            </wp:positionH>
            <wp:positionV relativeFrom="paragraph">
              <wp:posOffset>833120</wp:posOffset>
            </wp:positionV>
            <wp:extent cx="7372985" cy="5215890"/>
            <wp:effectExtent l="0" t="0" r="3810" b="18415"/>
            <wp:wrapTopAndBottom/>
            <wp:docPr id="6" name="图片 6" descr="C:\Users\Administrator\Desktop\教育专项过程稿\城区部分\4图纸\鄢陵县总规方案——学校-Model底图02.jpg鄢陵县总规方案——学校-Model底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教育专项过程稿\城区部分\4图纸\鄢陵县总规方案——学校-Model底图02.jpg鄢陵县总规方案——学校-Model底图02"/>
                    <pic:cNvPicPr>
                      <a:picLocks noChangeAspect="1"/>
                    </pic:cNvPicPr>
                  </pic:nvPicPr>
                  <pic:blipFill>
                    <a:blip r:embed="rId7"/>
                    <a:srcRect/>
                    <a:stretch>
                      <a:fillRect/>
                    </a:stretch>
                  </pic:blipFill>
                  <pic:spPr>
                    <a:xfrm rot="16200000">
                      <a:off x="0" y="0"/>
                      <a:ext cx="7372985" cy="521589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65408" behindDoc="0" locked="0" layoutInCell="1" allowOverlap="1">
            <wp:simplePos x="0" y="0"/>
            <wp:positionH relativeFrom="column">
              <wp:posOffset>-1083945</wp:posOffset>
            </wp:positionH>
            <wp:positionV relativeFrom="paragraph">
              <wp:posOffset>833120</wp:posOffset>
            </wp:positionV>
            <wp:extent cx="7372985" cy="5215890"/>
            <wp:effectExtent l="0" t="0" r="3810" b="18415"/>
            <wp:wrapTopAndBottom/>
            <wp:docPr id="7" name="图片 7" descr="C:\Users\Administrator\Desktop\教育专项过程稿\城区部分\4图纸\鄢陵县总规方案——学校-Model底图03.jpg鄢陵县总规方案——学校-Model底图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Desktop\教育专项过程稿\城区部分\4图纸\鄢陵县总规方案——学校-Model底图03.jpg鄢陵县总规方案——学校-Model底图03"/>
                    <pic:cNvPicPr>
                      <a:picLocks noChangeAspect="1"/>
                    </pic:cNvPicPr>
                  </pic:nvPicPr>
                  <pic:blipFill>
                    <a:blip r:embed="rId8"/>
                    <a:srcRect/>
                    <a:stretch>
                      <a:fillRect/>
                    </a:stretch>
                  </pic:blipFill>
                  <pic:spPr>
                    <a:xfrm rot="16200000">
                      <a:off x="0" y="0"/>
                      <a:ext cx="7372985" cy="521589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67456" behindDoc="0" locked="0" layoutInCell="1" allowOverlap="1">
            <wp:simplePos x="0" y="0"/>
            <wp:positionH relativeFrom="column">
              <wp:posOffset>-1144270</wp:posOffset>
            </wp:positionH>
            <wp:positionV relativeFrom="paragraph">
              <wp:posOffset>1189355</wp:posOffset>
            </wp:positionV>
            <wp:extent cx="7373620" cy="5215255"/>
            <wp:effectExtent l="0" t="0" r="4445" b="17780"/>
            <wp:wrapTopAndBottom/>
            <wp:docPr id="8" name="图片 8" descr="C:\Users\Administrator\Desktop\教育专项过程稿\城区部分\4图纸\中心城区体育设施规划图.jpg中心城区体育设施规划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Desktop\教育专项过程稿\城区部分\4图纸\中心城区体育设施规划图.jpg中心城区体育设施规划图"/>
                    <pic:cNvPicPr>
                      <a:picLocks noChangeAspect="1"/>
                    </pic:cNvPicPr>
                  </pic:nvPicPr>
                  <pic:blipFill>
                    <a:blip r:embed="rId9"/>
                    <a:srcRect/>
                    <a:stretch>
                      <a:fillRect/>
                    </a:stretch>
                  </pic:blipFill>
                  <pic:spPr>
                    <a:xfrm rot="16200000">
                      <a:off x="0" y="0"/>
                      <a:ext cx="7373620" cy="5215255"/>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sz w:val="30"/>
          <w:szCs w:val="30"/>
        </w:rPr>
      </w:pPr>
      <w:r>
        <w:rPr>
          <w:rFonts w:hint="eastAsia" w:ascii="宋体" w:hAnsi="宋体" w:cs="宋体"/>
          <w:b/>
          <w:bCs/>
          <w:color w:val="000000"/>
          <w:sz w:val="24"/>
          <w:szCs w:val="24"/>
          <w:shd w:val="clear" w:color="auto" w:fill="FFFFFF"/>
        </w:rPr>
        <w:t>2）乡镇部分</w:t>
      </w: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699200" behindDoc="0" locked="0" layoutInCell="1" allowOverlap="1">
            <wp:simplePos x="0" y="0"/>
            <wp:positionH relativeFrom="column">
              <wp:posOffset>-58420</wp:posOffset>
            </wp:positionH>
            <wp:positionV relativeFrom="paragraph">
              <wp:posOffset>290830</wp:posOffset>
            </wp:positionV>
            <wp:extent cx="5270500" cy="7456170"/>
            <wp:effectExtent l="0" t="0" r="6350" b="11430"/>
            <wp:wrapSquare wrapText="bothSides"/>
            <wp:docPr id="13" name="图片 13" descr="C:\Users\Administrator\Desktop\教育专项过程稿\各个乡镇\陈化店镇现状.jpg陈化店镇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Administrator\Desktop\教育专项过程稿\各个乡镇\陈化店镇现状.jpg陈化店镇现状"/>
                    <pic:cNvPicPr>
                      <a:picLocks noChangeAspect="1"/>
                    </pic:cNvPicPr>
                  </pic:nvPicPr>
                  <pic:blipFill>
                    <a:blip r:embed="rId10"/>
                    <a:srcRect/>
                    <a:stretch>
                      <a:fillRect/>
                    </a:stretch>
                  </pic:blipFill>
                  <pic:spPr>
                    <a:xfrm>
                      <a:off x="0" y="0"/>
                      <a:ext cx="5270500"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741184" behindDoc="0" locked="0" layoutInCell="1" allowOverlap="1">
            <wp:simplePos x="0" y="0"/>
            <wp:positionH relativeFrom="column">
              <wp:posOffset>-58420</wp:posOffset>
            </wp:positionH>
            <wp:positionV relativeFrom="paragraph">
              <wp:posOffset>-65405</wp:posOffset>
            </wp:positionV>
            <wp:extent cx="5270500" cy="7457440"/>
            <wp:effectExtent l="0" t="0" r="6350" b="10160"/>
            <wp:wrapSquare wrapText="bothSides"/>
            <wp:docPr id="14" name="图片 14" descr="C:\Users\Administrator\Desktop\教育专项过程稿\各个乡镇\陈化店镇规划.jpg陈化店镇规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Administrator\Desktop\教育专项过程稿\各个乡镇\陈化店镇规划.jpg陈化店镇规划"/>
                    <pic:cNvPicPr>
                      <a:picLocks noChangeAspect="1"/>
                    </pic:cNvPicPr>
                  </pic:nvPicPr>
                  <pic:blipFill>
                    <a:blip r:embed="rId11"/>
                    <a:srcRect/>
                    <a:stretch>
                      <a:fillRect/>
                    </a:stretch>
                  </pic:blipFill>
                  <pic:spPr>
                    <a:xfrm>
                      <a:off x="0" y="0"/>
                      <a:ext cx="5270500" cy="745744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783168" behindDoc="0" locked="0" layoutInCell="1" allowOverlap="1">
            <wp:simplePos x="0" y="0"/>
            <wp:positionH relativeFrom="column">
              <wp:posOffset>-58420</wp:posOffset>
            </wp:positionH>
            <wp:positionV relativeFrom="paragraph">
              <wp:posOffset>-64770</wp:posOffset>
            </wp:positionV>
            <wp:extent cx="5270500" cy="7456170"/>
            <wp:effectExtent l="0" t="0" r="6350" b="11430"/>
            <wp:wrapSquare wrapText="bothSides"/>
            <wp:docPr id="15" name="图片 15" descr="C:\Users\Administrator\Desktop\教育专项过程稿\各个乡镇\大马镇现状.jpg大马镇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Administrator\Desktop\教育专项过程稿\各个乡镇\大马镇现状.jpg大马镇现状"/>
                    <pic:cNvPicPr>
                      <a:picLocks noChangeAspect="1"/>
                    </pic:cNvPicPr>
                  </pic:nvPicPr>
                  <pic:blipFill>
                    <a:blip r:embed="rId12"/>
                    <a:srcRect/>
                    <a:stretch>
                      <a:fillRect/>
                    </a:stretch>
                  </pic:blipFill>
                  <pic:spPr>
                    <a:xfrm>
                      <a:off x="0" y="0"/>
                      <a:ext cx="5270500"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1909120" behindDoc="0" locked="0" layoutInCell="1" allowOverlap="1">
            <wp:simplePos x="0" y="0"/>
            <wp:positionH relativeFrom="column">
              <wp:posOffset>-46990</wp:posOffset>
            </wp:positionH>
            <wp:positionV relativeFrom="paragraph">
              <wp:posOffset>278130</wp:posOffset>
            </wp:positionV>
            <wp:extent cx="5270500" cy="7457440"/>
            <wp:effectExtent l="0" t="0" r="6350" b="10160"/>
            <wp:wrapSquare wrapText="bothSides"/>
            <wp:docPr id="16" name="图片 16" descr="C:\Users\Administrator\Desktop\教育专项过程稿\各个乡镇\大马镇规划.jpg大马镇规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Administrator\Desktop\教育专项过程稿\各个乡镇\大马镇规划.jpg大马镇规划"/>
                    <pic:cNvPicPr>
                      <a:picLocks noChangeAspect="1"/>
                    </pic:cNvPicPr>
                  </pic:nvPicPr>
                  <pic:blipFill>
                    <a:blip r:embed="rId13"/>
                    <a:srcRect/>
                    <a:stretch>
                      <a:fillRect/>
                    </a:stretch>
                  </pic:blipFill>
                  <pic:spPr>
                    <a:xfrm>
                      <a:off x="0" y="0"/>
                      <a:ext cx="5270500" cy="745744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0"/>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2161024" behindDoc="0" locked="0" layoutInCell="1" allowOverlap="1">
            <wp:simplePos x="0" y="0"/>
            <wp:positionH relativeFrom="column">
              <wp:posOffset>-11430</wp:posOffset>
            </wp:positionH>
            <wp:positionV relativeFrom="paragraph">
              <wp:posOffset>181610</wp:posOffset>
            </wp:positionV>
            <wp:extent cx="5270500" cy="7456170"/>
            <wp:effectExtent l="0" t="0" r="6350" b="11430"/>
            <wp:wrapTopAndBottom/>
            <wp:docPr id="20" name="图片 20" descr="C:\Users\Administrator\Desktop\教育专项过程稿\各个乡镇\马坊乡现状.jpg马坊乡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Administrator\Desktop\教育专项过程稿\各个乡镇\马坊乡现状.jpg马坊乡现状"/>
                    <pic:cNvPicPr>
                      <a:picLocks noChangeAspect="1"/>
                    </pic:cNvPicPr>
                  </pic:nvPicPr>
                  <pic:blipFill>
                    <a:blip r:embed="rId14"/>
                    <a:srcRect/>
                    <a:stretch>
                      <a:fillRect/>
                    </a:stretch>
                  </pic:blipFill>
                  <pic:spPr>
                    <a:xfrm>
                      <a:off x="0" y="0"/>
                      <a:ext cx="5270500" cy="7456170"/>
                    </a:xfrm>
                    <a:prstGeom prst="rect">
                      <a:avLst/>
                    </a:prstGeom>
                  </pic:spPr>
                </pic:pic>
              </a:graphicData>
            </a:graphic>
          </wp:anchor>
        </w:drawing>
      </w:r>
    </w:p>
    <w:p>
      <w:pPr>
        <w:pStyle w:val="9"/>
        <w:tabs>
          <w:tab w:val="left" w:pos="0"/>
        </w:tabs>
        <w:spacing w:before="0"/>
        <w:ind w:firstLine="0" w:firstLineChars="0"/>
        <w:rPr>
          <w:rFonts w:ascii="宋体" w:hAnsi="宋体"/>
          <w:b/>
          <w:bCs/>
          <w:kern w:val="0"/>
          <w:sz w:val="32"/>
        </w:rPr>
      </w:pPr>
    </w:p>
    <w:p>
      <w:pPr>
        <w:pStyle w:val="9"/>
        <w:tabs>
          <w:tab w:val="left" w:pos="0"/>
        </w:tabs>
        <w:spacing w:before="0"/>
        <w:ind w:firstLine="0" w:firstLineChars="0"/>
        <w:rPr>
          <w:rFonts w:ascii="宋体" w:hAnsi="宋体"/>
          <w:b/>
          <w:bCs/>
          <w:kern w:val="0"/>
          <w:sz w:val="32"/>
        </w:rPr>
      </w:pPr>
    </w:p>
    <w:p>
      <w:pPr>
        <w:pStyle w:val="9"/>
        <w:tabs>
          <w:tab w:val="left" w:pos="0"/>
        </w:tabs>
        <w:spacing w:before="0"/>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2412928" behindDoc="0" locked="0" layoutInCell="1" allowOverlap="1">
            <wp:simplePos x="0" y="0"/>
            <wp:positionH relativeFrom="column">
              <wp:posOffset>-46990</wp:posOffset>
            </wp:positionH>
            <wp:positionV relativeFrom="paragraph">
              <wp:posOffset>238125</wp:posOffset>
            </wp:positionV>
            <wp:extent cx="5270500" cy="7456170"/>
            <wp:effectExtent l="0" t="0" r="6350" b="11430"/>
            <wp:wrapSquare wrapText="bothSides"/>
            <wp:docPr id="21" name="图片 21" descr="C:\Users\Administrator\Desktop\教育专项过程稿\各个乡镇\马坊乡规划.jpg马坊乡规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Administrator\Desktop\教育专项过程稿\各个乡镇\马坊乡规划.jpg马坊乡规划"/>
                    <pic:cNvPicPr>
                      <a:picLocks noChangeAspect="1"/>
                    </pic:cNvPicPr>
                  </pic:nvPicPr>
                  <pic:blipFill>
                    <a:blip r:embed="rId15"/>
                    <a:srcRect/>
                    <a:stretch>
                      <a:fillRect/>
                    </a:stretch>
                  </pic:blipFill>
                  <pic:spPr>
                    <a:xfrm>
                      <a:off x="0" y="0"/>
                      <a:ext cx="5270500" cy="7456170"/>
                    </a:xfrm>
                    <a:prstGeom prst="rect">
                      <a:avLst/>
                    </a:prstGeom>
                  </pic:spPr>
                </pic:pic>
              </a:graphicData>
            </a:graphic>
          </wp:anchor>
        </w:drawing>
      </w:r>
    </w:p>
    <w:p>
      <w:pPr>
        <w:pStyle w:val="9"/>
        <w:tabs>
          <w:tab w:val="left" w:pos="0"/>
        </w:tabs>
        <w:spacing w:before="0"/>
        <w:ind w:firstLine="0" w:firstLineChars="0"/>
        <w:rPr>
          <w:rFonts w:ascii="宋体" w:hAnsi="宋体"/>
          <w:b/>
          <w:bCs/>
          <w:kern w:val="0"/>
          <w:sz w:val="32"/>
        </w:rPr>
      </w:pPr>
    </w:p>
    <w:p>
      <w:pPr>
        <w:pStyle w:val="9"/>
        <w:tabs>
          <w:tab w:val="left" w:pos="0"/>
        </w:tabs>
        <w:spacing w:before="0"/>
        <w:ind w:firstLine="0" w:firstLineChars="0"/>
        <w:rPr>
          <w:rFonts w:ascii="宋体" w:hAnsi="宋体"/>
          <w:b/>
          <w:bCs/>
          <w:kern w:val="0"/>
          <w:sz w:val="32"/>
        </w:rPr>
      </w:pPr>
    </w:p>
    <w:p>
      <w:pPr>
        <w:pStyle w:val="9"/>
        <w:tabs>
          <w:tab w:val="left" w:pos="0"/>
        </w:tabs>
        <w:spacing w:before="0"/>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2664832" behindDoc="0" locked="0" layoutInCell="1" allowOverlap="1">
            <wp:simplePos x="0" y="0"/>
            <wp:positionH relativeFrom="column">
              <wp:posOffset>-46355</wp:posOffset>
            </wp:positionH>
            <wp:positionV relativeFrom="paragraph">
              <wp:posOffset>238125</wp:posOffset>
            </wp:positionV>
            <wp:extent cx="5269865" cy="7456170"/>
            <wp:effectExtent l="0" t="0" r="6985" b="11430"/>
            <wp:wrapSquare wrapText="bothSides"/>
            <wp:docPr id="22" name="图片 22" descr="C:\Users\Administrator\Desktop\教育专项过程稿\各个乡镇\南坞镇现状.jpg南坞镇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Administrator\Desktop\教育专项过程稿\各个乡镇\南坞镇现状.jpg南坞镇现状"/>
                    <pic:cNvPicPr>
                      <a:picLocks noChangeAspect="1"/>
                    </pic:cNvPicPr>
                  </pic:nvPicPr>
                  <pic:blipFill>
                    <a:blip r:embed="rId16"/>
                    <a:srcRect/>
                    <a:stretch>
                      <a:fillRect/>
                    </a:stretch>
                  </pic:blipFill>
                  <pic:spPr>
                    <a:xfrm>
                      <a:off x="0" y="0"/>
                      <a:ext cx="5269865"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2916736" behindDoc="0" locked="0" layoutInCell="1" allowOverlap="1">
            <wp:simplePos x="0" y="0"/>
            <wp:positionH relativeFrom="column">
              <wp:posOffset>-46990</wp:posOffset>
            </wp:positionH>
            <wp:positionV relativeFrom="paragraph">
              <wp:posOffset>278765</wp:posOffset>
            </wp:positionV>
            <wp:extent cx="5270500" cy="7456170"/>
            <wp:effectExtent l="0" t="0" r="6350" b="11430"/>
            <wp:wrapSquare wrapText="bothSides"/>
            <wp:docPr id="23" name="图片 23" descr="C:\Users\Administrator\Desktop\教育专项过程稿\各个乡镇\南坞镇规划.jpg南坞镇规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C:\Users\Administrator\Desktop\教育专项过程稿\各个乡镇\南坞镇规划.jpg南坞镇规划"/>
                    <pic:cNvPicPr>
                      <a:picLocks noChangeAspect="1"/>
                    </pic:cNvPicPr>
                  </pic:nvPicPr>
                  <pic:blipFill>
                    <a:blip r:embed="rId17"/>
                    <a:srcRect/>
                    <a:stretch>
                      <a:fillRect/>
                    </a:stretch>
                  </pic:blipFill>
                  <pic:spPr>
                    <a:xfrm>
                      <a:off x="0" y="0"/>
                      <a:ext cx="5270500"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3168640" behindDoc="0" locked="0" layoutInCell="1" allowOverlap="1">
            <wp:simplePos x="0" y="0"/>
            <wp:positionH relativeFrom="column">
              <wp:posOffset>-70485</wp:posOffset>
            </wp:positionH>
            <wp:positionV relativeFrom="paragraph">
              <wp:posOffset>29210</wp:posOffset>
            </wp:positionV>
            <wp:extent cx="5270500" cy="7456170"/>
            <wp:effectExtent l="0" t="0" r="6350" b="11430"/>
            <wp:wrapSquare wrapText="bothSides"/>
            <wp:docPr id="24" name="图片 24" descr="C:\Users\Administrator\Desktop\教育专项过程稿\各个乡镇\望田镇现状.jpg望田镇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Users\Administrator\Desktop\教育专项过程稿\各个乡镇\望田镇现状.jpg望田镇现状"/>
                    <pic:cNvPicPr>
                      <a:picLocks noChangeAspect="1"/>
                    </pic:cNvPicPr>
                  </pic:nvPicPr>
                  <pic:blipFill>
                    <a:blip r:embed="rId18"/>
                    <a:srcRect/>
                    <a:stretch>
                      <a:fillRect/>
                    </a:stretch>
                  </pic:blipFill>
                  <pic:spPr>
                    <a:xfrm>
                      <a:off x="0" y="0"/>
                      <a:ext cx="5270500"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r>
        <w:rPr>
          <w:rFonts w:hint="eastAsia" w:ascii="宋体" w:hAnsi="宋体"/>
          <w:b/>
          <w:bCs/>
          <w:kern w:val="0"/>
          <w:sz w:val="32"/>
        </w:rPr>
        <w:drawing>
          <wp:anchor distT="0" distB="0" distL="114300" distR="114300" simplePos="0" relativeHeight="253420544" behindDoc="0" locked="0" layoutInCell="1" allowOverlap="1">
            <wp:simplePos x="0" y="0"/>
            <wp:positionH relativeFrom="column">
              <wp:posOffset>-46990</wp:posOffset>
            </wp:positionH>
            <wp:positionV relativeFrom="paragraph">
              <wp:posOffset>278765</wp:posOffset>
            </wp:positionV>
            <wp:extent cx="5270500" cy="7456170"/>
            <wp:effectExtent l="0" t="0" r="6350" b="11430"/>
            <wp:wrapSquare wrapText="bothSides"/>
            <wp:docPr id="25" name="图片 25" descr="C:\Users\Administrator\Desktop\教育专项过程稿\各个乡镇\望田镇规划.jpg望田镇规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Administrator\Desktop\教育专项过程稿\各个乡镇\望田镇规划.jpg望田镇规划"/>
                    <pic:cNvPicPr>
                      <a:picLocks noChangeAspect="1"/>
                    </pic:cNvPicPr>
                  </pic:nvPicPr>
                  <pic:blipFill>
                    <a:blip r:embed="rId19"/>
                    <a:srcRect/>
                    <a:stretch>
                      <a:fillRect/>
                    </a:stretch>
                  </pic:blipFill>
                  <pic:spPr>
                    <a:xfrm>
                      <a:off x="0" y="0"/>
                      <a:ext cx="5270500" cy="7456170"/>
                    </a:xfrm>
                    <a:prstGeom prst="rect">
                      <a:avLst/>
                    </a:prstGeom>
                  </pic:spPr>
                </pic:pic>
              </a:graphicData>
            </a:graphic>
          </wp:anchor>
        </w:drawing>
      </w: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b/>
          <w:bCs/>
          <w:kern w:val="0"/>
          <w:sz w:val="32"/>
        </w:rPr>
      </w:pPr>
    </w:p>
    <w:p>
      <w:pPr>
        <w:pStyle w:val="9"/>
        <w:tabs>
          <w:tab w:val="left" w:pos="0"/>
        </w:tabs>
        <w:spacing w:before="60" w:after="60" w:line="500" w:lineRule="exact"/>
        <w:ind w:firstLine="0" w:firstLineChars="0"/>
        <w:rPr>
          <w:rFonts w:ascii="宋体" w:hAnsi="宋体" w:cs="宋体"/>
          <w:b/>
          <w:bCs/>
          <w:color w:val="000000"/>
          <w:sz w:val="24"/>
          <w:szCs w:val="24"/>
          <w:shd w:val="clear" w:color="auto" w:fill="FFFFFF"/>
        </w:rPr>
      </w:pPr>
      <w:r>
        <w:rPr>
          <w:rFonts w:hint="eastAsia" w:ascii="宋体" w:hAnsi="宋体"/>
          <w:b/>
          <w:bCs/>
          <w:kern w:val="0"/>
          <w:sz w:val="32"/>
        </w:rPr>
        <w:t>（二）服务承诺</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1）院各部门高度重视</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我院对该项目高度重视，将其作为本院的重点项目进行全面监督管理，并抽调单位技术全面、经验丰富、对该项目流程非常熟悉的人员共同组成项目组，并由院总规划师亲自担任项目负责人。按照项目负责人制度，并抽调我们各专业设计负责人和核心设计人员将全过程参与项目设计，项目会审时项目负责人必定出席并进行方案汇报。</w:t>
      </w:r>
    </w:p>
    <w:p>
      <w:pPr>
        <w:spacing w:line="500" w:lineRule="exact"/>
        <w:rPr>
          <w:rFonts w:ascii="宋体" w:hAnsi="宋体" w:cs="宋体"/>
          <w:b/>
          <w:bCs/>
          <w:color w:val="000000"/>
          <w:sz w:val="24"/>
          <w:szCs w:val="24"/>
          <w:shd w:val="clear" w:color="auto" w:fill="FFFFFF"/>
        </w:rPr>
      </w:pPr>
      <w:r>
        <w:rPr>
          <w:rFonts w:hint="eastAsia" w:ascii="宋体" w:hAnsi="宋体" w:cs="宋体"/>
          <w:b/>
          <w:bCs/>
          <w:color w:val="000000"/>
          <w:sz w:val="24"/>
          <w:szCs w:val="24"/>
          <w:shd w:val="clear" w:color="auto" w:fill="FFFFFF"/>
        </w:rPr>
        <w:t>2）针对性地组织项目组成员</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根据项目现状情况、编制特点及要求等，并结合我院负责编制的该专项规划项目，我院精选出一批经验丰富、工作能力强、技术水平高、各工种搭配齐全合理的技术人员，项目组成员熟悉该专项规划设计工作的方式方法，了解许昌市的规划设计动态，有着丰富的规划设计经验。并根据项目的需要，适当增加交通工程、道路工程等专业人员。如项目实际需要，我院还将增加土地规划、策划等专业人员加入项目组。</w:t>
      </w:r>
    </w:p>
    <w:p>
      <w:pPr>
        <w:pStyle w:val="2"/>
        <w:numPr>
          <w:ilvl w:val="2"/>
          <w:numId w:val="0"/>
        </w:numPr>
        <w:spacing w:line="360" w:lineRule="auto"/>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3）完善各级技术指导监控过程</w:t>
      </w:r>
    </w:p>
    <w:p>
      <w:pPr>
        <w:spacing w:line="500" w:lineRule="exact"/>
        <w:ind w:firstLine="480" w:firstLineChars="200"/>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由我院总规划师担当项目负责人总体负责，具体实施项目编制运行并对技术质量、项目工期等全面负责。再划分为三个专业组，各专业组负责人对专业技术质量和工期负责的三级项目组织结构，并将指派城市规划、市政工程及城市设计的专门联系人，负责各专业的技术指导与跟踪服务工作。同时，院技术委员会对该规划定期组织院审，对该规划的成果质量进行评估和把关。</w:t>
      </w:r>
    </w:p>
    <w:p>
      <w:pPr>
        <w:pStyle w:val="2"/>
        <w:numPr>
          <w:ilvl w:val="2"/>
          <w:numId w:val="0"/>
        </w:numPr>
        <w:spacing w:line="360" w:lineRule="auto"/>
        <w:rPr>
          <w:rFonts w:ascii="宋体" w:hAnsi="宋体" w:cs="宋体"/>
          <w:color w:val="000000"/>
          <w:sz w:val="24"/>
          <w:szCs w:val="24"/>
          <w:shd w:val="clear" w:color="auto" w:fill="FFFFFF"/>
        </w:rPr>
      </w:pPr>
      <w:r>
        <w:rPr>
          <w:rFonts w:hint="eastAsia" w:ascii="宋体" w:hAnsi="宋体" w:cs="宋体"/>
          <w:color w:val="000000"/>
          <w:sz w:val="24"/>
          <w:szCs w:val="24"/>
          <w:shd w:val="clear" w:color="auto" w:fill="FFFFFF"/>
        </w:rPr>
        <w:t>4）完备充分的后勤保障服务</w:t>
      </w:r>
    </w:p>
    <w:p>
      <w:pPr>
        <w:spacing w:line="500" w:lineRule="exact"/>
        <w:ind w:firstLine="480" w:firstLineChars="200"/>
        <w:rPr>
          <w:rFonts w:ascii="宋体" w:hAnsi="宋体" w:cs="宋体"/>
          <w:b/>
          <w:bCs/>
          <w:color w:val="000000"/>
          <w:sz w:val="24"/>
          <w:szCs w:val="24"/>
          <w:shd w:val="clear" w:color="auto" w:fill="FFFFFF"/>
        </w:rPr>
      </w:pPr>
      <w:r>
        <w:rPr>
          <w:rFonts w:hint="eastAsia" w:ascii="宋体" w:hAnsi="宋体" w:cs="宋体"/>
          <w:color w:val="000000"/>
          <w:sz w:val="24"/>
          <w:szCs w:val="24"/>
          <w:shd w:val="clear" w:color="auto" w:fill="FFFFFF"/>
        </w:rPr>
        <w:t>该项目享有优先调用设计单位后勤服务、硬件设备等一切设施和人员的优先权，并且在项目进入关键阶段时对后勤保障服务实行全天候跟踪服务。</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Segoe UI Symbol">
    <w:panose1 w:val="020B0502040204020203"/>
    <w:charset w:val="00"/>
    <w:family w:val="swiss"/>
    <w:pitch w:val="default"/>
    <w:sig w:usb0="8000006F" w:usb1="1200FBEF" w:usb2="0064C000" w:usb3="00000002" w:csb0="00000001" w:csb1="4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9E379A"/>
    <w:multiLevelType w:val="singleLevel"/>
    <w:tmpl w:val="1C9E379A"/>
    <w:lvl w:ilvl="0" w:tentative="0">
      <w:start w:val="2"/>
      <w:numFmt w:val="decimal"/>
      <w:suff w:val="nothing"/>
      <w:lvlText w:val="%1）"/>
      <w:lvlJc w:val="left"/>
    </w:lvl>
  </w:abstractNum>
  <w:abstractNum w:abstractNumId="1">
    <w:nsid w:val="33173872"/>
    <w:multiLevelType w:val="singleLevel"/>
    <w:tmpl w:val="33173872"/>
    <w:lvl w:ilvl="0" w:tentative="0">
      <w:start w:val="4"/>
      <w:numFmt w:val="chineseCounting"/>
      <w:suff w:val="nothing"/>
      <w:lvlText w:val="%1、"/>
      <w:lvlJc w:val="left"/>
      <w:rPr>
        <w:rFonts w:hint="eastAsia"/>
      </w:rPr>
    </w:lvl>
  </w:abstractNum>
  <w:abstractNum w:abstractNumId="2">
    <w:nsid w:val="50C672D3"/>
    <w:multiLevelType w:val="multilevel"/>
    <w:tmpl w:val="50C672D3"/>
    <w:lvl w:ilvl="0" w:tentative="0">
      <w:start w:val="1"/>
      <w:numFmt w:val="decimal"/>
      <w:lvlText w:val="%1"/>
      <w:lvlJc w:val="left"/>
      <w:pPr>
        <w:ind w:left="432" w:hanging="432"/>
      </w:pPr>
      <w:rPr>
        <w:rFonts w:hint="eastAsia"/>
      </w:rPr>
    </w:lvl>
    <w:lvl w:ilvl="1" w:tentative="0">
      <w:start w:val="1"/>
      <w:numFmt w:val="decimal"/>
      <w:lvlText w:val="%1.%2"/>
      <w:lvlJc w:val="left"/>
      <w:pPr>
        <w:ind w:left="576" w:hanging="576"/>
      </w:pPr>
      <w:rPr>
        <w:rFonts w:hint="eastAsia"/>
      </w:rPr>
    </w:lvl>
    <w:lvl w:ilvl="2" w:tentative="0">
      <w:start w:val="1"/>
      <w:numFmt w:val="chineseCountingThousand"/>
      <w:pStyle w:val="2"/>
      <w:lvlText w:val="(%3)"/>
      <w:lvlJc w:val="left"/>
      <w:pPr>
        <w:ind w:left="1429" w:hanging="720"/>
      </w:pPr>
      <w:rPr>
        <w:rFonts w:hint="eastAsia"/>
      </w:rPr>
    </w:lvl>
    <w:lvl w:ilvl="3" w:tentative="0">
      <w:start w:val="1"/>
      <w:numFmt w:val="decimal"/>
      <w:lvlText w:val="%4."/>
      <w:lvlJc w:val="left"/>
      <w:pPr>
        <w:ind w:left="864" w:hanging="864"/>
      </w:pPr>
      <w:rPr>
        <w:rFonts w:hint="eastAsia"/>
      </w:rPr>
    </w:lvl>
    <w:lvl w:ilvl="4" w:tentative="0">
      <w:start w:val="1"/>
      <w:numFmt w:val="decimal"/>
      <w:lvlText w:val="%1.%2.%3.%4.%5"/>
      <w:lvlJc w:val="left"/>
      <w:pPr>
        <w:ind w:left="1008" w:hanging="1008"/>
      </w:pPr>
      <w:rPr>
        <w:rFonts w:hint="eastAsia"/>
      </w:rPr>
    </w:lvl>
    <w:lvl w:ilvl="5" w:tentative="0">
      <w:start w:val="1"/>
      <w:numFmt w:val="decimal"/>
      <w:lvlText w:val="%1.%2.%3.%4.%5.%6"/>
      <w:lvlJc w:val="left"/>
      <w:pPr>
        <w:ind w:left="1152" w:hanging="1152"/>
      </w:pPr>
      <w:rPr>
        <w:rFonts w:hint="eastAsia"/>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attachedTemplate r:id="rId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FC33115"/>
    <w:rsid w:val="005C6C1E"/>
    <w:rsid w:val="00A343F7"/>
    <w:rsid w:val="00B723CA"/>
    <w:rsid w:val="00E22FE8"/>
    <w:rsid w:val="016F25A0"/>
    <w:rsid w:val="02062EFC"/>
    <w:rsid w:val="0442388F"/>
    <w:rsid w:val="05665941"/>
    <w:rsid w:val="06457FFA"/>
    <w:rsid w:val="08D65E9C"/>
    <w:rsid w:val="0B78048B"/>
    <w:rsid w:val="0EDE354F"/>
    <w:rsid w:val="0FA21572"/>
    <w:rsid w:val="11950C27"/>
    <w:rsid w:val="11DB275B"/>
    <w:rsid w:val="12A309A3"/>
    <w:rsid w:val="168069E0"/>
    <w:rsid w:val="16BA1134"/>
    <w:rsid w:val="183B65BD"/>
    <w:rsid w:val="19F41B6B"/>
    <w:rsid w:val="1D405AA4"/>
    <w:rsid w:val="1E373175"/>
    <w:rsid w:val="1F58529A"/>
    <w:rsid w:val="1FC33115"/>
    <w:rsid w:val="25B65280"/>
    <w:rsid w:val="283B226B"/>
    <w:rsid w:val="29F96456"/>
    <w:rsid w:val="2B973E9C"/>
    <w:rsid w:val="2BFE4652"/>
    <w:rsid w:val="2C963992"/>
    <w:rsid w:val="2DD25CE6"/>
    <w:rsid w:val="2F5B3ED5"/>
    <w:rsid w:val="314E33FB"/>
    <w:rsid w:val="3636153B"/>
    <w:rsid w:val="36C25386"/>
    <w:rsid w:val="36F02751"/>
    <w:rsid w:val="374C28D6"/>
    <w:rsid w:val="38185726"/>
    <w:rsid w:val="382F702E"/>
    <w:rsid w:val="38D15A15"/>
    <w:rsid w:val="390A4627"/>
    <w:rsid w:val="3C2E4D99"/>
    <w:rsid w:val="3DC92559"/>
    <w:rsid w:val="3ECD11F0"/>
    <w:rsid w:val="3F501297"/>
    <w:rsid w:val="409257D0"/>
    <w:rsid w:val="44F33DE3"/>
    <w:rsid w:val="458B34F9"/>
    <w:rsid w:val="4BE547B7"/>
    <w:rsid w:val="4D654CCC"/>
    <w:rsid w:val="4F03750C"/>
    <w:rsid w:val="4FF02137"/>
    <w:rsid w:val="514511C2"/>
    <w:rsid w:val="5161745A"/>
    <w:rsid w:val="5313076A"/>
    <w:rsid w:val="53FC7FAC"/>
    <w:rsid w:val="55A87D13"/>
    <w:rsid w:val="582C59D3"/>
    <w:rsid w:val="583A3ED5"/>
    <w:rsid w:val="5930641F"/>
    <w:rsid w:val="5A1D4204"/>
    <w:rsid w:val="5A2D740B"/>
    <w:rsid w:val="5B66755F"/>
    <w:rsid w:val="5F6C598C"/>
    <w:rsid w:val="61FE4703"/>
    <w:rsid w:val="65023FB1"/>
    <w:rsid w:val="656F7C4F"/>
    <w:rsid w:val="66A443D4"/>
    <w:rsid w:val="670745DE"/>
    <w:rsid w:val="675A45CD"/>
    <w:rsid w:val="6D535020"/>
    <w:rsid w:val="6E5928AA"/>
    <w:rsid w:val="70D94A1B"/>
    <w:rsid w:val="73836280"/>
    <w:rsid w:val="7FA814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jc w:val="both"/>
    </w:pPr>
    <w:rPr>
      <w:rFonts w:ascii="Times New Roman" w:hAnsi="Times New Roman" w:eastAsia="宋体" w:cs="Times New Roman"/>
      <w:kern w:val="2"/>
      <w:sz w:val="21"/>
      <w:lang w:val="en-US" w:eastAsia="zh-CN" w:bidi="ar-SA"/>
    </w:rPr>
  </w:style>
  <w:style w:type="paragraph" w:styleId="2">
    <w:name w:val="heading 3"/>
    <w:basedOn w:val="1"/>
    <w:next w:val="1"/>
    <w:qFormat/>
    <w:uiPriority w:val="0"/>
    <w:pPr>
      <w:keepNext/>
      <w:keepLines/>
      <w:numPr>
        <w:ilvl w:val="2"/>
        <w:numId w:val="1"/>
      </w:numPr>
      <w:spacing w:before="260" w:after="260" w:line="416" w:lineRule="auto"/>
      <w:outlineLvl w:val="2"/>
    </w:pPr>
    <w:rPr>
      <w:b/>
      <w:bCs/>
      <w:szCs w:val="32"/>
    </w:rPr>
  </w:style>
  <w:style w:type="character" w:default="1" w:styleId="4">
    <w:name w:val="Default Paragraph Font"/>
    <w:semiHidden/>
    <w:unhideWhenUsed/>
    <w:uiPriority w:val="1"/>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3">
    <w:name w:val="Normal (Web)"/>
    <w:basedOn w:val="1"/>
    <w:qFormat/>
    <w:uiPriority w:val="99"/>
    <w:pPr>
      <w:spacing w:before="0" w:beforeAutospacing="1" w:afterAutospacing="1"/>
      <w:jc w:val="left"/>
    </w:pPr>
    <w:rPr>
      <w:kern w:val="0"/>
      <w:sz w:val="24"/>
    </w:rPr>
  </w:style>
  <w:style w:type="character" w:styleId="5">
    <w:name w:val="Strong"/>
    <w:basedOn w:val="4"/>
    <w:qFormat/>
    <w:uiPriority w:val="22"/>
    <w:rPr>
      <w:b/>
      <w:bCs/>
    </w:rPr>
  </w:style>
  <w:style w:type="character" w:styleId="6">
    <w:name w:val="FollowedHyperlink"/>
    <w:basedOn w:val="4"/>
    <w:qFormat/>
    <w:uiPriority w:val="0"/>
    <w:rPr>
      <w:color w:val="000000"/>
      <w:u w:val="none"/>
    </w:rPr>
  </w:style>
  <w:style w:type="character" w:styleId="7">
    <w:name w:val="Hyperlink"/>
    <w:basedOn w:val="4"/>
    <w:qFormat/>
    <w:uiPriority w:val="0"/>
    <w:rPr>
      <w:color w:val="000000"/>
      <w:u w:val="none"/>
    </w:rPr>
  </w:style>
  <w:style w:type="paragraph" w:styleId="9">
    <w:name w:val="List Paragraph"/>
    <w:basedOn w:val="1"/>
    <w:unhideWhenUsed/>
    <w:qFormat/>
    <w:uiPriority w:val="99"/>
    <w:pPr>
      <w:ind w:firstLine="420" w:firstLineChars="200"/>
    </w:pPr>
  </w:style>
  <w:style w:type="paragraph" w:customStyle="1" w:styleId="10">
    <w:name w:val="subtitle1"/>
    <w:basedOn w:val="1"/>
    <w:uiPriority w:val="0"/>
    <w:pPr>
      <w:widowControl/>
      <w:spacing w:before="100" w:beforeAutospacing="1" w:after="100" w:afterAutospacing="1" w:line="360" w:lineRule="atLeast"/>
      <w:jc w:val="center"/>
    </w:pPr>
    <w:rPr>
      <w:rFonts w:ascii="宋体" w:hAnsi="宋体" w:cs="宋体"/>
      <w:color w:val="333333"/>
      <w:kern w:val="0"/>
      <w:sz w:val="30"/>
      <w:szCs w:val="30"/>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AppData\Roaming\Kingsoft\wps\addons\pool\win-i386\knewfileruby_1.0.0.12\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Template>
  <Company>微软中国</Company>
  <Pages>31</Pages>
  <Words>1555</Words>
  <Characters>8865</Characters>
  <Lines>73</Lines>
  <Paragraphs>20</Paragraphs>
  <TotalTime>1</TotalTime>
  <ScaleCrop>false</ScaleCrop>
  <LinksUpToDate>false</LinksUpToDate>
  <CharactersWithSpaces>10400</CharactersWithSpaces>
  <Application>WPS Office_10.1.0.7566_F1E327BC-269C-435d-A152-05C5408002CA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2018-09-05T06:40:00Z</dcterms:created>
  <dc:creator>凭海临风1392348108</dc:creator>
  <cp:lastModifiedBy>凭海临风1392348108</cp:lastModifiedBy>
  <dcterms:modified xsi:type="dcterms:W3CDTF">2018-11-01T03:09:28Z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2052-10.1.0.7566</vt:lpwstr>
  </property>
</Properties>
</file>