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JZFCG-</w:t>
      </w:r>
      <w:r>
        <w:rPr>
          <w:rFonts w:hint="eastAsia" w:asciiTheme="majorEastAsia" w:hAnsiTheme="majorEastAsia" w:eastAsiaTheme="majorEastAsia" w:cstheme="majorEastAsia"/>
          <w:b/>
          <w:bCs/>
          <w:color w:val="000000"/>
          <w:sz w:val="32"/>
          <w:szCs w:val="32"/>
          <w:lang w:val="en-US" w:eastAsia="zh-CN"/>
        </w:rPr>
        <w:t>C</w:t>
      </w:r>
      <w:r>
        <w:rPr>
          <w:rFonts w:hint="eastAsia" w:asciiTheme="majorEastAsia" w:hAnsiTheme="majorEastAsia" w:eastAsiaTheme="majorEastAsia" w:cstheme="majorEastAsia"/>
          <w:b/>
          <w:bCs/>
          <w:color w:val="000000"/>
          <w:sz w:val="32"/>
          <w:szCs w:val="32"/>
        </w:rPr>
        <w:t>2018</w:t>
      </w:r>
      <w:r>
        <w:rPr>
          <w:rFonts w:hint="eastAsia" w:asciiTheme="majorEastAsia" w:hAnsiTheme="majorEastAsia" w:eastAsiaTheme="majorEastAsia" w:cstheme="majorEastAsia"/>
          <w:b/>
          <w:bCs/>
          <w:color w:val="000000"/>
          <w:sz w:val="32"/>
          <w:szCs w:val="32"/>
          <w:lang w:val="en-US" w:eastAsia="zh-CN"/>
        </w:rPr>
        <w:t>003</w:t>
      </w:r>
      <w:r>
        <w:rPr>
          <w:rFonts w:hint="eastAsia" w:asciiTheme="majorEastAsia" w:hAnsiTheme="majorEastAsia" w:eastAsiaTheme="majorEastAsia" w:cstheme="majorEastAsia"/>
          <w:b/>
          <w:bCs/>
          <w:color w:val="000000"/>
          <w:sz w:val="32"/>
          <w:szCs w:val="32"/>
        </w:rPr>
        <w:t>号</w:t>
      </w:r>
      <w:r>
        <w:rPr>
          <w:rFonts w:hint="eastAsia" w:asciiTheme="majorEastAsia" w:hAnsiTheme="majorEastAsia" w:eastAsiaTheme="majorEastAsia" w:cstheme="majorEastAsia"/>
          <w:b/>
          <w:bCs/>
          <w:color w:val="000000"/>
          <w:sz w:val="32"/>
          <w:szCs w:val="32"/>
          <w:lang w:eastAsia="zh-CN"/>
        </w:rPr>
        <w:t>许昌市魏都投资有限责任公司“2018年企业债券主承销商等选聘项目”</w:t>
      </w:r>
      <w:r>
        <w:rPr>
          <w:rFonts w:hint="eastAsia" w:asciiTheme="majorEastAsia" w:hAnsiTheme="majorEastAsia" w:eastAsiaTheme="majorEastAsia" w:cstheme="majorEastAsia"/>
          <w:b/>
          <w:bCs/>
          <w:color w:val="000000"/>
          <w:sz w:val="32"/>
          <w:szCs w:val="32"/>
        </w:rPr>
        <w:t>采购需求、评标标准等说明</w:t>
      </w:r>
    </w:p>
    <w:p>
      <w:pPr>
        <w:pStyle w:val="4"/>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（一）项目名称：</w:t>
      </w:r>
      <w:r>
        <w:rPr>
          <w:rFonts w:hint="eastAsia" w:ascii="仿宋" w:hAnsi="仿宋" w:eastAsia="仿宋" w:cs="仿宋_GB2312"/>
          <w:color w:val="000000"/>
          <w:sz w:val="28"/>
          <w:szCs w:val="28"/>
          <w:shd w:val="clear" w:color="auto" w:fill="FFFFFF"/>
          <w:lang w:eastAsia="zh-CN"/>
        </w:rPr>
        <w:t>许昌市魏都投资有限责任公司“2018年企业债券主承销商等选聘项目”</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二</w:t>
      </w:r>
      <w:r>
        <w:rPr>
          <w:rFonts w:hint="eastAsia" w:ascii="仿宋" w:hAnsi="仿宋" w:eastAsia="仿宋" w:cs="仿宋_GB2312"/>
          <w:color w:val="000000"/>
          <w:sz w:val="28"/>
          <w:szCs w:val="28"/>
          <w:shd w:val="clear" w:color="auto" w:fill="FFFFFF"/>
        </w:rPr>
        <w:t>）采购方式</w:t>
      </w:r>
      <w:r>
        <w:rPr>
          <w:rFonts w:hint="eastAsia" w:ascii="仿宋" w:hAnsi="仿宋" w:eastAsia="仿宋" w:cs="仿宋_GB2312"/>
          <w:color w:val="000000"/>
          <w:sz w:val="28"/>
          <w:szCs w:val="28"/>
          <w:shd w:val="clear" w:color="auto" w:fill="FFFFFF"/>
          <w:lang w:eastAsia="zh-CN"/>
        </w:rPr>
        <w:t>：竞争性磋商</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三</w:t>
      </w:r>
      <w:r>
        <w:rPr>
          <w:rFonts w:hint="eastAsia" w:ascii="仿宋" w:hAnsi="仿宋" w:eastAsia="仿宋" w:cs="仿宋_GB2312"/>
          <w:color w:val="000000"/>
          <w:sz w:val="28"/>
          <w:szCs w:val="28"/>
          <w:shd w:val="clear" w:color="auto" w:fill="FFFFFF"/>
        </w:rPr>
        <w:t>）项目主要内容、数量及要求：</w:t>
      </w:r>
    </w:p>
    <w:p>
      <w:pPr>
        <w:pStyle w:val="4"/>
        <w:widowControl/>
        <w:shd w:val="clear" w:color="auto" w:fill="FFFFFF"/>
        <w:spacing w:line="360" w:lineRule="auto"/>
        <w:ind w:firstLine="560" w:firstLineChars="200"/>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中标的主承销商负责本公司企业债券发行方案编制、报批、后续的发行承销、备案工作及债券本息的代理兑付等。本次企业债券发行的主要技术指标要求如下：</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债券性质：公开发行企业债券</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发行规模：不超过13亿元</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债券期限：不超过7年</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承销方式：由中标的主承销商的承销团以余额包销的方式承销本期债券。</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发行方式：向合格投资者公开发行；</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承销佣金支付方式：发行成功后支付全部承销佣金。</w:t>
      </w:r>
    </w:p>
    <w:p>
      <w:pPr>
        <w:pStyle w:val="4"/>
        <w:widowControl/>
        <w:shd w:val="clear" w:color="auto" w:fill="FFFFFF"/>
        <w:spacing w:line="360" w:lineRule="auto"/>
        <w:ind w:firstLine="560" w:firstLineChars="200"/>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可研咨询机构负责可行性研究报告的咨询编制服务，并协调发改委取得项目批复意见，保证通过相关行政部门的审批，且符合国家、地方及招标人相关规范和要求。</w:t>
      </w:r>
    </w:p>
    <w:p>
      <w:pPr>
        <w:pStyle w:val="4"/>
        <w:widowControl/>
        <w:shd w:val="clear" w:color="auto" w:fill="FFFFFF"/>
        <w:spacing w:line="360" w:lineRule="auto"/>
        <w:ind w:firstLine="560" w:firstLineChars="200"/>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会计师事务所为许昌市魏都投资有限责任公司发行企业债券提供审计等相关服务。对许昌市魏都投资有限责任公司及其子公司进行审计，并按照发行企业债券的要求提供审计报告以及其他必要文件。</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lang w:eastAsia="zh-CN"/>
        </w:rPr>
        <w:t>（四）标包划分：本项目共设3个包。A包：选聘2018年企业债券主承销商 ；B包：选聘2018年企业债券可研性咨询机构；C包：选聘2018年企业债券会计师事务所。</w:t>
      </w:r>
    </w:p>
    <w:p>
      <w:pPr>
        <w:pStyle w:val="4"/>
        <w:widowControl/>
        <w:numPr>
          <w:ilvl w:val="0"/>
          <w:numId w:val="0"/>
        </w:numPr>
        <w:shd w:val="clear" w:color="auto" w:fill="FFFFFF"/>
        <w:spacing w:line="360" w:lineRule="auto"/>
        <w:ind w:firstLine="560" w:firstLineChars="200"/>
        <w:contextualSpacing/>
        <w:jc w:val="left"/>
        <w:rPr>
          <w:rFonts w:hint="eastAsia" w:ascii="仿宋" w:hAnsi="仿宋" w:eastAsia="仿宋" w:cs="仿宋_GB2312"/>
          <w:color w:val="000000"/>
          <w:sz w:val="28"/>
          <w:szCs w:val="28"/>
          <w:u w:val="none"/>
          <w:shd w:val="clear" w:color="auto" w:fill="FFFFFF"/>
          <w:lang w:val="en-US" w:eastAsia="zh-CN"/>
        </w:rPr>
      </w:pPr>
      <w:r>
        <w:rPr>
          <w:rFonts w:hint="eastAsia" w:ascii="仿宋" w:hAnsi="仿宋" w:eastAsia="仿宋" w:cs="仿宋_GB2312"/>
          <w:color w:val="000000"/>
          <w:sz w:val="28"/>
          <w:szCs w:val="28"/>
          <w:shd w:val="clear" w:color="auto" w:fill="FFFFFF"/>
          <w:lang w:eastAsia="zh-CN"/>
        </w:rPr>
        <w:t>（五）</w:t>
      </w:r>
      <w:r>
        <w:rPr>
          <w:rFonts w:hint="eastAsia" w:ascii="仿宋" w:hAnsi="仿宋" w:eastAsia="仿宋" w:cs="仿宋_GB2312"/>
          <w:color w:val="000000"/>
          <w:sz w:val="28"/>
          <w:szCs w:val="28"/>
          <w:shd w:val="clear" w:color="auto" w:fill="FFFFFF"/>
        </w:rPr>
        <w:t>预算金额：</w:t>
      </w:r>
      <w:r>
        <w:rPr>
          <w:rFonts w:hint="eastAsia" w:ascii="仿宋" w:hAnsi="仿宋" w:eastAsia="仿宋" w:cs="仿宋_GB2312"/>
          <w:color w:val="000000"/>
          <w:sz w:val="28"/>
          <w:szCs w:val="28"/>
          <w:u w:val="none"/>
          <w:shd w:val="clear" w:color="auto" w:fill="FFFFFF"/>
          <w:lang w:val="en-US" w:eastAsia="zh-CN"/>
        </w:rPr>
        <w:t>A包：800万元，最高限价：800万元；</w:t>
      </w:r>
    </w:p>
    <w:p>
      <w:pPr>
        <w:pStyle w:val="4"/>
        <w:widowControl/>
        <w:numPr>
          <w:ilvl w:val="0"/>
          <w:numId w:val="0"/>
        </w:numPr>
        <w:shd w:val="clear" w:color="auto" w:fill="FFFFFF"/>
        <w:spacing w:line="360" w:lineRule="auto"/>
        <w:ind w:firstLine="2800" w:firstLineChars="1000"/>
        <w:contextualSpacing/>
        <w:jc w:val="left"/>
        <w:rPr>
          <w:rFonts w:hint="eastAsia" w:ascii="仿宋" w:hAnsi="仿宋" w:eastAsia="仿宋" w:cs="仿宋_GB2312"/>
          <w:color w:val="000000"/>
          <w:sz w:val="28"/>
          <w:szCs w:val="28"/>
          <w:u w:val="none"/>
          <w:shd w:val="clear" w:color="auto" w:fill="FFFFFF"/>
          <w:lang w:val="en-US" w:eastAsia="zh-CN"/>
        </w:rPr>
      </w:pPr>
      <w:r>
        <w:rPr>
          <w:rFonts w:hint="eastAsia" w:ascii="仿宋" w:hAnsi="仿宋" w:eastAsia="仿宋" w:cs="仿宋_GB2312"/>
          <w:color w:val="000000"/>
          <w:sz w:val="28"/>
          <w:szCs w:val="28"/>
          <w:u w:val="none"/>
          <w:shd w:val="clear" w:color="auto" w:fill="FFFFFF"/>
          <w:lang w:val="en-US" w:eastAsia="zh-CN"/>
        </w:rPr>
        <w:t>B包：40万元，最高限价：40万元；</w:t>
      </w:r>
    </w:p>
    <w:p>
      <w:pPr>
        <w:pStyle w:val="4"/>
        <w:widowControl/>
        <w:numPr>
          <w:ilvl w:val="0"/>
          <w:numId w:val="0"/>
        </w:numPr>
        <w:shd w:val="clear" w:color="auto" w:fill="FFFFFF"/>
        <w:spacing w:line="360" w:lineRule="auto"/>
        <w:ind w:firstLine="2800" w:firstLineChars="100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u w:val="none"/>
          <w:shd w:val="clear" w:color="auto" w:fill="FFFFFF"/>
          <w:lang w:val="en-US" w:eastAsia="zh-CN"/>
        </w:rPr>
        <w:t>C包：90万元，最高限价：90万元。</w:t>
      </w:r>
    </w:p>
    <w:p>
      <w:pPr>
        <w:pStyle w:val="4"/>
        <w:widowControl/>
        <w:shd w:val="clear" w:color="auto" w:fill="FFFFFF"/>
        <w:spacing w:line="360" w:lineRule="auto"/>
        <w:ind w:firstLine="420"/>
        <w:contextualSpacing/>
        <w:jc w:val="left"/>
        <w:rPr>
          <w:rFonts w:ascii="仿宋" w:hAnsi="仿宋" w:eastAsia="仿宋" w:cs="仿宋_GB2312"/>
          <w:color w:val="auto"/>
          <w:sz w:val="28"/>
          <w:szCs w:val="28"/>
        </w:rPr>
      </w:pP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eastAsia="zh-CN"/>
        </w:rPr>
        <w:t>六</w:t>
      </w:r>
      <w:r>
        <w:rPr>
          <w:rFonts w:hint="eastAsia" w:ascii="仿宋" w:hAnsi="仿宋" w:eastAsia="仿宋" w:cs="仿宋_GB2312"/>
          <w:color w:val="auto"/>
          <w:sz w:val="28"/>
          <w:szCs w:val="28"/>
        </w:rPr>
        <w:t>）服务时间：签订合同后360日历天；</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shd w:val="clear" w:color="auto" w:fill="FFFFFF"/>
          <w:lang w:eastAsia="zh-CN"/>
        </w:rPr>
        <w:t>七</w:t>
      </w:r>
      <w:r>
        <w:rPr>
          <w:rFonts w:hint="eastAsia" w:ascii="仿宋" w:hAnsi="仿宋" w:eastAsia="仿宋" w:cs="仿宋_GB2312"/>
          <w:color w:val="000000"/>
          <w:sz w:val="28"/>
          <w:szCs w:val="28"/>
          <w:shd w:val="clear" w:color="auto" w:fill="FFFFFF"/>
        </w:rPr>
        <w:t>）服务地点：</w:t>
      </w:r>
      <w:r>
        <w:rPr>
          <w:rFonts w:hint="eastAsia" w:ascii="仿宋" w:hAnsi="仿宋" w:eastAsia="仿宋" w:cs="仿宋_GB2312"/>
          <w:color w:val="000000"/>
          <w:sz w:val="28"/>
          <w:szCs w:val="28"/>
          <w:shd w:val="clear" w:color="auto" w:fill="FFFFFF"/>
          <w:lang w:eastAsia="zh-CN"/>
        </w:rPr>
        <w:t>许昌市魏都投资有限责任公司（许昌市天宝路中段魏都区市民之家九楼）；</w:t>
      </w:r>
    </w:p>
    <w:p>
      <w:pPr>
        <w:pStyle w:val="4"/>
        <w:widowControl/>
        <w:shd w:val="clear" w:color="auto" w:fill="FFFFFF"/>
        <w:spacing w:line="360" w:lineRule="auto"/>
        <w:ind w:firstLine="420"/>
        <w:contextualSpacing/>
        <w:jc w:val="left"/>
        <w:rPr>
          <w:rFonts w:hint="eastAsia" w:ascii="仿宋" w:hAnsi="仿宋" w:eastAsia="仿宋" w:cs="仿宋_GB2312"/>
          <w:color w:val="000000"/>
          <w:sz w:val="28"/>
          <w:szCs w:val="28"/>
          <w:shd w:val="clear" w:color="auto" w:fill="FFFFFF"/>
          <w:lang w:eastAsia="zh-CN"/>
        </w:rPr>
      </w:pPr>
      <w:r>
        <w:rPr>
          <w:rFonts w:hint="eastAsia" w:ascii="仿宋" w:hAnsi="仿宋" w:eastAsia="仿宋" w:cs="仿宋_GB2312"/>
          <w:color w:val="000000"/>
          <w:sz w:val="28"/>
          <w:szCs w:val="28"/>
          <w:shd w:val="clear" w:color="auto" w:fill="FFFFFF"/>
          <w:lang w:eastAsia="zh-CN"/>
        </w:rPr>
        <w:t>（八）分包：不允许。</w:t>
      </w:r>
    </w:p>
    <w:p>
      <w:pPr>
        <w:pStyle w:val="4"/>
        <w:widowControl/>
        <w:shd w:val="clear" w:color="auto" w:fill="FFFFFF"/>
        <w:spacing w:line="360" w:lineRule="auto"/>
        <w:contextualSpacing/>
        <w:jc w:val="left"/>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二、需要落实的政府采购政策</w:t>
      </w:r>
    </w:p>
    <w:p>
      <w:pPr>
        <w:pStyle w:val="4"/>
        <w:widowControl/>
        <w:shd w:val="clear" w:color="auto" w:fill="FFFFFF"/>
        <w:spacing w:line="360" w:lineRule="auto"/>
        <w:ind w:firstLine="548" w:firstLineChars="196"/>
        <w:contextualSpacing/>
        <w:jc w:val="left"/>
        <w:rPr>
          <w:rFonts w:ascii="黑体" w:hAnsi="黑体" w:eastAsia="黑体" w:cs="黑体"/>
          <w:b/>
          <w:bCs/>
          <w:color w:val="000000"/>
          <w:sz w:val="28"/>
          <w:szCs w:val="28"/>
          <w:shd w:val="clear" w:color="auto" w:fill="FFFFFF"/>
        </w:rPr>
      </w:pPr>
      <w:r>
        <w:rPr>
          <w:rFonts w:hint="eastAsia" w:ascii="仿宋" w:hAnsi="仿宋" w:eastAsia="仿宋" w:cs="仿宋_GB2312"/>
          <w:color w:val="000000"/>
          <w:sz w:val="28"/>
          <w:szCs w:val="28"/>
          <w:shd w:val="clear" w:color="auto" w:fill="FFFFFF"/>
        </w:rPr>
        <w:t>本项目落实</w:t>
      </w:r>
      <w:r>
        <w:rPr>
          <w:rFonts w:hint="eastAsia" w:ascii="仿宋" w:hAnsi="仿宋" w:eastAsia="仿宋" w:cs="仿宋_GB2312"/>
          <w:color w:val="000000"/>
          <w:sz w:val="28"/>
          <w:szCs w:val="28"/>
          <w:u w:val="single"/>
          <w:shd w:val="clear" w:color="auto" w:fill="FFFFFF"/>
        </w:rPr>
        <w:t>节能环保</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中小微型企业</w:t>
      </w:r>
      <w:r>
        <w:rPr>
          <w:rFonts w:hint="eastAsia" w:ascii="仿宋" w:hAnsi="仿宋" w:eastAsia="仿宋" w:cs="仿宋_GB2312"/>
          <w:color w:val="000000"/>
          <w:sz w:val="28"/>
          <w:szCs w:val="28"/>
          <w:shd w:val="clear" w:color="auto" w:fill="FFFFFF"/>
        </w:rPr>
        <w:t>、</w:t>
      </w:r>
      <w:r>
        <w:rPr>
          <w:rFonts w:hint="eastAsia" w:ascii="仿宋" w:hAnsi="仿宋" w:eastAsia="仿宋" w:cs="仿宋_GB2312"/>
          <w:color w:val="000000"/>
          <w:sz w:val="28"/>
          <w:szCs w:val="28"/>
          <w:u w:val="single"/>
          <w:shd w:val="clear" w:color="auto" w:fill="FFFFFF"/>
        </w:rPr>
        <w:t>残疾人福利性单位</w:t>
      </w:r>
      <w:r>
        <w:rPr>
          <w:rFonts w:hint="eastAsia" w:ascii="仿宋" w:hAnsi="仿宋" w:eastAsia="仿宋" w:cs="仿宋_GB2312"/>
          <w:color w:val="000000"/>
          <w:sz w:val="28"/>
          <w:szCs w:val="28"/>
          <w:shd w:val="clear" w:color="auto" w:fill="FFFFFF"/>
        </w:rPr>
        <w:t>扶持等相关政府采购政策。</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三、投标人资格要求</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1、符合《中华人民共和国政府采购法》第二十二条之规定；</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2、未被列入“信用中国”网站(www.creditchina.gov.cn)失信被执行人、重大税收违法案件当事人名单、政府采购严重违法失信名单的供应商；“中国政府采购网” (www.ccgp.gov.cn)政府采购严重违法失信行为记录名单的供应商；</w:t>
      </w:r>
    </w:p>
    <w:p>
      <w:pPr>
        <w:pStyle w:val="4"/>
        <w:widowControl/>
        <w:shd w:val="clear" w:color="auto" w:fill="FFFFFF"/>
        <w:spacing w:line="360" w:lineRule="auto"/>
        <w:contextualSpacing/>
        <w:jc w:val="left"/>
        <w:rPr>
          <w:rFonts w:hint="eastAsia"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3、本项目不接受联合体磋商。</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四、采购需求</w:t>
      </w:r>
    </w:p>
    <w:p>
      <w:pPr>
        <w:pStyle w:val="4"/>
        <w:widowControl/>
        <w:shd w:val="clear" w:color="auto" w:fill="FFFFFF"/>
        <w:spacing w:line="360" w:lineRule="auto"/>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en-US" w:eastAsia="zh-CN"/>
        </w:rPr>
        <w:t>1</w:t>
      </w:r>
      <w:r>
        <w:rPr>
          <w:rFonts w:hint="eastAsia" w:ascii="仿宋" w:hAnsi="仿宋" w:eastAsia="仿宋" w:cs="仿宋"/>
          <w:b/>
          <w:color w:val="000000"/>
          <w:kern w:val="0"/>
          <w:sz w:val="28"/>
          <w:szCs w:val="28"/>
          <w:lang w:val="zh-CN"/>
        </w:rPr>
        <w:t>、本项目需实现的功能或者目标：</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为筹措我公司项目建设资金，创新公司的债券融资方式，拓宽公司融资渠道，加快构建适应市场经济发展的多元化融资体系，缓解我区经济发展与建设资金不足的矛盾，推动重大基础设施和重点项目建设，为经济平稳较快发展提供坚实的资金保障，我公司计划通过发行企业债券的方式，在资本市场上进行融资。</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除此之外，通过发行本次企业债券，能够力促公司加强和改进管理、实现资本有效运作和资产做大、迅速增强企业的实力和建设能力、有利于企业的快速和规范发展。因此，本次企业债券发行不仅仅是融资更是企业发展的契机、是公司做大做强的重大机遇。</w:t>
      </w:r>
    </w:p>
    <w:p>
      <w:pPr>
        <w:pStyle w:val="4"/>
        <w:widowControl/>
        <w:shd w:val="clear" w:color="auto" w:fill="FFFFFF"/>
        <w:spacing w:line="360" w:lineRule="auto"/>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en-US" w:eastAsia="zh-CN"/>
        </w:rPr>
        <w:t>2</w:t>
      </w:r>
      <w:r>
        <w:rPr>
          <w:rFonts w:hint="eastAsia" w:ascii="仿宋" w:hAnsi="仿宋" w:eastAsia="仿宋" w:cs="仿宋"/>
          <w:b/>
          <w:color w:val="000000"/>
          <w:kern w:val="0"/>
          <w:sz w:val="28"/>
          <w:szCs w:val="28"/>
          <w:lang w:val="zh-CN"/>
        </w:rPr>
        <w:t>、采购标的成果</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本次采购项目为公司企业债券发行的主承销商、可行性研究报告咨询机构、会计师事务所。</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中标的主承销商在与采购人签订合同后，负责企业债券发行方案编制、报批、后续的发行承销、备案工作及债券本息的代理兑付等。</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中标的可研咨询机构负责可行性研究报告的咨询编制服务，并协调发改委取得项目批复意见，保证通过相关行政部门的审批，且符合国家、地方及招标人相关规范和要求。</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中标的会计师事务所为许昌市魏都投资有限责任公司发行企业债券提供审计等相关服务。对许昌市魏都投资有限责任公司及其子公司进行审计，并按照发行企业债券的要求提供审计报告以及其他必要文件。</w:t>
      </w:r>
    </w:p>
    <w:p>
      <w:pPr>
        <w:pStyle w:val="4"/>
        <w:widowControl/>
        <w:shd w:val="clear" w:color="auto" w:fill="FFFFFF"/>
        <w:spacing w:line="360" w:lineRule="auto"/>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en-US" w:eastAsia="zh-CN"/>
        </w:rPr>
        <w:t>3</w:t>
      </w:r>
      <w:r>
        <w:rPr>
          <w:rFonts w:hint="eastAsia" w:ascii="仿宋" w:hAnsi="仿宋" w:eastAsia="仿宋" w:cs="仿宋"/>
          <w:b/>
          <w:color w:val="000000"/>
          <w:kern w:val="0"/>
          <w:sz w:val="28"/>
          <w:szCs w:val="28"/>
          <w:lang w:val="zh-CN"/>
        </w:rPr>
        <w:t>、验收标准</w:t>
      </w:r>
    </w:p>
    <w:p>
      <w:pPr>
        <w:pStyle w:val="4"/>
        <w:widowControl/>
        <w:shd w:val="clear" w:color="auto" w:fill="FFFFFF"/>
        <w:spacing w:line="360" w:lineRule="auto"/>
        <w:ind w:firstLine="560" w:firstLineChars="200"/>
        <w:contextualSpacing/>
        <w:jc w:val="left"/>
        <w:rPr>
          <w:rFonts w:hint="eastAsia" w:ascii="仿宋" w:hAnsi="仿宋" w:eastAsia="仿宋" w:cs="仿宋"/>
          <w:b w:val="0"/>
          <w:bCs/>
          <w:color w:val="000000"/>
          <w:kern w:val="0"/>
          <w:sz w:val="28"/>
          <w:szCs w:val="28"/>
          <w:lang w:val="zh-CN"/>
        </w:rPr>
      </w:pPr>
      <w:r>
        <w:rPr>
          <w:rFonts w:hint="eastAsia" w:ascii="仿宋" w:hAnsi="仿宋" w:eastAsia="仿宋" w:cs="仿宋"/>
          <w:b w:val="0"/>
          <w:bCs/>
          <w:color w:val="000000"/>
          <w:kern w:val="0"/>
          <w:sz w:val="28"/>
          <w:szCs w:val="28"/>
          <w:lang w:val="zh-CN"/>
        </w:rPr>
        <w:t>由采购人成立方案评审小组(包含有省级以上同类项目专家参加),按照采购合同的约定对成交人履约情况进行验收。验收时,按照采购合同的约定对本项目服务的履约情况进行确认。评审结束后,出具评审通过验收书,列明验收情况及项目总体评价,由验收双方共同签署。</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五、评标方法和评标标准</w:t>
      </w:r>
    </w:p>
    <w:p>
      <w:pPr>
        <w:rPr>
          <w:rFonts w:ascii="仿宋" w:hAnsi="仿宋" w:eastAsia="仿宋"/>
          <w:sz w:val="28"/>
          <w:szCs w:val="28"/>
        </w:rPr>
      </w:pPr>
      <w:r>
        <w:rPr>
          <w:rFonts w:hint="eastAsia" w:ascii="仿宋" w:hAnsi="仿宋" w:eastAsia="仿宋"/>
          <w:sz w:val="28"/>
          <w:szCs w:val="28"/>
        </w:rPr>
        <w:t>（一）评标方法：综合评分（百分制）法</w:t>
      </w:r>
    </w:p>
    <w:p>
      <w:pPr>
        <w:rPr>
          <w:rFonts w:ascii="仿宋" w:hAnsi="仿宋" w:eastAsia="仿宋"/>
          <w:sz w:val="28"/>
          <w:szCs w:val="28"/>
        </w:rPr>
      </w:pPr>
      <w:r>
        <w:rPr>
          <w:rFonts w:hint="eastAsia" w:ascii="仿宋" w:hAnsi="仿宋" w:eastAsia="仿宋"/>
          <w:sz w:val="28"/>
          <w:szCs w:val="28"/>
        </w:rPr>
        <w:t>（二）评标标准：</w:t>
      </w:r>
    </w:p>
    <w:p>
      <w:pPr>
        <w:tabs>
          <w:tab w:val="left" w:pos="1260"/>
        </w:tabs>
        <w:autoSpaceDE w:val="0"/>
        <w:autoSpaceDN w:val="0"/>
        <w:spacing w:line="360" w:lineRule="auto"/>
        <w:contextualSpacing/>
        <w:rPr>
          <w:rFonts w:cs="仿宋_GB2312" w:asciiTheme="minorEastAsia" w:hAnsiTheme="minorEastAsia"/>
          <w:b/>
          <w:color w:val="auto"/>
          <w:sz w:val="28"/>
          <w:szCs w:val="24"/>
          <w:lang w:val="zh-CN"/>
        </w:rPr>
      </w:pPr>
      <w:r>
        <w:rPr>
          <w:rFonts w:hint="eastAsia" w:cs="仿宋_GB2312" w:asciiTheme="minorEastAsia" w:hAnsiTheme="minorEastAsia"/>
          <w:b/>
          <w:color w:val="auto"/>
          <w:sz w:val="28"/>
          <w:szCs w:val="24"/>
          <w:lang w:val="zh-CN"/>
        </w:rPr>
        <w:t>A包</w:t>
      </w:r>
    </w:p>
    <w:tbl>
      <w:tblPr>
        <w:tblStyle w:val="6"/>
        <w:tblpPr w:leftFromText="180" w:rightFromText="180" w:vertAnchor="text" w:tblpXSpec="center" w:tblpY="1"/>
        <w:tblOverlap w:val="never"/>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7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57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16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6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商务部分评审</w:t>
            </w:r>
          </w:p>
          <w:p>
            <w:pPr>
              <w:jc w:val="center"/>
              <w:rPr>
                <w:rFonts w:ascii="Times New Roman" w:hAnsi="Times New Roman"/>
                <w:b/>
                <w:color w:val="auto"/>
                <w:sz w:val="24"/>
                <w:szCs w:val="24"/>
              </w:rPr>
            </w:pPr>
            <w:r>
              <w:rPr>
                <w:rFonts w:hint="eastAsia" w:ascii="Times New Roman" w:hAnsi="Times New Roman"/>
                <w:b/>
                <w:color w:val="auto"/>
                <w:sz w:val="24"/>
                <w:szCs w:val="24"/>
              </w:rPr>
              <w:t>30分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按中国证监会最新公布的2015年证券公司分类结果，来判断候选券商的综合实力（按“中国证监会公布2015年证券公司分类结果”口径）A类7分，B类5分，其他为1分；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2015年以来被中国证监会授予“全国证券期货投资者教育基地”的得7分，没有不得分。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b/>
                <w:color w:val="auto"/>
                <w:sz w:val="24"/>
                <w:szCs w:val="24"/>
              </w:rPr>
            </w:pPr>
            <w:r>
              <w:rPr>
                <w:rFonts w:hint="eastAsia" w:ascii="Times New Roman" w:hAnsi="Times New Roman"/>
                <w:color w:val="auto"/>
                <w:sz w:val="24"/>
                <w:szCs w:val="24"/>
              </w:rPr>
              <w:t>2015年1月1日至今投标人承担过单个项目合同承销金额不低于预算金额的得2分；满分16分。（类似业绩证明材料须提供批文或协议，</w:t>
            </w:r>
            <w:r>
              <w:rPr>
                <w:rFonts w:hint="eastAsia" w:ascii="Times New Roman" w:hAnsi="Times New Roman"/>
                <w:b/>
                <w:color w:val="auto"/>
                <w:sz w:val="24"/>
                <w:szCs w:val="24"/>
              </w:rPr>
              <w:t>业绩证明材料的原件的首页、金额页、盖章页扫描件须附在投标文件中。）</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6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满分50分</w:t>
            </w: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1、项目实施工作计划安排：整体及阶段计划明确，安排合理，满足招标文件服务期要求的得15分；有相关描述的得10分；没有的不得分。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color w:val="auto"/>
                <w:sz w:val="24"/>
                <w:szCs w:val="24"/>
              </w:rPr>
            </w:pPr>
          </w:p>
        </w:tc>
        <w:tc>
          <w:tcPr>
            <w:tcW w:w="577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ascii="Times New Roman" w:hAnsi="Times New Roman"/>
          <w:b/>
          <w:color w:val="auto"/>
          <w:sz w:val="28"/>
          <w:szCs w:val="24"/>
        </w:rPr>
      </w:pPr>
      <w:r>
        <w:rPr>
          <w:rFonts w:hint="eastAsia" w:ascii="Times New Roman" w:hAnsi="Times New Roman"/>
          <w:b/>
          <w:color w:val="auto"/>
          <w:sz w:val="28"/>
          <w:szCs w:val="24"/>
        </w:rPr>
        <w:t>B包</w:t>
      </w:r>
    </w:p>
    <w:tbl>
      <w:tblPr>
        <w:tblStyle w:val="6"/>
        <w:tblpPr w:leftFromText="180" w:rightFromText="180" w:vertAnchor="text" w:tblpXSpec="center" w:tblpY="1"/>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13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74"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6136"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230"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74" w:type="dxa"/>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774" w:type="dxa"/>
            <w:vMerge w:val="restart"/>
            <w:vAlign w:val="center"/>
          </w:tcPr>
          <w:p>
            <w:pPr>
              <w:jc w:val="center"/>
              <w:rPr>
                <w:rFonts w:ascii="Times New Roman" w:hAnsi="Times New Roman"/>
                <w:b/>
                <w:color w:val="auto"/>
                <w:kern w:val="0"/>
                <w:sz w:val="24"/>
                <w:szCs w:val="24"/>
              </w:rPr>
            </w:pPr>
            <w:r>
              <w:rPr>
                <w:rFonts w:hint="eastAsia" w:ascii="Times New Roman" w:hAnsi="Times New Roman"/>
                <w:b/>
                <w:color w:val="auto"/>
                <w:kern w:val="0"/>
                <w:sz w:val="24"/>
                <w:szCs w:val="24"/>
              </w:rPr>
              <w:t>商务部分评审</w:t>
            </w:r>
          </w:p>
          <w:p>
            <w:pPr>
              <w:jc w:val="center"/>
              <w:rPr>
                <w:rFonts w:ascii="Times New Roman" w:hAnsi="Times New Roman"/>
                <w:color w:val="auto"/>
                <w:sz w:val="24"/>
                <w:szCs w:val="24"/>
              </w:rPr>
            </w:pPr>
            <w:r>
              <w:rPr>
                <w:rFonts w:hint="eastAsia" w:ascii="Times New Roman" w:hAnsi="Times New Roman"/>
                <w:b/>
                <w:color w:val="auto"/>
                <w:kern w:val="0"/>
                <w:sz w:val="24"/>
                <w:szCs w:val="24"/>
              </w:rPr>
              <w:t>30分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通过ISO9001系列质量管理体系认证，提供认证证书复印件且在有效期内得3分，否则0分。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pStyle w:val="9"/>
              <w:spacing w:before="22"/>
              <w:rPr>
                <w:rFonts w:ascii="Times New Roman" w:hAnsi="Times New Roman" w:cs="Times New Roman"/>
                <w:color w:val="auto"/>
                <w:sz w:val="24"/>
                <w:szCs w:val="24"/>
              </w:rPr>
            </w:pPr>
            <w:r>
              <w:rPr>
                <w:rFonts w:hint="eastAsia" w:ascii="Times New Roman" w:hAnsi="Times New Roman" w:cs="Times New Roman"/>
                <w:color w:val="auto"/>
                <w:sz w:val="24"/>
                <w:szCs w:val="24"/>
                <w:lang w:val="en-US" w:bidi="ar-SA"/>
              </w:rPr>
              <w:t>投标人须提供2015年以来具有可行性研究报告编制业绩的，每有一项得2分；最多得10分。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3"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400" w:lineRule="exact"/>
              <w:rPr>
                <w:rFonts w:ascii="Times New Roman" w:hAnsi="Times New Roman"/>
                <w:color w:val="auto"/>
                <w:sz w:val="24"/>
                <w:szCs w:val="24"/>
              </w:rPr>
            </w:pPr>
            <w:r>
              <w:rPr>
                <w:rFonts w:hint="eastAsia" w:ascii="Times New Roman" w:hAnsi="Times New Roman"/>
                <w:color w:val="auto"/>
                <w:sz w:val="24"/>
                <w:szCs w:val="24"/>
              </w:rPr>
              <w:t>1、项目负责人：</w:t>
            </w:r>
          </w:p>
          <w:p>
            <w:pPr>
              <w:pStyle w:val="9"/>
              <w:spacing w:before="22"/>
              <w:rPr>
                <w:rFonts w:ascii="Times New Roman" w:hAnsi="Times New Roman" w:cs="Times New Roman"/>
                <w:color w:val="auto"/>
                <w:sz w:val="24"/>
                <w:szCs w:val="24"/>
                <w:lang w:val="en-US" w:bidi="ar-SA"/>
              </w:rPr>
            </w:pPr>
            <w:r>
              <w:rPr>
                <w:rFonts w:hint="eastAsia" w:ascii="Times New Roman" w:hAnsi="Times New Roman" w:cs="Times New Roman"/>
                <w:color w:val="auto"/>
                <w:sz w:val="24"/>
                <w:szCs w:val="24"/>
                <w:lang w:val="en-US" w:bidi="ar-SA"/>
              </w:rPr>
              <w:t>须有注册咨询师资格，同时具有高级及以上职称证的得3分；</w:t>
            </w:r>
          </w:p>
          <w:p>
            <w:pPr>
              <w:pStyle w:val="9"/>
              <w:spacing w:line="269" w:lineRule="exact"/>
              <w:rPr>
                <w:rFonts w:ascii="Times New Roman" w:hAnsi="Times New Roman" w:cs="Times New Roman"/>
                <w:color w:val="auto"/>
                <w:sz w:val="24"/>
                <w:szCs w:val="24"/>
                <w:lang w:val="en-US" w:bidi="ar-SA"/>
              </w:rPr>
            </w:pPr>
            <w:r>
              <w:rPr>
                <w:rFonts w:hint="eastAsia" w:ascii="Times New Roman" w:hAnsi="Times New Roman" w:cs="Times New Roman"/>
                <w:color w:val="auto"/>
                <w:sz w:val="24"/>
                <w:szCs w:val="24"/>
                <w:lang w:val="en-US" w:bidi="ar-SA"/>
              </w:rPr>
              <w:t>2、项目组成员</w:t>
            </w:r>
          </w:p>
          <w:p>
            <w:pPr>
              <w:spacing w:line="360" w:lineRule="exact"/>
              <w:rPr>
                <w:rFonts w:ascii="Times New Roman" w:hAnsi="Times New Roman"/>
                <w:color w:val="auto"/>
                <w:sz w:val="24"/>
                <w:szCs w:val="24"/>
              </w:rPr>
            </w:pPr>
            <w:r>
              <w:rPr>
                <w:rFonts w:hint="eastAsia" w:ascii="Times New Roman" w:hAnsi="Times New Roman"/>
                <w:color w:val="auto"/>
                <w:sz w:val="24"/>
                <w:szCs w:val="24"/>
              </w:rPr>
              <w:t>项目组成员（不含项目负责人）为本单位注册咨询工程师资格每有1个得2分，最高得6分，没有不得分。同时又具有中级及以上职称的，每人加2分，最多加6分。只具有中级及以上职称的，不得分；此项最多得12分。</w:t>
            </w:r>
          </w:p>
          <w:p>
            <w:pPr>
              <w:pStyle w:val="9"/>
              <w:spacing w:before="43"/>
              <w:rPr>
                <w:rFonts w:ascii="Times New Roman" w:hAnsi="Times New Roman" w:cs="Times New Roman"/>
                <w:color w:val="auto"/>
                <w:szCs w:val="21"/>
                <w:lang w:val="en-US"/>
              </w:rPr>
            </w:pPr>
            <w:r>
              <w:rPr>
                <w:rFonts w:hint="eastAsia" w:ascii="Times New Roman" w:hAnsi="Times New Roman" w:cs="Times New Roman"/>
                <w:color w:val="auto"/>
                <w:sz w:val="24"/>
                <w:szCs w:val="24"/>
                <w:lang w:val="en-US" w:bidi="ar-SA"/>
              </w:rPr>
              <w:t>（</w:t>
            </w:r>
            <w:r>
              <w:rPr>
                <w:rFonts w:hint="eastAsia" w:ascii="Times New Roman" w:hAnsi="Times New Roman" w:cs="Times New Roman"/>
                <w:color w:val="auto"/>
                <w:kern w:val="0"/>
                <w:sz w:val="24"/>
              </w:rPr>
              <w:t>须为投标人本单位正式员工，以社保机构出具的相关人员社保证明为依据，否则本项不得分。</w:t>
            </w:r>
            <w:r>
              <w:rPr>
                <w:rFonts w:hint="eastAsia" w:ascii="Times New Roman" w:hAnsi="Times New Roman" w:cs="Times New Roman"/>
                <w:color w:val="auto"/>
                <w:sz w:val="24"/>
                <w:szCs w:val="24"/>
                <w:lang w:val="en-US" w:bidi="ar-SA"/>
              </w:rPr>
              <w:t>）</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360" w:lineRule="exact"/>
              <w:rPr>
                <w:rFonts w:ascii="Times New Roman" w:hAnsi="Times New Roman"/>
                <w:color w:val="auto"/>
                <w:szCs w:val="21"/>
              </w:rPr>
            </w:pPr>
            <w:r>
              <w:rPr>
                <w:rFonts w:hint="eastAsia" w:ascii="Times New Roman" w:hAnsi="Times New Roman"/>
                <w:color w:val="auto"/>
                <w:sz w:val="24"/>
                <w:szCs w:val="24"/>
              </w:rPr>
              <w:t>投标人2015年以来获得全国优秀工程咨询成果奖的加2分；获得省级优秀工程咨询成果奖的加1分；最多得2分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满分50分</w:t>
            </w:r>
          </w:p>
        </w:tc>
        <w:tc>
          <w:tcPr>
            <w:tcW w:w="6136" w:type="dxa"/>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1、项目实施工作计划安排：整体及阶段计划明确，安排合理，满足招标文件服务期要求的得15分；有相关描述的得10分；没有的不得分。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ascii="Times New Roman" w:hAnsi="Times New Roman"/>
          <w:b/>
          <w:color w:val="auto"/>
          <w:sz w:val="28"/>
          <w:szCs w:val="24"/>
        </w:rPr>
      </w:pPr>
      <w:r>
        <w:rPr>
          <w:rFonts w:hint="eastAsia" w:ascii="Times New Roman" w:hAnsi="Times New Roman"/>
          <w:b/>
          <w:color w:val="auto"/>
          <w:sz w:val="28"/>
          <w:szCs w:val="24"/>
        </w:rPr>
        <w:t>C包</w:t>
      </w:r>
    </w:p>
    <w:tbl>
      <w:tblPr>
        <w:tblStyle w:val="6"/>
        <w:tblpPr w:leftFromText="180" w:rightFromText="180" w:vertAnchor="text" w:tblpXSpec="center" w:tblpY="1"/>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13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74"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评审部分</w:t>
            </w:r>
          </w:p>
        </w:tc>
        <w:tc>
          <w:tcPr>
            <w:tcW w:w="6136"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评审因素</w:t>
            </w:r>
          </w:p>
        </w:tc>
        <w:tc>
          <w:tcPr>
            <w:tcW w:w="1230" w:type="dxa"/>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trPr>
        <w:tc>
          <w:tcPr>
            <w:tcW w:w="1774" w:type="dxa"/>
            <w:vAlign w:val="center"/>
          </w:tcPr>
          <w:p>
            <w:pPr>
              <w:rPr>
                <w:rFonts w:ascii="Times New Roman" w:hAnsi="Times New Roman"/>
                <w:b/>
                <w:color w:val="auto"/>
                <w:sz w:val="24"/>
                <w:szCs w:val="24"/>
              </w:rPr>
            </w:pPr>
            <w:r>
              <w:rPr>
                <w:rFonts w:hint="eastAsia" w:ascii="Times New Roman" w:hAnsi="Times New Roman"/>
                <w:b/>
                <w:color w:val="auto"/>
                <w:kern w:val="0"/>
                <w:sz w:val="24"/>
                <w:szCs w:val="24"/>
              </w:rPr>
              <w:t>投标报价20分</w:t>
            </w: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满足磋商文件要求且最后报价最低的供应商为磋商基准价，其价格分为满分，其他供应商的价格分计算公式：磋商报价得分=（磋商基准价/最后磋商报价）×20。</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本项目落实节能环保、中小微型企业、监狱企业、残疾人福利性单位扶持等相关政府采购政策。（详见第五章）</w:t>
            </w:r>
          </w:p>
          <w:p>
            <w:pPr>
              <w:spacing w:line="340" w:lineRule="exact"/>
              <w:rPr>
                <w:rFonts w:ascii="Times New Roman" w:hAnsi="Times New Roman"/>
                <w:color w:val="auto"/>
                <w:sz w:val="24"/>
                <w:szCs w:val="24"/>
              </w:rPr>
            </w:pPr>
            <w:r>
              <w:rPr>
                <w:rFonts w:hint="eastAsia" w:ascii="Times New Roman" w:hAnsi="Times New Roman"/>
                <w:color w:val="auto"/>
                <w:sz w:val="24"/>
                <w:szCs w:val="24"/>
              </w:rPr>
              <w:t>注：项目评审过程中，不得去掉最后报价中的最高报价和最低报价。</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商务部分评审3</w:t>
            </w:r>
            <w:r>
              <w:rPr>
                <w:rFonts w:ascii="Times New Roman" w:hAnsi="Times New Roman"/>
                <w:b/>
                <w:color w:val="auto"/>
                <w:sz w:val="24"/>
                <w:szCs w:val="24"/>
              </w:rPr>
              <w:t>5</w:t>
            </w:r>
            <w:r>
              <w:rPr>
                <w:rFonts w:hint="eastAsia" w:ascii="Times New Roman" w:hAnsi="Times New Roman"/>
                <w:b/>
                <w:color w:val="auto"/>
                <w:sz w:val="24"/>
                <w:szCs w:val="24"/>
              </w:rPr>
              <w:t>分</w:t>
            </w:r>
          </w:p>
        </w:tc>
        <w:tc>
          <w:tcPr>
            <w:tcW w:w="6136" w:type="dxa"/>
            <w:vAlign w:val="center"/>
          </w:tcPr>
          <w:p>
            <w:pPr>
              <w:pStyle w:val="9"/>
              <w:spacing w:before="22"/>
              <w:rPr>
                <w:rFonts w:ascii="Times New Roman" w:hAnsi="Times New Roman" w:cs="Times New Roman"/>
                <w:color w:val="auto"/>
                <w:sz w:val="24"/>
                <w:szCs w:val="24"/>
              </w:rPr>
            </w:pPr>
            <w:r>
              <w:rPr>
                <w:rFonts w:hint="eastAsia" w:ascii="Times New Roman" w:hAnsi="Times New Roman"/>
                <w:color w:val="auto"/>
                <w:sz w:val="24"/>
                <w:szCs w:val="24"/>
              </w:rPr>
              <w:t>提供2013年1月1日以后（以签订时间为准），完成的政府平台发债审计项目（包括不限于企业债、公司债等），累计数量达到15个的，得15分。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pStyle w:val="9"/>
              <w:spacing w:before="43"/>
              <w:rPr>
                <w:rFonts w:ascii="Times New Roman" w:hAnsi="Times New Roman" w:cs="Times New Roman"/>
                <w:color w:val="auto"/>
                <w:szCs w:val="21"/>
                <w:lang w:val="en-US"/>
              </w:rPr>
            </w:pPr>
            <w:r>
              <w:rPr>
                <w:rFonts w:hint="eastAsia" w:ascii="Times New Roman" w:hAnsi="Times New Roman"/>
                <w:color w:val="auto"/>
                <w:sz w:val="24"/>
                <w:szCs w:val="24"/>
              </w:rPr>
              <w:t>根据各供应商拟派财务审计人员的数量、执业资格、执业经验等情况进行打分：完全满足要求得1</w:t>
            </w:r>
            <w:r>
              <w:rPr>
                <w:rFonts w:ascii="Times New Roman" w:hAnsi="Times New Roman"/>
                <w:color w:val="auto"/>
                <w:sz w:val="24"/>
                <w:szCs w:val="24"/>
              </w:rPr>
              <w:t>0</w:t>
            </w:r>
            <w:r>
              <w:rPr>
                <w:rFonts w:hint="eastAsia" w:ascii="Times New Roman" w:hAnsi="Times New Roman"/>
                <w:color w:val="auto"/>
                <w:sz w:val="24"/>
                <w:szCs w:val="24"/>
              </w:rPr>
              <w:t>分；仅做简单概述得2分，没有不得分。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774" w:type="dxa"/>
            <w:vMerge w:val="continue"/>
            <w:vAlign w:val="center"/>
          </w:tcPr>
          <w:p>
            <w:pPr>
              <w:jc w:val="center"/>
              <w:rPr>
                <w:rFonts w:ascii="Times New Roman" w:hAnsi="Times New Roman"/>
                <w:b/>
                <w:color w:val="auto"/>
                <w:sz w:val="24"/>
                <w:szCs w:val="24"/>
              </w:rPr>
            </w:pPr>
          </w:p>
        </w:tc>
        <w:tc>
          <w:tcPr>
            <w:tcW w:w="6136" w:type="dxa"/>
            <w:vAlign w:val="center"/>
          </w:tcPr>
          <w:p>
            <w:pPr>
              <w:spacing w:line="360" w:lineRule="exact"/>
              <w:rPr>
                <w:rFonts w:ascii="Times New Roman" w:hAnsi="Times New Roman"/>
                <w:color w:val="auto"/>
                <w:szCs w:val="21"/>
              </w:rPr>
            </w:pPr>
            <w:r>
              <w:rPr>
                <w:rFonts w:hint="eastAsia" w:ascii="Times New Roman" w:hAnsi="Times New Roman"/>
                <w:color w:val="auto"/>
                <w:sz w:val="24"/>
                <w:szCs w:val="24"/>
              </w:rPr>
              <w:t>拟派项目负责人注册会计师执业资格取得的（以注册证书时间为准，下同）有十年以上</w:t>
            </w:r>
            <w:r>
              <w:rPr>
                <w:rFonts w:hint="eastAsia" w:ascii="Times New Roman" w:hAnsi="Times New Roman"/>
                <w:color w:val="auto"/>
                <w:sz w:val="24"/>
                <w:szCs w:val="24"/>
                <w:lang w:eastAsia="zh-CN"/>
              </w:rPr>
              <w:t>（含十年）</w:t>
            </w:r>
            <w:r>
              <w:rPr>
                <w:rFonts w:hint="eastAsia" w:ascii="Times New Roman" w:hAnsi="Times New Roman"/>
                <w:color w:val="auto"/>
                <w:sz w:val="24"/>
                <w:szCs w:val="24"/>
              </w:rPr>
              <w:t>工作经验得10分；五年以上</w:t>
            </w:r>
            <w:r>
              <w:rPr>
                <w:rFonts w:hint="eastAsia" w:ascii="Times New Roman" w:hAnsi="Times New Roman"/>
                <w:color w:val="auto"/>
                <w:sz w:val="24"/>
                <w:szCs w:val="24"/>
                <w:lang w:eastAsia="zh-CN"/>
              </w:rPr>
              <w:t>（含五年）</w:t>
            </w:r>
            <w:r>
              <w:rPr>
                <w:rFonts w:hint="eastAsia" w:ascii="Times New Roman" w:hAnsi="Times New Roman"/>
                <w:color w:val="auto"/>
                <w:sz w:val="24"/>
                <w:szCs w:val="24"/>
              </w:rPr>
              <w:t>不满十年的得5分；五年以下不得分。最高1</w:t>
            </w:r>
            <w:r>
              <w:rPr>
                <w:rFonts w:ascii="Times New Roman" w:hAnsi="Times New Roman"/>
                <w:color w:val="auto"/>
                <w:sz w:val="24"/>
                <w:szCs w:val="24"/>
              </w:rPr>
              <w:t>0</w:t>
            </w:r>
            <w:r>
              <w:rPr>
                <w:rFonts w:hint="eastAsia" w:ascii="Times New Roman" w:hAnsi="Times New Roman"/>
                <w:color w:val="auto"/>
                <w:sz w:val="24"/>
                <w:szCs w:val="24"/>
              </w:rPr>
              <w:t>分。</w:t>
            </w:r>
            <w:r>
              <w:rPr>
                <w:rFonts w:ascii="Times New Roman" w:hAnsi="Times New Roman"/>
                <w:color w:val="auto"/>
                <w:szCs w:val="21"/>
              </w:rPr>
              <w:t xml:space="preserve"> </w:t>
            </w:r>
          </w:p>
        </w:tc>
        <w:tc>
          <w:tcPr>
            <w:tcW w:w="1230" w:type="dxa"/>
            <w:vAlign w:val="center"/>
          </w:tcPr>
          <w:p>
            <w:pPr>
              <w:jc w:val="center"/>
              <w:rPr>
                <w:rFonts w:ascii="Times New Roman" w:hAnsi="Times New Roman"/>
                <w:color w:val="auto"/>
                <w:szCs w:val="21"/>
              </w:rPr>
            </w:pPr>
            <w:r>
              <w:rPr>
                <w:rFonts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774" w:type="dxa"/>
            <w:vMerge w:val="restart"/>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技术部分评审</w:t>
            </w:r>
          </w:p>
          <w:p>
            <w:pPr>
              <w:jc w:val="center"/>
              <w:rPr>
                <w:rFonts w:ascii="Times New Roman" w:hAnsi="Times New Roman"/>
                <w:b/>
                <w:color w:val="auto"/>
                <w:sz w:val="24"/>
                <w:szCs w:val="24"/>
              </w:rPr>
            </w:pPr>
            <w:r>
              <w:rPr>
                <w:rFonts w:hint="eastAsia" w:ascii="Times New Roman" w:hAnsi="Times New Roman"/>
                <w:b/>
                <w:color w:val="auto"/>
                <w:sz w:val="24"/>
                <w:szCs w:val="24"/>
              </w:rPr>
              <w:t>满分</w:t>
            </w:r>
            <w:r>
              <w:rPr>
                <w:rFonts w:ascii="Times New Roman" w:hAnsi="Times New Roman"/>
                <w:b/>
                <w:color w:val="auto"/>
                <w:sz w:val="24"/>
                <w:szCs w:val="24"/>
              </w:rPr>
              <w:t>45</w:t>
            </w:r>
            <w:r>
              <w:rPr>
                <w:rFonts w:hint="eastAsia" w:ascii="Times New Roman" w:hAnsi="Times New Roman"/>
                <w:b/>
                <w:color w:val="auto"/>
                <w:sz w:val="24"/>
                <w:szCs w:val="24"/>
              </w:rPr>
              <w:t>分</w:t>
            </w:r>
          </w:p>
        </w:tc>
        <w:tc>
          <w:tcPr>
            <w:tcW w:w="6136" w:type="dxa"/>
            <w:vAlign w:val="center"/>
          </w:tcPr>
          <w:p>
            <w:pPr>
              <w:spacing w:line="340" w:lineRule="exact"/>
              <w:rPr>
                <w:rFonts w:ascii="Times New Roman" w:hAnsi="Times New Roman"/>
                <w:bCs/>
                <w:color w:val="auto"/>
                <w:sz w:val="24"/>
                <w:szCs w:val="24"/>
              </w:rPr>
            </w:pPr>
            <w:r>
              <w:rPr>
                <w:rFonts w:hint="eastAsia" w:ascii="Times New Roman" w:hAnsi="Times New Roman"/>
                <w:bCs/>
                <w:color w:val="auto"/>
                <w:sz w:val="24"/>
                <w:szCs w:val="24"/>
              </w:rPr>
              <w:t>1、项目实施工作计划安排：整体及阶段计划明确，安排合理，满足招标文件服务期要求的得1</w:t>
            </w:r>
            <w:r>
              <w:rPr>
                <w:rFonts w:ascii="Times New Roman" w:hAnsi="Times New Roman"/>
                <w:bCs/>
                <w:color w:val="auto"/>
                <w:sz w:val="24"/>
                <w:szCs w:val="24"/>
              </w:rPr>
              <w:t>0</w:t>
            </w:r>
            <w:r>
              <w:rPr>
                <w:rFonts w:hint="eastAsia" w:ascii="Times New Roman" w:hAnsi="Times New Roman"/>
                <w:bCs/>
                <w:color w:val="auto"/>
                <w:sz w:val="24"/>
                <w:szCs w:val="24"/>
              </w:rPr>
              <w:t>分；有相关描述的得</w:t>
            </w:r>
            <w:r>
              <w:rPr>
                <w:rFonts w:ascii="Times New Roman" w:hAnsi="Times New Roman"/>
                <w:bCs/>
                <w:color w:val="auto"/>
                <w:sz w:val="24"/>
                <w:szCs w:val="24"/>
              </w:rPr>
              <w:t>5</w:t>
            </w:r>
            <w:r>
              <w:rPr>
                <w:rFonts w:hint="eastAsia" w:ascii="Times New Roman" w:hAnsi="Times New Roman"/>
                <w:bCs/>
                <w:color w:val="auto"/>
                <w:sz w:val="24"/>
                <w:szCs w:val="24"/>
              </w:rPr>
              <w:t>分；没有的不得分。</w:t>
            </w:r>
          </w:p>
          <w:p>
            <w:pPr>
              <w:spacing w:line="340" w:lineRule="exact"/>
              <w:rPr>
                <w:rFonts w:ascii="Times New Roman" w:hAnsi="Times New Roman"/>
                <w:color w:val="auto"/>
                <w:sz w:val="24"/>
                <w:szCs w:val="24"/>
              </w:rPr>
            </w:pPr>
            <w:r>
              <w:rPr>
                <w:rFonts w:hint="eastAsia" w:ascii="Times New Roman" w:hAnsi="Times New Roman"/>
                <w:bCs/>
                <w:color w:val="auto"/>
                <w:sz w:val="24"/>
                <w:szCs w:val="24"/>
              </w:rPr>
              <w:t>2、项目组织机构：机构设置合理，人员配备合理，便于项目开展的得10分；有相关描述的得5分；没有的不得分。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总体技术实施方案针对性强，方案介绍内容详尽、准确、全面，总体说明构思详尽、内容完整、合理的得10分，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有相关描述的得5分，不提供不得分。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trPr>
        <w:tc>
          <w:tcPr>
            <w:tcW w:w="1774" w:type="dxa"/>
            <w:vMerge w:val="continue"/>
            <w:vAlign w:val="center"/>
          </w:tcPr>
          <w:p>
            <w:pPr>
              <w:rPr>
                <w:rFonts w:ascii="Times New Roman" w:hAnsi="Times New Roman"/>
                <w:b/>
                <w:color w:val="auto"/>
                <w:sz w:val="24"/>
                <w:szCs w:val="24"/>
              </w:rPr>
            </w:pPr>
          </w:p>
        </w:tc>
        <w:tc>
          <w:tcPr>
            <w:tcW w:w="6136" w:type="dxa"/>
            <w:vAlign w:val="center"/>
          </w:tcPr>
          <w:p>
            <w:pPr>
              <w:spacing w:line="340" w:lineRule="exact"/>
              <w:rPr>
                <w:rFonts w:ascii="Times New Roman" w:hAnsi="Times New Roman"/>
                <w:color w:val="auto"/>
                <w:sz w:val="24"/>
                <w:szCs w:val="24"/>
              </w:rPr>
            </w:pPr>
            <w:r>
              <w:rPr>
                <w:rFonts w:hint="eastAsia" w:ascii="Times New Roman" w:hAnsi="Times New Roman"/>
                <w:color w:val="auto"/>
                <w:sz w:val="24"/>
                <w:szCs w:val="24"/>
              </w:rPr>
              <w:t>1、投标人提供的售后服务及现场技术支持方案的完整、可行、响应处理机制合理的得5分，有相关描述的得2分，不提供不得分。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2、投标人就如何做好后续服务保障工作提供一套优秀服务方案的得5分，有相关描述的得2分，不提供不得分。</w:t>
            </w:r>
          </w:p>
          <w:p>
            <w:pPr>
              <w:spacing w:line="340" w:lineRule="exact"/>
              <w:rPr>
                <w:rFonts w:ascii="Times New Roman" w:hAnsi="Times New Roman"/>
                <w:color w:val="auto"/>
                <w:sz w:val="24"/>
                <w:szCs w:val="24"/>
              </w:rPr>
            </w:pPr>
            <w:r>
              <w:rPr>
                <w:rFonts w:hint="eastAsia" w:ascii="Times New Roman" w:hAnsi="Times New Roman"/>
                <w:color w:val="auto"/>
                <w:sz w:val="24"/>
                <w:szCs w:val="24"/>
              </w:rPr>
              <w:t>3、投标人在项目实施完成后所承诺的责任、服务内容合理完整的得5分，有相关描述的得2分，不提供不得分。</w:t>
            </w:r>
          </w:p>
        </w:tc>
        <w:tc>
          <w:tcPr>
            <w:tcW w:w="1230" w:type="dxa"/>
            <w:vAlign w:val="center"/>
          </w:tcPr>
          <w:p>
            <w:pPr>
              <w:jc w:val="center"/>
              <w:rPr>
                <w:rFonts w:ascii="Times New Roman" w:hAnsi="Times New Roman"/>
                <w:color w:val="auto"/>
                <w:szCs w:val="21"/>
              </w:rPr>
            </w:pPr>
            <w:r>
              <w:rPr>
                <w:rFonts w:hint="eastAsia" w:ascii="Times New Roman" w:hAnsi="Times New Roman"/>
                <w:color w:val="auto"/>
                <w:szCs w:val="21"/>
              </w:rPr>
              <w:t>15</w:t>
            </w:r>
          </w:p>
        </w:tc>
      </w:tr>
    </w:tbl>
    <w:p>
      <w:pPr>
        <w:tabs>
          <w:tab w:val="left" w:pos="1260"/>
        </w:tabs>
        <w:autoSpaceDE w:val="0"/>
        <w:autoSpaceDN w:val="0"/>
        <w:spacing w:line="360" w:lineRule="auto"/>
        <w:contextualSpacing/>
        <w:rPr>
          <w:rFonts w:ascii="Times New Roman" w:hAnsi="Times New Roman"/>
          <w:color w:val="FF0000"/>
          <w:sz w:val="24"/>
          <w:szCs w:val="24"/>
          <w:lang w:val="zh-CN"/>
        </w:rPr>
      </w:pPr>
      <w:r>
        <w:rPr>
          <w:rFonts w:hint="eastAsia" w:ascii="Times New Roman" w:hAnsi="Times New Roman"/>
          <w:color w:val="FF0000"/>
          <w:sz w:val="24"/>
          <w:szCs w:val="24"/>
          <w:lang w:val="zh-CN"/>
        </w:rPr>
        <w:t>注：所有涉及加分项的证书、合同等证件均需附图片扫描件或复印件加盖公章至响应文件中，否则不得分。</w:t>
      </w:r>
    </w:p>
    <w:p>
      <w:pPr>
        <w:tabs>
          <w:tab w:val="left" w:pos="1260"/>
        </w:tabs>
        <w:autoSpaceDE w:val="0"/>
        <w:autoSpaceDN w:val="0"/>
        <w:spacing w:line="360" w:lineRule="auto"/>
        <w:contextualSpacing/>
        <w:rPr>
          <w:rFonts w:ascii="Times New Roman" w:hAnsi="Times New Roman"/>
          <w:b/>
          <w:color w:val="auto"/>
          <w:sz w:val="28"/>
          <w:szCs w:val="24"/>
        </w:rPr>
      </w:pPr>
    </w:p>
    <w:p>
      <w:pPr>
        <w:pStyle w:val="4"/>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黑体" w:hAnsi="黑体" w:eastAsia="黑体" w:cs="黑体"/>
          <w:b/>
          <w:bCs/>
          <w:color w:val="000000"/>
          <w:sz w:val="28"/>
          <w:szCs w:val="28"/>
          <w:shd w:val="clear" w:color="auto" w:fill="FFFFFF"/>
        </w:rPr>
        <w:t>六、资金支付</w:t>
      </w:r>
    </w:p>
    <w:p>
      <w:pPr>
        <w:widowControl/>
        <w:shd w:val="clear" w:color="auto" w:fill="FFFFFF"/>
        <w:spacing w:line="360" w:lineRule="auto"/>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1、支付方式：银行转账</w:t>
      </w:r>
    </w:p>
    <w:p>
      <w:pPr>
        <w:widowControl/>
        <w:shd w:val="clear" w:color="auto" w:fill="FFFFFF"/>
        <w:spacing w:line="360" w:lineRule="auto"/>
        <w:contextualSpacing/>
        <w:jc w:val="left"/>
        <w:rPr>
          <w:rFonts w:hint="eastAsia"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2、支付时间及条件：</w:t>
      </w:r>
    </w:p>
    <w:p>
      <w:pPr>
        <w:widowControl/>
        <w:shd w:val="clear" w:color="auto" w:fill="FFFFFF"/>
        <w:spacing w:line="360" w:lineRule="auto"/>
        <w:ind w:firstLine="560" w:firstLineChars="200"/>
        <w:contextualSpacing/>
        <w:jc w:val="left"/>
        <w:rPr>
          <w:rFonts w:hint="eastAsia"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A包：承销费用的支付采取主承销商从募集资金总额中一次性扣取的方式。</w:t>
      </w:r>
    </w:p>
    <w:p>
      <w:pPr>
        <w:widowControl/>
        <w:shd w:val="clear" w:color="auto" w:fill="FFFFFF"/>
        <w:spacing w:line="360" w:lineRule="auto"/>
        <w:ind w:firstLine="560" w:firstLineChars="200"/>
        <w:contextualSpacing/>
        <w:jc w:val="left"/>
        <w:rPr>
          <w:rFonts w:hint="eastAsia"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B包：双方签订合同5个工作日内招标人支付合同总价款的10%作为预付款；其余款项于取得国家发改委债券发行批文后5日内结清。</w:t>
      </w:r>
    </w:p>
    <w:p>
      <w:pPr>
        <w:widowControl/>
        <w:shd w:val="clear" w:color="auto" w:fill="FFFFFF"/>
        <w:spacing w:line="360" w:lineRule="auto"/>
        <w:ind w:firstLine="560" w:firstLineChars="200"/>
        <w:contextualSpacing/>
        <w:jc w:val="left"/>
        <w:rPr>
          <w:rFonts w:ascii="仿宋" w:hAnsi="仿宋" w:eastAsia="仿宋" w:cs="黑体"/>
          <w:color w:val="000000"/>
          <w:kern w:val="0"/>
          <w:sz w:val="28"/>
          <w:szCs w:val="28"/>
          <w:lang w:val="zh-CN"/>
        </w:rPr>
      </w:pPr>
      <w:r>
        <w:rPr>
          <w:rFonts w:hint="eastAsia" w:ascii="仿宋" w:hAnsi="仿宋" w:eastAsia="仿宋" w:cs="黑体"/>
          <w:color w:val="000000"/>
          <w:kern w:val="0"/>
          <w:sz w:val="28"/>
          <w:szCs w:val="28"/>
          <w:lang w:val="zh-CN"/>
        </w:rPr>
        <w:t>C包：双方签订合同5个工作日内招标人支付合同总价款的10%作为预付款；出具审计报告后5日内支付合同总价款50%；其余款项在取得国家发改委债券发行批文后5日内结清。</w:t>
      </w:r>
    </w:p>
    <w:p>
      <w:pPr>
        <w:pStyle w:val="4"/>
        <w:widowControl/>
        <w:shd w:val="clear" w:color="auto" w:fill="FFFFFF"/>
        <w:spacing w:line="360" w:lineRule="auto"/>
        <w:contextualSpacing/>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七、联系方式</w:t>
      </w:r>
    </w:p>
    <w:p>
      <w:pPr>
        <w:spacing w:line="360" w:lineRule="auto"/>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联系人：杨亚攀</w:t>
      </w:r>
      <w:r>
        <w:rPr>
          <w:rFonts w:hint="eastAsia" w:ascii="仿宋" w:hAnsi="仿宋" w:eastAsia="仿宋" w:cs="仿宋_GB2312"/>
          <w:color w:val="000000"/>
          <w:sz w:val="28"/>
          <w:szCs w:val="28"/>
          <w:lang w:val="en-US" w:eastAsia="zh-CN"/>
        </w:rPr>
        <w:t xml:space="preserve"> </w:t>
      </w:r>
      <w:r>
        <w:rPr>
          <w:rFonts w:hint="eastAsia" w:ascii="仿宋" w:hAnsi="仿宋" w:eastAsia="仿宋" w:cs="仿宋_GB2312"/>
          <w:color w:val="000000"/>
          <w:sz w:val="28"/>
          <w:szCs w:val="28"/>
        </w:rPr>
        <w:t xml:space="preserve">        联系电话：0374-3327689</w:t>
      </w:r>
      <w:r>
        <w:rPr>
          <w:rFonts w:hint="eastAsia" w:ascii="仿宋" w:hAnsi="仿宋" w:eastAsia="仿宋" w:cs="仿宋_GB2312"/>
          <w:color w:val="000000"/>
          <w:sz w:val="28"/>
          <w:szCs w:val="28"/>
          <w:lang w:val="en-US" w:eastAsia="zh-CN"/>
        </w:rPr>
        <w:t xml:space="preserve"> </w:t>
      </w:r>
    </w:p>
    <w:p>
      <w:pPr>
        <w:spacing w:line="360" w:lineRule="auto"/>
        <w:rPr>
          <w:rFonts w:hint="eastAsia" w:ascii="仿宋" w:hAnsi="仿宋" w:eastAsia="仿宋" w:cs="仿宋_GB2312"/>
          <w:color w:val="000000"/>
          <w:sz w:val="28"/>
          <w:szCs w:val="28"/>
          <w:lang w:eastAsia="zh-CN"/>
        </w:rPr>
      </w:pPr>
      <w:r>
        <w:rPr>
          <w:rFonts w:hint="eastAsia" w:ascii="仿宋" w:hAnsi="仿宋" w:eastAsia="仿宋" w:cs="仿宋_GB2312"/>
          <w:color w:val="000000"/>
          <w:sz w:val="28"/>
          <w:szCs w:val="28"/>
        </w:rPr>
        <w:t>地 址：许昌市天宝路中段魏都区市民之家九楼</w:t>
      </w:r>
    </w:p>
    <w:p>
      <w:pPr>
        <w:spacing w:line="360" w:lineRule="auto"/>
        <w:rPr>
          <w:rFonts w:hint="eastAsia" w:cs="仿宋_GB2312" w:asciiTheme="minorEastAsia" w:hAnsiTheme="minorEastAsia"/>
          <w:color w:val="000000"/>
          <w:szCs w:val="21"/>
        </w:rPr>
      </w:pPr>
    </w:p>
    <w:p>
      <w:pPr>
        <w:spacing w:line="360" w:lineRule="auto"/>
        <w:jc w:val="right"/>
        <w:rPr>
          <w:rFonts w:hint="eastAsia" w:cs="仿宋_GB2312" w:asciiTheme="minorEastAsia" w:hAnsiTheme="minorEastAsia" w:eastAsiaTheme="minorEastAsia"/>
          <w:bCs/>
          <w:color w:val="000000"/>
          <w:sz w:val="28"/>
          <w:szCs w:val="28"/>
          <w:lang w:eastAsia="zh-CN"/>
        </w:rPr>
      </w:pPr>
      <w:r>
        <w:rPr>
          <w:rFonts w:hint="eastAsia" w:cs="仿宋_GB2312" w:asciiTheme="minorEastAsia" w:hAnsiTheme="minorEastAsia"/>
          <w:bCs/>
          <w:color w:val="000000"/>
          <w:sz w:val="28"/>
          <w:szCs w:val="28"/>
          <w:lang w:eastAsia="zh-CN"/>
        </w:rPr>
        <w:t>许昌市魏都投资有限责任公司</w:t>
      </w:r>
    </w:p>
    <w:p>
      <w:pPr>
        <w:wordWrap w:val="0"/>
        <w:spacing w:line="360" w:lineRule="auto"/>
        <w:jc w:val="right"/>
        <w:rPr>
          <w:rFonts w:cs="仿宋_GB2312" w:asciiTheme="minorEastAsia" w:hAnsiTheme="minorEastAsia"/>
          <w:color w:val="000000"/>
          <w:sz w:val="28"/>
          <w:szCs w:val="28"/>
          <w:u w:val="none"/>
        </w:rPr>
      </w:pPr>
      <w:r>
        <w:rPr>
          <w:rFonts w:hint="eastAsia" w:cs="仿宋_GB2312" w:asciiTheme="minorEastAsia" w:hAnsiTheme="minorEastAsia"/>
          <w:bCs/>
          <w:color w:val="000000"/>
          <w:sz w:val="28"/>
          <w:szCs w:val="28"/>
          <w:u w:val="none"/>
        </w:rPr>
        <w:t>2018年</w:t>
      </w:r>
      <w:r>
        <w:rPr>
          <w:rFonts w:hint="eastAsia" w:cs="仿宋_GB2312" w:asciiTheme="minorEastAsia" w:hAnsiTheme="minorEastAsia"/>
          <w:bCs/>
          <w:color w:val="000000"/>
          <w:sz w:val="28"/>
          <w:szCs w:val="28"/>
          <w:u w:val="none"/>
          <w:lang w:val="en-US" w:eastAsia="zh-CN"/>
        </w:rPr>
        <w:t>11</w:t>
      </w:r>
      <w:r>
        <w:rPr>
          <w:rFonts w:hint="eastAsia" w:cs="仿宋_GB2312" w:asciiTheme="minorEastAsia" w:hAnsiTheme="minorEastAsia"/>
          <w:bCs/>
          <w:color w:val="000000"/>
          <w:sz w:val="28"/>
          <w:szCs w:val="28"/>
          <w:u w:val="none"/>
        </w:rPr>
        <w:t>月</w:t>
      </w:r>
      <w:r>
        <w:rPr>
          <w:rFonts w:hint="eastAsia" w:cs="仿宋_GB2312" w:asciiTheme="minorEastAsia" w:hAnsiTheme="minorEastAsia"/>
          <w:bCs/>
          <w:color w:val="000000"/>
          <w:sz w:val="28"/>
          <w:szCs w:val="28"/>
          <w:u w:val="none"/>
          <w:lang w:val="en-US" w:eastAsia="zh-CN"/>
        </w:rPr>
        <w:t>16</w:t>
      </w:r>
      <w:bookmarkStart w:id="0" w:name="_GoBack"/>
      <w:bookmarkEnd w:id="0"/>
      <w:r>
        <w:rPr>
          <w:rFonts w:hint="eastAsia" w:cs="仿宋_GB2312" w:asciiTheme="minorEastAsia" w:hAnsiTheme="minorEastAsia"/>
          <w:bCs/>
          <w:color w:val="000000"/>
          <w:sz w:val="28"/>
          <w:szCs w:val="28"/>
          <w:u w:val="none"/>
        </w:rPr>
        <w:t>日</w:t>
      </w:r>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711"/>
    <w:rsid w:val="00067869"/>
    <w:rsid w:val="000D0DC7"/>
    <w:rsid w:val="001B1711"/>
    <w:rsid w:val="00790FFE"/>
    <w:rsid w:val="00AA07B1"/>
    <w:rsid w:val="00C833BB"/>
    <w:rsid w:val="00F3199A"/>
    <w:rsid w:val="04D4335A"/>
    <w:rsid w:val="10874288"/>
    <w:rsid w:val="11880E4D"/>
    <w:rsid w:val="2D1F30D7"/>
    <w:rsid w:val="324D7972"/>
    <w:rsid w:val="32B4587E"/>
    <w:rsid w:val="396011AD"/>
    <w:rsid w:val="3B4B672C"/>
    <w:rsid w:val="414A07AE"/>
    <w:rsid w:val="445320C8"/>
    <w:rsid w:val="458C5B42"/>
    <w:rsid w:val="49611D10"/>
    <w:rsid w:val="51C0636D"/>
    <w:rsid w:val="5AEB4803"/>
    <w:rsid w:val="5F245FA3"/>
    <w:rsid w:val="6B005077"/>
    <w:rsid w:val="6E6714F9"/>
    <w:rsid w:val="6F023DAF"/>
    <w:rsid w:val="71BC52DE"/>
    <w:rsid w:val="767736BD"/>
    <w:rsid w:val="76E8114A"/>
    <w:rsid w:val="7B04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Times New Roman"/>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595</Words>
  <Characters>3398</Characters>
  <Lines>28</Lines>
  <Paragraphs>7</Paragraphs>
  <TotalTime>1</TotalTime>
  <ScaleCrop>false</ScaleCrop>
  <LinksUpToDate>false</LinksUpToDate>
  <CharactersWithSpaces>3986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2018-07-24T05:27:00Z</dcterms:created>
  <dc:creator>河南鼎华招标代理有限公司:河南鼎华招标代理有限公司</dc:creator>
  <cp:lastModifiedBy>甛╚＞</cp:lastModifiedBy>
  <cp:lastPrinted>2018-11-14T00:35:00Z</cp:lastPrinted>
  <dcterms:modified xsi:type="dcterms:W3CDTF">2018-11-16T02:53:08Z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