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许昌市司法局“司法行政信息化平台建设”项</w:t>
      </w:r>
      <w:bookmarkStart w:id="9" w:name="_GoBack"/>
      <w:bookmarkEnd w:id="9"/>
      <w:r>
        <w:rPr>
          <w:rFonts w:hint="eastAsia" w:asciiTheme="majorEastAsia" w:hAnsiTheme="majorEastAsia" w:eastAsiaTheme="majorEastAsia" w:cstheme="majorEastAsia"/>
          <w:b/>
          <w:bCs/>
          <w:sz w:val="44"/>
          <w:szCs w:val="44"/>
        </w:rPr>
        <w:t>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 ZFCG-G2018184号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采购单位：许昌市司法局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二〇一八年十一月八日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（一）项目名称：司法行政信息化平台建设</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（二）项目编号：ZFCG-G2018184号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（四）采购需求：1、市司法局应急指挥中心系统。2、市司法局公共法律服务中心视频会议系统。3、市司法局视频会议室大屏系统。</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（五）预算金额（最高限价）：140万元整；</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 ：签订合同后60日内</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（七）交付（服务、完工）地点：许昌市司法局</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w:t>
      </w:r>
      <w:r>
        <w:rPr>
          <w:rFonts w:hint="eastAsia" w:cs="仿宋_GB2312" w:asciiTheme="minorEastAsia" w:hAnsiTheme="minorEastAsia" w:eastAsiaTheme="minorEastAsia"/>
          <w:u w:val="single"/>
        </w:rPr>
        <w:t>12</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4</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lang w:eastAsia="zh-CN"/>
        </w:rPr>
        <w:t>开标四室</w:t>
      </w:r>
      <w:r>
        <w:rPr>
          <w:rFonts w:hint="eastAsia" w:cs="仿宋_GB2312" w:asciiTheme="minorEastAsia" w:hAnsiTheme="minorEastAsia" w:eastAsiaTheme="minorEastAsia"/>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w:t>
      </w:r>
      <w:r>
        <w:rPr>
          <w:rFonts w:cs="仿宋_GB2312" w:asciiTheme="minorEastAsia" w:hAnsiTheme="minorEastAsia" w:eastAsiaTheme="minorEastAsia"/>
        </w:rPr>
        <w:t>5</w:t>
      </w:r>
      <w:r>
        <w:rPr>
          <w:rFonts w:hint="eastAsia" w:cs="仿宋_GB2312" w:asciiTheme="minorEastAsia" w:hAnsiTheme="minorEastAsia" w:eastAsiaTheme="minorEastAsia"/>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许昌市司法局</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址：许昌市魏都区望田路6号</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联系人：王国栋郭明辉  联系电话：15716508999   17637957116</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联系人：李女士              联系电话：0374-2968687</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sz w:val="24"/>
          <w:szCs w:val="24"/>
        </w:rPr>
        <w:t>许昌市司法局</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二〇一八年十一月八日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一、本项目需实现的功能或者目标</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1、市司法局应急指挥中心系统:具备日常值守、可视调度、监控巡查、预测预警、预案演练、协同指挥、信息汇总、辅助决策和督导评估等平战一体化管理职能。</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2、市司法局公共法律服务中心视频会议系统：实现与市应急指导中心对接，达到信息互通、数据传输等功能。</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3、市司法局视频会议室大屏系统：局视频会议系统显示终端更新，提高显示效果，提升视频会议质量。</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二、采购清单</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1、市司法局应急指挥中心系统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800"/>
        <w:gridCol w:w="20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单位</w:t>
            </w:r>
          </w:p>
        </w:tc>
        <w:tc>
          <w:tcPr>
            <w:tcW w:w="8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数量</w:t>
            </w:r>
          </w:p>
        </w:tc>
        <w:tc>
          <w:tcPr>
            <w:tcW w:w="2010"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kern w:val="0"/>
                <w:sz w:val="24"/>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kern w:val="0"/>
                <w:sz w:val="20"/>
                <w:szCs w:val="20"/>
              </w:rPr>
              <w:t>小型一体化终端</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微软雅黑" w:hAnsi="微软雅黑" w:eastAsia="宋体" w:cs="宋体"/>
                <w:kern w:val="0"/>
                <w:sz w:val="24"/>
              </w:rPr>
            </w:pPr>
            <w:r>
              <w:rPr>
                <w:rFonts w:hint="eastAsia" w:ascii="宋体" w:hAnsi="宋体" w:eastAsia="宋体" w:cs="宋体"/>
                <w:kern w:val="0"/>
                <w:sz w:val="20"/>
                <w:szCs w:val="20"/>
              </w:rPr>
              <w:t>1、▲所投产品应为一体化结构设计，集成编解码器，麦克风，摄像头等组件，方便安装部署。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2、所投产品应使用嵌入式实时操作系统架构，非PC系统，保证系统的稳定性、安全性。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3、所投产品应支持ITUT H.323通讯协议，支持IETF SIP协议，具有的良好的兼容性和开放性。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4、所投产品支持TCP/IP、FTP、FTPS、DHCP、SNMP、Telnet、HTTP、HTTPS、SSH、 PPPoE、RTP、RTCP、SNTP等网络传输协议。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5、所投产品支持H.235、H.460、SRTP等协议和标准。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w:t>
            </w:r>
            <w:r>
              <w:rPr>
                <w:rFonts w:hint="eastAsia" w:ascii="宋体" w:hAnsi="宋体" w:eastAsia="宋体" w:cs="宋体"/>
                <w:b/>
                <w:kern w:val="0"/>
                <w:sz w:val="20"/>
                <w:szCs w:val="20"/>
              </w:rPr>
              <w:t>*</w:t>
            </w:r>
            <w:r>
              <w:rPr>
                <w:rFonts w:hint="eastAsia" w:ascii="宋体" w:hAnsi="宋体" w:eastAsia="宋体" w:cs="宋体"/>
                <w:kern w:val="0"/>
                <w:sz w:val="20"/>
                <w:szCs w:val="20"/>
              </w:rPr>
              <w:t>所投产品支持良好的视频处理能力，512Kbps带宽下实现720P图像格式编解码，最大限度节省用户网络资源。宽带范围64Kbps-4Mbps。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7、所投产品应支持不少于两路视频输出，以实现在两个显示屏上同时观看主视频和辅流；所投产品支持第二路视频输入，以共享本地桌面给其它与会会场。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w:t>
            </w:r>
            <w:r>
              <w:rPr>
                <w:rFonts w:hint="eastAsia" w:ascii="宋体" w:hAnsi="宋体" w:eastAsia="宋体" w:cs="宋体"/>
                <w:b/>
                <w:kern w:val="0"/>
                <w:sz w:val="20"/>
                <w:szCs w:val="20"/>
              </w:rPr>
              <w:t>*</w:t>
            </w:r>
            <w:r>
              <w:rPr>
                <w:rFonts w:hint="eastAsia" w:ascii="宋体" w:hAnsi="宋体" w:eastAsia="宋体" w:cs="宋体"/>
                <w:kern w:val="0"/>
                <w:sz w:val="20"/>
                <w:szCs w:val="20"/>
              </w:rPr>
              <w:t>所投产品应支持H.264 HP, H.264 BP, H.264 SVC, H.263+，H.263等视频编解码协议。所投终端支持SVC协议。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9、所投产品应支持G.711, G.722, G.722.1, G.722.1.C, G.728, AAC-LD等音频协议，或其它20KHZ以上频宽的立体声音频协议。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10、所投产品支持H.239和BFCP双流，支持主辅流同时达到720P分辨率。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11、所投产品在H.323组网下支持H.235加密协议，在SIP组网下支持TLS/SRTP加密协议。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12、所投产品支持IPv4和IPv6双协议栈。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w:t>
            </w:r>
            <w:r>
              <w:rPr>
                <w:rFonts w:hint="eastAsia" w:ascii="宋体" w:hAnsi="宋体" w:eastAsia="宋体" w:cs="宋体"/>
                <w:b/>
                <w:kern w:val="0"/>
                <w:sz w:val="20"/>
                <w:szCs w:val="20"/>
              </w:rPr>
              <w:t>*</w:t>
            </w:r>
            <w:r>
              <w:rPr>
                <w:rFonts w:hint="eastAsia" w:ascii="宋体" w:hAnsi="宋体" w:eastAsia="宋体" w:cs="宋体"/>
                <w:kern w:val="0"/>
                <w:sz w:val="20"/>
                <w:szCs w:val="20"/>
              </w:rPr>
              <w:t>所投产品应具备良好的网络适应性，最大20%网络丢包下,图像流畅、清晰、无卡顿、无马赛克现象，确保会议正常进行。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14、所投产品支持主席会控功能，申请主席后能够实现广播场、观看会场、添加/删除会场、静闭音、设置多画面、结束会议等功能。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通过终端遥控器在地址本中选择多个会场，一键召集和发起多点会议，并可以根据需要召开支持双流，多画面和级联等会议，不需要平台MCU管理软件操作和其他管理人员协作，通过遥控器逐点呼叫终端入会视为不满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16、所投产品标配摄像机支持1080P、720P图像格式，支持不少于12倍光学变焦，支持不少于30个摄像机预置位；摄像机在不加广角镜的情况下，水平视角不低于72度；摄像机可水平、垂直方向转动。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w:t>
            </w:r>
            <w:r>
              <w:rPr>
                <w:rFonts w:ascii="Arial" w:hAnsi="Arial" w:eastAsia="宋体" w:cs="Arial"/>
                <w:sz w:val="20"/>
                <w:szCs w:val="20"/>
              </w:rPr>
              <w:t>▲</w:t>
            </w:r>
            <w:r>
              <w:rPr>
                <w:rFonts w:hint="eastAsia" w:ascii="宋体" w:hAnsi="宋体" w:eastAsia="宋体" w:cs="宋体"/>
                <w:kern w:val="0"/>
                <w:sz w:val="20"/>
                <w:szCs w:val="20"/>
              </w:rPr>
              <w:t>所投产品支持无线辅流功能，方便数据共享操作，不需要额外增加无线网络设备即可实现。</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 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kern w:val="0"/>
                <w:sz w:val="24"/>
              </w:rPr>
            </w:pPr>
            <w:r>
              <w:rPr>
                <w:rFonts w:hint="eastAsia" w:ascii="仿宋" w:hAnsi="仿宋" w:eastAsia="仿宋" w:cs="仿宋"/>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2</w:t>
            </w:r>
          </w:p>
        </w:tc>
        <w:tc>
          <w:tcPr>
            <w:tcW w:w="1287"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4"/>
              </w:rPr>
            </w:pPr>
            <w:r>
              <w:rPr>
                <w:rFonts w:hint="eastAsia" w:ascii="宋体" w:hAnsi="宋体" w:eastAsia="宋体" w:cs="宋体"/>
                <w:kern w:val="0"/>
                <w:sz w:val="20"/>
                <w:szCs w:val="20"/>
              </w:rPr>
              <w:t>全向拾音器</w:t>
            </w:r>
          </w:p>
        </w:tc>
        <w:tc>
          <w:tcPr>
            <w:tcW w:w="3700"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4"/>
              </w:rPr>
            </w:pPr>
            <w:r>
              <w:rPr>
                <w:rFonts w:hint="eastAsia" w:ascii="宋体" w:hAnsi="宋体" w:eastAsia="宋体" w:cs="宋体"/>
                <w:kern w:val="0"/>
                <w:sz w:val="20"/>
                <w:szCs w:val="20"/>
              </w:rPr>
              <w:t>1、必须是与小型一体化终端同品牌。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2、数字阵列麦克风，支持360度全向拾音，最大拾音距离达到6米。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3、通过终端供电，不需要额外电源。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4、支持自适应回声抵消，自动增益控制，自动噪声抑制。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5、支持2个数字阵列Mic级联，以满足不同面积会议室的应用需求。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6、采样率48KHZ。</w:t>
            </w:r>
          </w:p>
        </w:tc>
        <w:tc>
          <w:tcPr>
            <w:tcW w:w="738"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台</w:t>
            </w:r>
          </w:p>
        </w:tc>
        <w:tc>
          <w:tcPr>
            <w:tcW w:w="800"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2</w:t>
            </w:r>
          </w:p>
        </w:tc>
        <w:tc>
          <w:tcPr>
            <w:tcW w:w="2010" w:type="dxa"/>
            <w:tcBorders>
              <w:top w:val="nil"/>
              <w:left w:val="nil"/>
              <w:bottom w:val="single" w:color="auto" w:sz="4"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3</w:t>
            </w:r>
          </w:p>
        </w:tc>
        <w:tc>
          <w:tcPr>
            <w:tcW w:w="128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呼叫控制和公私网穿越服务器</w:t>
            </w:r>
          </w:p>
        </w:tc>
        <w:tc>
          <w:tcPr>
            <w:tcW w:w="37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 必须是与小型一体化终端同品牌。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b/>
                <w:kern w:val="0"/>
                <w:sz w:val="20"/>
                <w:szCs w:val="20"/>
              </w:rPr>
              <w:t xml:space="preserve"> *</w:t>
            </w:r>
            <w:r>
              <w:rPr>
                <w:rFonts w:hint="eastAsia" w:ascii="宋体" w:hAnsi="宋体" w:eastAsia="宋体" w:cs="宋体"/>
                <w:kern w:val="0"/>
                <w:sz w:val="20"/>
                <w:szCs w:val="20"/>
              </w:rPr>
              <w:t>支持H.323 Gatekeeper、Sip Server、SIP Proxy功能。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支持H.460/ICE/STUN/TURN等标准的H.323/SIP穿越协议。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支持H.235、TLS、SRTP安全加密协议；支持IPV4和IPV6协议栈。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支持呼叫控制、带宽管理、黑白名单、注册状态显示、路由管理、分区管理、号码变换、URL呼叫等功能。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支持呼叫带宽配置与管理，控制区域呼叫流量，避免网络拥塞。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支持SIP/H.323注册服务器双机热备部署，实现业务无缝切换。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单台设备最大注册数支持不少于10000点，并发呼叫数不少于6000路、穿越流量不少于400Mbps。</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台</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single" w:color="auto" w:sz="4"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4</w:t>
            </w:r>
          </w:p>
        </w:tc>
        <w:tc>
          <w:tcPr>
            <w:tcW w:w="1287"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高清录播服务器</w:t>
            </w:r>
          </w:p>
        </w:tc>
        <w:tc>
          <w:tcPr>
            <w:tcW w:w="3700"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 所投设备采用一体化设计，支持RAID硬盘、网口、芯片、电源备份功能，兼容现有管理平台。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支持IP v4和IP v6双协议栈，支持DNS解析;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▲支持同时不少于20个1080p双视频码流的并发录制;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 </w:t>
            </w:r>
            <w:r>
              <w:rPr>
                <w:rFonts w:hint="eastAsia" w:ascii="宋体" w:hAnsi="宋体" w:eastAsia="宋体" w:cs="宋体"/>
                <w:b/>
                <w:kern w:val="0"/>
                <w:sz w:val="20"/>
                <w:szCs w:val="20"/>
              </w:rPr>
              <w:t>*</w:t>
            </w:r>
            <w:r>
              <w:rPr>
                <w:rFonts w:hint="eastAsia" w:ascii="宋体" w:hAnsi="宋体" w:eastAsia="宋体" w:cs="宋体"/>
                <w:kern w:val="0"/>
                <w:sz w:val="20"/>
                <w:szCs w:val="20"/>
              </w:rPr>
              <w:t>所投设备录制源协议支持：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视频主流：CIF、4CIF/D1、720P 30、720P 50/60、1080P 30、1080P 60；音频：G.711A、G.711U、G.722、iLBC、AAC-LD  视频辅流：最大支持1080p 60fps；被录制会场的带宽支持128Kbps～8Mbps。</w:t>
            </w:r>
          </w:p>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5. 支持点播客户端和直播客户端总数不低于500个，点播时支持按照索引进行选择观看;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支持各种终端设备：PC/MAC、PAD（iOS/Android）、智能手机（iOS/Android）直播和点播，支持基于浏览器无插件直播;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 </w:t>
            </w:r>
            <w:r>
              <w:rPr>
                <w:rFonts w:hint="eastAsia" w:ascii="仿宋" w:hAnsi="仿宋" w:eastAsia="仿宋" w:cs="仿宋"/>
                <w:kern w:val="0"/>
                <w:szCs w:val="21"/>
              </w:rPr>
              <w:t>▲</w:t>
            </w:r>
            <w:r>
              <w:rPr>
                <w:rFonts w:hint="eastAsia" w:ascii="宋体" w:hAnsi="宋体" w:eastAsia="宋体" w:cs="宋体"/>
                <w:kern w:val="0"/>
                <w:sz w:val="20"/>
                <w:szCs w:val="20"/>
              </w:rPr>
              <w:t>支持内置至少2T的大容量硬盘，并能支持4000小时@512Kbps的视频录制，支持RAID1备份功能，并支持IPSAN、NFS外置存储设备</w:t>
            </w:r>
          </w:p>
        </w:tc>
        <w:tc>
          <w:tcPr>
            <w:tcW w:w="738"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台</w:t>
            </w:r>
          </w:p>
        </w:tc>
        <w:tc>
          <w:tcPr>
            <w:tcW w:w="800"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single" w:color="auto" w:sz="4" w:space="0"/>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5</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仿宋"/>
                <w:kern w:val="0"/>
                <w:sz w:val="20"/>
                <w:szCs w:val="20"/>
              </w:rPr>
              <w:t>LED显示屏体</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1、屏体要求：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1）显示屏规格：采用SMD1010表贴三合一LED灯管全彩色高清LED显示屏，像素点间距1.4mm，大屏幕显示尺寸≥3.36米（长）×1.89米（高）；大屏幕显示长度和宽度的尺寸及显示面积误差不超过1%；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整屏失控率小于百万分之一，盲点率小于百万分之一，出厂时为0，连续失控点为0，工作3年衰减率＜3％，灯珠寿命＞12万小时；                                                                                                                                                                                                         3）</w:t>
            </w:r>
            <w:r>
              <w:rPr>
                <w:rFonts w:hint="eastAsia" w:ascii="宋体" w:hAnsi="宋体" w:eastAsia="宋体" w:cs="宋体"/>
                <w:b/>
                <w:kern w:val="0"/>
                <w:sz w:val="20"/>
                <w:szCs w:val="20"/>
              </w:rPr>
              <w:t>*</w:t>
            </w:r>
            <w:r>
              <w:rPr>
                <w:rFonts w:hint="eastAsia" w:ascii="宋体" w:hAnsi="宋体" w:eastAsia="宋体" w:cs="宋体"/>
                <w:kern w:val="0"/>
                <w:sz w:val="20"/>
                <w:szCs w:val="20"/>
              </w:rPr>
              <w:t>品采用专业的全封闭式防尘设计，具备优良的防尘特性，产品具备IP6X防尘功能；产品具备良好的抗震性能，通过8级抗震测试；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4）对比度：不小于7000：1；灰度等级：不小于16bit；视角及均匀度：屏幕水平视角≥170度 ，垂直视角≥170度；色度均匀性：≤±0.003Cx,Cy，亮度均匀性：≥99%；光利用率：≥99%；刷新频率≥3900Hz，换帧频率：50&amp;60Hz；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宋体" w:hAnsi="宋体" w:eastAsia="宋体" w:cs="宋体"/>
                <w:b/>
                <w:kern w:val="0"/>
                <w:sz w:val="20"/>
                <w:szCs w:val="20"/>
              </w:rPr>
              <w:t>*</w:t>
            </w:r>
            <w:r>
              <w:rPr>
                <w:rFonts w:hint="eastAsia" w:ascii="宋体" w:hAnsi="宋体" w:eastAsia="宋体" w:cs="宋体"/>
                <w:kern w:val="0"/>
                <w:sz w:val="20"/>
                <w:szCs w:val="20"/>
              </w:rPr>
              <w:t>屏体采用无风扇散热、低噪音环保设计，靠空气流通自然散热，噪声不大于9dB；                                                                                                                                                    6）LED显示屏符合蓝光辐射检测无危险类要求；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w:t>
            </w:r>
            <w:r>
              <w:rPr>
                <w:rFonts w:hint="eastAsia" w:ascii="宋体" w:hAnsi="宋体" w:eastAsia="宋体" w:cs="宋体"/>
                <w:b/>
                <w:kern w:val="0"/>
                <w:sz w:val="20"/>
                <w:szCs w:val="20"/>
              </w:rPr>
              <w:t>*</w:t>
            </w:r>
            <w:r>
              <w:rPr>
                <w:rFonts w:hint="eastAsia" w:ascii="宋体" w:hAnsi="宋体" w:eastAsia="宋体" w:cs="宋体"/>
                <w:kern w:val="0"/>
                <w:sz w:val="20"/>
                <w:szCs w:val="20"/>
              </w:rPr>
              <w:t>LED显示屏正常使用达到热平衡后，屏体结构金属部分温升不超过45K，绝缘材料温升不超过70K；</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8）显示屏亮度控制等级≥256，亮度鉴别等级≥20，对地漏电流≤3.5mA/㎡，可承受50Hz、1500V（交流电有效值）的试验电压1分钟不发生绝缘击穿；信噪比不小于47dB；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w:t>
            </w:r>
            <w:r>
              <w:rPr>
                <w:rFonts w:hint="eastAsia" w:ascii="宋体" w:hAnsi="宋体" w:eastAsia="宋体" w:cs="宋体"/>
                <w:b/>
                <w:kern w:val="0"/>
                <w:sz w:val="20"/>
                <w:szCs w:val="20"/>
              </w:rPr>
              <w:t>*</w:t>
            </w:r>
            <w:r>
              <w:rPr>
                <w:rFonts w:hint="eastAsia" w:ascii="宋体" w:hAnsi="宋体" w:eastAsia="宋体" w:cs="宋体"/>
                <w:kern w:val="0"/>
                <w:sz w:val="20"/>
                <w:szCs w:val="20"/>
              </w:rPr>
              <w:t xml:space="preserve">LED显示屏具备良好的阻燃特性，满足UL94 V-0阻燃要求；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平方米</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6.4</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6</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铝型材框架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依据显示面积定制，铝型材结构采用专用支架，制式产品，铝制型材，稳固性好，拼接效果好，安装简单，美观轻巧。</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7</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图像处理器</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 、为确保显示系统兼容性和稳定性，要求图像控制系统、大屏控制管理软件与LED显示单元为同一厂商产品。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w:t>
            </w:r>
            <w:r>
              <w:rPr>
                <w:rFonts w:hint="eastAsia" w:ascii="宋体" w:hAnsi="宋体" w:eastAsia="宋体" w:cs="宋体"/>
                <w:b/>
                <w:kern w:val="0"/>
                <w:sz w:val="20"/>
                <w:szCs w:val="20"/>
              </w:rPr>
              <w:t>*</w:t>
            </w:r>
            <w:r>
              <w:rPr>
                <w:rFonts w:hint="eastAsia" w:ascii="宋体" w:hAnsi="宋体" w:eastAsia="宋体" w:cs="宋体"/>
                <w:kern w:val="0"/>
                <w:sz w:val="20"/>
                <w:szCs w:val="20"/>
              </w:rPr>
              <w:t xml:space="preserve">图像拼接控制器采用全模块化结构设计、支持板卡热插拔，单通道数据带宽不小于10Gbps，单机带宽不小于180Gbps，设备支持级联使用，N台级联系统总带宽：N×单机带宽。                                                                                                                                                                                                                                                3、 </w:t>
            </w:r>
            <w:r>
              <w:rPr>
                <w:rFonts w:hint="eastAsia" w:ascii="宋体" w:hAnsi="宋体" w:eastAsia="宋体" w:cs="宋体"/>
                <w:b/>
                <w:kern w:val="0"/>
                <w:sz w:val="20"/>
                <w:szCs w:val="20"/>
              </w:rPr>
              <w:t>*</w:t>
            </w:r>
            <w:r>
              <w:rPr>
                <w:rFonts w:hint="eastAsia" w:ascii="宋体" w:hAnsi="宋体" w:eastAsia="宋体" w:cs="宋体"/>
                <w:kern w:val="0"/>
                <w:sz w:val="20"/>
                <w:szCs w:val="20"/>
              </w:rPr>
              <w:t>信号输入要求：可输入计算机RGB、DVI信号，分辨率支持800×600～1920×1200@60Hz，每秒60帧信号采集；可输入HDMI高清信号，分辨率支持1080p；可输入全制式视频信号，兼容PLA,SECAM,NTSC制式。要求以上信号能同时输入并同时显示，所有信号窗口均可以任意大小、缩放、拖动、叠加、漫游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应具有较高的系统稳定性和可靠性，可全年持续工作，支持全年7×24小时连续运行。整机平均无故障工作时间MTBF≥12万小时，平均恢复前时间MTTR＜10S，单通道显存不低于512M。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w:t>
            </w:r>
            <w:r>
              <w:rPr>
                <w:rFonts w:hint="eastAsia" w:ascii="宋体" w:hAnsi="宋体" w:eastAsia="宋体" w:cs="宋体"/>
                <w:b/>
                <w:kern w:val="0"/>
                <w:sz w:val="20"/>
                <w:szCs w:val="20"/>
              </w:rPr>
              <w:t>*</w:t>
            </w:r>
            <w:r>
              <w:rPr>
                <w:rFonts w:hint="eastAsia" w:ascii="宋体" w:hAnsi="宋体" w:eastAsia="宋体" w:cs="宋体"/>
                <w:kern w:val="0"/>
                <w:sz w:val="20"/>
                <w:szCs w:val="20"/>
              </w:rPr>
              <w:t>图像控制处理器应具备良好的环境适应性，可在-20~70℃温度范围内及10%~95%RH湿度范围内贮存，噪声不超过35dB，环境温度25℃时信号处理器温升小于23.5K；</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w:t>
            </w:r>
            <w:r>
              <w:rPr>
                <w:rFonts w:hint="eastAsia" w:ascii="宋体" w:hAnsi="宋体" w:eastAsia="宋体" w:cs="宋体"/>
                <w:b/>
                <w:kern w:val="0"/>
                <w:sz w:val="20"/>
                <w:szCs w:val="20"/>
              </w:rPr>
              <w:t>*</w:t>
            </w:r>
            <w:r>
              <w:rPr>
                <w:rFonts w:hint="eastAsia" w:ascii="宋体" w:hAnsi="宋体" w:eastAsia="宋体" w:cs="宋体"/>
                <w:kern w:val="0"/>
                <w:sz w:val="20"/>
                <w:szCs w:val="20"/>
              </w:rPr>
              <w:t xml:space="preserve">图像拼接控制器具备良好的防尘特性，通过IP5X防尘测试；通过高低温循环测试，通过带包装跌落测试。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台</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8</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控制软件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1、控制软件与图像控制系统、LED显示单元为同一厂商产品，不会出现专利权和服务升级问题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2、全中文操作界面，包括所有菜单、控制按钮、信号源名称及窗口标题等均支持全中文显示。                                                                                                                                                                  3、具备系统硬件控制、调节功能，除了能够实时对显示单元、外置图像拼接处理器进行控制及参数调整外，还可以实现对矩阵等硬件设备进行联动控制操作。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9</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kern w:val="0"/>
                <w:sz w:val="20"/>
                <w:szCs w:val="20"/>
              </w:rPr>
            </w:pPr>
            <w:r>
              <w:rPr>
                <w:rFonts w:hint="eastAsia" w:ascii="宋体" w:hAnsi="宋体" w:eastAsia="宋体" w:cs="宋体"/>
                <w:kern w:val="0"/>
                <w:sz w:val="20"/>
                <w:szCs w:val="20"/>
              </w:rPr>
              <w:t>配套线缆等附件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包括视频、RGB、DVI线缆等设备连接线材及辅件，满足使用需求。</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9"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10</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会议室机房建设</w:t>
            </w:r>
          </w:p>
          <w:p>
            <w:pPr>
              <w:widowControl/>
              <w:spacing w:line="360" w:lineRule="atLeast"/>
              <w:ind w:firstLine="200"/>
              <w:jc w:val="center"/>
              <w:rPr>
                <w:rFonts w:ascii="宋体" w:hAnsi="宋体" w:eastAsia="宋体" w:cs="宋体"/>
                <w:kern w:val="0"/>
                <w:sz w:val="20"/>
                <w:szCs w:val="20"/>
              </w:rPr>
            </w:pP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kern w:val="0"/>
                <w:sz w:val="20"/>
                <w:szCs w:val="20"/>
              </w:rPr>
            </w:pPr>
            <w:r>
              <w:rPr>
                <w:rFonts w:hint="eastAsia" w:ascii="宋体" w:hAnsi="宋体" w:eastAsia="宋体" w:cs="宋体"/>
                <w:kern w:val="0"/>
                <w:sz w:val="20"/>
                <w:szCs w:val="20"/>
              </w:rPr>
              <w:t>1、墙面隔断、轻钢龙骨隔断细木工加固，内嵌LED屏 耐污、耐火、耐酸、耐磨；产品表面平坦光滑，无划伤、开裂和变形，所有异型工艺均经全自动数控加工中心加工而成品外表边缘的倒棱圆角，边缘平整，光滑，弧线均匀一致，无加工刀痕，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2、隐形门、细木工打底造型，铝塑板饰面与隔断铝塑板拼缝一致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3、中国司法LOGO、亚克力水晶字亚克力瓷白字、铝铸材质，表面烤漆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4、10㎡三相电改造，从配电间改至会议室，线路走暗线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5、增加1台3P柜机空调</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项</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kern w:val="0"/>
                <w:sz w:val="24"/>
              </w:rPr>
            </w:pPr>
            <w:r>
              <w:rPr>
                <w:rFonts w:hint="eastAsia" w:ascii="宋体" w:hAnsi="宋体" w:eastAsia="宋体" w:cs="宋体"/>
                <w:kern w:val="0"/>
                <w:sz w:val="24"/>
              </w:rPr>
              <w:t>否</w:t>
            </w:r>
          </w:p>
        </w:tc>
      </w:tr>
    </w:tbl>
    <w:p>
      <w:pPr>
        <w:widowControl/>
        <w:shd w:val="clear" w:color="auto" w:fill="FFFFFF"/>
        <w:tabs>
          <w:tab w:val="left" w:pos="537"/>
        </w:tabs>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ab/>
      </w:r>
      <w:r>
        <w:rPr>
          <w:rFonts w:hint="eastAsia" w:ascii="仿宋" w:hAnsi="仿宋" w:eastAsia="仿宋" w:cs="仿宋"/>
          <w:kern w:val="0"/>
          <w:sz w:val="30"/>
          <w:szCs w:val="30"/>
          <w:shd w:val="clear" w:color="auto" w:fill="FFFFFF"/>
        </w:rPr>
        <w:t>2、市司法局公共法律服务中心视频会议系统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800"/>
        <w:gridCol w:w="20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单位</w:t>
            </w:r>
          </w:p>
        </w:tc>
        <w:tc>
          <w:tcPr>
            <w:tcW w:w="8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数量</w:t>
            </w:r>
          </w:p>
        </w:tc>
        <w:tc>
          <w:tcPr>
            <w:tcW w:w="2010"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宋体" w:hAnsi="宋体" w:eastAsia="宋体" w:cs="宋体"/>
                <w:kern w:val="0"/>
                <w:sz w:val="24"/>
              </w:rPr>
            </w:pPr>
            <w:r>
              <w:rPr>
                <w:rFonts w:hint="eastAsia" w:ascii="仿宋" w:hAnsi="仿宋" w:eastAsia="仿宋" w:cs="仿宋"/>
                <w:b/>
                <w:kern w:val="0"/>
                <w:sz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0"/>
                <w:szCs w:val="20"/>
              </w:rPr>
              <w:t>小型一体化终端</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微软雅黑" w:hAnsi="微软雅黑" w:eastAsia="宋体" w:cs="宋体"/>
                <w:kern w:val="0"/>
                <w:sz w:val="24"/>
              </w:rPr>
            </w:pPr>
            <w:r>
              <w:rPr>
                <w:rFonts w:hint="eastAsia" w:ascii="宋体" w:hAnsi="宋体" w:eastAsia="宋体" w:cs="宋体"/>
                <w:kern w:val="0"/>
                <w:sz w:val="20"/>
                <w:szCs w:val="20"/>
              </w:rPr>
              <w:t>1. ▲要求采用嵌入式操作系统，非PC架构，非工控机架构，支持H.323/SIP协议标准。同时支持IPV4和IPV6协议栈；最大呼叫宽带不低于2Mbps接入速率；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视频支持H.264BP、H.264HP等图像编码协议；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支持G.711A、G.711U、G.722等音频协议；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提供至少1路高清视频输入、至少1路高清视频输出接口；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▲支持不少于2路音频输入和4路音频输出接口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内置全高清摄像机，不低于200万像素，1/3英寸CMOS，支持1080P 30fps视频图像采集;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摄像机支持不小于3倍数字变焦，水平视角不小于108°（外接摄像头广角镜视为不支持）；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内置数字阵列麦克风，拾音半径不少于6米；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9. </w:t>
            </w:r>
            <w:r>
              <w:rPr>
                <w:rFonts w:hint="eastAsia" w:ascii="宋体" w:hAnsi="宋体" w:eastAsia="宋体" w:cs="宋体"/>
                <w:b/>
                <w:kern w:val="0"/>
                <w:sz w:val="20"/>
                <w:szCs w:val="20"/>
              </w:rPr>
              <w:t>*</w:t>
            </w:r>
            <w:r>
              <w:rPr>
                <w:rFonts w:hint="eastAsia" w:ascii="宋体" w:hAnsi="宋体" w:eastAsia="宋体" w:cs="宋体"/>
                <w:kern w:val="0"/>
                <w:sz w:val="20"/>
                <w:szCs w:val="20"/>
              </w:rPr>
              <w:t>支持2.4GHz、5GHz双频接入，同时支持Wi-Fi热点及客户端模式，能够通过WIFI网络进行视音频通信，方便会议室网络布线。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w:t>
            </w:r>
            <w:r>
              <w:rPr>
                <w:rFonts w:ascii="Calibri" w:hAnsi="Calibri" w:eastAsia="宋体" w:cs="Times New Roman"/>
              </w:rPr>
              <w:t xml:space="preserve"> </w:t>
            </w:r>
            <w:r>
              <w:rPr>
                <w:rFonts w:ascii="宋体" w:hAnsi="宋体" w:eastAsia="宋体" w:cs="宋体"/>
                <w:b/>
                <w:kern w:val="0"/>
                <w:sz w:val="20"/>
                <w:szCs w:val="20"/>
              </w:rPr>
              <w:t>*</w:t>
            </w:r>
            <w:r>
              <w:rPr>
                <w:rFonts w:hint="eastAsia" w:ascii="宋体" w:hAnsi="宋体" w:eastAsia="宋体" w:cs="宋体"/>
                <w:kern w:val="0"/>
                <w:sz w:val="20"/>
                <w:szCs w:val="20"/>
              </w:rPr>
              <w:t xml:space="preserve">具备良好的网络适应性，20%的网络丢包下,图像流畅、清晰、无卡顿、无马赛克现象，确保会议正常进行；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台</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2</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0"/>
                <w:szCs w:val="20"/>
              </w:rPr>
            </w:pPr>
            <w:r>
              <w:rPr>
                <w:rFonts w:hint="eastAsia" w:ascii="宋体" w:hAnsi="宋体" w:eastAsia="宋体" w:cs="宋体"/>
                <w:kern w:val="0"/>
                <w:sz w:val="20"/>
                <w:szCs w:val="20"/>
              </w:rPr>
              <w:t>政务网专线</w:t>
            </w: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宋体"/>
                <w:kern w:val="0"/>
                <w:sz w:val="20"/>
                <w:szCs w:val="20"/>
              </w:rPr>
            </w:pPr>
            <w:r>
              <w:rPr>
                <w:rFonts w:hint="eastAsia" w:ascii="宋体" w:hAnsi="宋体" w:eastAsia="宋体" w:cs="宋体"/>
                <w:kern w:val="0"/>
                <w:sz w:val="20"/>
                <w:szCs w:val="20"/>
              </w:rPr>
              <w:t>50M专线接入，公共法律服务中心接入政务外网和司法专网；</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年</w:t>
            </w:r>
          </w:p>
        </w:tc>
        <w:tc>
          <w:tcPr>
            <w:tcW w:w="8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3</w:t>
            </w:r>
          </w:p>
        </w:tc>
        <w:tc>
          <w:tcPr>
            <w:tcW w:w="201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3</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0"/>
                <w:szCs w:val="20"/>
              </w:rPr>
            </w:pPr>
            <w:r>
              <w:rPr>
                <w:rFonts w:hint="eastAsia" w:ascii="宋体" w:hAnsi="宋体" w:eastAsia="宋体" w:cs="宋体"/>
                <w:kern w:val="0"/>
                <w:sz w:val="20"/>
                <w:szCs w:val="20"/>
              </w:rPr>
              <w:t>路由器</w:t>
            </w: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宋体"/>
                <w:kern w:val="0"/>
                <w:sz w:val="20"/>
                <w:szCs w:val="20"/>
              </w:rPr>
            </w:pPr>
            <w:r>
              <w:rPr>
                <w:rFonts w:hint="eastAsia" w:ascii="宋体" w:hAnsi="宋体" w:eastAsia="宋体" w:cs="宋体"/>
                <w:kern w:val="0"/>
                <w:sz w:val="20"/>
                <w:szCs w:val="20"/>
              </w:rPr>
              <w:t>1.采用无阻塞交换架构和多核CPU；</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2.模块插槽≥2个；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3.包转发能力≥2Mpps；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4.实际配置8个千兆电口（支持切换为WAN口），其中包含2个千兆光电复用口；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5.支持路由策略，静态路由，RIP，OSPF，IS-IS，BGP；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6.支持IGMP V1/V2/V3，IGMP-Snooping V1/V2/V3，PIM SM，PIM DM，MSDP；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7.支持MPLS L3 VPN；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8.支持IPSec VPN，GRE VPN，L2TP VPN；支持简易化IPSec部署方案EVPN；</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9.支持AP无线控制器功能（AC功能），可管理无线AP；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10.支持MAC、802.1x、Portal认证、广播抑制、ARP安全等，支持本地认证、AAA认证、RADIUS；</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台</w:t>
            </w:r>
          </w:p>
        </w:tc>
        <w:tc>
          <w:tcPr>
            <w:tcW w:w="8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1</w:t>
            </w:r>
          </w:p>
        </w:tc>
        <w:tc>
          <w:tcPr>
            <w:tcW w:w="201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kern w:val="0"/>
                <w:sz w:val="24"/>
              </w:rPr>
            </w:pPr>
            <w:r>
              <w:rPr>
                <w:rFonts w:hint="eastAsia" w:ascii="宋体" w:hAnsi="宋体" w:eastAsia="宋体" w:cs="宋体"/>
                <w:kern w:val="0"/>
                <w:sz w:val="24"/>
              </w:rPr>
              <w:t>否</w:t>
            </w:r>
          </w:p>
        </w:tc>
      </w:tr>
    </w:tbl>
    <w:p>
      <w:pPr>
        <w:widowControl/>
        <w:numPr>
          <w:ilvl w:val="0"/>
          <w:numId w:val="5"/>
        </w:numPr>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市司法局视频会议室大屏系统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763"/>
        <w:gridCol w:w="20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单位</w:t>
            </w:r>
          </w:p>
        </w:tc>
        <w:tc>
          <w:tcPr>
            <w:tcW w:w="76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数量</w:t>
            </w:r>
          </w:p>
        </w:tc>
        <w:tc>
          <w:tcPr>
            <w:tcW w:w="2047"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仿宋" w:hAnsi="仿宋" w:eastAsia="仿宋" w:cs="仿宋"/>
                <w:kern w:val="0"/>
                <w:szCs w:val="21"/>
              </w:rPr>
            </w:pPr>
            <w:r>
              <w:rPr>
                <w:rFonts w:hint="eastAsia" w:ascii="仿宋" w:hAnsi="仿宋" w:eastAsia="仿宋" w:cs="仿宋"/>
                <w:b/>
                <w:kern w:val="0"/>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LED显示屏体</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1、屏体要求：</w:t>
            </w:r>
            <w:r>
              <w:rPr>
                <w:rFonts w:hint="eastAsia" w:ascii="宋体" w:hAnsi="宋体" w:eastAsia="宋体" w:cs="仿宋"/>
                <w:kern w:val="0"/>
                <w:sz w:val="20"/>
                <w:szCs w:val="20"/>
              </w:rPr>
              <w:br w:type="textWrapping"/>
            </w:r>
            <w:r>
              <w:rPr>
                <w:rFonts w:hint="eastAsia" w:ascii="宋体" w:hAnsi="宋体" w:eastAsia="宋体" w:cs="仿宋"/>
                <w:kern w:val="0"/>
                <w:sz w:val="20"/>
                <w:szCs w:val="20"/>
              </w:rPr>
              <w:t>1）显示屏规格：采用SMD1010表贴三合一LED灯管全彩色高清LED显示屏，像素点间距1.8mm，大屏幕显示尺寸≥7.2米（长）×1.92米（高）；大屏幕显示长度和宽度的尺寸及显示面积误差不超过1%；</w:t>
            </w:r>
            <w:r>
              <w:rPr>
                <w:rFonts w:hint="eastAsia" w:ascii="宋体" w:hAnsi="宋体" w:eastAsia="宋体" w:cs="仿宋"/>
                <w:kern w:val="0"/>
                <w:sz w:val="20"/>
                <w:szCs w:val="20"/>
              </w:rPr>
              <w:br w:type="textWrapping"/>
            </w:r>
            <w:r>
              <w:rPr>
                <w:rFonts w:hint="eastAsia" w:ascii="宋体" w:hAnsi="宋体" w:eastAsia="宋体" w:cs="仿宋"/>
                <w:kern w:val="0"/>
                <w:sz w:val="20"/>
                <w:szCs w:val="20"/>
              </w:rPr>
              <w:t>2</w:t>
            </w:r>
            <w:r>
              <w:rPr>
                <w:rFonts w:hint="eastAsia" w:ascii="宋体" w:hAnsi="宋体" w:eastAsia="宋体" w:cs="宋体"/>
                <w:b/>
                <w:kern w:val="0"/>
                <w:sz w:val="20"/>
                <w:szCs w:val="20"/>
              </w:rPr>
              <w:t>*</w:t>
            </w:r>
            <w:r>
              <w:rPr>
                <w:rFonts w:hint="eastAsia" w:ascii="宋体" w:hAnsi="宋体" w:eastAsia="宋体" w:cs="仿宋"/>
                <w:kern w:val="0"/>
                <w:sz w:val="20"/>
                <w:szCs w:val="20"/>
              </w:rPr>
              <w:t xml:space="preserve"> 整屏失控率小于百万分之一，盲点率小于百万分之一，出厂时为0，连续失控点为0，工作3年衰减率＜3％，灯珠寿命＞12万小时。                                                                                                                                                                                                         3）产品采用专业的全封闭式防尘设计，具备优良的防尘特性，产品具备IP6X防尘功能；产品具备良好的抗震性能，通过8级抗震测试；</w:t>
            </w:r>
            <w:r>
              <w:rPr>
                <w:rFonts w:hint="eastAsia" w:ascii="宋体" w:hAnsi="宋体" w:eastAsia="宋体" w:cs="仿宋"/>
                <w:kern w:val="0"/>
                <w:sz w:val="20"/>
                <w:szCs w:val="20"/>
              </w:rPr>
              <w:br w:type="textWrapping"/>
            </w:r>
            <w:r>
              <w:rPr>
                <w:rFonts w:hint="eastAsia" w:ascii="宋体" w:hAnsi="宋体" w:eastAsia="宋体" w:cs="仿宋"/>
                <w:kern w:val="0"/>
                <w:sz w:val="20"/>
                <w:szCs w:val="20"/>
              </w:rPr>
              <w:t>4）对比度：不小于7000：1；灰度等级：不小于16bit；视角及均匀度：屏幕水平视角≥170度 ，垂直视角≥170度；色度均匀性：≤±0.003Cx,Cy，亮度均匀性：≥99%；光利用率≥99%；刷新频率≥3900Hz，换帧频率：50&amp;60Hz；</w:t>
            </w:r>
            <w:r>
              <w:rPr>
                <w:rFonts w:hint="eastAsia" w:ascii="宋体" w:hAnsi="宋体" w:eastAsia="宋体" w:cs="仿宋"/>
                <w:kern w:val="0"/>
                <w:sz w:val="20"/>
                <w:szCs w:val="20"/>
              </w:rPr>
              <w:br w:type="textWrapping"/>
            </w:r>
            <w:r>
              <w:rPr>
                <w:rFonts w:hint="eastAsia" w:ascii="宋体" w:hAnsi="宋体" w:eastAsia="宋体" w:cs="仿宋"/>
                <w:kern w:val="0"/>
                <w:sz w:val="20"/>
                <w:szCs w:val="20"/>
              </w:rPr>
              <w:t>5）屏体采用无风扇散热、低噪音环保设计，靠空气流通自然散热，噪声不大于9dB；                                                                                         6）</w:t>
            </w:r>
            <w:r>
              <w:rPr>
                <w:rFonts w:hint="eastAsia" w:ascii="宋体" w:hAnsi="宋体" w:eastAsia="宋体" w:cs="宋体"/>
                <w:b/>
                <w:kern w:val="0"/>
                <w:sz w:val="20"/>
                <w:szCs w:val="20"/>
              </w:rPr>
              <w:t>*</w:t>
            </w:r>
            <w:r>
              <w:rPr>
                <w:rFonts w:hint="eastAsia" w:ascii="宋体" w:hAnsi="宋体" w:eastAsia="宋体" w:cs="仿宋"/>
                <w:kern w:val="0"/>
                <w:sz w:val="20"/>
                <w:szCs w:val="20"/>
              </w:rPr>
              <w:t>LED显示屏符合蓝光辐射检测无危险类要求；</w:t>
            </w:r>
            <w:r>
              <w:rPr>
                <w:rFonts w:hint="eastAsia" w:ascii="宋体" w:hAnsi="宋体" w:eastAsia="宋体" w:cs="仿宋"/>
                <w:kern w:val="0"/>
                <w:sz w:val="20"/>
                <w:szCs w:val="20"/>
              </w:rPr>
              <w:br w:type="textWrapping"/>
            </w:r>
            <w:r>
              <w:rPr>
                <w:rFonts w:hint="eastAsia" w:ascii="宋体" w:hAnsi="宋体" w:eastAsia="宋体" w:cs="仿宋"/>
                <w:kern w:val="0"/>
                <w:sz w:val="20"/>
                <w:szCs w:val="20"/>
              </w:rPr>
              <w:t>7）LED显示屏正常使用达到热平衡后，屏体结构金属部分温升不超过45K，绝缘材料温升不超过70K；</w:t>
            </w:r>
            <w:r>
              <w:rPr>
                <w:rFonts w:hint="eastAsia" w:ascii="宋体" w:hAnsi="宋体" w:eastAsia="宋体" w:cs="仿宋"/>
                <w:kern w:val="0"/>
                <w:sz w:val="20"/>
                <w:szCs w:val="20"/>
              </w:rPr>
              <w:br w:type="textWrapping"/>
            </w:r>
            <w:r>
              <w:rPr>
                <w:rFonts w:hint="eastAsia" w:ascii="宋体" w:hAnsi="宋体" w:eastAsia="宋体" w:cs="仿宋"/>
                <w:kern w:val="0"/>
                <w:sz w:val="20"/>
                <w:szCs w:val="20"/>
              </w:rPr>
              <w:t>8）显示屏亮度控制等级≥256，亮度鉴别等级≥20，对地漏电流≤3.5mA/㎡，可承受50Hz、1500V（交流电有效值）的试验电压1分钟不发生绝缘击穿；信噪比不小于47dB；</w:t>
            </w:r>
            <w:r>
              <w:rPr>
                <w:rFonts w:hint="eastAsia" w:ascii="宋体" w:hAnsi="宋体" w:eastAsia="宋体" w:cs="仿宋"/>
                <w:kern w:val="0"/>
                <w:sz w:val="20"/>
                <w:szCs w:val="20"/>
              </w:rPr>
              <w:br w:type="textWrapping"/>
            </w:r>
            <w:r>
              <w:rPr>
                <w:rFonts w:hint="eastAsia" w:ascii="宋体" w:hAnsi="宋体" w:eastAsia="宋体" w:cs="仿宋"/>
                <w:kern w:val="0"/>
                <w:sz w:val="20"/>
                <w:szCs w:val="20"/>
              </w:rPr>
              <w:t>9）LED显示屏具备良好的阻燃特性，满足UL94 V-0阻燃要求；                                                                                                                                                                                                                                                                                                                                                                                                                                                                                                                                                                                                                       2、▲为保证系统的稳定性和兼容性，本次项目中提供的LED大屏幕系统的LED显示屏体、图像处理器和大屏控制软件必须采用</w:t>
            </w:r>
            <w:r>
              <w:rPr>
                <w:rFonts w:hint="eastAsia" w:ascii="宋体" w:hAnsi="宋体" w:eastAsia="宋体" w:cs="宋体"/>
                <w:kern w:val="0"/>
                <w:sz w:val="20"/>
                <w:szCs w:val="20"/>
              </w:rPr>
              <w:t>为同一厂商产品；</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平方米</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14</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2</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铝型材框架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依据显示面积定制，铝型材结构采用专用支架，制式产品，铝制型材，稳固性好，拼接效果好，安装简单，美观轻巧。</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3</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图像处理器</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1 、为保证系统的稳定性和兼容性，本次项目中提供的LED大屏幕系统的LED显示屏体、图像处理器和大屏控制软件必须采用</w:t>
            </w:r>
            <w:r>
              <w:rPr>
                <w:rFonts w:hint="eastAsia" w:ascii="宋体" w:hAnsi="宋体" w:eastAsia="宋体" w:cs="宋体"/>
                <w:kern w:val="0"/>
                <w:sz w:val="20"/>
                <w:szCs w:val="20"/>
              </w:rPr>
              <w:t>为同一厂商产品；</w:t>
            </w:r>
            <w:r>
              <w:rPr>
                <w:rFonts w:hint="eastAsia" w:ascii="宋体" w:hAnsi="宋体" w:eastAsia="宋体" w:cs="仿宋"/>
                <w:kern w:val="0"/>
                <w:sz w:val="20"/>
                <w:szCs w:val="20"/>
              </w:rPr>
              <w:br w:type="textWrapping"/>
            </w:r>
            <w:r>
              <w:rPr>
                <w:rFonts w:hint="eastAsia" w:ascii="宋体" w:hAnsi="宋体" w:eastAsia="宋体" w:cs="仿宋"/>
                <w:kern w:val="0"/>
                <w:sz w:val="20"/>
                <w:szCs w:val="20"/>
              </w:rPr>
              <w:t>2、图像拼接控制器采用全模块化结构设计、支持板卡热插拔，单通道数据带宽不小于10Gbps，单机带宽不小于180Gbps，设备支持级联使用，N台级联系统总带宽：N×单机带宽。                                                                                                                                                                                                                                                3、 信号输入要求：可输入计算机RGB、DVI信号，分辨率支持800×600～1920×1200@60Hz，每秒60帧信号采集；可输入HDMI高清信号，分辨率支持1080p；可输入全制式视频信号，兼容PLA,SECAM,NTSC制式。要求以上信号能同时输入并同时显示，所有信号能同时输出，窗口均可以任意大小、缩放、拖动、叠加、漫游显示。</w:t>
            </w:r>
            <w:r>
              <w:rPr>
                <w:rFonts w:hint="eastAsia" w:ascii="宋体" w:hAnsi="宋体" w:eastAsia="宋体" w:cs="仿宋"/>
                <w:kern w:val="0"/>
                <w:sz w:val="20"/>
                <w:szCs w:val="20"/>
              </w:rPr>
              <w:br w:type="textWrapping"/>
            </w:r>
            <w:r>
              <w:rPr>
                <w:rFonts w:hint="eastAsia" w:ascii="宋体" w:hAnsi="宋体" w:eastAsia="宋体" w:cs="仿宋"/>
                <w:kern w:val="0"/>
                <w:sz w:val="20"/>
                <w:szCs w:val="20"/>
              </w:rPr>
              <w:t>4、 应具有较高的系统稳定性和可靠性，可全年持续工作，支持全年7×24小时连续运行。整机平均无故障工作时间MTBF≥12万小时，平均恢复前时间MTTR＜10S，单通道显存不低于512M。</w:t>
            </w:r>
            <w:r>
              <w:rPr>
                <w:rFonts w:hint="eastAsia" w:ascii="宋体" w:hAnsi="宋体" w:eastAsia="宋体" w:cs="仿宋"/>
                <w:kern w:val="0"/>
                <w:sz w:val="20"/>
                <w:szCs w:val="20"/>
              </w:rPr>
              <w:br w:type="textWrapping"/>
            </w:r>
            <w:r>
              <w:rPr>
                <w:rFonts w:hint="eastAsia" w:ascii="宋体" w:hAnsi="宋体" w:eastAsia="宋体" w:cs="仿宋"/>
                <w:kern w:val="0"/>
                <w:sz w:val="20"/>
                <w:szCs w:val="20"/>
              </w:rPr>
              <w:t>5、图像控制处理器应具备良好的环境适应性，可在-20~70℃温度范围内及10%~95%RH湿度范围内贮存，噪声不超过35dB，环境温度25℃时信号处理器温升小于23.5K；</w:t>
            </w:r>
            <w:r>
              <w:rPr>
                <w:rFonts w:hint="eastAsia" w:ascii="宋体" w:hAnsi="宋体" w:eastAsia="宋体" w:cs="仿宋"/>
                <w:kern w:val="0"/>
                <w:sz w:val="20"/>
                <w:szCs w:val="20"/>
              </w:rPr>
              <w:br w:type="textWrapping"/>
            </w:r>
            <w:r>
              <w:rPr>
                <w:rFonts w:hint="eastAsia" w:ascii="宋体" w:hAnsi="宋体" w:eastAsia="宋体" w:cs="仿宋"/>
                <w:kern w:val="0"/>
                <w:sz w:val="20"/>
                <w:szCs w:val="20"/>
              </w:rPr>
              <w:t xml:space="preserve">6、图像拼接控制器具备良好的防尘特性，通过IP5X防尘测试；通过高低温循环测试，通过带包装跌落测试。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台</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4</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控制软件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1、控制软件与图像处理器、LED显示屏体</w:t>
            </w:r>
            <w:r>
              <w:rPr>
                <w:rFonts w:hint="eastAsia" w:ascii="宋体" w:hAnsi="宋体" w:eastAsia="宋体" w:cs="宋体"/>
                <w:kern w:val="0"/>
                <w:sz w:val="20"/>
                <w:szCs w:val="20"/>
              </w:rPr>
              <w:t>为同一厂商产品</w:t>
            </w:r>
            <w:r>
              <w:rPr>
                <w:rFonts w:hint="eastAsia" w:ascii="宋体" w:hAnsi="宋体" w:eastAsia="宋体" w:cs="仿宋"/>
                <w:kern w:val="0"/>
                <w:sz w:val="20"/>
                <w:szCs w:val="20"/>
              </w:rPr>
              <w:t>，不会出现专利权和服务升级问题；</w:t>
            </w:r>
            <w:r>
              <w:rPr>
                <w:rFonts w:hint="eastAsia" w:ascii="宋体" w:hAnsi="宋体" w:eastAsia="宋体" w:cs="仿宋"/>
                <w:kern w:val="0"/>
                <w:sz w:val="20"/>
                <w:szCs w:val="20"/>
              </w:rPr>
              <w:br w:type="textWrapping"/>
            </w:r>
            <w:r>
              <w:rPr>
                <w:rFonts w:hint="eastAsia" w:ascii="宋体" w:hAnsi="宋体" w:eastAsia="宋体" w:cs="仿宋"/>
                <w:kern w:val="0"/>
                <w:sz w:val="20"/>
                <w:szCs w:val="20"/>
              </w:rPr>
              <w:t xml:space="preserve">2、全中文操作界面，包括所有菜单、控制按钮、信号源名称及窗口标题等均支持全中文显示；                                                                                                                                                                 3、具备系统硬件控制、调节功能，除了能够实时对显示单元、外置图像拼接处理器进行控制及参数调整外，还可以实现对矩阵等硬件设备进行联动控制操作；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5</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配套线缆等附件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包括视频、RGB、DVI线缆等设备连接线材及辅件，满足使用需求</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b/>
                <w:kern w:val="0"/>
                <w:szCs w:val="21"/>
              </w:rPr>
            </w:pPr>
            <w:r>
              <w:rPr>
                <w:rFonts w:hint="eastAsia" w:ascii="宋体" w:hAnsi="宋体" w:eastAsia="宋体" w:cs="宋体"/>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6</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配电箱</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10KWPLC智能配电箱，实现远程上电，远程控制，分布上电；所有硬件设备符合电子专业相关国家、国际标准。配电箱中配备的保护措施包括过流、缺相、短路、断路、过压、欠压、温度过高等，也配备相应的故障指示装置，方便故障的检修工作。</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台</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宋体" w:hAnsi="宋体" w:eastAsia="宋体" w:cs="宋体"/>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kern w:val="0"/>
                <w:sz w:val="20"/>
                <w:szCs w:val="20"/>
              </w:rPr>
            </w:pPr>
            <w:r>
              <w:rPr>
                <w:rFonts w:hint="eastAsia" w:ascii="宋体" w:hAnsi="宋体" w:eastAsia="宋体" w:cs="仿宋"/>
                <w:kern w:val="0"/>
                <w:sz w:val="20"/>
                <w:szCs w:val="20"/>
              </w:rPr>
              <w:t>7</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jc w:val="center"/>
              <w:rPr>
                <w:rFonts w:ascii="宋体" w:hAnsi="宋体" w:eastAsia="宋体" w:cs="仿宋"/>
                <w:kern w:val="0"/>
                <w:sz w:val="20"/>
                <w:szCs w:val="20"/>
              </w:rPr>
            </w:pPr>
            <w:r>
              <w:rPr>
                <w:rFonts w:hint="eastAsia" w:ascii="宋体" w:hAnsi="宋体" w:eastAsia="宋体" w:cs="仿宋"/>
                <w:kern w:val="0"/>
                <w:sz w:val="20"/>
                <w:szCs w:val="20"/>
              </w:rPr>
              <w:t>会议室机房建设</w:t>
            </w:r>
          </w:p>
          <w:p>
            <w:pPr>
              <w:widowControl/>
              <w:spacing w:line="360" w:lineRule="atLeast"/>
              <w:jc w:val="center"/>
              <w:rPr>
                <w:rFonts w:ascii="宋体" w:hAnsi="宋体" w:eastAsia="宋体" w:cs="仿宋"/>
                <w:kern w:val="0"/>
                <w:sz w:val="20"/>
                <w:szCs w:val="20"/>
              </w:rPr>
            </w:pP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kern w:val="0"/>
                <w:sz w:val="20"/>
                <w:szCs w:val="20"/>
              </w:rPr>
            </w:pPr>
            <w:r>
              <w:rPr>
                <w:rFonts w:hint="eastAsia" w:ascii="宋体" w:hAnsi="宋体" w:eastAsia="宋体" w:cs="仿宋"/>
                <w:kern w:val="0"/>
                <w:sz w:val="20"/>
                <w:szCs w:val="20"/>
              </w:rPr>
              <w:t>1、主席台隔断、轻钢龙骨隔断细木工加固，内嵌LED屏 耐污、耐火、耐酸、耐磨；产品表面平坦光滑，无划伤、开裂和变形，所有异型工艺均经全自动数控加工中心加工而成品外表边缘的倒棱圆角，边缘平整，光滑，弧线均匀一致，无加工刀痕，</w:t>
            </w:r>
            <w:r>
              <w:rPr>
                <w:rFonts w:hint="eastAsia" w:ascii="宋体" w:hAnsi="宋体" w:eastAsia="宋体" w:cs="仿宋"/>
                <w:kern w:val="0"/>
                <w:sz w:val="20"/>
                <w:szCs w:val="20"/>
              </w:rPr>
              <w:br w:type="textWrapping"/>
            </w:r>
            <w:r>
              <w:rPr>
                <w:rFonts w:hint="eastAsia" w:ascii="宋体" w:hAnsi="宋体" w:eastAsia="宋体" w:cs="仿宋"/>
                <w:kern w:val="0"/>
                <w:sz w:val="20"/>
                <w:szCs w:val="20"/>
              </w:rPr>
              <w:t>2、地台加宽、细木工骨架，细木工罩面（因主席台变窄）</w:t>
            </w:r>
            <w:r>
              <w:rPr>
                <w:rFonts w:hint="eastAsia" w:ascii="宋体" w:hAnsi="宋体" w:eastAsia="宋体" w:cs="仿宋"/>
                <w:kern w:val="0"/>
                <w:sz w:val="20"/>
                <w:szCs w:val="20"/>
              </w:rPr>
              <w:br w:type="textWrapping"/>
            </w:r>
            <w:r>
              <w:rPr>
                <w:rFonts w:hint="eastAsia" w:ascii="宋体" w:hAnsi="宋体" w:eastAsia="宋体" w:cs="仿宋"/>
                <w:kern w:val="0"/>
                <w:sz w:val="20"/>
                <w:szCs w:val="20"/>
              </w:rPr>
              <w:t>3、隐形门、细木工打底造型，铝塑板饰面与隔断铝塑板拼缝一致</w:t>
            </w:r>
            <w:r>
              <w:rPr>
                <w:rFonts w:hint="eastAsia" w:ascii="宋体" w:hAnsi="宋体" w:eastAsia="宋体" w:cs="仿宋"/>
                <w:kern w:val="0"/>
                <w:sz w:val="20"/>
                <w:szCs w:val="20"/>
              </w:rPr>
              <w:br w:type="textWrapping"/>
            </w:r>
            <w:r>
              <w:rPr>
                <w:rFonts w:hint="eastAsia" w:ascii="宋体" w:hAnsi="宋体" w:eastAsia="宋体" w:cs="仿宋"/>
                <w:kern w:val="0"/>
                <w:sz w:val="20"/>
                <w:szCs w:val="20"/>
              </w:rPr>
              <w:t>4、形象墙加固、细木工全铺加固</w:t>
            </w:r>
            <w:r>
              <w:rPr>
                <w:rFonts w:hint="eastAsia" w:ascii="宋体" w:hAnsi="宋体" w:eastAsia="宋体" w:cs="仿宋"/>
                <w:kern w:val="0"/>
                <w:sz w:val="20"/>
                <w:szCs w:val="20"/>
              </w:rPr>
              <w:br w:type="textWrapping"/>
            </w:r>
            <w:r>
              <w:rPr>
                <w:rFonts w:hint="eastAsia" w:ascii="宋体" w:hAnsi="宋体" w:eastAsia="宋体" w:cs="仿宋"/>
                <w:kern w:val="0"/>
                <w:sz w:val="20"/>
                <w:szCs w:val="20"/>
              </w:rPr>
              <w:t>5、形象墙、中国司法LOGO、亚克力水晶字亚克力瓷白字、铝铸材质，表面烤漆</w:t>
            </w:r>
            <w:r>
              <w:rPr>
                <w:rFonts w:hint="eastAsia" w:ascii="宋体" w:hAnsi="宋体" w:eastAsia="宋体" w:cs="仿宋"/>
                <w:kern w:val="0"/>
                <w:sz w:val="20"/>
                <w:szCs w:val="20"/>
              </w:rPr>
              <w:br w:type="textWrapping"/>
            </w:r>
            <w:r>
              <w:rPr>
                <w:rFonts w:hint="eastAsia" w:ascii="宋体" w:hAnsi="宋体" w:eastAsia="宋体" w:cs="仿宋"/>
                <w:kern w:val="0"/>
                <w:sz w:val="20"/>
                <w:szCs w:val="20"/>
              </w:rPr>
              <w:t>6、照明灯更换 、LED中性光照明</w:t>
            </w:r>
            <w:r>
              <w:rPr>
                <w:rFonts w:hint="eastAsia" w:ascii="宋体" w:hAnsi="宋体" w:eastAsia="宋体" w:cs="仿宋"/>
                <w:kern w:val="0"/>
                <w:sz w:val="20"/>
                <w:szCs w:val="20"/>
              </w:rPr>
              <w:br w:type="textWrapping"/>
            </w:r>
            <w:r>
              <w:rPr>
                <w:rFonts w:hint="eastAsia" w:ascii="宋体" w:hAnsi="宋体" w:eastAsia="宋体" w:cs="仿宋"/>
                <w:kern w:val="0"/>
                <w:sz w:val="20"/>
                <w:szCs w:val="20"/>
              </w:rPr>
              <w:t>7、2台3P柜机空调</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项</w:t>
            </w:r>
          </w:p>
        </w:tc>
        <w:tc>
          <w:tcPr>
            <w:tcW w:w="763"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kern w:val="0"/>
                <w:szCs w:val="21"/>
              </w:rPr>
            </w:pPr>
            <w:r>
              <w:rPr>
                <w:rFonts w:hint="eastAsia" w:ascii="仿宋" w:hAnsi="仿宋" w:eastAsia="仿宋" w:cs="仿宋"/>
                <w:kern w:val="0"/>
                <w:szCs w:val="21"/>
              </w:rPr>
              <w:t>1</w:t>
            </w:r>
          </w:p>
        </w:tc>
        <w:tc>
          <w:tcPr>
            <w:tcW w:w="204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kern w:val="0"/>
                <w:szCs w:val="21"/>
              </w:rPr>
            </w:pPr>
            <w:r>
              <w:rPr>
                <w:rFonts w:hint="eastAsia" w:ascii="宋体" w:hAnsi="宋体" w:eastAsia="宋体" w:cs="宋体"/>
                <w:kern w:val="0"/>
                <w:sz w:val="24"/>
              </w:rPr>
              <w:t>否</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应在投标文件中提供“所投产品符合</w:t>
      </w:r>
      <w:r>
        <w:rPr>
          <w:rFonts w:cs="仿宋_GB2312" w:asciiTheme="minorEastAsia" w:hAnsiTheme="minorEastAsia"/>
          <w:sz w:val="24"/>
          <w:szCs w:val="24"/>
          <w:lang w:val="zh-CN"/>
        </w:rPr>
        <w:t>信息安全产品强制性</w:t>
      </w:r>
      <w:r>
        <w:rPr>
          <w:rFonts w:hint="eastAsia" w:cs="仿宋_GB2312" w:asciiTheme="minorEastAsia" w:hAnsiTheme="minorEastAsia"/>
          <w:sz w:val="24"/>
          <w:szCs w:val="24"/>
          <w:lang w:val="zh-CN"/>
        </w:rPr>
        <w:t>认证要求承诺函”并加盖投标人公章，否则将承担其投标被视为非实质性响应投标的风险。</w:t>
      </w:r>
    </w:p>
    <w:p>
      <w:pPr>
        <w:spacing w:line="360" w:lineRule="auto"/>
        <w:ind w:firstLine="482" w:firstLineChars="200"/>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项目完成后，我局组建专家团队，根据项目需求实现情况进行验收。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 、资金支付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hint="eastAsia" w:ascii="宋体" w:hAnsi="宋体" w:eastAsia="宋体" w:cs="宋体"/>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ascii="宋体" w:hAnsi="宋体" w:eastAsia="宋体" w:cs="宋体"/>
          <w:kern w:val="0"/>
          <w:sz w:val="24"/>
          <w:szCs w:val="24"/>
          <w:lang w:val="zh-CN"/>
        </w:rPr>
        <w:t>经验收合格后一个月内付合同金额的</w:t>
      </w:r>
      <w:r>
        <w:rPr>
          <w:rFonts w:ascii="宋体" w:hAnsi="宋体" w:eastAsia="宋体" w:cs="宋体"/>
          <w:kern w:val="0"/>
          <w:sz w:val="24"/>
          <w:szCs w:val="24"/>
          <w:lang w:val="zh-CN"/>
        </w:rPr>
        <w:t>9</w:t>
      </w:r>
      <w:r>
        <w:rPr>
          <w:rFonts w:hint="eastAsia" w:ascii="宋体" w:hAnsi="宋体" w:eastAsia="宋体" w:cs="宋体"/>
          <w:kern w:val="0"/>
          <w:sz w:val="24"/>
          <w:szCs w:val="24"/>
          <w:lang w:val="zh-CN"/>
        </w:rPr>
        <w:t>5</w:t>
      </w:r>
      <w:r>
        <w:rPr>
          <w:rFonts w:ascii="宋体" w:hAnsi="宋体" w:eastAsia="宋体" w:cs="宋体"/>
          <w:kern w:val="0"/>
          <w:sz w:val="24"/>
          <w:szCs w:val="24"/>
          <w:lang w:val="zh-CN"/>
        </w:rPr>
        <w:t>%</w:t>
      </w:r>
      <w:r>
        <w:rPr>
          <w:rFonts w:hint="eastAsia" w:ascii="宋体" w:hAnsi="宋体" w:eastAsia="宋体" w:cs="宋体"/>
          <w:kern w:val="0"/>
          <w:sz w:val="24"/>
          <w:szCs w:val="24"/>
          <w:lang w:val="zh-CN"/>
        </w:rPr>
        <w:t>，余款设备运行一年后无质量问题一次付清。</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六、其他要求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1、投标人须明确投标产品的厂家、产地、品牌、型号、详细参数（采购清单中</w:t>
      </w:r>
      <w:r>
        <w:rPr>
          <w:rFonts w:hint="eastAsia" w:hAnsi="宋体"/>
          <w:sz w:val="24"/>
          <w:szCs w:val="24"/>
        </w:rPr>
        <w:t>市司法局应急指挥中心系统中</w:t>
      </w:r>
      <w:r>
        <w:rPr>
          <w:rFonts w:hint="eastAsia" w:ascii="宋体" w:cs="宋体"/>
          <w:sz w:val="24"/>
          <w:lang w:val="zh-CN"/>
        </w:rPr>
        <w:t>序号1-8；市司法局公共法律服务中心视频会议系统中序号1、3；市司法局视频会议室大屏系统中序号1、3、4、6），</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r>
        <w:rPr>
          <w:rFonts w:hint="eastAsia" w:ascii="宋体" w:cs="宋体"/>
          <w:b/>
          <w:sz w:val="24"/>
          <w:lang w:val="zh-CN"/>
        </w:rPr>
        <w:t xml:space="preserve"> </w:t>
      </w:r>
    </w:p>
    <w:p>
      <w:pPr>
        <w:wordWrap w:val="0"/>
        <w:topLinePunct/>
        <w:snapToGrid w:val="0"/>
        <w:spacing w:line="360" w:lineRule="auto"/>
        <w:ind w:firstLine="482" w:firstLineChars="200"/>
        <w:rPr>
          <w:rFonts w:ascii="宋体" w:cs="宋体"/>
          <w:b/>
          <w:sz w:val="24"/>
          <w:lang w:val="zh-CN"/>
        </w:rPr>
      </w:pPr>
      <w:r>
        <w:rPr>
          <w:rFonts w:hint="eastAsia" w:ascii="宋体" w:cs="宋体"/>
          <w:b/>
          <w:sz w:val="24"/>
          <w:lang w:val="zh-CN"/>
        </w:rPr>
        <w:t>5、本项目招标文件中加◆项为不允许偏离的实质性要求和条件，无加◆的视为不允许负偏离。（如果有的话）</w:t>
      </w:r>
    </w:p>
    <w:p>
      <w:pPr>
        <w:widowControl/>
        <w:shd w:val="clear" w:color="auto" w:fill="FFFFFF"/>
        <w:spacing w:line="360" w:lineRule="auto"/>
        <w:ind w:firstLine="480" w:firstLineChars="200"/>
        <w:contextualSpacing/>
        <w:jc w:val="left"/>
        <w:rPr>
          <w:rFonts w:ascii="宋体" w:cs="宋体"/>
          <w:sz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ascii="宋体" w:hAnsi="宋体" w:eastAsia="宋体" w:cs="仿宋_GB2312"/>
                <w:sz w:val="24"/>
                <w:szCs w:val="24"/>
              </w:rPr>
              <w:t>司法行政信息化平台建设</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项目编号：ZFCG-G2018184号</w:t>
            </w:r>
          </w:p>
          <w:p>
            <w:pPr>
              <w:widowControl/>
              <w:shd w:val="clear" w:color="auto" w:fill="FFFFFF"/>
              <w:spacing w:line="360" w:lineRule="atLeast"/>
              <w:jc w:val="left"/>
              <w:rPr>
                <w:rFonts w:ascii="宋体" w:hAnsi="宋体" w:eastAsia="宋体" w:cs="仿宋_GB2312"/>
                <w:sz w:val="24"/>
                <w:szCs w:val="24"/>
              </w:rPr>
            </w:pPr>
            <w:r>
              <w:rPr>
                <w:rFonts w:hint="eastAsia" w:cs="仿宋_GB2312" w:asciiTheme="minorEastAsia" w:hAnsiTheme="minorEastAsia"/>
                <w:sz w:val="24"/>
                <w:szCs w:val="24"/>
              </w:rPr>
              <w:t>项目内容：</w:t>
            </w:r>
            <w:r>
              <w:rPr>
                <w:rFonts w:hint="eastAsia" w:ascii="宋体" w:hAnsi="宋体" w:eastAsia="宋体" w:cs="仿宋_GB2312"/>
                <w:sz w:val="24"/>
                <w:szCs w:val="24"/>
              </w:rPr>
              <w:t>1、市司法局应急指挥中心系统，2、市司法局公共法律服务中心视频会议系统，3、市司法局视频会议室大屏系统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eastAsia="宋体" w:cs="仿宋_GB2312"/>
                <w:sz w:val="24"/>
                <w:szCs w:val="24"/>
              </w:rPr>
              <w:t>许昌市司法局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仿宋_GB2312"/>
                <w:sz w:val="24"/>
                <w:szCs w:val="24"/>
              </w:rPr>
              <w:t>许昌市司法局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宋体" w:hAnsi="宋体" w:eastAsia="宋体" w:cs="仿宋_GB2312"/>
                <w:sz w:val="24"/>
                <w:szCs w:val="24"/>
              </w:rPr>
              <w:t>望田路6号许昌市司法局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联系人：王国栋 郭明辉  电话：15716508999   17637957116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140万元，超出最高限价的投标无效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许昌市公共资源交易中心三楼开标四室（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金额：贰万捌仟元（¥28000.00元）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3"/>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9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05"/>
        <w:gridCol w:w="246"/>
        <w:gridCol w:w="4779"/>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951"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kern w:val="0"/>
                <w:sz w:val="24"/>
              </w:rPr>
              <w:t>分值构成</w:t>
            </w:r>
          </w:p>
        </w:tc>
        <w:tc>
          <w:tcPr>
            <w:tcW w:w="702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jc w:val="center"/>
              <w:rPr>
                <w:rFonts w:ascii="宋体" w:hAnsi="宋体" w:cs="宋体"/>
                <w:kern w:val="0"/>
                <w:sz w:val="24"/>
              </w:rPr>
            </w:pPr>
            <w:r>
              <w:rPr>
                <w:rFonts w:hint="eastAsia" w:ascii="仿宋" w:hAnsi="仿宋" w:eastAsia="仿宋" w:cs="仿宋"/>
                <w:kern w:val="0"/>
                <w:sz w:val="24"/>
              </w:rPr>
              <w:t>价格分值：</w:t>
            </w:r>
            <w:r>
              <w:rPr>
                <w:rFonts w:hint="eastAsia" w:ascii="宋体" w:hAnsi="宋体" w:cs="宋体"/>
                <w:kern w:val="0"/>
                <w:sz w:val="24"/>
                <w:u w:val="single"/>
              </w:rPr>
              <w:t>   40     </w:t>
            </w:r>
            <w:r>
              <w:rPr>
                <w:rFonts w:hint="eastAsia" w:ascii="仿宋" w:hAnsi="仿宋" w:eastAsia="仿宋" w:cs="仿宋"/>
                <w:kern w:val="0"/>
                <w:sz w:val="24"/>
              </w:rPr>
              <w:t>分</w:t>
            </w:r>
          </w:p>
          <w:p>
            <w:pPr>
              <w:widowControl/>
              <w:spacing w:line="360" w:lineRule="atLeast"/>
              <w:ind w:firstLine="480"/>
              <w:jc w:val="center"/>
              <w:rPr>
                <w:rFonts w:ascii="宋体" w:hAnsi="宋体" w:cs="宋体"/>
                <w:kern w:val="0"/>
                <w:sz w:val="24"/>
              </w:rPr>
            </w:pPr>
            <w:r>
              <w:rPr>
                <w:rFonts w:hint="eastAsia" w:ascii="仿宋" w:hAnsi="仿宋" w:eastAsia="仿宋" w:cs="仿宋"/>
                <w:kern w:val="0"/>
                <w:sz w:val="24"/>
              </w:rPr>
              <w:t>商务部分：</w:t>
            </w:r>
            <w:r>
              <w:rPr>
                <w:rFonts w:hint="eastAsia" w:ascii="宋体" w:hAnsi="宋体" w:cs="宋体"/>
                <w:kern w:val="0"/>
                <w:sz w:val="24"/>
                <w:u w:val="single"/>
              </w:rPr>
              <w:t>   </w:t>
            </w:r>
            <w:r>
              <w:rPr>
                <w:rFonts w:ascii="宋体" w:hAnsi="宋体" w:cs="宋体"/>
                <w:kern w:val="0"/>
                <w:sz w:val="24"/>
                <w:u w:val="single"/>
              </w:rPr>
              <w:t>20</w:t>
            </w:r>
            <w:r>
              <w:rPr>
                <w:rFonts w:hint="eastAsia" w:ascii="宋体" w:hAnsi="宋体" w:cs="宋体"/>
                <w:kern w:val="0"/>
                <w:sz w:val="24"/>
                <w:u w:val="single"/>
              </w:rPr>
              <w:t>     </w:t>
            </w:r>
            <w:r>
              <w:rPr>
                <w:rFonts w:hint="eastAsia" w:ascii="仿宋" w:hAnsi="仿宋" w:eastAsia="仿宋" w:cs="仿宋"/>
                <w:kern w:val="0"/>
                <w:sz w:val="24"/>
              </w:rPr>
              <w:t>分</w:t>
            </w:r>
          </w:p>
          <w:p>
            <w:pPr>
              <w:widowControl/>
              <w:spacing w:line="360" w:lineRule="atLeast"/>
              <w:ind w:firstLine="480"/>
              <w:jc w:val="center"/>
              <w:rPr>
                <w:rFonts w:ascii="宋体" w:hAnsi="宋体" w:cs="宋体"/>
                <w:kern w:val="0"/>
                <w:sz w:val="24"/>
              </w:rPr>
            </w:pPr>
            <w:r>
              <w:rPr>
                <w:rFonts w:hint="eastAsia" w:ascii="仿宋" w:hAnsi="仿宋" w:eastAsia="仿宋" w:cs="仿宋"/>
                <w:kern w:val="0"/>
                <w:sz w:val="24"/>
              </w:rPr>
              <w:t xml:space="preserve"> 技术部分：</w:t>
            </w:r>
            <w:r>
              <w:rPr>
                <w:rFonts w:hint="eastAsia" w:ascii="宋体" w:hAnsi="宋体" w:cs="宋体"/>
                <w:kern w:val="0"/>
                <w:sz w:val="24"/>
                <w:u w:val="single"/>
              </w:rPr>
              <w:t>  </w:t>
            </w:r>
            <w:r>
              <w:rPr>
                <w:rFonts w:ascii="宋体" w:hAnsi="宋体" w:cs="宋体"/>
                <w:kern w:val="0"/>
                <w:sz w:val="24"/>
                <w:u w:val="single"/>
              </w:rPr>
              <w:t>40</w:t>
            </w:r>
            <w:r>
              <w:rPr>
                <w:rFonts w:hint="eastAsia" w:ascii="宋体" w:hAnsi="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一、价格部分（满分</w:t>
            </w:r>
            <w:r>
              <w:rPr>
                <w:rFonts w:hint="eastAsia" w:ascii="宋体" w:hAnsi="宋体" w:cs="宋体"/>
                <w:b/>
                <w:kern w:val="0"/>
                <w:sz w:val="24"/>
                <w:u w:val="single"/>
              </w:rPr>
              <w:t>  </w:t>
            </w:r>
            <w:r>
              <w:rPr>
                <w:rFonts w:ascii="宋体" w:hAnsi="宋体" w:cs="宋体"/>
                <w:b/>
                <w:kern w:val="0"/>
                <w:sz w:val="24"/>
                <w:u w:val="single"/>
              </w:rPr>
              <w:t>40</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评分因素</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2"/>
              </w:rPr>
            </w:pPr>
            <w:r>
              <w:rPr>
                <w:rFonts w:hint="eastAsia" w:ascii="宋体" w:hAnsi="宋体" w:cs="宋体"/>
                <w:kern w:val="0"/>
                <w:sz w:val="22"/>
              </w:rPr>
              <w:t>投标报价</w:t>
            </w:r>
          </w:p>
          <w:p>
            <w:pPr>
              <w:widowControl/>
              <w:spacing w:line="360" w:lineRule="atLeast"/>
              <w:jc w:val="center"/>
              <w:rPr>
                <w:rFonts w:ascii="宋体" w:hAnsi="宋体" w:cs="宋体"/>
                <w:kern w:val="0"/>
                <w:sz w:val="24"/>
              </w:rPr>
            </w:pPr>
            <w:r>
              <w:rPr>
                <w:rFonts w:hint="eastAsia" w:ascii="宋体" w:hAnsi="宋体" w:cs="宋体"/>
                <w:kern w:val="0"/>
                <w:sz w:val="22"/>
              </w:rPr>
              <w:t>评分标准</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评标基准价：满足招标文件要求的所有有效投标中，最低的投标报价为评标基准价。</w:t>
            </w:r>
          </w:p>
          <w:p>
            <w:pPr>
              <w:rPr>
                <w:rFonts w:ascii="宋体" w:hAnsi="宋体" w:cs="宋体"/>
                <w:bCs/>
                <w:szCs w:val="21"/>
              </w:rPr>
            </w:pPr>
            <w:r>
              <w:rPr>
                <w:rFonts w:hint="eastAsia" w:ascii="宋体" w:hAnsi="宋体" w:cs="宋体"/>
                <w:bCs/>
                <w:szCs w:val="21"/>
              </w:rPr>
              <w:t>投标报价得分=（评标基准价/投标报价）×</w:t>
            </w:r>
            <w:r>
              <w:rPr>
                <w:rFonts w:ascii="宋体" w:hAnsi="宋体" w:cs="宋体"/>
                <w:bCs/>
                <w:szCs w:val="21"/>
              </w:rPr>
              <w:t>40</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cs="宋体"/>
                <w:kern w:val="0"/>
                <w:sz w:val="24"/>
              </w:rPr>
            </w:pPr>
            <w:r>
              <w:rPr>
                <w:rFonts w:hint="eastAsia" w:ascii="宋体" w:hAnsi="宋体" w:cs="宋体"/>
                <w:kern w:val="0"/>
                <w:sz w:val="24"/>
                <w:u w:val="single"/>
              </w:rPr>
              <w:t> </w:t>
            </w:r>
            <w:r>
              <w:rPr>
                <w:rFonts w:ascii="宋体" w:hAnsi="宋体" w:cs="宋体"/>
                <w:kern w:val="0"/>
                <w:sz w:val="24"/>
                <w:u w:val="single"/>
              </w:rPr>
              <w:t>40</w:t>
            </w:r>
            <w:r>
              <w:rPr>
                <w:rFonts w:hint="eastAsia" w:ascii="宋体" w:hAnsi="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二、商务部分（满分</w:t>
            </w:r>
            <w:r>
              <w:rPr>
                <w:rFonts w:hint="eastAsia" w:ascii="宋体" w:hAnsi="宋体" w:cs="宋体"/>
                <w:b/>
                <w:kern w:val="0"/>
                <w:sz w:val="24"/>
                <w:u w:val="single"/>
              </w:rPr>
              <w:t> </w:t>
            </w:r>
            <w:r>
              <w:rPr>
                <w:rFonts w:ascii="宋体" w:hAnsi="宋体" w:cs="宋体"/>
                <w:b/>
                <w:kern w:val="0"/>
                <w:sz w:val="24"/>
                <w:u w:val="single"/>
              </w:rPr>
              <w:t>20</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6"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评分因素</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2"/>
              </w:rPr>
            </w:pPr>
            <w:r>
              <w:rPr>
                <w:rFonts w:hint="eastAsia" w:ascii="宋体" w:hAnsi="宋体" w:cs="宋体"/>
                <w:kern w:val="0"/>
                <w:sz w:val="22"/>
              </w:rPr>
              <w:t>经营管理资格</w:t>
            </w:r>
          </w:p>
          <w:p>
            <w:pPr>
              <w:widowControl/>
              <w:spacing w:line="360" w:lineRule="atLeast"/>
              <w:jc w:val="center"/>
              <w:rPr>
                <w:rFonts w:ascii="宋体" w:hAnsi="宋体" w:cs="宋体"/>
                <w:kern w:val="0"/>
                <w:sz w:val="24"/>
              </w:rPr>
            </w:pPr>
            <w:r>
              <w:rPr>
                <w:rFonts w:hint="eastAsia" w:ascii="宋体" w:hAnsi="宋体" w:cs="宋体"/>
                <w:kern w:val="0"/>
                <w:sz w:val="22"/>
              </w:rPr>
              <w:t>能力</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numPr>
                <w:ilvl w:val="0"/>
                <w:numId w:val="6"/>
              </w:numPr>
              <w:ind w:firstLineChars="0"/>
              <w:rPr>
                <w:rFonts w:ascii="宋体" w:hAnsi="宋体" w:cs="宋体"/>
                <w:kern w:val="0"/>
                <w:sz w:val="22"/>
              </w:rPr>
            </w:pPr>
            <w:r>
              <w:rPr>
                <w:rFonts w:hint="eastAsia" w:ascii="宋体" w:hAnsi="宋体" w:cs="宋体"/>
                <w:kern w:val="0"/>
                <w:sz w:val="22"/>
              </w:rPr>
              <w:t>投标人具有ISO27001信息安全管理体系、ISO20000信息技术服务管理体系认证书，每有一个得1分，共2分,没有不得分；</w:t>
            </w:r>
          </w:p>
          <w:p>
            <w:pPr>
              <w:pStyle w:val="37"/>
              <w:widowControl/>
              <w:numPr>
                <w:ilvl w:val="0"/>
                <w:numId w:val="6"/>
              </w:numPr>
              <w:ind w:firstLineChars="0"/>
              <w:rPr>
                <w:rFonts w:ascii="宋体" w:hAnsi="宋体"/>
                <w:bCs/>
                <w:iCs/>
              </w:rPr>
            </w:pPr>
            <w:r>
              <w:rPr>
                <w:rFonts w:hint="eastAsia" w:ascii="宋体" w:hAnsi="宋体"/>
                <w:bCs/>
                <w:iCs/>
              </w:rPr>
              <w:t>投标人</w:t>
            </w:r>
            <w:r>
              <w:rPr>
                <w:rFonts w:hint="eastAsia" w:ascii="宋体" w:hAnsi="宋体" w:cs="宋体"/>
                <w:kern w:val="0"/>
                <w:sz w:val="22"/>
              </w:rPr>
              <w:t>获得由省工商局颁发的省级守合同重信用企业资格证书的，得2分，没有不得分；</w:t>
            </w:r>
          </w:p>
          <w:p>
            <w:pPr>
              <w:pStyle w:val="37"/>
              <w:widowControl/>
              <w:numPr>
                <w:ilvl w:val="0"/>
                <w:numId w:val="6"/>
              </w:numPr>
              <w:ind w:firstLineChars="0"/>
              <w:rPr>
                <w:rFonts w:ascii="宋体" w:hAnsi="宋体"/>
                <w:bCs/>
                <w:iCs/>
              </w:rPr>
            </w:pPr>
            <w:r>
              <w:rPr>
                <w:rFonts w:hint="eastAsia" w:ascii="宋体" w:hAnsi="宋体"/>
                <w:bCs/>
                <w:iCs/>
              </w:rPr>
              <w:t>投标人具有省科技厅颁发的省级高新技术企业认证证书的得2分,没有不得分。</w:t>
            </w:r>
          </w:p>
          <w:p>
            <w:pPr>
              <w:pStyle w:val="37"/>
              <w:widowControl/>
              <w:numPr>
                <w:ilvl w:val="0"/>
                <w:numId w:val="6"/>
              </w:numPr>
              <w:ind w:firstLineChars="0"/>
              <w:rPr>
                <w:rFonts w:ascii="宋体" w:hAnsi="宋体"/>
                <w:bCs/>
                <w:iCs/>
              </w:rPr>
            </w:pPr>
            <w:r>
              <w:rPr>
                <w:rFonts w:hint="eastAsia" w:ascii="宋体" w:hAnsi="宋体"/>
                <w:bCs/>
                <w:iCs/>
              </w:rPr>
              <w:t>投标人具有CMMI3(或以上)软件成熟度认证证书的得2分，没有不得分。</w:t>
            </w:r>
          </w:p>
          <w:p>
            <w:pPr>
              <w:pStyle w:val="37"/>
              <w:widowControl/>
              <w:numPr>
                <w:ilvl w:val="0"/>
                <w:numId w:val="6"/>
              </w:numPr>
              <w:ind w:firstLineChars="0"/>
              <w:rPr>
                <w:rFonts w:ascii="宋体" w:hAnsi="宋体"/>
                <w:bCs/>
                <w:iCs/>
              </w:rPr>
            </w:pPr>
            <w:r>
              <w:rPr>
                <w:rFonts w:hint="eastAsia" w:ascii="宋体" w:hAnsi="宋体"/>
                <w:bCs/>
                <w:iCs/>
              </w:rPr>
              <w:t>投标人通过国家信息技术服务标准I</w:t>
            </w:r>
            <w:r>
              <w:rPr>
                <w:rFonts w:ascii="宋体" w:hAnsi="宋体"/>
                <w:bCs/>
                <w:iCs/>
              </w:rPr>
              <w:t>TSS</w:t>
            </w:r>
            <w:r>
              <w:rPr>
                <w:rFonts w:hint="eastAsia" w:ascii="宋体" w:hAnsi="宋体"/>
                <w:bCs/>
                <w:iCs/>
              </w:rPr>
              <w:t>研制和应用单位认证的得2分，没有不得分。</w:t>
            </w:r>
          </w:p>
          <w:p>
            <w:pPr>
              <w:pStyle w:val="37"/>
              <w:widowControl/>
              <w:numPr>
                <w:ilvl w:val="0"/>
                <w:numId w:val="6"/>
              </w:numPr>
              <w:ind w:firstLineChars="0"/>
              <w:rPr>
                <w:rFonts w:ascii="宋体" w:hAnsi="宋体"/>
                <w:bCs/>
                <w:iCs/>
              </w:rPr>
            </w:pPr>
            <w:r>
              <w:rPr>
                <w:rFonts w:hint="eastAsia" w:ascii="宋体" w:hAnsi="宋体"/>
                <w:bCs/>
                <w:iCs/>
              </w:rPr>
              <w:t>投标人</w:t>
            </w:r>
            <w:r>
              <w:rPr>
                <w:rFonts w:ascii="宋体" w:hAnsi="宋体"/>
                <w:bCs/>
                <w:iCs/>
              </w:rPr>
              <w:t>提供</w:t>
            </w:r>
            <w:r>
              <w:rPr>
                <w:rFonts w:hint="eastAsia" w:ascii="宋体" w:hAnsi="宋体"/>
                <w:bCs/>
                <w:iCs/>
              </w:rPr>
              <w:t>2015年1月1日</w:t>
            </w:r>
            <w:r>
              <w:rPr>
                <w:rFonts w:ascii="宋体" w:hAnsi="宋体"/>
                <w:bCs/>
                <w:iCs/>
              </w:rPr>
              <w:t>以来注册地市级（</w:t>
            </w:r>
            <w:r>
              <w:rPr>
                <w:rFonts w:hint="eastAsia" w:ascii="宋体" w:hAnsi="宋体"/>
                <w:bCs/>
                <w:iCs/>
              </w:rPr>
              <w:t>不包括县级市</w:t>
            </w:r>
            <w:r>
              <w:rPr>
                <w:rFonts w:ascii="宋体" w:hAnsi="宋体"/>
                <w:bCs/>
                <w:iCs/>
              </w:rPr>
              <w:t>）</w:t>
            </w:r>
            <w:r>
              <w:rPr>
                <w:rFonts w:hint="eastAsia" w:ascii="宋体" w:hAnsi="宋体"/>
                <w:bCs/>
                <w:iCs/>
              </w:rPr>
              <w:t>及</w:t>
            </w:r>
            <w:r>
              <w:rPr>
                <w:rFonts w:ascii="宋体" w:hAnsi="宋体"/>
                <w:bCs/>
                <w:iCs/>
              </w:rPr>
              <w:t>以上</w:t>
            </w:r>
            <w:r>
              <w:rPr>
                <w:rFonts w:hint="eastAsia" w:ascii="宋体" w:hAnsi="宋体"/>
                <w:bCs/>
                <w:iCs/>
              </w:rPr>
              <w:t>经</w:t>
            </w:r>
            <w:r>
              <w:rPr>
                <w:rFonts w:ascii="宋体" w:hAnsi="宋体"/>
                <w:bCs/>
                <w:iCs/>
              </w:rPr>
              <w:t>社会信用体系建设主管部门认可的信用评估机构</w:t>
            </w:r>
            <w:r>
              <w:rPr>
                <w:rFonts w:hint="eastAsia" w:ascii="宋体" w:hAnsi="宋体"/>
                <w:bCs/>
                <w:iCs/>
              </w:rPr>
              <w:t>出具</w:t>
            </w:r>
            <w:r>
              <w:rPr>
                <w:rFonts w:ascii="宋体" w:hAnsi="宋体"/>
                <w:bCs/>
                <w:iCs/>
              </w:rPr>
              <w:t>的有效的企业信用报告，</w:t>
            </w:r>
            <w:r>
              <w:rPr>
                <w:rFonts w:hint="eastAsia" w:ascii="宋体" w:hAnsi="宋体"/>
                <w:bCs/>
                <w:iCs/>
              </w:rPr>
              <w:t>等级为AAA的</w:t>
            </w:r>
            <w:r>
              <w:rPr>
                <w:rFonts w:ascii="宋体" w:hAnsi="宋体"/>
                <w:bCs/>
                <w:iCs/>
              </w:rPr>
              <w:t>得</w:t>
            </w:r>
            <w:r>
              <w:rPr>
                <w:rFonts w:hint="eastAsia" w:ascii="宋体" w:hAnsi="宋体"/>
                <w:bCs/>
                <w:iCs/>
              </w:rPr>
              <w:t>3分</w:t>
            </w:r>
            <w:r>
              <w:rPr>
                <w:rFonts w:ascii="宋体" w:hAnsi="宋体"/>
                <w:bCs/>
                <w:iCs/>
              </w:rPr>
              <w:t>，</w:t>
            </w:r>
            <w:r>
              <w:rPr>
                <w:rFonts w:hint="eastAsia" w:ascii="宋体" w:hAnsi="宋体"/>
                <w:bCs/>
                <w:iCs/>
              </w:rPr>
              <w:t>AA级的</w:t>
            </w:r>
            <w:r>
              <w:rPr>
                <w:rFonts w:ascii="宋体" w:hAnsi="宋体"/>
                <w:bCs/>
                <w:iCs/>
              </w:rPr>
              <w:t>得</w:t>
            </w:r>
            <w:r>
              <w:rPr>
                <w:rFonts w:hint="eastAsia" w:ascii="宋体" w:hAnsi="宋体"/>
                <w:bCs/>
                <w:iCs/>
              </w:rPr>
              <w:t>2分</w:t>
            </w:r>
            <w:r>
              <w:rPr>
                <w:rFonts w:ascii="宋体" w:hAnsi="宋体"/>
                <w:bCs/>
                <w:iCs/>
              </w:rPr>
              <w:t>，</w:t>
            </w:r>
            <w:r>
              <w:rPr>
                <w:rFonts w:hint="eastAsia" w:ascii="宋体" w:hAnsi="宋体"/>
                <w:bCs/>
                <w:iCs/>
              </w:rPr>
              <w:t>A级</w:t>
            </w:r>
            <w:r>
              <w:rPr>
                <w:rFonts w:ascii="宋体" w:hAnsi="宋体"/>
                <w:bCs/>
                <w:iCs/>
              </w:rPr>
              <w:t>的得</w:t>
            </w:r>
            <w:r>
              <w:rPr>
                <w:rFonts w:hint="eastAsia" w:ascii="宋体" w:hAnsi="宋体"/>
                <w:bCs/>
                <w:iCs/>
              </w:rPr>
              <w:t>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 1</w:t>
            </w:r>
            <w:r>
              <w:rPr>
                <w:rFonts w:ascii="宋体" w:hAnsi="宋体" w:cs="宋体"/>
                <w:kern w:val="0"/>
                <w:sz w:val="24"/>
                <w:u w:val="single"/>
              </w:rPr>
              <w:t>3</w:t>
            </w:r>
            <w:r>
              <w:rPr>
                <w:rFonts w:hint="eastAsia" w:ascii="宋体" w:hAnsi="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2"/>
              </w:rPr>
              <w:t>现场管理实施能力</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numPr>
                <w:ilvl w:val="0"/>
                <w:numId w:val="7"/>
              </w:numPr>
              <w:ind w:firstLineChars="0"/>
              <w:rPr>
                <w:rFonts w:ascii="宋体" w:hAnsi="宋体"/>
                <w:bCs/>
                <w:iCs/>
              </w:rPr>
            </w:pPr>
            <w:r>
              <w:rPr>
                <w:rFonts w:hint="eastAsia" w:ascii="宋体" w:hAnsi="宋体"/>
                <w:bCs/>
                <w:iCs/>
              </w:rPr>
              <w:t>投标人拟派项目经理有高级项目经理证书，不少于2人且提供2018年1月以来单位为其缴纳社保证明材料的得2分，</w:t>
            </w:r>
            <w:r>
              <w:rPr>
                <w:rFonts w:hint="eastAsia" w:ascii="宋体" w:hAnsi="宋体" w:cs="宋体"/>
                <w:kern w:val="0"/>
                <w:sz w:val="22"/>
              </w:rPr>
              <w:t>否则不得分</w:t>
            </w:r>
            <w:r>
              <w:rPr>
                <w:rFonts w:hint="eastAsia" w:ascii="宋体" w:hAnsi="宋体"/>
                <w:bCs/>
                <w:iCs/>
              </w:rPr>
              <w:t>。</w:t>
            </w:r>
          </w:p>
          <w:p>
            <w:pPr>
              <w:pStyle w:val="37"/>
              <w:widowControl/>
              <w:numPr>
                <w:ilvl w:val="0"/>
                <w:numId w:val="7"/>
              </w:numPr>
              <w:ind w:firstLineChars="0"/>
              <w:rPr>
                <w:rFonts w:ascii="宋体" w:hAnsi="宋体"/>
                <w:bCs/>
                <w:iCs/>
              </w:rPr>
            </w:pPr>
            <w:r>
              <w:rPr>
                <w:rFonts w:ascii="宋体" w:hAnsi="宋体"/>
                <w:bCs/>
                <w:iCs/>
              </w:rPr>
              <w:t>投标人</w:t>
            </w:r>
            <w:r>
              <w:rPr>
                <w:rFonts w:hint="eastAsia" w:ascii="宋体" w:hAnsi="宋体"/>
                <w:bCs/>
                <w:iCs/>
              </w:rPr>
              <w:t>需</w:t>
            </w:r>
            <w:r>
              <w:rPr>
                <w:rFonts w:ascii="宋体" w:hAnsi="宋体"/>
                <w:bCs/>
                <w:iCs/>
              </w:rPr>
              <w:t>设有售后服务机构（提供准确联系地址、联系方式），且具备完善的</w:t>
            </w:r>
            <w:r>
              <w:rPr>
                <w:rFonts w:hint="eastAsia" w:ascii="宋体" w:hAnsi="宋体"/>
                <w:bCs/>
                <w:iCs/>
              </w:rPr>
              <w:t>社会保障体系，</w:t>
            </w:r>
            <w:r>
              <w:rPr>
                <w:rFonts w:hint="eastAsia" w:ascii="宋体" w:hAnsi="宋体" w:cs="宋体"/>
                <w:kern w:val="0"/>
                <w:sz w:val="22"/>
              </w:rPr>
              <w:t>需提供这些人员在投标人单位缴纳的社保证明，提供者得2分，否则不得分。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 4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2"/>
              </w:rPr>
              <w:t>业绩</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2"/>
              </w:rPr>
              <w:t>投标人提供类似项目合同案例，</w:t>
            </w:r>
            <w:r>
              <w:rPr>
                <w:rFonts w:hint="eastAsia" w:ascii="宋体" w:hAnsi="宋体"/>
                <w:bCs/>
                <w:iCs/>
              </w:rPr>
              <w:t>金额在140万以上的，每提供1份得1分，本项最多得3分。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 xml:space="preserve">  3 </w:t>
            </w:r>
            <w:r>
              <w:rPr>
                <w:rFonts w:hint="eastAsia" w:ascii="宋体" w:hAnsi="宋体" w:cs="宋体"/>
                <w:kern w:val="0"/>
                <w:sz w:val="24"/>
              </w:rPr>
              <w:t>分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三、技术部分（满分</w:t>
            </w:r>
            <w:r>
              <w:rPr>
                <w:rFonts w:hint="eastAsia" w:ascii="宋体" w:hAnsi="宋体" w:cs="宋体"/>
                <w:b/>
                <w:kern w:val="0"/>
                <w:sz w:val="24"/>
                <w:u w:val="single"/>
              </w:rPr>
              <w:t> 4</w:t>
            </w:r>
            <w:r>
              <w:rPr>
                <w:rFonts w:ascii="宋体" w:hAnsi="宋体" w:cs="宋体"/>
                <w:b/>
                <w:kern w:val="0"/>
                <w:sz w:val="24"/>
                <w:u w:val="single"/>
              </w:rPr>
              <w:t>0</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6"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评分因素</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cs="宋体"/>
                <w:kern w:val="0"/>
                <w:sz w:val="24"/>
              </w:rPr>
            </w:pPr>
            <w:r>
              <w:rPr>
                <w:rFonts w:hint="eastAsia" w:ascii="宋体" w:hAnsi="宋体"/>
                <w:bCs/>
                <w:iCs/>
              </w:rPr>
              <w:t>设备技术指标</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bCs/>
                <w:iCs/>
              </w:rPr>
            </w:pPr>
            <w:r>
              <w:rPr>
                <w:rFonts w:hint="eastAsia" w:ascii="宋体" w:hAnsi="宋体"/>
                <w:bCs/>
                <w:iCs/>
              </w:rPr>
              <w:t>1、采购清单中标</w:t>
            </w:r>
            <w:r>
              <w:rPr>
                <w:rFonts w:hint="eastAsia" w:ascii="宋体" w:hAnsi="宋体"/>
                <w:b/>
                <w:bCs/>
                <w:iCs/>
              </w:rPr>
              <w:t>*</w:t>
            </w:r>
            <w:r>
              <w:rPr>
                <w:rFonts w:hint="eastAsia" w:ascii="宋体" w:hAnsi="宋体"/>
                <w:bCs/>
                <w:iCs/>
              </w:rPr>
              <w:t>的技术参数需提供</w:t>
            </w:r>
            <w:r>
              <w:rPr>
                <w:rFonts w:hint="eastAsia" w:ascii="宋体" w:hAnsi="宋体" w:cs="宋体"/>
                <w:kern w:val="0"/>
                <w:sz w:val="22"/>
              </w:rPr>
              <w:t>由泰尔实验室、CMA、CNAS、CAL等专业电子产品质量检测中心出具的检测报告</w:t>
            </w:r>
            <w:r>
              <w:rPr>
                <w:rFonts w:hint="eastAsia" w:ascii="宋体" w:hAnsi="宋体"/>
                <w:bCs/>
                <w:iCs/>
              </w:rPr>
              <w:t>。每提供一项得1分</w:t>
            </w:r>
            <w:r>
              <w:rPr>
                <w:rFonts w:ascii="宋体" w:hAnsi="宋体"/>
                <w:bCs/>
                <w:iCs/>
              </w:rPr>
              <w:t>、不提供不得分、</w:t>
            </w:r>
            <w:r>
              <w:rPr>
                <w:rFonts w:hint="eastAsia" w:ascii="宋体" w:hAnsi="宋体"/>
                <w:bCs/>
                <w:iCs/>
              </w:rPr>
              <w:t>最多得</w:t>
            </w:r>
            <w:r>
              <w:rPr>
                <w:rFonts w:ascii="宋体" w:hAnsi="宋体"/>
                <w:bCs/>
                <w:iCs/>
              </w:rPr>
              <w:t>17</w:t>
            </w:r>
            <w:r>
              <w:rPr>
                <w:rFonts w:hint="eastAsia" w:ascii="宋体" w:hAnsi="宋体"/>
                <w:bCs/>
                <w:iCs/>
              </w:rPr>
              <w:t>分</w:t>
            </w:r>
            <w:r>
              <w:rPr>
                <w:rFonts w:ascii="宋体" w:hAnsi="宋体"/>
                <w:bCs/>
                <w:iCs/>
              </w:rPr>
              <w:t>。</w:t>
            </w:r>
          </w:p>
          <w:p>
            <w:pPr>
              <w:widowControl/>
              <w:spacing w:line="360" w:lineRule="atLeast"/>
              <w:jc w:val="left"/>
              <w:rPr>
                <w:rFonts w:ascii="宋体" w:hAnsi="宋体"/>
                <w:bCs/>
                <w:iCs/>
              </w:rPr>
            </w:pPr>
            <w:r>
              <w:rPr>
                <w:rFonts w:hint="eastAsia" w:ascii="宋体" w:hAnsi="宋体"/>
                <w:bCs/>
                <w:iCs/>
              </w:rPr>
              <w:t>2、投标人需提供LED显示屏体的CE-EMC、EN 62233电磁辐射认证证书；提供证书复印件加盖制造商公章；提供者得2分</w:t>
            </w:r>
            <w:r>
              <w:rPr>
                <w:rFonts w:ascii="宋体" w:hAnsi="宋体"/>
                <w:bCs/>
                <w:iCs/>
              </w:rPr>
              <w:t>、不提供不得分。</w:t>
            </w:r>
          </w:p>
          <w:p>
            <w:pPr>
              <w:widowControl/>
              <w:spacing w:line="360" w:lineRule="atLeast"/>
              <w:jc w:val="left"/>
              <w:rPr>
                <w:rFonts w:ascii="宋体" w:hAnsi="宋体"/>
                <w:bCs/>
                <w:iCs/>
              </w:rPr>
            </w:pPr>
            <w:r>
              <w:rPr>
                <w:rFonts w:hint="eastAsia" w:ascii="宋体" w:hAnsi="宋体"/>
                <w:bCs/>
                <w:iCs/>
              </w:rPr>
              <w:t>3、投标人提供的“控制软件”具有C/S、B/S Web版著作权登记证书、可视化软件著作权证书提供证书复印件加盖制造商公章；提供者得2分</w:t>
            </w:r>
            <w:r>
              <w:rPr>
                <w:rFonts w:ascii="宋体" w:hAnsi="宋体"/>
                <w:bCs/>
                <w:iCs/>
              </w:rPr>
              <w:t>、不提供不得分。</w:t>
            </w:r>
          </w:p>
          <w:p>
            <w:pPr>
              <w:widowControl/>
              <w:spacing w:line="360" w:lineRule="atLeast"/>
              <w:jc w:val="left"/>
              <w:rPr>
                <w:rFonts w:ascii="宋体" w:hAnsi="宋体"/>
                <w:sz w:val="24"/>
              </w:rPr>
            </w:pPr>
            <w:r>
              <w:rPr>
                <w:rFonts w:hint="eastAsia" w:ascii="宋体" w:hAnsi="宋体"/>
                <w:bCs/>
                <w:iCs/>
              </w:rPr>
              <w:t>4、投标人需提供所投“配电箱”PLC智能配电管理系统软件著作权证书。提供者得2分</w:t>
            </w:r>
            <w:r>
              <w:rPr>
                <w:rFonts w:ascii="宋体" w:hAnsi="宋体"/>
                <w:bCs/>
                <w:iCs/>
              </w:rPr>
              <w:t>、不提供不得分。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 </w:t>
            </w:r>
            <w:r>
              <w:rPr>
                <w:rFonts w:ascii="宋体" w:hAnsi="宋体" w:cs="宋体"/>
                <w:kern w:val="0"/>
                <w:sz w:val="24"/>
                <w:u w:val="single"/>
              </w:rPr>
              <w:t>23</w:t>
            </w:r>
            <w:r>
              <w:rPr>
                <w:rFonts w:hint="eastAsia" w:ascii="宋体" w:hAnsi="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bCs/>
                <w:iCs/>
              </w:rPr>
            </w:pPr>
            <w:r>
              <w:rPr>
                <w:rFonts w:hint="eastAsia" w:ascii="宋体" w:hAnsi="宋体" w:cs="宋体"/>
                <w:kern w:val="0"/>
                <w:sz w:val="22"/>
              </w:rPr>
              <w:t>产品级制造厂商实力</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ind w:firstLine="0" w:firstLineChars="0"/>
              <w:rPr>
                <w:rFonts w:ascii="宋体" w:hAnsi="宋体" w:cs="宋体"/>
                <w:kern w:val="0"/>
                <w:sz w:val="22"/>
              </w:rPr>
            </w:pPr>
            <w:r>
              <w:rPr>
                <w:rFonts w:hint="eastAsia" w:ascii="宋体" w:hAnsi="宋体" w:cs="宋体"/>
                <w:kern w:val="0"/>
                <w:sz w:val="22"/>
              </w:rPr>
              <w:t>1</w:t>
            </w:r>
            <w:r>
              <w:rPr>
                <w:rFonts w:hint="eastAsia" w:ascii="仿宋" w:hAnsi="仿宋" w:eastAsia="仿宋" w:cs="仿宋"/>
                <w:kern w:val="0"/>
                <w:szCs w:val="21"/>
              </w:rPr>
              <w:t>、</w:t>
            </w:r>
            <w:r>
              <w:rPr>
                <w:rFonts w:hint="eastAsia" w:ascii="宋体" w:hAnsi="宋体" w:cs="宋体"/>
                <w:kern w:val="0"/>
                <w:sz w:val="22"/>
              </w:rPr>
              <w:t>投标人所投“小型一体化终端”生产厂家拥有</w:t>
            </w:r>
            <w:r>
              <w:rPr>
                <w:rFonts w:ascii="宋体" w:hAnsi="宋体" w:cs="宋体"/>
                <w:kern w:val="0"/>
                <w:sz w:val="22"/>
              </w:rPr>
              <w:t>成熟</w:t>
            </w:r>
            <w:r>
              <w:rPr>
                <w:rFonts w:hint="eastAsia" w:ascii="宋体" w:hAnsi="宋体" w:cs="宋体"/>
                <w:kern w:val="0"/>
                <w:sz w:val="22"/>
              </w:rPr>
              <w:t>的</w:t>
            </w:r>
            <w:r>
              <w:rPr>
                <w:rFonts w:ascii="宋体" w:hAnsi="宋体" w:cs="宋体"/>
                <w:kern w:val="0"/>
                <w:sz w:val="22"/>
              </w:rPr>
              <w:t>软件研发能力，通过CMMI5</w:t>
            </w:r>
            <w:r>
              <w:rPr>
                <w:rFonts w:hint="eastAsia" w:ascii="宋体" w:hAnsi="宋体" w:cs="宋体"/>
                <w:kern w:val="0"/>
                <w:sz w:val="22"/>
              </w:rPr>
              <w:t>国际</w:t>
            </w:r>
            <w:r>
              <w:rPr>
                <w:rFonts w:ascii="宋体" w:hAnsi="宋体" w:cs="宋体"/>
                <w:kern w:val="0"/>
                <w:sz w:val="22"/>
              </w:rPr>
              <w:t>认证</w:t>
            </w:r>
            <w:r>
              <w:rPr>
                <w:rFonts w:hint="eastAsia" w:ascii="宋体" w:hAnsi="宋体" w:cs="宋体"/>
                <w:kern w:val="0"/>
                <w:sz w:val="22"/>
              </w:rPr>
              <w:t>得3分， CMMI4得1分，其它不得分。投标人须提供生产厂家加盖公章的CMMI证书复印件。</w:t>
            </w:r>
          </w:p>
          <w:p>
            <w:pPr>
              <w:pStyle w:val="37"/>
              <w:widowControl/>
              <w:ind w:firstLine="0" w:firstLineChars="0"/>
              <w:rPr>
                <w:rFonts w:ascii="宋体" w:hAnsi="宋体" w:cs="宋体"/>
                <w:kern w:val="0"/>
                <w:sz w:val="22"/>
              </w:rPr>
            </w:pPr>
            <w:r>
              <w:rPr>
                <w:rFonts w:hint="eastAsia" w:ascii="仿宋" w:hAnsi="仿宋" w:eastAsia="仿宋" w:cs="仿宋"/>
                <w:kern w:val="0"/>
                <w:szCs w:val="21"/>
              </w:rPr>
              <w:t>2、</w:t>
            </w:r>
            <w:r>
              <w:rPr>
                <w:rFonts w:hint="eastAsia" w:ascii="宋体" w:hAnsi="宋体" w:cs="宋体"/>
                <w:kern w:val="0"/>
                <w:sz w:val="22"/>
              </w:rPr>
              <w:t>投标人需提供所投“小型一体化终端”生产厂商由</w:t>
            </w:r>
            <w:r>
              <w:rPr>
                <w:rFonts w:ascii="宋体" w:hAnsi="宋体" w:cs="宋体"/>
                <w:kern w:val="0"/>
                <w:sz w:val="22"/>
              </w:rPr>
              <w:t>中国信息安全</w:t>
            </w:r>
            <w:r>
              <w:rPr>
                <w:rFonts w:hint="eastAsia" w:ascii="宋体" w:hAnsi="宋体" w:cs="宋体"/>
                <w:kern w:val="0"/>
                <w:sz w:val="22"/>
              </w:rPr>
              <w:t>认证</w:t>
            </w:r>
            <w:r>
              <w:rPr>
                <w:rFonts w:ascii="宋体" w:hAnsi="宋体" w:cs="宋体"/>
                <w:kern w:val="0"/>
                <w:sz w:val="22"/>
              </w:rPr>
              <w:t>中心</w:t>
            </w:r>
            <w:r>
              <w:rPr>
                <w:rFonts w:hint="eastAsia" w:ascii="宋体" w:hAnsi="宋体" w:cs="宋体"/>
                <w:kern w:val="0"/>
                <w:sz w:val="22"/>
              </w:rPr>
              <w:t>颁发</w:t>
            </w:r>
            <w:r>
              <w:rPr>
                <w:rFonts w:ascii="宋体" w:hAnsi="宋体" w:cs="宋体"/>
                <w:kern w:val="0"/>
                <w:sz w:val="22"/>
              </w:rPr>
              <w:t>的</w:t>
            </w:r>
            <w:r>
              <w:rPr>
                <w:rFonts w:hint="eastAsia" w:ascii="宋体" w:hAnsi="宋体" w:cs="宋体"/>
                <w:kern w:val="0"/>
                <w:sz w:val="22"/>
              </w:rPr>
              <w:t>信息安全应急处理证书，壹级得2分，贰级得1分，其他不得分。投标人须提供生产厂家加盖公章的信息安全应急处理证书复印件。</w:t>
            </w:r>
          </w:p>
          <w:p>
            <w:pPr>
              <w:pStyle w:val="37"/>
              <w:widowControl/>
              <w:ind w:firstLine="0" w:firstLineChars="0"/>
              <w:rPr>
                <w:rFonts w:ascii="宋体" w:hAnsi="宋体" w:cs="宋体"/>
                <w:kern w:val="0"/>
                <w:sz w:val="22"/>
              </w:rPr>
            </w:pPr>
            <w:r>
              <w:rPr>
                <w:rFonts w:hint="eastAsia" w:ascii="仿宋" w:hAnsi="仿宋" w:eastAsia="仿宋" w:cs="仿宋"/>
                <w:kern w:val="0"/>
                <w:szCs w:val="21"/>
              </w:rPr>
              <w:t>3、</w:t>
            </w:r>
            <w:r>
              <w:rPr>
                <w:rFonts w:hint="eastAsia" w:ascii="宋体" w:hAnsi="宋体" w:cs="宋体"/>
                <w:kern w:val="0"/>
                <w:sz w:val="22"/>
              </w:rPr>
              <w:t>投标人需提供所投“小型一体化终端”生产厂商T</w:t>
            </w:r>
            <w:r>
              <w:rPr>
                <w:rFonts w:ascii="宋体" w:hAnsi="宋体" w:cs="宋体"/>
                <w:kern w:val="0"/>
                <w:sz w:val="22"/>
              </w:rPr>
              <w:t>L9000</w:t>
            </w:r>
            <w:r>
              <w:rPr>
                <w:rFonts w:hint="eastAsia" w:ascii="宋体" w:hAnsi="宋体" w:cs="宋体"/>
                <w:kern w:val="0"/>
                <w:sz w:val="22"/>
              </w:rPr>
              <w:t>认证证书，并加盖厂商公章，提供者得2分，不提供不得分；</w:t>
            </w:r>
          </w:p>
          <w:p>
            <w:pPr>
              <w:pStyle w:val="37"/>
              <w:widowControl/>
              <w:ind w:firstLine="0" w:firstLineChars="0"/>
              <w:rPr>
                <w:rFonts w:ascii="宋体" w:hAnsi="宋体" w:cs="宋体"/>
                <w:kern w:val="0"/>
                <w:sz w:val="22"/>
              </w:rPr>
            </w:pPr>
            <w:r>
              <w:rPr>
                <w:rFonts w:hint="eastAsia" w:ascii="仿宋" w:hAnsi="仿宋" w:eastAsia="仿宋" w:cs="仿宋"/>
                <w:kern w:val="0"/>
                <w:szCs w:val="21"/>
              </w:rPr>
              <w:t>4、</w:t>
            </w:r>
            <w:r>
              <w:rPr>
                <w:rFonts w:hint="eastAsia" w:ascii="宋体" w:hAnsi="宋体" w:cs="宋体"/>
                <w:kern w:val="0"/>
                <w:sz w:val="22"/>
              </w:rPr>
              <w:t>投标人所投“LED显示屏体”产品需提供信噪比、盐雾、抗震8级由CMA、CNAS、CAL章的专业电子产品质量检测中心出具的检测报告，每提供一种报告</w:t>
            </w:r>
            <w:r>
              <w:rPr>
                <w:rFonts w:ascii="宋体" w:hAnsi="宋体" w:cs="宋体"/>
                <w:kern w:val="0"/>
                <w:sz w:val="22"/>
              </w:rPr>
              <w:t>得</w:t>
            </w:r>
            <w:r>
              <w:rPr>
                <w:rFonts w:hint="eastAsia" w:ascii="宋体" w:hAnsi="宋体" w:cs="宋体"/>
                <w:kern w:val="0"/>
                <w:sz w:val="22"/>
              </w:rPr>
              <w:t>1</w:t>
            </w:r>
            <w:r>
              <w:rPr>
                <w:rFonts w:ascii="宋体" w:hAnsi="宋体" w:cs="宋体"/>
                <w:kern w:val="0"/>
                <w:sz w:val="22"/>
              </w:rPr>
              <w:t>分，</w:t>
            </w:r>
            <w:r>
              <w:rPr>
                <w:rFonts w:hint="eastAsia" w:ascii="宋体" w:hAnsi="宋体" w:cs="宋体"/>
                <w:kern w:val="0"/>
                <w:sz w:val="22"/>
              </w:rPr>
              <w:t>最多得3分,</w:t>
            </w:r>
            <w:r>
              <w:rPr>
                <w:rFonts w:ascii="宋体" w:hAnsi="宋体" w:cs="宋体"/>
                <w:kern w:val="0"/>
                <w:sz w:val="22"/>
              </w:rPr>
              <w:t>检测报告复印件加盖</w:t>
            </w:r>
            <w:r>
              <w:rPr>
                <w:rFonts w:hint="eastAsia" w:ascii="宋体" w:hAnsi="宋体" w:cs="宋体"/>
                <w:kern w:val="0"/>
                <w:sz w:val="22"/>
              </w:rPr>
              <w:t>制造商</w:t>
            </w:r>
            <w:r>
              <w:rPr>
                <w:rFonts w:ascii="宋体" w:hAnsi="宋体" w:cs="宋体"/>
                <w:kern w:val="0"/>
                <w:sz w:val="22"/>
              </w:rPr>
              <w:t>公章为</w:t>
            </w:r>
            <w:r>
              <w:rPr>
                <w:rFonts w:hint="eastAsia" w:ascii="宋体" w:hAnsi="宋体" w:cs="宋体"/>
                <w:kern w:val="0"/>
                <w:sz w:val="22"/>
              </w:rPr>
              <w:t>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u w:val="single"/>
              </w:rPr>
            </w:pPr>
            <w:r>
              <w:rPr>
                <w:rFonts w:hint="eastAsia" w:ascii="宋体" w:hAnsi="宋体" w:cs="宋体"/>
                <w:kern w:val="0"/>
                <w:sz w:val="24"/>
                <w:u w:val="single"/>
              </w:rPr>
              <w:t xml:space="preserve">  10 </w:t>
            </w:r>
            <w:r>
              <w:rPr>
                <w:rFonts w:hint="eastAsia" w:ascii="宋体" w:hAnsi="宋体" w:cs="宋体"/>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tLeast"/>
              <w:jc w:val="center"/>
              <w:rPr>
                <w:rFonts w:ascii="宋体" w:hAnsi="宋体" w:cs="宋体"/>
                <w:kern w:val="0"/>
                <w:sz w:val="24"/>
              </w:rPr>
            </w:pPr>
            <w:r>
              <w:rPr>
                <w:rFonts w:hint="eastAsia" w:ascii="宋体" w:hAnsi="宋体"/>
                <w:bCs/>
                <w:iCs/>
              </w:rPr>
              <w:t>售后服务承诺</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rPr>
                <w:rFonts w:ascii="宋体" w:hAnsi="宋体" w:cs="仿宋"/>
                <w:sz w:val="22"/>
                <w:lang w:val="zh-CN"/>
              </w:rPr>
            </w:pPr>
            <w:r>
              <w:rPr>
                <w:rFonts w:hint="eastAsia" w:ascii="宋体" w:hAnsi="宋体"/>
                <w:bCs/>
                <w:iCs/>
                <w:sz w:val="22"/>
              </w:rPr>
              <w:t>1、售后服务：投标人提供设备原厂售后服务3年及以上得2分，1-2年得1分，其他不得分。</w:t>
            </w:r>
          </w:p>
          <w:p>
            <w:pPr>
              <w:pStyle w:val="13"/>
              <w:rPr>
                <w:rFonts w:ascii="宋体" w:hAnsi="宋体" w:cs="仿宋"/>
                <w:sz w:val="22"/>
                <w:lang w:val="zh-CN"/>
              </w:rPr>
            </w:pPr>
            <w:r>
              <w:rPr>
                <w:rFonts w:hint="eastAsia" w:ascii="宋体" w:hAnsi="宋体" w:cs="仿宋"/>
                <w:sz w:val="22"/>
                <w:lang w:val="zh-CN"/>
              </w:rPr>
              <w:t>2</w:t>
            </w:r>
            <w:r>
              <w:rPr>
                <w:rFonts w:hint="eastAsia" w:ascii="宋体" w:hAnsi="宋体"/>
                <w:bCs/>
                <w:iCs/>
                <w:sz w:val="22"/>
              </w:rPr>
              <w:t>、投标人所投“一体化终端”应能无缝接入市局现有视频会议系统中，需提供厂家兼容证明承诺并加盖厂商公章，提供得1分，没有不得分。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 3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80"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tLeast"/>
              <w:jc w:val="center"/>
              <w:rPr>
                <w:rFonts w:ascii="宋体" w:hAnsi="宋体" w:cs="宋体"/>
                <w:kern w:val="0"/>
                <w:sz w:val="24"/>
              </w:rPr>
            </w:pPr>
            <w:r>
              <w:rPr>
                <w:rFonts w:hint="eastAsia" w:ascii="宋体" w:hAnsi="宋体"/>
                <w:bCs/>
                <w:iCs/>
              </w:rPr>
              <w:t>产品授权</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cs="宋体"/>
                <w:kern w:val="0"/>
                <w:sz w:val="22"/>
              </w:rPr>
            </w:pPr>
            <w:r>
              <w:rPr>
                <w:rFonts w:hint="eastAsia" w:ascii="宋体" w:hAnsi="宋体" w:cs="宋体"/>
                <w:kern w:val="0"/>
                <w:sz w:val="22"/>
              </w:rPr>
              <w:t> </w:t>
            </w:r>
            <w:r>
              <w:rPr>
                <w:rFonts w:hint="eastAsia" w:ascii="宋体" w:hAnsi="宋体"/>
                <w:bCs/>
                <w:iCs/>
                <w:sz w:val="22"/>
              </w:rPr>
              <w:t>投标人提供所投主要设备</w:t>
            </w:r>
            <w:r>
              <w:rPr>
                <w:rFonts w:ascii="宋体" w:hAnsi="宋体"/>
                <w:bCs/>
                <w:iCs/>
                <w:sz w:val="22"/>
              </w:rPr>
              <w:t>”</w:t>
            </w:r>
            <w:r>
              <w:rPr>
                <w:rFonts w:hint="eastAsia" w:ascii="宋体" w:hAnsi="宋体"/>
                <w:bCs/>
                <w:iCs/>
                <w:sz w:val="22"/>
              </w:rPr>
              <w:t>小型一体化终端、LED显示屏体</w:t>
            </w:r>
            <w:r>
              <w:rPr>
                <w:rFonts w:ascii="宋体" w:hAnsi="宋体"/>
                <w:bCs/>
                <w:iCs/>
                <w:sz w:val="22"/>
              </w:rPr>
              <w:t>”</w:t>
            </w:r>
            <w:r>
              <w:rPr>
                <w:rFonts w:hint="eastAsia" w:ascii="宋体" w:hAnsi="宋体"/>
                <w:bCs/>
                <w:iCs/>
                <w:sz w:val="22"/>
              </w:rPr>
              <w:t>生产厂家针对本项目的原厂授权并加盖厂商公章，提供一项得2分，共4分，没有不得分。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4"/>
              </w:rPr>
            </w:pPr>
            <w:r>
              <w:rPr>
                <w:rFonts w:hint="eastAsia" w:ascii="宋体" w:hAnsi="宋体" w:cs="宋体"/>
                <w:kern w:val="0"/>
                <w:sz w:val="24"/>
                <w:u w:val="single"/>
              </w:rPr>
              <w:t>4</w:t>
            </w:r>
            <w:r>
              <w:rPr>
                <w:rFonts w:hint="eastAsia" w:ascii="宋体" w:hAnsi="宋体" w:cs="宋体"/>
                <w:kern w:val="0"/>
                <w:sz w:val="24"/>
              </w:rPr>
              <w:t>分 </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2F0AE5"/>
    <w:multiLevelType w:val="multilevel"/>
    <w:tmpl w:val="052F0A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035DF0"/>
    <w:multiLevelType w:val="multilevel"/>
    <w:tmpl w:val="09035DF0"/>
    <w:lvl w:ilvl="0" w:tentative="0">
      <w:start w:val="1"/>
      <w:numFmt w:val="decimal"/>
      <w:lvlText w:val="%1、"/>
      <w:lvlJc w:val="left"/>
      <w:pPr>
        <w:ind w:left="360" w:hanging="360"/>
      </w:pPr>
      <w:rPr>
        <w:rFonts w:hint="default" w:cs="宋体"/>
        <w:sz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8"/>
      <w:suff w:val="nothing"/>
      <w:lvlText w:val="%1、"/>
      <w:lvlJc w:val="left"/>
    </w:lvl>
  </w:abstractNum>
  <w:abstractNum w:abstractNumId="7">
    <w:nsid w:val="6A017ADF"/>
    <w:multiLevelType w:val="singleLevel"/>
    <w:tmpl w:val="6A017ADF"/>
    <w:lvl w:ilvl="0" w:tentative="0">
      <w:start w:val="3"/>
      <w:numFmt w:val="decimal"/>
      <w:suff w:val="nothing"/>
      <w:lvlText w:val="%1、"/>
      <w:lvlJc w:val="left"/>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C18"/>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43FC"/>
    <w:rsid w:val="000769D1"/>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3BCE"/>
    <w:rsid w:val="001052E3"/>
    <w:rsid w:val="00110C26"/>
    <w:rsid w:val="0011232C"/>
    <w:rsid w:val="0011325E"/>
    <w:rsid w:val="001232C9"/>
    <w:rsid w:val="001262C8"/>
    <w:rsid w:val="001276EF"/>
    <w:rsid w:val="00140426"/>
    <w:rsid w:val="00141B3F"/>
    <w:rsid w:val="00142385"/>
    <w:rsid w:val="00147B7D"/>
    <w:rsid w:val="00163CBE"/>
    <w:rsid w:val="001645B9"/>
    <w:rsid w:val="00165060"/>
    <w:rsid w:val="00177750"/>
    <w:rsid w:val="00177FF7"/>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1B2A"/>
    <w:rsid w:val="00235E0B"/>
    <w:rsid w:val="0024241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1B7A"/>
    <w:rsid w:val="002B2BE8"/>
    <w:rsid w:val="002C08BF"/>
    <w:rsid w:val="002C53F3"/>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3E24"/>
    <w:rsid w:val="00380000"/>
    <w:rsid w:val="00383277"/>
    <w:rsid w:val="00390DC9"/>
    <w:rsid w:val="00391CDE"/>
    <w:rsid w:val="003A003C"/>
    <w:rsid w:val="003A02F1"/>
    <w:rsid w:val="003A4C56"/>
    <w:rsid w:val="003B5BE5"/>
    <w:rsid w:val="003B71E6"/>
    <w:rsid w:val="003C013E"/>
    <w:rsid w:val="003C191A"/>
    <w:rsid w:val="003C669F"/>
    <w:rsid w:val="003D2A39"/>
    <w:rsid w:val="003D6EA0"/>
    <w:rsid w:val="003E4CE5"/>
    <w:rsid w:val="003E5D20"/>
    <w:rsid w:val="003E7330"/>
    <w:rsid w:val="003E798A"/>
    <w:rsid w:val="003F635C"/>
    <w:rsid w:val="00400336"/>
    <w:rsid w:val="004040EC"/>
    <w:rsid w:val="00414D08"/>
    <w:rsid w:val="00420293"/>
    <w:rsid w:val="004224AA"/>
    <w:rsid w:val="00423593"/>
    <w:rsid w:val="00427171"/>
    <w:rsid w:val="00431A4E"/>
    <w:rsid w:val="0043314E"/>
    <w:rsid w:val="00435633"/>
    <w:rsid w:val="00436C3E"/>
    <w:rsid w:val="0043706F"/>
    <w:rsid w:val="0044562D"/>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A70A3"/>
    <w:rsid w:val="004C00FF"/>
    <w:rsid w:val="004C15CA"/>
    <w:rsid w:val="004C3610"/>
    <w:rsid w:val="004D1A38"/>
    <w:rsid w:val="004D7FCC"/>
    <w:rsid w:val="004E3BC4"/>
    <w:rsid w:val="004E4651"/>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341CB"/>
    <w:rsid w:val="00636AAD"/>
    <w:rsid w:val="00644E97"/>
    <w:rsid w:val="00651415"/>
    <w:rsid w:val="006674B6"/>
    <w:rsid w:val="0066760C"/>
    <w:rsid w:val="006705BA"/>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0259"/>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5BE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3B90"/>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C75"/>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1A6"/>
    <w:rsid w:val="00A272CE"/>
    <w:rsid w:val="00A30773"/>
    <w:rsid w:val="00A409A7"/>
    <w:rsid w:val="00A44E4A"/>
    <w:rsid w:val="00A5050D"/>
    <w:rsid w:val="00A57099"/>
    <w:rsid w:val="00A577F4"/>
    <w:rsid w:val="00A630FF"/>
    <w:rsid w:val="00A634C2"/>
    <w:rsid w:val="00A71479"/>
    <w:rsid w:val="00A72BD8"/>
    <w:rsid w:val="00A87E5B"/>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883"/>
    <w:rsid w:val="00B11B18"/>
    <w:rsid w:val="00B17370"/>
    <w:rsid w:val="00B2055A"/>
    <w:rsid w:val="00B2067D"/>
    <w:rsid w:val="00B24B86"/>
    <w:rsid w:val="00B30A6C"/>
    <w:rsid w:val="00B40771"/>
    <w:rsid w:val="00B40C7E"/>
    <w:rsid w:val="00B4170E"/>
    <w:rsid w:val="00B64EAB"/>
    <w:rsid w:val="00B65A0E"/>
    <w:rsid w:val="00B66E6E"/>
    <w:rsid w:val="00B7028D"/>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4C18"/>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F2D"/>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990"/>
    <w:rsid w:val="00D35049"/>
    <w:rsid w:val="00D409E1"/>
    <w:rsid w:val="00D44821"/>
    <w:rsid w:val="00D54C29"/>
    <w:rsid w:val="00D60BC1"/>
    <w:rsid w:val="00D80CE9"/>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0E1"/>
    <w:rsid w:val="00E71FE4"/>
    <w:rsid w:val="00E72B34"/>
    <w:rsid w:val="00E85524"/>
    <w:rsid w:val="00E86419"/>
    <w:rsid w:val="00E86D2C"/>
    <w:rsid w:val="00E8799C"/>
    <w:rsid w:val="00E87E2A"/>
    <w:rsid w:val="00E906B8"/>
    <w:rsid w:val="00E956EC"/>
    <w:rsid w:val="00EA0782"/>
    <w:rsid w:val="00EA20BB"/>
    <w:rsid w:val="00EB125D"/>
    <w:rsid w:val="00EB2492"/>
    <w:rsid w:val="00EB3D1C"/>
    <w:rsid w:val="00EB4C15"/>
    <w:rsid w:val="00EC0745"/>
    <w:rsid w:val="00EC2484"/>
    <w:rsid w:val="00EC754E"/>
    <w:rsid w:val="00ED4705"/>
    <w:rsid w:val="00ED4AF7"/>
    <w:rsid w:val="00ED4D86"/>
    <w:rsid w:val="00ED6B39"/>
    <w:rsid w:val="00EE20E3"/>
    <w:rsid w:val="00EE24AD"/>
    <w:rsid w:val="00EE37D3"/>
    <w:rsid w:val="00EE38E4"/>
    <w:rsid w:val="00EF38CD"/>
    <w:rsid w:val="00EF4CE3"/>
    <w:rsid w:val="00EF56E4"/>
    <w:rsid w:val="00EF684F"/>
    <w:rsid w:val="00EF69A2"/>
    <w:rsid w:val="00EF7F8D"/>
    <w:rsid w:val="00F01880"/>
    <w:rsid w:val="00F02DD3"/>
    <w:rsid w:val="00F06A23"/>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1F34"/>
    <w:rsid w:val="00FB3309"/>
    <w:rsid w:val="00FB6D3B"/>
    <w:rsid w:val="00FC0DEB"/>
    <w:rsid w:val="00FC3B66"/>
    <w:rsid w:val="00FC4909"/>
    <w:rsid w:val="00FC4962"/>
    <w:rsid w:val="00FD12DE"/>
    <w:rsid w:val="00FD62FF"/>
    <w:rsid w:val="00FE2F78"/>
    <w:rsid w:val="00FE4663"/>
    <w:rsid w:val="00FE61C6"/>
    <w:rsid w:val="00FF4EA4"/>
    <w:rsid w:val="3E46393F"/>
    <w:rsid w:val="452D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uiPriority w:val="99"/>
    <w:pPr>
      <w:ind w:firstLine="420" w:firstLineChars="200"/>
    </w:pPr>
  </w:style>
  <w:style w:type="character" w:customStyle="1" w:styleId="38">
    <w:name w:val="正文文本缩进 Char Char"/>
    <w:link w:val="39"/>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uiPriority w:val="0"/>
    <w:rPr>
      <w:sz w:val="24"/>
    </w:rPr>
  </w:style>
  <w:style w:type="paragraph" w:customStyle="1" w:styleId="42">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82</Pages>
  <Words>7354</Words>
  <Characters>41921</Characters>
  <Lines>349</Lines>
  <Paragraphs>98</Paragraphs>
  <TotalTime>314</TotalTime>
  <ScaleCrop>false</ScaleCrop>
  <LinksUpToDate>false</LinksUpToDate>
  <CharactersWithSpaces>49177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许昌市公共资源交易中心:李昕恬(备用2）</cp:lastModifiedBy>
  <cp:lastPrinted>2018-11-06T02:58:00Z</cp:lastPrinted>
  <dcterms:modified xsi:type="dcterms:W3CDTF">2018-11-07T08:26:07Z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