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44"/>
          <w:szCs w:val="44"/>
        </w:rPr>
      </w:pPr>
    </w:p>
    <w:p>
      <w:pPr>
        <w:jc w:val="center"/>
        <w:rPr>
          <w:rFonts w:asciiTheme="majorEastAsia" w:hAnsiTheme="majorEastAsia" w:eastAsiaTheme="majorEastAsia" w:cstheme="majorEastAsia"/>
          <w:b/>
          <w:bCs/>
          <w:sz w:val="44"/>
          <w:szCs w:val="44"/>
        </w:rPr>
      </w:pPr>
    </w:p>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许昌市城乡一体化示范区建设环保局“第二次全国污染源普查第三方服务单位”项目</w:t>
      </w:r>
    </w:p>
    <w:p>
      <w:pPr>
        <w:rPr>
          <w:rFonts w:ascii="微软简隶书" w:eastAsia="微软简隶书"/>
          <w:u w:val="single"/>
        </w:rPr>
      </w:pPr>
    </w:p>
    <w:p>
      <w:pPr>
        <w:rPr>
          <w:rFonts w:ascii="微软简隶书" w:eastAsia="微软简隶书"/>
        </w:rPr>
      </w:pPr>
    </w:p>
    <w:p>
      <w:pPr>
        <w:pStyle w:val="2"/>
        <w:ind w:firstLine="340"/>
      </w:pPr>
    </w:p>
    <w:p>
      <w:pPr>
        <w:pStyle w:val="2"/>
        <w:ind w:firstLine="340"/>
      </w:pPr>
    </w:p>
    <w:p>
      <w:pPr>
        <w:jc w:val="center"/>
        <w:rPr>
          <w:rFonts w:ascii="微软简隶书" w:eastAsia="微软简隶书"/>
        </w:rPr>
      </w:pPr>
      <w:r>
        <w:rPr>
          <w:rFonts w:hint="eastAsia" w:asciiTheme="majorEastAsia" w:hAnsiTheme="majorEastAsia" w:eastAsiaTheme="majorEastAsia" w:cstheme="majorEastAsia"/>
          <w:bCs/>
          <w:w w:val="90"/>
          <w:sz w:val="96"/>
          <w:szCs w:val="120"/>
        </w:rPr>
        <w:t>招</w:t>
      </w:r>
      <w:r>
        <w:rPr>
          <w:rFonts w:hint="eastAsia" w:asciiTheme="majorEastAsia" w:hAnsiTheme="majorEastAsia" w:eastAsiaTheme="majorEastAsia" w:cstheme="majorEastAsia"/>
          <w:bCs/>
          <w:w w:val="90"/>
          <w:sz w:val="96"/>
          <w:szCs w:val="120"/>
          <w:lang w:val="en-US" w:eastAsia="zh-CN"/>
        </w:rPr>
        <w:t xml:space="preserve"> </w:t>
      </w:r>
      <w:r>
        <w:rPr>
          <w:rFonts w:hint="eastAsia" w:asciiTheme="majorEastAsia" w:hAnsiTheme="majorEastAsia" w:eastAsiaTheme="majorEastAsia" w:cstheme="majorEastAsia"/>
          <w:bCs/>
          <w:w w:val="90"/>
          <w:sz w:val="96"/>
          <w:szCs w:val="120"/>
        </w:rPr>
        <w:t>标</w:t>
      </w:r>
      <w:r>
        <w:rPr>
          <w:rFonts w:hint="eastAsia" w:asciiTheme="majorEastAsia" w:hAnsiTheme="majorEastAsia" w:eastAsiaTheme="majorEastAsia" w:cstheme="majorEastAsia"/>
          <w:bCs/>
          <w:w w:val="90"/>
          <w:sz w:val="96"/>
          <w:szCs w:val="120"/>
          <w:lang w:val="en-US" w:eastAsia="zh-CN"/>
        </w:rPr>
        <w:t xml:space="preserve"> </w:t>
      </w:r>
      <w:r>
        <w:rPr>
          <w:rFonts w:hint="eastAsia" w:asciiTheme="majorEastAsia" w:hAnsiTheme="majorEastAsia" w:eastAsiaTheme="majorEastAsia" w:cstheme="majorEastAsia"/>
          <w:bCs/>
          <w:w w:val="90"/>
          <w:sz w:val="96"/>
          <w:szCs w:val="120"/>
        </w:rPr>
        <w:t>文</w:t>
      </w:r>
      <w:r>
        <w:rPr>
          <w:rFonts w:hint="eastAsia" w:asciiTheme="majorEastAsia" w:hAnsiTheme="majorEastAsia" w:eastAsiaTheme="majorEastAsia" w:cstheme="majorEastAsia"/>
          <w:bCs/>
          <w:w w:val="90"/>
          <w:sz w:val="96"/>
          <w:szCs w:val="120"/>
          <w:lang w:val="en-US" w:eastAsia="zh-CN"/>
        </w:rPr>
        <w:t xml:space="preserve"> </w:t>
      </w:r>
      <w:r>
        <w:rPr>
          <w:rFonts w:hint="eastAsia" w:asciiTheme="majorEastAsia" w:hAnsiTheme="majorEastAsia" w:eastAsiaTheme="majorEastAsia" w:cstheme="majorEastAsia"/>
          <w:bCs/>
          <w:w w:val="90"/>
          <w:sz w:val="96"/>
          <w:szCs w:val="120"/>
        </w:rPr>
        <w:t>件</w:t>
      </w:r>
    </w:p>
    <w:p>
      <w:pPr>
        <w:jc w:val="center"/>
        <w:rPr>
          <w:rFonts w:asciiTheme="majorEastAsia" w:hAnsiTheme="majorEastAsia" w:eastAsiaTheme="majorEastAsia" w:cstheme="majorEastAsia"/>
          <w:bCs/>
          <w:w w:val="90"/>
          <w:sz w:val="120"/>
          <w:szCs w:val="120"/>
        </w:rPr>
      </w:pPr>
    </w:p>
    <w:p>
      <w:pPr>
        <w:rPr>
          <w:rFonts w:ascii="微软简隶书" w:eastAsia="微软简隶书"/>
        </w:rPr>
      </w:pPr>
    </w:p>
    <w:p>
      <w:pPr>
        <w:rPr>
          <w:rFonts w:ascii="微软简隶书" w:eastAsia="微软简隶书"/>
        </w:rPr>
      </w:pPr>
    </w:p>
    <w:p>
      <w:pPr>
        <w:rPr>
          <w:rFonts w:ascii="微软简隶书" w:eastAsia="微软简隶书"/>
        </w:rPr>
      </w:pPr>
    </w:p>
    <w:p>
      <w:pPr>
        <w:pStyle w:val="2"/>
        <w:ind w:firstLine="340"/>
      </w:pPr>
    </w:p>
    <w:p>
      <w:pPr>
        <w:rPr>
          <w:rFonts w:ascii="微软简隶书" w:eastAsia="微软简隶书"/>
        </w:rPr>
      </w:pPr>
    </w:p>
    <w:p>
      <w:pPr>
        <w:rPr>
          <w:rFonts w:ascii="微软简隶书" w:eastAsia="微软简隶书"/>
        </w:rPr>
      </w:pPr>
    </w:p>
    <w:p>
      <w:pPr>
        <w:rPr>
          <w:rFonts w:ascii="微软简隶书" w:eastAsia="微软简隶书"/>
        </w:rPr>
      </w:pPr>
    </w:p>
    <w:p>
      <w:pPr>
        <w:jc w:val="left"/>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项目编号：JZFCG-G2018</w:t>
      </w:r>
      <w:r>
        <w:rPr>
          <w:rFonts w:asciiTheme="majorEastAsia" w:hAnsiTheme="majorEastAsia" w:eastAsiaTheme="majorEastAsia" w:cstheme="majorEastAsia"/>
          <w:b/>
          <w:bCs/>
          <w:sz w:val="36"/>
          <w:szCs w:val="36"/>
        </w:rPr>
        <w:t>089</w:t>
      </w:r>
      <w:r>
        <w:rPr>
          <w:rFonts w:hint="eastAsia" w:asciiTheme="majorEastAsia" w:hAnsiTheme="majorEastAsia" w:eastAsiaTheme="majorEastAsia" w:cstheme="majorEastAsia"/>
          <w:b/>
          <w:bCs/>
          <w:sz w:val="36"/>
          <w:szCs w:val="36"/>
        </w:rPr>
        <w:t>号</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采购单位：许昌市城乡一体化示范区建设环保局</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代理机构：中大国信工程管理有限公司</w:t>
      </w: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二〇一八年十月</w:t>
      </w:r>
    </w:p>
    <w:p>
      <w:pPr>
        <w:autoSpaceDE w:val="0"/>
        <w:autoSpaceDN w:val="0"/>
        <w:adjustRightInd w:val="0"/>
        <w:spacing w:line="700" w:lineRule="exact"/>
        <w:ind w:firstLine="551"/>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pStyle w:val="2"/>
        <w:ind w:firstLine="340"/>
      </w:pPr>
    </w:p>
    <w:p>
      <w:pPr>
        <w:pStyle w:val="2"/>
        <w:ind w:firstLine="340"/>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3"/>
        <w:widowControl/>
        <w:shd w:val="clear" w:color="auto" w:fill="FFFFFF"/>
        <w:spacing w:line="360" w:lineRule="auto"/>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shd w:val="clear" w:color="auto" w:fill="FFFFFF"/>
        </w:rPr>
        <w:t>一、项目基本情况</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（一）项目名称：许昌市城乡一体化示范区建设环保局“第二次全国污染源普查第三方服务单位”项目</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（二）项目编号：JZFCG-G2018089号    </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（三）采购方式：公开招标</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（四）项目主要内容、数量及要求：污染源普查清查建库、入户调查、宣传、培训、信息化建设与传输、技术报告与方案编制、汇总建档等服务。</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（五）预算金额：120万元。最高限价：120万元。</w:t>
      </w:r>
    </w:p>
    <w:p>
      <w:pPr>
        <w:spacing w:line="360" w:lineRule="auto"/>
        <w:rPr>
          <w:rFonts w:ascii="宋体" w:hAnsi="宋体" w:cs="宋体"/>
          <w:color w:val="000000"/>
          <w:szCs w:val="21"/>
        </w:rPr>
      </w:pPr>
      <w:r>
        <w:rPr>
          <w:rFonts w:hint="eastAsia" w:cs="仿宋_GB2312" w:asciiTheme="minorEastAsia" w:hAnsiTheme="minorEastAsia"/>
          <w:szCs w:val="21"/>
          <w:shd w:val="clear" w:color="auto" w:fill="FFFFFF"/>
        </w:rPr>
        <w:t>（六）交付（服务、完工）时间 ：</w:t>
      </w:r>
      <w:r>
        <w:rPr>
          <w:rFonts w:hint="eastAsia" w:ascii="宋体" w:hAnsi="宋体" w:cs="宋体"/>
          <w:color w:val="000000"/>
          <w:szCs w:val="21"/>
        </w:rPr>
        <w:t>自合同签订生效之日起至 2019 年 6月底前完成第二次全国污染源普查全部服务工作并按时按质提交相应成果文件。（若国家污普办有最新时间更新安排的，遵循其要求）</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（七）交付（服务、完工）地点：许昌市城乡一体化示范区范围内；</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二、需要落实的政府采购政策</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本项目落实</w:t>
      </w:r>
      <w:r>
        <w:rPr>
          <w:rFonts w:hint="eastAsia" w:cs="仿宋_GB2312" w:asciiTheme="minorEastAsia" w:hAnsiTheme="minorEastAsia" w:eastAsiaTheme="minorEastAsia"/>
          <w:sz w:val="21"/>
          <w:szCs w:val="21"/>
          <w:u w:val="single"/>
          <w:shd w:val="clear" w:color="auto" w:fill="FFFFFF"/>
        </w:rPr>
        <w:t>节能环保</w:t>
      </w:r>
      <w:r>
        <w:rPr>
          <w:rFonts w:hint="eastAsia" w:cs="仿宋_GB2312" w:asciiTheme="minorEastAsia" w:hAnsiTheme="minorEastAsia" w:eastAsiaTheme="minorEastAsia"/>
          <w:sz w:val="21"/>
          <w:szCs w:val="21"/>
          <w:shd w:val="clear" w:color="auto" w:fill="FFFFFF"/>
        </w:rPr>
        <w:t>、</w:t>
      </w:r>
      <w:r>
        <w:rPr>
          <w:rFonts w:hint="eastAsia" w:cs="仿宋_GB2312" w:asciiTheme="minorEastAsia" w:hAnsiTheme="minorEastAsia" w:eastAsiaTheme="minorEastAsia"/>
          <w:sz w:val="21"/>
          <w:szCs w:val="21"/>
          <w:u w:val="single"/>
          <w:shd w:val="clear" w:color="auto" w:fill="FFFFFF"/>
        </w:rPr>
        <w:t>中小微型企业</w:t>
      </w:r>
      <w:r>
        <w:rPr>
          <w:rFonts w:hint="eastAsia" w:cs="仿宋_GB2312" w:asciiTheme="minorEastAsia" w:hAnsiTheme="minorEastAsia" w:eastAsiaTheme="minorEastAsia"/>
          <w:sz w:val="21"/>
          <w:szCs w:val="21"/>
          <w:shd w:val="clear" w:color="auto" w:fill="FFFFFF"/>
        </w:rPr>
        <w:t>、</w:t>
      </w:r>
      <w:r>
        <w:rPr>
          <w:rFonts w:hint="eastAsia" w:cs="仿宋_GB2312" w:asciiTheme="minorEastAsia" w:hAnsiTheme="minorEastAsia" w:eastAsiaTheme="minorEastAsia"/>
          <w:sz w:val="21"/>
          <w:szCs w:val="21"/>
          <w:u w:val="single"/>
          <w:shd w:val="clear" w:color="auto" w:fill="FFFFFF"/>
        </w:rPr>
        <w:t>残疾人福利性单位</w:t>
      </w:r>
      <w:r>
        <w:rPr>
          <w:rFonts w:hint="eastAsia" w:cs="仿宋_GB2312" w:asciiTheme="minorEastAsia" w:hAnsiTheme="minorEastAsia" w:eastAsiaTheme="minorEastAsia"/>
          <w:sz w:val="21"/>
          <w:szCs w:val="21"/>
          <w:shd w:val="clear" w:color="auto" w:fill="FFFFFF"/>
        </w:rPr>
        <w:t>扶持等相关政府采购政策。</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三、投标人资格要求</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（一）符合《政府采购法》第二十二条第一款规定条件并提供相关材料；</w:t>
      </w:r>
    </w:p>
    <w:p>
      <w:pPr>
        <w:pStyle w:val="23"/>
        <w:widowControl/>
        <w:shd w:val="clear" w:color="auto" w:fill="FFFFFF"/>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 (二) 具有相应经营范围及人员设备及履行服务内容的能力；</w:t>
      </w:r>
    </w:p>
    <w:p>
      <w:pPr>
        <w:pStyle w:val="23"/>
        <w:widowControl/>
        <w:shd w:val="clear" w:color="auto" w:fill="FFFFFF"/>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（三）未被列入“信用中国”网站(www.creditchina.gov.cn)失信被执行人、重大税收违法案件当事人名单、政府采购严重违法失信名单的投标人；“中国政府采购网” (www.ccgp.gov.cn)政府采购严重违法失信行为记录名单的投标人；</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（四）本次招标不接受联合体投标。</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四、招标文件的获取</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（一）网上下载招标文件</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（二）招标文件售价</w:t>
      </w:r>
      <w:r>
        <w:rPr>
          <w:rFonts w:hint="eastAsia" w:cs="仿宋_GB2312" w:asciiTheme="minorEastAsia" w:hAnsiTheme="minorEastAsia" w:eastAsiaTheme="minorEastAsia"/>
          <w:sz w:val="21"/>
          <w:szCs w:val="21"/>
          <w:u w:val="single"/>
          <w:shd w:val="clear" w:color="auto" w:fill="FFFFFF"/>
        </w:rPr>
        <w:t>300</w:t>
      </w:r>
      <w:r>
        <w:rPr>
          <w:rFonts w:hint="eastAsia" w:cs="仿宋_GB2312" w:asciiTheme="minorEastAsia" w:hAnsiTheme="minorEastAsia" w:eastAsiaTheme="minorEastAsia"/>
          <w:sz w:val="21"/>
          <w:szCs w:val="21"/>
          <w:shd w:val="clear" w:color="auto" w:fill="FFFFFF"/>
        </w:rPr>
        <w:t>元/套，投标人在递交投标文件时向采购代理机构交纳采购文件费用，售后不退。</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五、投标截止时间、开标时间及地点</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（一）投标截止及开标时间：2018年</w:t>
      </w:r>
      <w:r>
        <w:rPr>
          <w:rFonts w:hint="eastAsia" w:cs="仿宋_GB2312" w:asciiTheme="minorEastAsia" w:hAnsiTheme="minorEastAsia" w:eastAsiaTheme="minorEastAsia"/>
          <w:sz w:val="21"/>
          <w:szCs w:val="21"/>
          <w:lang w:val="en-US" w:eastAsia="zh-CN"/>
        </w:rPr>
        <w:t>11</w:t>
      </w:r>
      <w:r>
        <w:rPr>
          <w:rFonts w:hint="eastAsia" w:cs="仿宋_GB2312" w:asciiTheme="minorEastAsia" w:hAnsiTheme="minorEastAsia" w:eastAsiaTheme="minorEastAsia"/>
          <w:sz w:val="21"/>
          <w:szCs w:val="21"/>
        </w:rPr>
        <w:t>月</w:t>
      </w:r>
      <w:r>
        <w:rPr>
          <w:rFonts w:hint="eastAsia" w:cs="仿宋_GB2312" w:asciiTheme="minorEastAsia" w:hAnsiTheme="minorEastAsia" w:eastAsiaTheme="minorEastAsia"/>
          <w:sz w:val="21"/>
          <w:szCs w:val="21"/>
          <w:lang w:val="en-US" w:eastAsia="zh-CN"/>
        </w:rPr>
        <w:t>1</w:t>
      </w:r>
      <w:r>
        <w:rPr>
          <w:rFonts w:hint="eastAsia" w:cs="仿宋_GB2312" w:asciiTheme="minorEastAsia" w:hAnsiTheme="minorEastAsia" w:eastAsiaTheme="minorEastAsia"/>
          <w:sz w:val="21"/>
          <w:szCs w:val="21"/>
        </w:rPr>
        <w:t>日</w:t>
      </w:r>
      <w:r>
        <w:rPr>
          <w:rFonts w:hint="eastAsia" w:cs="仿宋_GB2312" w:asciiTheme="minorEastAsia" w:hAnsiTheme="minorEastAsia" w:eastAsiaTheme="minorEastAsia"/>
          <w:sz w:val="21"/>
          <w:szCs w:val="21"/>
          <w:lang w:val="en-US" w:eastAsia="zh-CN"/>
        </w:rPr>
        <w:t>10</w:t>
      </w:r>
      <w:r>
        <w:rPr>
          <w:rFonts w:hint="eastAsia" w:cs="仿宋_GB2312" w:asciiTheme="minorEastAsia" w:hAnsiTheme="minorEastAsia" w:eastAsiaTheme="minorEastAsia"/>
          <w:sz w:val="21"/>
          <w:szCs w:val="21"/>
        </w:rPr>
        <w:t>时</w:t>
      </w:r>
      <w:r>
        <w:rPr>
          <w:rFonts w:hint="eastAsia" w:cs="仿宋_GB2312" w:asciiTheme="minorEastAsia" w:hAnsiTheme="minorEastAsia" w:eastAsiaTheme="minorEastAsia"/>
          <w:sz w:val="21"/>
          <w:szCs w:val="21"/>
          <w:lang w:val="en-US" w:eastAsia="zh-CN"/>
        </w:rPr>
        <w:t>30</w:t>
      </w:r>
      <w:r>
        <w:rPr>
          <w:rFonts w:hint="eastAsia" w:cs="仿宋_GB2312" w:asciiTheme="minorEastAsia" w:hAnsiTheme="minorEastAsia" w:eastAsiaTheme="minorEastAsia"/>
          <w:sz w:val="21"/>
          <w:szCs w:val="21"/>
        </w:rPr>
        <w:t>分（北京时间），逾期提交或不符合规定的投标文件不予接受。</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（二）开标地点：许昌市公共资源交易中心（</w:t>
      </w:r>
      <w:r>
        <w:rPr>
          <w:rFonts w:cs="Arial" w:asciiTheme="minorEastAsia" w:hAnsiTheme="minorEastAsia" w:eastAsiaTheme="minorEastAsia"/>
          <w:sz w:val="21"/>
          <w:szCs w:val="21"/>
        </w:rPr>
        <w:t>龙兴路与竹林路交汇处</w:t>
      </w:r>
      <w:r>
        <w:rPr>
          <w:rFonts w:hint="eastAsia" w:cs="仿宋_GB2312" w:asciiTheme="minorEastAsia" w:hAnsiTheme="minorEastAsia" w:eastAsiaTheme="minorEastAsia"/>
          <w:sz w:val="21"/>
          <w:szCs w:val="21"/>
        </w:rPr>
        <w:t>公共资源大厦）三楼开标</w:t>
      </w:r>
      <w:r>
        <w:rPr>
          <w:rFonts w:hint="eastAsia" w:cs="仿宋_GB2312" w:asciiTheme="minorEastAsia" w:hAnsiTheme="minorEastAsia" w:eastAsiaTheme="minorEastAsia"/>
          <w:sz w:val="21"/>
          <w:szCs w:val="21"/>
          <w:lang w:eastAsia="zh-CN"/>
        </w:rPr>
        <w:t>二</w:t>
      </w:r>
      <w:r>
        <w:rPr>
          <w:rFonts w:hint="eastAsia" w:cs="仿宋_GB2312" w:asciiTheme="minorEastAsia" w:hAnsiTheme="minorEastAsia" w:eastAsiaTheme="minorEastAsia"/>
          <w:sz w:val="21"/>
          <w:szCs w:val="21"/>
        </w:rPr>
        <w:t>室。</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（三） 本项目为全流程电子化交易项目，投标人须提交电子投标文件和纸质投标文件。</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1、加密电子投标文件</w:t>
      </w:r>
      <w:r>
        <w:rPr>
          <w:rFonts w:hint="eastAsia" w:cs="宋体" w:asciiTheme="minorEastAsia" w:hAnsiTheme="minorEastAsia"/>
          <w:sz w:val="21"/>
          <w:szCs w:val="21"/>
        </w:rPr>
        <w:t>（</w:t>
      </w:r>
      <w:r>
        <w:rPr>
          <w:rFonts w:asciiTheme="minorEastAsia" w:hAnsiTheme="minorEastAsia" w:eastAsiaTheme="minorEastAsia"/>
          <w:sz w:val="21"/>
          <w:szCs w:val="21"/>
        </w:rPr>
        <w:t>.file</w:t>
      </w:r>
      <w:r>
        <w:rPr>
          <w:rFonts w:hint="eastAsia" w:cs="宋体" w:asciiTheme="minorEastAsia" w:hAnsiTheme="minorEastAsia"/>
          <w:sz w:val="21"/>
          <w:szCs w:val="21"/>
        </w:rPr>
        <w:t>格式）须</w:t>
      </w:r>
      <w:r>
        <w:rPr>
          <w:rFonts w:hint="eastAsia" w:cs="仿宋_GB2312" w:asciiTheme="minorEastAsia" w:hAnsiTheme="minorEastAsia" w:eastAsiaTheme="minorEastAsia"/>
          <w:sz w:val="21"/>
          <w:szCs w:val="21"/>
        </w:rPr>
        <w:t>在投标截止时间（开标时间）前通过《全国公共资源交易平台(河南省</w:t>
      </w:r>
      <w:r>
        <w:rPr>
          <w:rFonts w:hint="eastAsia" w:ascii="MS Mincho" w:hAnsi="MS Mincho" w:eastAsia="MS Mincho" w:cs="MS Mincho"/>
          <w:sz w:val="21"/>
          <w:szCs w:val="21"/>
        </w:rPr>
        <w:t>▪</w:t>
      </w:r>
      <w:r>
        <w:rPr>
          <w:rFonts w:hint="eastAsia" w:ascii="宋体" w:hAnsi="宋体" w:cs="宋体"/>
          <w:sz w:val="21"/>
          <w:szCs w:val="21"/>
        </w:rPr>
        <w:t>许昌市</w:t>
      </w:r>
      <w:r>
        <w:rPr>
          <w:rFonts w:hint="eastAsia" w:cs="仿宋_GB2312" w:asciiTheme="minorEastAsia" w:hAnsiTheme="minorEastAsia" w:eastAsiaTheme="minorEastAsia"/>
          <w:sz w:val="21"/>
          <w:szCs w:val="21"/>
        </w:rPr>
        <w:t>)》公共资源交易系统成功上传。</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shd w:val="pct10" w:color="auto" w:fill="FFFFFF"/>
        </w:rPr>
      </w:pPr>
      <w:r>
        <w:rPr>
          <w:rFonts w:hint="eastAsia" w:cs="仿宋_GB2312" w:asciiTheme="minorEastAsia" w:hAnsiTheme="minorEastAsia" w:eastAsiaTheme="minorEastAsia"/>
          <w:sz w:val="21"/>
          <w:szCs w:val="21"/>
        </w:rPr>
        <w:t>2、纸质投标文件（正本、副本各1份）和备份文件1份</w:t>
      </w:r>
      <w:r>
        <w:rPr>
          <w:rFonts w:hint="eastAsia" w:hAnsi="宋体"/>
          <w:sz w:val="21"/>
          <w:szCs w:val="21"/>
        </w:rPr>
        <w:t>（使用电子介质存储）</w:t>
      </w:r>
      <w:r>
        <w:rPr>
          <w:rFonts w:hint="eastAsia" w:cs="仿宋_GB2312" w:asciiTheme="minorEastAsia" w:hAnsiTheme="minorEastAsia" w:eastAsiaTheme="minorEastAsia"/>
          <w:sz w:val="21"/>
          <w:szCs w:val="21"/>
        </w:rPr>
        <w:t>在投标截止时间（开标时间）前递交至本项目开标地点。</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六、本次招标公告同时在《中国政府采购网》、《河南省政府采购网》、《许昌市政府采购网》、《全国公共资源交易平台（河南省·许昌市）》发布。</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七、公告期限</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本招标公告自发布之日起公告期限为5个工作日。</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rPr>
        <w:t>八、联系方式</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采购人：许昌市城乡一体化示范区建设环保局</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地 址：许昌市城乡一体化示范区</w:t>
      </w:r>
    </w:p>
    <w:p>
      <w:pPr>
        <w:pStyle w:val="23"/>
        <w:widowControl/>
        <w:shd w:val="clear" w:color="auto" w:fill="FFFFFF"/>
        <w:spacing w:line="360" w:lineRule="auto"/>
        <w:ind w:firstLine="420"/>
        <w:contextualSpacing/>
        <w:jc w:val="left"/>
        <w:rPr>
          <w:rFonts w:cs="仿宋_GB2312" w:asciiTheme="minorEastAsia" w:hAnsiTheme="minorEastAsia"/>
          <w:sz w:val="21"/>
          <w:szCs w:val="21"/>
        </w:rPr>
      </w:pPr>
      <w:r>
        <w:rPr>
          <w:rFonts w:hint="eastAsia" w:cs="仿宋_GB2312" w:asciiTheme="minorEastAsia" w:hAnsiTheme="minorEastAsia"/>
          <w:sz w:val="21"/>
          <w:szCs w:val="21"/>
        </w:rPr>
        <w:t>联系人</w:t>
      </w:r>
      <w:bookmarkStart w:id="0" w:name="_Hlk526002308"/>
      <w:r>
        <w:rPr>
          <w:rFonts w:hint="eastAsia" w:cs="仿宋_GB2312" w:asciiTheme="minorEastAsia" w:hAnsiTheme="minorEastAsia"/>
          <w:sz w:val="21"/>
          <w:szCs w:val="21"/>
        </w:rPr>
        <w:t>：郭君  联系电话：0374-3372707</w:t>
      </w:r>
    </w:p>
    <w:bookmarkEnd w:id="0"/>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代理机构：中大国信工程管理有限公司</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地    址：许昌市府西路万象春天2栋3单元2001室</w:t>
      </w:r>
    </w:p>
    <w:p>
      <w:pPr>
        <w:pStyle w:val="23"/>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联 系 人：刘岩      联系电话：15617285069</w:t>
      </w:r>
    </w:p>
    <w:p>
      <w:pPr>
        <w:pStyle w:val="23"/>
        <w:widowControl/>
        <w:shd w:val="clear" w:color="auto" w:fill="FFFFFF"/>
        <w:spacing w:line="360" w:lineRule="auto"/>
        <w:ind w:firstLine="420"/>
        <w:contextualSpacing/>
        <w:jc w:val="right"/>
        <w:rPr>
          <w:rFonts w:cs="仿宋_GB2312" w:asciiTheme="minorEastAsia" w:hAnsiTheme="minorEastAsia"/>
          <w:szCs w:val="21"/>
        </w:rPr>
      </w:pPr>
    </w:p>
    <w:p>
      <w:pPr>
        <w:pStyle w:val="23"/>
        <w:widowControl/>
        <w:shd w:val="clear" w:color="auto" w:fill="FFFFFF"/>
        <w:spacing w:line="360" w:lineRule="auto"/>
        <w:ind w:firstLine="420"/>
        <w:contextualSpacing/>
        <w:jc w:val="right"/>
        <w:rPr>
          <w:rFonts w:cs="仿宋_GB2312" w:asciiTheme="minorEastAsia" w:hAnsiTheme="minorEastAsia" w:eastAsiaTheme="minorEastAsia"/>
          <w:sz w:val="21"/>
          <w:szCs w:val="21"/>
        </w:rPr>
      </w:pPr>
      <w:r>
        <w:rPr>
          <w:rFonts w:hint="eastAsia" w:cs="仿宋_GB2312" w:asciiTheme="minorEastAsia" w:hAnsiTheme="minorEastAsia"/>
          <w:szCs w:val="21"/>
        </w:rPr>
        <w:t>许昌市城乡一体化示范区建设环保局</w:t>
      </w:r>
    </w:p>
    <w:p>
      <w:pPr>
        <w:autoSpaceDE w:val="0"/>
        <w:autoSpaceDN w:val="0"/>
        <w:adjustRightInd w:val="0"/>
        <w:spacing w:line="700" w:lineRule="exact"/>
        <w:ind w:right="840"/>
        <w:jc w:val="right"/>
        <w:rPr>
          <w:rFonts w:cs="仿宋_GB2312" w:asciiTheme="minorEastAsia" w:hAnsiTheme="minorEastAsia"/>
          <w:szCs w:val="21"/>
        </w:rPr>
      </w:pPr>
      <w:r>
        <w:rPr>
          <w:rFonts w:hint="eastAsia" w:cs="仿宋_GB2312" w:asciiTheme="minorEastAsia" w:hAnsiTheme="minorEastAsia"/>
          <w:szCs w:val="21"/>
        </w:rPr>
        <w:t xml:space="preserve">二〇一八年十月 </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本项目为全流程电子化交易项目，请认真阅读招标文件，并注意以下事项。</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1.</w:t>
      </w:r>
      <w:r>
        <w:rPr>
          <w:rFonts w:hint="eastAsia" w:hAnsi="宋体"/>
          <w:b/>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2</w:t>
      </w:r>
      <w:r>
        <w:rPr>
          <w:rFonts w:asciiTheme="minorEastAsia" w:hAnsiTheme="minorEastAsia"/>
          <w:b/>
          <w:szCs w:val="21"/>
        </w:rPr>
        <w:t>.</w:t>
      </w:r>
      <w:r>
        <w:rPr>
          <w:rFonts w:hint="eastAsia" w:hAnsi="宋体"/>
          <w:b/>
          <w:szCs w:val="21"/>
        </w:rPr>
        <w:t>电子文件下载、制作、提交期间和开标（</w:t>
      </w:r>
      <w:r>
        <w:rPr>
          <w:rFonts w:hint="eastAsia" w:hAnsi="宋体"/>
          <w:szCs w:val="21"/>
        </w:rPr>
        <w:t>电子投标文件的解密</w:t>
      </w:r>
      <w:r>
        <w:rPr>
          <w:rFonts w:hint="eastAsia" w:hAnsi="宋体"/>
          <w:b/>
          <w:szCs w:val="21"/>
        </w:rPr>
        <w:t>）环节，投标人须使用</w:t>
      </w:r>
      <w:r>
        <w:rPr>
          <w:rFonts w:hAnsi="宋体"/>
          <w:b/>
          <w:szCs w:val="21"/>
        </w:rPr>
        <w:t>CA数字证书</w:t>
      </w:r>
      <w:r>
        <w:rPr>
          <w:rFonts w:hint="eastAsia" w:hAnsi="宋体"/>
          <w:b/>
          <w:szCs w:val="21"/>
        </w:rPr>
        <w:t>（证书须在有效期内）</w:t>
      </w:r>
      <w:r>
        <w:rPr>
          <w:rFonts w:hAnsi="宋体"/>
          <w:b/>
          <w:szCs w:val="21"/>
        </w:rPr>
        <w:t>。</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3</w:t>
      </w:r>
      <w:r>
        <w:rPr>
          <w:rFonts w:hint="eastAsia" w:asciiTheme="minorEastAsia" w:hAnsiTheme="minorEastAsia"/>
          <w:b/>
          <w:szCs w:val="21"/>
        </w:rPr>
        <w:t>.</w:t>
      </w:r>
      <w:r>
        <w:rPr>
          <w:rFonts w:hint="eastAsia" w:hAnsi="宋体"/>
          <w:b/>
          <w:szCs w:val="21"/>
        </w:rPr>
        <w:t>电子投标文件的制作</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.1</w:t>
      </w:r>
      <w:r>
        <w:rPr>
          <w:rFonts w:hint="eastAsia" w:hAnsi="宋体"/>
          <w:szCs w:val="21"/>
        </w:rPr>
        <w:t xml:space="preserve"> 投标人登录《全国公共资源交易平台</w:t>
      </w:r>
      <w:r>
        <w:rPr>
          <w:rFonts w:hint="eastAsia" w:asciiTheme="majorEastAsia" w:hAnsiTheme="majorEastAsia" w:eastAsiaTheme="majorEastAsia"/>
          <w:szCs w:val="21"/>
        </w:rPr>
        <w:t>(</w:t>
      </w:r>
      <w:r>
        <w:rPr>
          <w:rFonts w:hint="eastAsia" w:hAnsi="宋体"/>
          <w:szCs w:val="21"/>
        </w:rPr>
        <w:t>河南省▪许昌市</w:t>
      </w:r>
      <w:r>
        <w:rPr>
          <w:rFonts w:hint="eastAsia" w:asciiTheme="minorEastAsia" w:hAnsiTheme="minorEastAsia"/>
          <w:szCs w:val="21"/>
        </w:rPr>
        <w:t>)</w:t>
      </w:r>
      <w:r>
        <w:rPr>
          <w:rFonts w:hint="eastAsia" w:hAnsi="宋体"/>
          <w:szCs w:val="21"/>
        </w:rPr>
        <w:t>》公共资源交易系统（</w:t>
      </w:r>
      <w:r>
        <w:rPr>
          <w:rStyle w:val="27"/>
          <w:rFonts w:hAnsi="宋体"/>
          <w:color w:val="auto"/>
          <w:szCs w:val="21"/>
        </w:rPr>
        <w:fldChar w:fldCharType="begin"/>
      </w:r>
      <w:r>
        <w:rPr>
          <w:rStyle w:val="27"/>
          <w:rFonts w:hAnsi="宋体"/>
          <w:color w:val="auto"/>
          <w:szCs w:val="21"/>
        </w:rPr>
        <w:instrText xml:space="preserve"> HYPERLINK "http://221.14.6.70:8088/ggzy/" </w:instrText>
      </w:r>
      <w:r>
        <w:rPr>
          <w:rStyle w:val="27"/>
          <w:rFonts w:hAnsi="宋体"/>
          <w:color w:val="auto"/>
          <w:szCs w:val="21"/>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szCs w:val="21"/>
        </w:rPr>
        <w:t>）下载“许昌投标文件制作系统SEARUN V1.0”，按招标文件要求制作电子投标文件。</w:t>
      </w:r>
    </w:p>
    <w:p>
      <w:pPr>
        <w:tabs>
          <w:tab w:val="left" w:pos="7095"/>
        </w:tabs>
        <w:spacing w:line="360" w:lineRule="auto"/>
        <w:ind w:firstLine="420" w:firstLineChars="200"/>
        <w:contextualSpacing/>
        <w:rPr>
          <w:rFonts w:hAnsi="宋体"/>
          <w:szCs w:val="21"/>
        </w:rPr>
      </w:pPr>
      <w:r>
        <w:rPr>
          <w:rFonts w:hint="eastAsia" w:hAnsi="宋体"/>
          <w:szCs w:val="21"/>
        </w:rPr>
        <w:t>电子投标文件的制作，参考《全国公共资源交易平台</w:t>
      </w:r>
      <w:r>
        <w:rPr>
          <w:rFonts w:hint="eastAsia" w:asciiTheme="minorEastAsia" w:hAnsiTheme="min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》公共资源交易系统——组件下载——交易系统操作手册（投标人、供应商）。</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w:t>
      </w:r>
      <w:r>
        <w:rPr>
          <w:rFonts w:asciiTheme="minorEastAsia" w:hAnsiTheme="minorEastAsia"/>
          <w:szCs w:val="21"/>
        </w:rPr>
        <w:t>2</w:t>
      </w:r>
      <w:r>
        <w:rPr>
          <w:rFonts w:hint="eastAsia" w:hAnsi="宋体"/>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szCs w:val="21"/>
        </w:rPr>
      </w:pPr>
      <w:r>
        <w:rPr>
          <w:rFonts w:asciiTheme="minorEastAsia" w:hAnsiTheme="minorEastAsia"/>
          <w:szCs w:val="21"/>
        </w:rPr>
        <w:t>3.3</w:t>
      </w:r>
      <w:r>
        <w:rPr>
          <w:rFonts w:hint="eastAsia" w:hAnsi="宋体"/>
          <w:szCs w:val="21"/>
        </w:rPr>
        <w:t>投标人对同一项目多个标段进行投标的，应分别下载所投标段的招标文件，按标段制作电子投标文件，并</w:t>
      </w:r>
      <w:r>
        <w:rPr>
          <w:rFonts w:hAnsi="宋体"/>
          <w:szCs w:val="21"/>
        </w:rPr>
        <w:t>按招标文件要求在相应位置加盖</w:t>
      </w:r>
      <w:r>
        <w:rPr>
          <w:rFonts w:hint="eastAsia" w:hAnsi="宋体"/>
          <w:szCs w:val="21"/>
        </w:rPr>
        <w:t>投标人</w:t>
      </w:r>
      <w:r>
        <w:rPr>
          <w:rFonts w:hAnsi="宋体"/>
          <w:szCs w:val="21"/>
        </w:rPr>
        <w:t>电子印章</w:t>
      </w:r>
      <w:r>
        <w:rPr>
          <w:rFonts w:hint="eastAsia" w:hAnsi="宋体"/>
          <w:szCs w:val="21"/>
        </w:rPr>
        <w:t>和法人电子印章。</w:t>
      </w:r>
    </w:p>
    <w:p>
      <w:pPr>
        <w:tabs>
          <w:tab w:val="left" w:pos="7095"/>
        </w:tabs>
        <w:spacing w:line="360" w:lineRule="auto"/>
        <w:ind w:left="105" w:leftChars="50" w:firstLine="315" w:firstLineChars="150"/>
        <w:contextualSpacing/>
        <w:rPr>
          <w:rFonts w:hAnsi="宋体"/>
          <w:szCs w:val="21"/>
        </w:rPr>
      </w:pPr>
      <w:r>
        <w:rPr>
          <w:rFonts w:hint="eastAsia" w:hAnsi="宋体"/>
          <w:szCs w:val="21"/>
        </w:rPr>
        <w:t>一个标段对应生成一个文件夹（xxxx项目xx标段）, 其中包含2个文件和1个文件夹。后缀名为“</w:t>
      </w:r>
      <w:r>
        <w:rPr>
          <w:rFonts w:hAnsi="宋体"/>
          <w:szCs w:val="21"/>
        </w:rPr>
        <w:t>.file</w:t>
      </w:r>
      <w:r>
        <w:rPr>
          <w:rFonts w:hint="eastAsia" w:hAnsi="宋体"/>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4</w:t>
      </w:r>
      <w:r>
        <w:rPr>
          <w:rFonts w:hint="eastAsia" w:asciiTheme="minorEastAsia" w:hAnsiTheme="minorEastAsia"/>
          <w:b/>
          <w:szCs w:val="21"/>
        </w:rPr>
        <w:t>.加密</w:t>
      </w:r>
      <w:r>
        <w:rPr>
          <w:rFonts w:hint="eastAsia" w:hAnsi="宋体"/>
          <w:b/>
          <w:szCs w:val="21"/>
        </w:rPr>
        <w:t>电子投标文件的提交</w:t>
      </w:r>
    </w:p>
    <w:p>
      <w:pPr>
        <w:tabs>
          <w:tab w:val="left" w:pos="7095"/>
        </w:tabs>
        <w:spacing w:line="360" w:lineRule="auto"/>
        <w:contextualSpacing/>
        <w:rPr>
          <w:rFonts w:hAnsi="宋体"/>
          <w:szCs w:val="21"/>
        </w:rPr>
      </w:pPr>
      <w:r>
        <w:rPr>
          <w:rFonts w:asciiTheme="minorEastAsia" w:hAnsiTheme="minorEastAsia"/>
          <w:szCs w:val="21"/>
        </w:rPr>
        <w:t>4</w:t>
      </w:r>
      <w:r>
        <w:rPr>
          <w:rFonts w:hint="eastAsia" w:asciiTheme="minorEastAsia" w:hAnsiTheme="minorEastAsia"/>
          <w:szCs w:val="21"/>
        </w:rPr>
        <w:t>.1加密</w:t>
      </w:r>
      <w:r>
        <w:rPr>
          <w:rFonts w:hint="eastAsia" w:hAnsi="宋体"/>
          <w:szCs w:val="21"/>
        </w:rPr>
        <w:t>电子投标文件应在招标文件规定的投标截止时间（开标时间）之前成功提交至《全国公共资源交易平台(河南省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hAnsi="宋体"/>
          <w:szCs w:val="21"/>
        </w:rPr>
        <w:t>)》公共资源交易系统（</w:t>
      </w:r>
      <w:r>
        <w:rPr>
          <w:rStyle w:val="27"/>
          <w:rFonts w:hAnsi="宋体"/>
          <w:color w:val="auto"/>
          <w:szCs w:val="21"/>
        </w:rPr>
        <w:fldChar w:fldCharType="begin"/>
      </w:r>
      <w:r>
        <w:rPr>
          <w:rStyle w:val="27"/>
          <w:rFonts w:hAnsi="宋体"/>
          <w:color w:val="auto"/>
          <w:szCs w:val="21"/>
        </w:rPr>
        <w:instrText xml:space="preserve"> HYPERLINK "http://221.14.6.70:8088/ggzy/" </w:instrText>
      </w:r>
      <w:r>
        <w:rPr>
          <w:rStyle w:val="27"/>
          <w:rFonts w:hAnsi="宋体"/>
          <w:color w:val="auto"/>
          <w:szCs w:val="21"/>
        </w:rPr>
        <w:fldChar w:fldCharType="separate"/>
      </w:r>
      <w:r>
        <w:rPr>
          <w:rStyle w:val="27"/>
          <w:rFonts w:hAnsi="宋体"/>
          <w:color w:val="auto"/>
          <w:szCs w:val="21"/>
        </w:rPr>
        <w:t>http://221.14.6.70:8088/ggzy/</w:t>
      </w:r>
      <w:r>
        <w:rPr>
          <w:rStyle w:val="27"/>
          <w:rFonts w:hAnsi="宋体"/>
          <w:color w:val="auto"/>
          <w:szCs w:val="21"/>
        </w:rPr>
        <w:fldChar w:fldCharType="end"/>
      </w:r>
      <w:r>
        <w:rPr>
          <w:rFonts w:hint="eastAsia" w:hAnsi="宋体"/>
          <w:szCs w:val="21"/>
        </w:rPr>
        <w:t>）。</w:t>
      </w:r>
    </w:p>
    <w:p>
      <w:pPr>
        <w:tabs>
          <w:tab w:val="left" w:pos="7095"/>
        </w:tabs>
        <w:spacing w:line="360" w:lineRule="auto"/>
        <w:ind w:firstLine="420" w:firstLineChars="200"/>
        <w:contextualSpacing/>
        <w:rPr>
          <w:rFonts w:hAnsi="宋体"/>
          <w:szCs w:val="21"/>
        </w:rPr>
      </w:pPr>
      <w:r>
        <w:rPr>
          <w:rFonts w:hint="eastAsia" w:hAnsi="宋体"/>
          <w:szCs w:val="21"/>
        </w:rPr>
        <w:t>投标人应充分考虑并预留技术处理和上传数据所需时间。</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 xml:space="preserve">2 </w:t>
      </w:r>
      <w:r>
        <w:rPr>
          <w:rFonts w:hint="eastAsia" w:hAnsi="宋体"/>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 xml:space="preserve"> 加密</w:t>
      </w:r>
      <w:r>
        <w:rPr>
          <w:rFonts w:hint="eastAsia" w:hAnsi="宋体"/>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5</w:t>
      </w:r>
      <w:r>
        <w:rPr>
          <w:rFonts w:hint="eastAsia" w:asciiTheme="minorEastAsia" w:hAnsiTheme="minorEastAsia"/>
          <w:b/>
          <w:szCs w:val="21"/>
        </w:rPr>
        <w:t>.</w:t>
      </w:r>
      <w:r>
        <w:rPr>
          <w:rFonts w:hint="eastAsia" w:hAnsi="宋体"/>
          <w:b/>
          <w:szCs w:val="21"/>
        </w:rPr>
        <w:t>评标依据</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5.1</w:t>
      </w:r>
      <w:r>
        <w:rPr>
          <w:rFonts w:hint="eastAsia" w:hAnsi="宋体"/>
          <w:szCs w:val="21"/>
        </w:rPr>
        <w:t>采用全流程电子化交易评标时，评标委员会以电子投标文件为依据评标。</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5.2</w:t>
      </w:r>
      <w:r>
        <w:rPr>
          <w:rFonts w:hint="eastAsia" w:hAnsi="宋体"/>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pStyle w:val="2"/>
        <w:ind w:firstLine="340"/>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widowControl/>
        <w:shd w:val="clear" w:color="auto" w:fill="FFFFFF"/>
        <w:spacing w:line="360" w:lineRule="auto"/>
        <w:ind w:firstLine="422" w:firstLineChars="200"/>
        <w:contextualSpacing/>
        <w:jc w:val="left"/>
        <w:rPr>
          <w:rFonts w:cs="宋体" w:asciiTheme="minorEastAsia" w:hAnsiTheme="minorEastAsia"/>
          <w:b/>
          <w:kern w:val="0"/>
          <w:szCs w:val="21"/>
          <w:lang w:val="zh-CN"/>
        </w:rPr>
      </w:pPr>
      <w:r>
        <w:rPr>
          <w:rFonts w:hint="eastAsia" w:cs="宋体" w:asciiTheme="minorEastAsia" w:hAnsiTheme="minorEastAsia"/>
          <w:b/>
          <w:kern w:val="0"/>
          <w:szCs w:val="21"/>
          <w:lang w:val="zh-CN"/>
        </w:rPr>
        <w:t>一、本项目需实现的功能或者目标：</w:t>
      </w:r>
    </w:p>
    <w:p>
      <w:pPr>
        <w:spacing w:line="360" w:lineRule="auto"/>
        <w:ind w:firstLine="210" w:firstLineChars="100"/>
        <w:contextualSpacing/>
        <w:rPr>
          <w:rFonts w:cs="仿宋_GB2312" w:asciiTheme="minorEastAsia" w:hAnsiTheme="minorEastAsia"/>
          <w:szCs w:val="21"/>
          <w:shd w:val="clear" w:color="auto" w:fill="FFFFFF"/>
        </w:rPr>
      </w:pPr>
      <w:r>
        <w:rPr>
          <w:rFonts w:hint="eastAsia" w:ascii="Arial" w:hAnsi="Arial" w:cs="Arial"/>
        </w:rPr>
        <w:t xml:space="preserve">   </w:t>
      </w:r>
      <w:r>
        <w:rPr>
          <w:rFonts w:ascii="Arial" w:hAnsi="Arial" w:cs="Arial"/>
        </w:rPr>
        <w:t>为落实政府采购政策需满足的要求：</w:t>
      </w:r>
      <w:r>
        <w:rPr>
          <w:rFonts w:hint="eastAsia" w:ascii="Arial" w:hAnsi="Arial" w:cs="Arial"/>
        </w:rPr>
        <w:t>完成示范区辖区范围内的第二次污染源普查工作并通过上级主管部门验收；</w:t>
      </w:r>
    </w:p>
    <w:p>
      <w:pPr>
        <w:widowControl/>
        <w:shd w:val="clear" w:color="auto" w:fill="FFFFFF"/>
        <w:spacing w:line="360" w:lineRule="auto"/>
        <w:ind w:firstLine="422" w:firstLineChars="200"/>
        <w:contextualSpacing/>
        <w:jc w:val="left"/>
        <w:rPr>
          <w:rFonts w:cs="宋体" w:asciiTheme="minorEastAsia" w:hAnsiTheme="minorEastAsia"/>
          <w:b/>
          <w:kern w:val="0"/>
          <w:szCs w:val="21"/>
          <w:lang w:val="zh-CN"/>
        </w:rPr>
      </w:pPr>
      <w:r>
        <w:rPr>
          <w:rFonts w:hint="eastAsia" w:cs="宋体" w:asciiTheme="minorEastAsia" w:hAnsiTheme="minorEastAsia"/>
          <w:b/>
          <w:kern w:val="0"/>
          <w:szCs w:val="21"/>
          <w:lang w:val="zh-CN"/>
        </w:rPr>
        <w:t>二、项目概况及要求：</w:t>
      </w:r>
    </w:p>
    <w:p>
      <w:pPr>
        <w:spacing w:line="360" w:lineRule="auto"/>
        <w:ind w:firstLine="210" w:firstLineChars="100"/>
        <w:contextualSpacing/>
        <w:rPr>
          <w:rFonts w:cs="仿宋_GB2312" w:asciiTheme="minorEastAsia" w:hAnsiTheme="minorEastAsia"/>
          <w:szCs w:val="21"/>
          <w:shd w:val="clear" w:color="auto" w:fill="FFFFFF"/>
        </w:rPr>
      </w:pPr>
      <w:r>
        <w:rPr>
          <w:rFonts w:hint="eastAsia" w:cs="仿宋_GB2312" w:asciiTheme="minorEastAsia" w:hAnsiTheme="minorEastAsia"/>
          <w:szCs w:val="21"/>
          <w:shd w:val="clear" w:color="auto" w:fill="FFFFFF"/>
        </w:rPr>
        <w:t>本项目主要为</w:t>
      </w:r>
      <w:r>
        <w:rPr>
          <w:rFonts w:cs="仿宋_GB2312" w:asciiTheme="minorEastAsia" w:hAnsiTheme="minorEastAsia"/>
          <w:szCs w:val="21"/>
          <w:shd w:val="clear" w:color="auto" w:fill="FFFFFF"/>
        </w:rPr>
        <w:t>对全区范围内所有污染源的单位和个体经营户进行普查</w:t>
      </w:r>
      <w:r>
        <w:rPr>
          <w:rFonts w:hint="eastAsia" w:cs="仿宋_GB2312" w:asciiTheme="minorEastAsia" w:hAnsiTheme="minorEastAsia"/>
          <w:szCs w:val="21"/>
          <w:shd w:val="clear" w:color="auto" w:fill="FFFFFF"/>
        </w:rPr>
        <w:t>。</w:t>
      </w:r>
      <w:r>
        <w:rPr>
          <w:rFonts w:ascii="Arial" w:hAnsi="Arial" w:cs="Arial"/>
        </w:rPr>
        <w:t>范围包括：</w:t>
      </w:r>
      <w:r>
        <w:rPr>
          <w:rFonts w:hint="eastAsia" w:cs="仿宋_GB2312" w:asciiTheme="minorEastAsia" w:hAnsiTheme="minorEastAsia"/>
          <w:szCs w:val="21"/>
          <w:shd w:val="clear" w:color="auto" w:fill="FFFFFF"/>
        </w:rPr>
        <w:t>污染源普查清查建库、入户调查、宣传、培训、信息化建设与传输、技术报告与方案编制、汇总建档等服务.符合现行国家标准，通过上级的核查及验收；</w:t>
      </w:r>
    </w:p>
    <w:p>
      <w:pPr>
        <w:widowControl/>
        <w:shd w:val="clear" w:color="auto" w:fill="FFFFFF"/>
        <w:spacing w:line="360" w:lineRule="auto"/>
        <w:ind w:firstLine="422" w:firstLineChars="200"/>
        <w:contextualSpacing/>
        <w:jc w:val="left"/>
        <w:rPr>
          <w:rFonts w:ascii="楷体" w:hAnsi="楷体" w:eastAsia="楷体" w:cs="宋体"/>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三、验收标准</w:t>
      </w:r>
    </w:p>
    <w:p>
      <w:pPr>
        <w:spacing w:line="360" w:lineRule="auto"/>
        <w:ind w:firstLine="210" w:firstLineChars="100"/>
        <w:contextualSpacing/>
        <w:rPr>
          <w:rFonts w:cs="仿宋_GB2312" w:asciiTheme="minorEastAsia" w:hAnsiTheme="minorEastAsia"/>
          <w:szCs w:val="21"/>
          <w:shd w:val="clear" w:color="auto" w:fill="FFFFFF"/>
        </w:rPr>
      </w:pPr>
      <w:r>
        <w:rPr>
          <w:rFonts w:hint="eastAsia" w:cs="仿宋_GB2312" w:asciiTheme="minorEastAsia" w:hAnsiTheme="minorEastAsia"/>
          <w:szCs w:val="21"/>
          <w:shd w:val="clear" w:color="auto" w:fill="FFFFFF"/>
        </w:rPr>
        <w:t>1、由采购人成立验收小组,按照国价相关标准并结合采购合同的约定对中标人履约情况进行验收。</w:t>
      </w:r>
    </w:p>
    <w:p>
      <w:pPr>
        <w:spacing w:line="360" w:lineRule="auto"/>
        <w:ind w:firstLine="210" w:firstLineChars="100"/>
        <w:contextualSpacing/>
        <w:rPr>
          <w:rFonts w:cs="仿宋_GB2312" w:asciiTheme="minorEastAsia" w:hAnsiTheme="minorEastAsia"/>
          <w:szCs w:val="21"/>
          <w:shd w:val="clear" w:color="auto" w:fill="FFFFFF"/>
        </w:rPr>
      </w:pPr>
      <w:r>
        <w:rPr>
          <w:rFonts w:hint="eastAsia" w:cs="仿宋_GB2312" w:asciiTheme="minorEastAsia" w:hAnsiTheme="minorEastAsia"/>
          <w:szCs w:val="21"/>
          <w:shd w:val="clear" w:color="auto" w:fill="FFFFFF"/>
        </w:rPr>
        <w:t>2、按照招标文件要求、投标文件响应和承诺验收。</w:t>
      </w:r>
    </w:p>
    <w:p>
      <w:pPr>
        <w:pStyle w:val="23"/>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微软雅黑" w:asciiTheme="minorEastAsia" w:hAnsiTheme="minorEastAsia" w:eastAsiaTheme="minorEastAsia"/>
          <w:b/>
          <w:sz w:val="21"/>
          <w:szCs w:val="21"/>
        </w:rPr>
        <w:t>★</w:t>
      </w:r>
      <w:r>
        <w:rPr>
          <w:rFonts w:hint="eastAsia" w:cs="黑体" w:asciiTheme="minorEastAsia" w:hAnsiTheme="minorEastAsia" w:eastAsiaTheme="minorEastAsia"/>
          <w:b/>
          <w:bCs/>
          <w:sz w:val="21"/>
          <w:szCs w:val="21"/>
          <w:shd w:val="clear" w:color="auto" w:fill="FFFFFF"/>
        </w:rPr>
        <w:t>四、本项目预算金额120万元。最高限价120万元</w:t>
      </w:r>
      <w:r>
        <w:rPr>
          <w:rFonts w:hint="eastAsia" w:cs="宋体" w:asciiTheme="minorEastAsia" w:hAnsiTheme="minorEastAsia" w:eastAsiaTheme="minorEastAsia"/>
          <w:b/>
          <w:kern w:val="0"/>
          <w:sz w:val="21"/>
          <w:szCs w:val="21"/>
          <w:lang w:val="zh-CN"/>
        </w:rPr>
        <w:t>。超出最高限价的投标无效。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五、资金支付</w:t>
      </w:r>
    </w:p>
    <w:p>
      <w:pPr>
        <w:spacing w:line="360" w:lineRule="auto"/>
        <w:ind w:firstLine="210" w:firstLineChars="100"/>
        <w:contextualSpacing/>
        <w:rPr>
          <w:rFonts w:cs="仿宋_GB2312" w:asciiTheme="minorEastAsia" w:hAnsiTheme="minorEastAsia"/>
          <w:szCs w:val="21"/>
          <w:shd w:val="clear" w:color="auto" w:fill="FFFFFF"/>
        </w:rPr>
      </w:pPr>
      <w:r>
        <w:rPr>
          <w:rFonts w:hint="eastAsia" w:cs="仿宋_GB2312" w:asciiTheme="minorEastAsia" w:hAnsiTheme="minorEastAsia"/>
          <w:szCs w:val="21"/>
          <w:shd w:val="clear" w:color="auto" w:fill="FFFFFF"/>
        </w:rPr>
        <w:t>1、支付方式：银行转账。</w:t>
      </w:r>
    </w:p>
    <w:p>
      <w:pPr>
        <w:spacing w:line="360" w:lineRule="auto"/>
        <w:ind w:firstLine="210" w:firstLineChars="100"/>
        <w:contextualSpacing/>
        <w:rPr>
          <w:rFonts w:cs="仿宋_GB2312" w:asciiTheme="minorEastAsia" w:hAnsiTheme="minorEastAsia"/>
          <w:szCs w:val="21"/>
          <w:shd w:val="clear" w:color="auto" w:fill="FFFFFF"/>
        </w:rPr>
      </w:pPr>
      <w:r>
        <w:rPr>
          <w:rFonts w:hint="eastAsia" w:cs="仿宋_GB2312" w:asciiTheme="minorEastAsia" w:hAnsiTheme="minorEastAsia"/>
          <w:szCs w:val="21"/>
          <w:shd w:val="clear" w:color="auto" w:fill="FFFFFF"/>
        </w:rPr>
        <w:t>2、支付时间及条件：</w:t>
      </w:r>
      <w:r>
        <w:rPr>
          <w:rFonts w:cs="仿宋_GB2312" w:asciiTheme="minorEastAsia" w:hAnsiTheme="minorEastAsia"/>
          <w:szCs w:val="21"/>
          <w:shd w:val="clear" w:color="auto" w:fill="FFFFFF"/>
        </w:rPr>
        <w:t xml:space="preserve">完成普查基本单位名录库支付至合同额60%；完成全面入户调查数据初步录入、汇总、初审支付至合同额90%；配合业主单位通过上级验收,支付至合同额100%； </w:t>
      </w:r>
    </w:p>
    <w:p>
      <w:pPr>
        <w:pStyle w:val="2"/>
        <w:ind w:firstLine="340"/>
        <w:rPr>
          <w:highlight w:val="yellow"/>
        </w:rPr>
      </w:pPr>
    </w:p>
    <w:p>
      <w:pPr>
        <w:spacing w:line="360" w:lineRule="auto"/>
        <w:ind w:firstLine="210" w:firstLineChars="100"/>
        <w:contextualSpacing/>
        <w:rPr>
          <w:rFonts w:cs="仿宋_GB2312" w:asciiTheme="minorEastAsia" w:hAnsiTheme="minorEastAsia"/>
          <w:szCs w:val="21"/>
          <w:shd w:val="clear" w:color="auto" w:fill="FFFFFF"/>
        </w:rPr>
      </w:pPr>
    </w:p>
    <w:p>
      <w:pPr>
        <w:spacing w:line="360" w:lineRule="auto"/>
        <w:ind w:firstLine="361" w:firstLineChars="100"/>
        <w:contextualSpacing/>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szCs w:val="21"/>
        </w:rPr>
        <w:t>招标文件中凡标有</w:t>
      </w:r>
      <w:r>
        <w:rPr>
          <w:rFonts w:hint="eastAsia" w:cs="微软雅黑" w:asciiTheme="minorEastAsia" w:hAnsiTheme="minorEastAsia"/>
          <w:b/>
          <w:szCs w:val="21"/>
        </w:rPr>
        <w:t>★</w:t>
      </w:r>
      <w:r>
        <w:rPr>
          <w:rFonts w:hint="eastAsia" w:cs="微软雅黑"/>
          <w:b/>
          <w:szCs w:val="21"/>
        </w:rPr>
        <w:t>条款均为实质性要求条款，投标文件须完全响应，未实质响应的，按照无效投标处理。</w:t>
      </w:r>
    </w:p>
    <w:tbl>
      <w:tblPr>
        <w:tblStyle w:val="29"/>
        <w:tblW w:w="89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2"/>
        <w:gridCol w:w="1903"/>
        <w:gridCol w:w="6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572"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190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461"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461" w:type="dxa"/>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项目名称：许昌市城乡一体化示范区建设环保局“第二次全国污染源普查第三方服务单位”项目</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项目编号：JZFCG-G2018089号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项目内容：</w:t>
            </w:r>
            <w:r>
              <w:rPr>
                <w:rFonts w:hint="eastAsia" w:cs="仿宋_GB2312" w:asciiTheme="minorEastAsia" w:hAnsiTheme="minorEastAsia"/>
                <w:szCs w:val="21"/>
                <w:shd w:val="clear" w:color="auto" w:fill="FFFFFF"/>
              </w:rPr>
              <w:t>污染源普查清查建库、入户调查、宣传、培训、信息化建设与传输、技术报告与方案编制、汇总建档等服务。</w:t>
            </w:r>
          </w:p>
          <w:p>
            <w:pPr>
              <w:autoSpaceDE w:val="0"/>
              <w:autoSpaceDN w:val="0"/>
              <w:adjustRightInd w:val="0"/>
              <w:spacing w:line="360" w:lineRule="auto"/>
              <w:jc w:val="left"/>
              <w:rPr>
                <w:rFonts w:cs="仿宋_GB2312" w:asciiTheme="minorEastAsia" w:hAnsiTheme="minorEastAsia"/>
                <w:color w:val="FF0000"/>
                <w:szCs w:val="21"/>
              </w:rPr>
            </w:pPr>
            <w:r>
              <w:rPr>
                <w:rFonts w:hint="eastAsia" w:cs="仿宋_GB2312" w:asciiTheme="minorEastAsia" w:hAnsiTheme="minorEastAsia"/>
                <w:szCs w:val="21"/>
              </w:rPr>
              <w:t>项目地址：许昌市城乡一体化示范区范围内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572"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461" w:type="dxa"/>
            <w:vAlign w:val="center"/>
          </w:tcPr>
          <w:p>
            <w:pPr>
              <w:pStyle w:val="23"/>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名称：许昌市城乡一体化示范区建设环保局</w:t>
            </w:r>
          </w:p>
          <w:p>
            <w:pPr>
              <w:pStyle w:val="23"/>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 xml:space="preserve">地址：许昌市城乡一体化示范区 </w:t>
            </w:r>
          </w:p>
          <w:p>
            <w:pPr>
              <w:pStyle w:val="23"/>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 xml:space="preserve">联系人：郭君  联系电话：0374-3372707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1903" w:type="dxa"/>
            <w:vAlign w:val="center"/>
          </w:tcPr>
          <w:p>
            <w:pPr>
              <w:autoSpaceDE w:val="0"/>
              <w:autoSpaceDN w:val="0"/>
              <w:adjustRightInd w:val="0"/>
              <w:spacing w:line="360" w:lineRule="auto"/>
              <w:jc w:val="center"/>
              <w:rPr>
                <w:rFonts w:eastAsia="宋体" w:cs="仿宋_GB2312" w:asciiTheme="minorEastAsia" w:hAnsiTheme="minorEastAsia"/>
                <w:szCs w:val="21"/>
              </w:rPr>
            </w:pPr>
            <w:r>
              <w:rPr>
                <w:rFonts w:hint="eastAsia" w:eastAsia="宋体" w:cs="仿宋_GB2312" w:asciiTheme="minorEastAsia" w:hAnsiTheme="minorEastAsia"/>
                <w:szCs w:val="21"/>
              </w:rPr>
              <w:t>代理机构</w:t>
            </w:r>
          </w:p>
        </w:tc>
        <w:tc>
          <w:tcPr>
            <w:tcW w:w="6461" w:type="dxa"/>
            <w:vAlign w:val="center"/>
          </w:tcPr>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名称：中大国信工程管理有限公司</w:t>
            </w:r>
          </w:p>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地址：许昌市府西路万象春天2栋3单元2001室</w:t>
            </w:r>
          </w:p>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联系人：刘岩      联系电话：15617285069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投标人资格</w:t>
            </w:r>
          </w:p>
        </w:tc>
        <w:tc>
          <w:tcPr>
            <w:tcW w:w="6461"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szCs w:val="21"/>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szCs w:val="21"/>
              </w:rPr>
              <w:t>1、</w:t>
            </w:r>
            <w:r>
              <w:rPr>
                <w:rFonts w:hint="eastAsia" w:cs="宋体" w:asciiTheme="minorEastAsia" w:hAnsiTheme="minorEastAsia"/>
                <w:bCs/>
                <w:szCs w:val="21"/>
                <w:lang w:val="zh-CN"/>
              </w:rPr>
              <w:t>201</w:t>
            </w:r>
            <w:r>
              <w:rPr>
                <w:rFonts w:hint="eastAsia" w:cs="宋体" w:asciiTheme="minorEastAsia" w:hAnsiTheme="minorEastAsia"/>
                <w:bCs/>
                <w:szCs w:val="21"/>
              </w:rPr>
              <w:t>7</w:t>
            </w:r>
            <w:r>
              <w:rPr>
                <w:rFonts w:hint="eastAsia" w:cs="宋体" w:asciiTheme="minorEastAsia" w:hAnsiTheme="minorEastAsia"/>
                <w:bCs/>
                <w:szCs w:val="21"/>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szCs w:val="21"/>
              </w:rPr>
              <w:t>2、</w:t>
            </w:r>
            <w:r>
              <w:rPr>
                <w:rFonts w:hint="eastAsia" w:cs="宋体" w:asciiTheme="minorEastAsia" w:hAnsiTheme="minorEastAsia"/>
                <w:bCs/>
                <w:szCs w:val="21"/>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szCs w:val="21"/>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 xml:space="preserve">   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 xml:space="preserve">   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bCs/>
                <w:szCs w:val="21"/>
                <w:lang w:val="zh-CN"/>
              </w:rPr>
              <w:t xml:space="preserve">   相关设备的购置发票、专业技术人员职称证书、用工合同等或者</w:t>
            </w:r>
            <w:r>
              <w:rPr>
                <w:rFonts w:hint="eastAsia" w:cs="宋体" w:asciiTheme="minorEastAsia" w:hAnsiTheme="minorEastAsia"/>
                <w:kern w:val="0"/>
                <w:szCs w:val="21"/>
              </w:rPr>
              <w:t>附投标人相关承诺函或声明。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中国政府采购网</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宋体" w:asciiTheme="minorEastAsia" w:hAnsiTheme="minorEastAsia"/>
                <w:kern w:val="0"/>
                <w:szCs w:val="21"/>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）和“中国政府采购网”（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190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联合体投标</w:t>
            </w:r>
          </w:p>
        </w:tc>
        <w:tc>
          <w:tcPr>
            <w:tcW w:w="6461"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190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最高限价</w:t>
            </w:r>
          </w:p>
        </w:tc>
        <w:tc>
          <w:tcPr>
            <w:tcW w:w="6461"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120万元，超出最高限价的投标无效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190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461"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190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461"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461"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投标有效期</w:t>
            </w:r>
          </w:p>
        </w:tc>
        <w:tc>
          <w:tcPr>
            <w:tcW w:w="6461"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1903"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461"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eastAsiaTheme="minorEastAsia"/>
                <w:sz w:val="21"/>
                <w:szCs w:val="21"/>
              </w:rPr>
              <w:t>2018年</w:t>
            </w:r>
            <w:r>
              <w:rPr>
                <w:rFonts w:hint="eastAsia" w:cs="仿宋_GB2312" w:asciiTheme="minorEastAsia" w:hAnsiTheme="minorEastAsia" w:eastAsiaTheme="minorEastAsia"/>
                <w:sz w:val="21"/>
                <w:szCs w:val="21"/>
                <w:lang w:val="en-US" w:eastAsia="zh-CN"/>
              </w:rPr>
              <w:t>11</w:t>
            </w:r>
            <w:r>
              <w:rPr>
                <w:rFonts w:hint="eastAsia" w:cs="仿宋_GB2312" w:asciiTheme="minorEastAsia" w:hAnsiTheme="minorEastAsia" w:eastAsiaTheme="minorEastAsia"/>
                <w:sz w:val="21"/>
                <w:szCs w:val="21"/>
              </w:rPr>
              <w:t>月</w:t>
            </w:r>
            <w:r>
              <w:rPr>
                <w:rFonts w:hint="eastAsia" w:cs="仿宋_GB2312" w:asciiTheme="minorEastAsia" w:hAnsiTheme="minorEastAsia" w:eastAsiaTheme="minorEastAsia"/>
                <w:sz w:val="21"/>
                <w:szCs w:val="21"/>
                <w:lang w:val="en-US" w:eastAsia="zh-CN"/>
              </w:rPr>
              <w:t>1</w:t>
            </w:r>
            <w:r>
              <w:rPr>
                <w:rFonts w:hint="eastAsia" w:cs="仿宋_GB2312" w:asciiTheme="minorEastAsia" w:hAnsiTheme="minorEastAsia" w:eastAsiaTheme="minorEastAsia"/>
                <w:sz w:val="21"/>
                <w:szCs w:val="21"/>
              </w:rPr>
              <w:t>日</w:t>
            </w:r>
            <w:r>
              <w:rPr>
                <w:rFonts w:hint="eastAsia" w:cs="仿宋_GB2312" w:asciiTheme="minorEastAsia" w:hAnsiTheme="minorEastAsia" w:eastAsiaTheme="minorEastAsia"/>
                <w:sz w:val="21"/>
                <w:szCs w:val="21"/>
                <w:lang w:val="en-US" w:eastAsia="zh-CN"/>
              </w:rPr>
              <w:t>10</w:t>
            </w:r>
            <w:r>
              <w:rPr>
                <w:rFonts w:hint="eastAsia" w:cs="仿宋_GB2312" w:asciiTheme="minorEastAsia" w:hAnsiTheme="minorEastAsia" w:eastAsiaTheme="minorEastAsia"/>
                <w:sz w:val="21"/>
                <w:szCs w:val="21"/>
              </w:rPr>
              <w:t>时</w:t>
            </w:r>
            <w:r>
              <w:rPr>
                <w:rFonts w:hint="eastAsia" w:cs="仿宋_GB2312" w:asciiTheme="minorEastAsia" w:hAnsiTheme="minorEastAsia" w:eastAsiaTheme="minorEastAsia"/>
                <w:sz w:val="21"/>
                <w:szCs w:val="21"/>
                <w:lang w:val="en-US" w:eastAsia="zh-CN"/>
              </w:rPr>
              <w:t>30</w:t>
            </w:r>
            <w:r>
              <w:rPr>
                <w:rFonts w:hint="eastAsia" w:cs="仿宋_GB2312" w:asciiTheme="minorEastAsia" w:hAnsiTheme="minorEastAsia" w:eastAsiaTheme="minorEastAsia"/>
                <w:sz w:val="21"/>
                <w:szCs w:val="21"/>
              </w:rPr>
              <w:t>分</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1903"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许昌市公共资源交易中心三楼开标二室（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1903"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461"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金额：贰万肆仟元整（¥24</w:t>
            </w:r>
            <w:r>
              <w:rPr>
                <w:rFonts w:hint="eastAsia" w:cs="仿宋_GB2312" w:asciiTheme="minorEastAsia" w:hAnsiTheme="minorEastAsia"/>
                <w:szCs w:val="21"/>
              </w:rPr>
              <w:t>000</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1903"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461"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szCs w:val="21"/>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1903"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1903"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1903"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461" w:type="dxa"/>
            <w:vAlign w:val="center"/>
          </w:tcPr>
          <w:p>
            <w:pPr>
              <w:autoSpaceDE w:val="0"/>
              <w:autoSpaceDN w:val="0"/>
              <w:adjustRightInd w:val="0"/>
              <w:spacing w:line="360" w:lineRule="auto"/>
              <w:rPr>
                <w:rFonts w:cs="宋体"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份，副本两份。使用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1903"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461"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1903"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461"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szCs w:val="21"/>
              </w:rPr>
              <w:t>要求提交。履约保证金的数额为合同金额的%。中标人以支票、汇票、本票或者金融机构、担保机构出具的保函等非现金形式向采购人提交。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461" w:type="dxa"/>
            <w:vAlign w:val="center"/>
          </w:tcPr>
          <w:p>
            <w:pPr>
              <w:autoSpaceDE w:val="0"/>
              <w:autoSpaceDN w:val="0"/>
              <w:spacing w:line="360" w:lineRule="auto"/>
              <w:contextualSpacing/>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不收取</w:t>
            </w:r>
          </w:p>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收取中标人。</w:t>
            </w:r>
            <w:r>
              <w:rPr>
                <w:rFonts w:hint="eastAsia" w:cs="宋体" w:asciiTheme="minorEastAsia" w:hAnsiTheme="minorEastAsia"/>
                <w:b/>
                <w:bCs/>
                <w:szCs w:val="21"/>
                <w:lang w:val="zh-CN"/>
              </w:rPr>
              <w:t>□</w:t>
            </w:r>
            <w:r>
              <w:rPr>
                <w:rFonts w:hint="eastAsia" w:cs="宋体" w:asciiTheme="minorEastAsia" w:hAnsiTheme="minorEastAsia"/>
                <w:bCs/>
                <w:szCs w:val="21"/>
                <w:lang w:val="zh-CN"/>
              </w:rPr>
              <w:t>收取采购人。</w:t>
            </w:r>
            <w:r>
              <w:rPr>
                <w:rFonts w:hint="eastAsia" w:cs="宋体" w:asciiTheme="minorEastAsia" w:hAnsiTheme="minorEastAsia"/>
                <w:szCs w:val="21"/>
              </w:rPr>
              <w:t>收取标准:中标合同金额的</w:t>
            </w:r>
            <w:r>
              <w:rPr>
                <w:rFonts w:hint="eastAsia" w:cs="宋体" w:asciiTheme="minorEastAsia" w:hAnsiTheme="minorEastAsia"/>
                <w:szCs w:val="21"/>
                <w:u w:val="single"/>
              </w:rPr>
              <w:t>1.5</w:t>
            </w:r>
            <w:r>
              <w:rPr>
                <w:rFonts w:hint="eastAsia" w:cs="宋体" w:asciiTheme="minorEastAsia" w:hAnsiTheme="minorEastAsia"/>
                <w:szCs w:val="21"/>
              </w:rPr>
              <w:t>%。一次性以银行划账、电汇、汇票或支票的形式支付。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461"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中标人在接到中标通知时，须向代理机构发送投标报价及分项报价一览表（包含主要中标标的的名称、服务要求等）电子文档，并同时通知代理机构联系人。代理机构邮箱：zdgxz</w:t>
            </w:r>
            <w:r>
              <w:rPr>
                <w:rFonts w:cs="宋体" w:asciiTheme="minorEastAsia" w:hAnsiTheme="minorEastAsia"/>
                <w:bCs/>
                <w:szCs w:val="21"/>
                <w:lang w:val="zh-CN"/>
              </w:rPr>
              <w:t>bcg</w:t>
            </w:r>
            <w:r>
              <w:rPr>
                <w:rFonts w:hint="eastAsia" w:cs="宋体" w:asciiTheme="minorEastAsia" w:hAnsiTheme="minorEastAsia"/>
                <w:bCs/>
                <w:szCs w:val="21"/>
                <w:lang w:val="zh-CN"/>
              </w:rPr>
              <w:t>@163.com。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572"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1903"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461"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1"/>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1"/>
        <w:autoSpaceDE w:val="0"/>
        <w:autoSpaceDN w:val="0"/>
        <w:spacing w:line="360" w:lineRule="auto"/>
        <w:ind w:left="780"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1"/>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“潜在投标人”指符合《中华人民共和国政府采购法》及相关法律法规和本招标文件的各项规定，且按照本项目招标公告及招标文件规定的方式获取招标文件的法人、其他组织或者自然人。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“节能产品”或者“环保产品”：财政部发布的《节能产品政府采购清单》或者《环境标志产品政府采购清单》的产品。</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pStyle w:val="41"/>
        <w:numPr>
          <w:ilvl w:val="1"/>
          <w:numId w:val="7"/>
        </w:numPr>
        <w:autoSpaceDE w:val="0"/>
        <w:autoSpaceDN w:val="0"/>
        <w:spacing w:line="360" w:lineRule="auto"/>
        <w:ind w:left="1327" w:hanging="907" w:firstLineChars="0"/>
        <w:contextualSpacing/>
        <w:rPr>
          <w:rFonts w:cs="宋体" w:asciiTheme="minorEastAsia" w:hAnsiTheme="minorEastAsia"/>
          <w:kern w:val="0"/>
          <w:szCs w:val="21"/>
        </w:rPr>
      </w:pPr>
      <w:r>
        <w:rPr>
          <w:rFonts w:cs="宋体" w:asciiTheme="minorEastAsia" w:hAnsiTheme="minorEastAsia"/>
          <w:kern w:val="0"/>
          <w:szCs w:val="21"/>
        </w:rPr>
        <w:t>招标文件列明不允许或未列明允许进口产品参加投标的，均视为拒绝进口产品参加投标。</w:t>
      </w:r>
    </w:p>
    <w:p>
      <w:pPr>
        <w:pStyle w:val="41"/>
        <w:numPr>
          <w:ilvl w:val="1"/>
          <w:numId w:val="8"/>
        </w:numPr>
        <w:autoSpaceDE w:val="0"/>
        <w:autoSpaceDN w:val="0"/>
        <w:spacing w:line="360" w:lineRule="auto"/>
        <w:ind w:left="1327" w:hanging="907" w:firstLineChars="0"/>
        <w:contextualSpacing/>
        <w:rPr>
          <w:rFonts w:cs="宋体" w:asciiTheme="minorEastAsia" w:hAnsiTheme="minorEastAsia"/>
          <w:kern w:val="0"/>
          <w:szCs w:val="21"/>
        </w:rPr>
      </w:pP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招标文件中凡标有“★”的条款均系实质性要求条款。</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1"/>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szCs w:val="21"/>
          <w:shd w:val="clear" w:color="auto" w:fill="FFFFFF"/>
        </w:rPr>
        <w:t>政府采购严重违法失信名单</w:t>
      </w:r>
      <w:r>
        <w:rPr>
          <w:rFonts w:hint="eastAsia" w:cs="仿宋_GB2312" w:asciiTheme="minorEastAsia" w:hAnsiTheme="minorEastAsia"/>
          <w:szCs w:val="21"/>
          <w:shd w:val="clear" w:color="auto" w:fill="FFFFFF"/>
        </w:rPr>
        <w:t>、</w:t>
      </w:r>
      <w:r>
        <w:rPr>
          <w:rFonts w:hint="eastAsia" w:cs="宋体" w:asciiTheme="minorEastAsia" w:hAnsiTheme="minorEastAsia"/>
          <w:kern w:val="0"/>
          <w:szCs w:val="21"/>
        </w:rPr>
        <w:t>政府采购严重违法失信行为记录名单（联合体形式投标的，联合体成员存在不良信用记录，视同联合体存在不良信用记录）。</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单位负责人为同一人或者存在直接控股、管理关系的不同供应商，不得参加同一合同项下的政府采购活动；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除单一来源采购项目外，为采购项目提供整体设计、规范编制或者项目管理、监理、检测等服务的供应商，不得再参加该采购项目的其他采购活动。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rPr>
          <w:rFonts w:cs="宋体" w:asciiTheme="minorEastAsia" w:hAnsiTheme="minorEastAsia"/>
          <w:kern w:val="0"/>
          <w:szCs w:val="21"/>
        </w:rPr>
        <w:fldChar w:fldCharType="begin"/>
      </w:r>
      <w:r>
        <w:rPr>
          <w:rFonts w:cs="宋体" w:asciiTheme="minorEastAsia" w:hAnsiTheme="minorEastAsia"/>
          <w:kern w:val="0"/>
          <w:szCs w:val="21"/>
        </w:rPr>
        <w:instrText xml:space="preserve"> HYPERLINK "https://baike.baidu.com/item/%E6%89%BF%E6%8B%85%E8%BF%9E%E5%B8%A6%E8%B4%A3%E4%BB%BB" \t "_blank" </w:instrText>
      </w:r>
      <w:r>
        <w:rPr>
          <w:rFonts w:cs="宋体" w:asciiTheme="minorEastAsia" w:hAnsiTheme="minorEastAsia"/>
          <w:kern w:val="0"/>
          <w:szCs w:val="21"/>
        </w:rP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1"/>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如采购人所采购产品为政府强制采购的节能产品，投标人所投产品的品牌及型号必须为《节能产品政府采购清单（投标截止时间前最新一期）》中的产品，并提供证明文件，否则其投标将被拒绝。</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投标人所投产品如被列入财政部与国家主管部门颁发的节能产品目录或环境标志产品目录，应提供相关证明，在评标时予以优先采购。</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1"/>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收取标准:按照中标合同金额的比例收取。详见投标人须知前附表。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收取方式：一次性以银行划账、电汇、汇票或支票的形式支付。</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1"/>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1"/>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V1.0”，按招标文件要求根据所投标段制作电子投标文件。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1"/>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1"/>
        <w:numPr>
          <w:ilvl w:val="1"/>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五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1"/>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1"/>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1"/>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41"/>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（1）采购预算金额在1000万元以上；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1"/>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1"/>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p>
    <w:p>
      <w:pPr>
        <w:pStyle w:val="41"/>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1"/>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1"/>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1"/>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1"/>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1"/>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1"/>
        <w:autoSpaceDE w:val="0"/>
        <w:autoSpaceDN w:val="0"/>
        <w:spacing w:line="360" w:lineRule="auto"/>
        <w:ind w:left="964" w:firstLine="0" w:firstLineChars="0"/>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1"/>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供应商认为采购文件、采购过程和中标结果使自己的权益受到损害的，可以依法向采购人、采购代理机构提出质疑。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41"/>
        <w:numPr>
          <w:ilvl w:val="1"/>
          <w:numId w:val="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1"/>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5"/>
        <w:spacing w:line="360" w:lineRule="auto"/>
        <w:ind w:firstLine="420" w:firstLineChars="200"/>
        <w:contextualSpacing/>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sz w:val="21"/>
          <w:szCs w:val="21"/>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sz w:val="21"/>
          <w:szCs w:val="21"/>
        </w:rPr>
        <w:t>并加盖投标人公章的原件扫描件（或图片）</w:t>
      </w:r>
      <w:r>
        <w:rPr>
          <w:rFonts w:hint="eastAsia" w:cs="仿宋_GB2312" w:asciiTheme="minorEastAsia" w:hAnsiTheme="minorEastAsia" w:eastAsiaTheme="minorEastAsia"/>
          <w:sz w:val="21"/>
          <w:szCs w:val="21"/>
          <w:lang w:val="zh-CN"/>
        </w:rPr>
        <w:t>。投标人所投其他产品若属于“节能产品政府采购清单”优先采购产品，在同等条件下，优先采购清单中的产品。</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3、对于同时列入环保清单和节能产品政府采购清单的产品，应当优先于只列入其中一个清单的产品。</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4、上述“节能产品政府采购清单”、“环境标志产品政府采购清单”，在采购公告发布前已经过期的以及尚在公示期的均不得作为评标时的依据。</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二、促进中小企业发展</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1" w:name="OLE_LINK6"/>
      <w:r>
        <w:rPr>
          <w:rFonts w:hint="eastAsia" w:cs="仿宋_GB2312" w:asciiTheme="minorEastAsia" w:hAnsiTheme="minorEastAsia"/>
          <w:szCs w:val="21"/>
          <w:lang w:val="zh-CN"/>
        </w:rPr>
        <w:t>财库[2014]68号</w:t>
      </w:r>
      <w:bookmarkEnd w:id="1"/>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sz w:val="21"/>
          <w:szCs w:val="21"/>
        </w:rPr>
        <w:t>残疾人福利性单位属于小型、微型企业的，不重复享受政策。</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5"/>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5"/>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仿宋_GB2312" w:asciiTheme="minorEastAsia" w:hAnsiTheme="minorEastAsia"/>
          <w:lang w:val="zh-CN"/>
        </w:rPr>
      </w:pPr>
      <w:r>
        <w:rPr>
          <w:rFonts w:hint="eastAsia" w:cs="宋体" w:asciiTheme="majorEastAsia" w:hAnsiTheme="majorEastAsia" w:eastAsiaTheme="majorEastAsia"/>
          <w:b/>
          <w:kern w:val="0"/>
          <w:sz w:val="32"/>
          <w:szCs w:val="32"/>
        </w:rPr>
        <w:t>第六章 资格审查与评标</w:t>
      </w:r>
    </w:p>
    <w:p>
      <w:pPr>
        <w:pStyle w:val="15"/>
        <w:spacing w:line="360" w:lineRule="auto"/>
        <w:contextualSpacing/>
        <w:rPr>
          <w:rFonts w:cs="仿宋_GB2312" w:asciiTheme="minorEastAsia" w:hAnsiTheme="minorEastAsia" w:eastAsiaTheme="minorEastAsia"/>
          <w:b/>
          <w:sz w:val="21"/>
          <w:szCs w:val="21"/>
          <w:lang w:val="zh-CN"/>
        </w:rPr>
      </w:pPr>
      <w:r>
        <w:rPr>
          <w:rFonts w:cs="仿宋_GB2312" w:asciiTheme="minorEastAsia" w:hAnsiTheme="minorEastAsia" w:eastAsiaTheme="minorEastAsia"/>
          <w:b/>
          <w:sz w:val="21"/>
          <w:szCs w:val="21"/>
          <w:lang w:val="zh-CN"/>
        </w:rPr>
        <w:t>一、资格审查</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（一）</w:t>
      </w:r>
      <w:r>
        <w:rPr>
          <w:rFonts w:cs="仿宋_GB2312" w:asciiTheme="minorEastAsia" w:hAnsiTheme="minorEastAsia" w:eastAsiaTheme="minorEastAsia"/>
          <w:sz w:val="21"/>
          <w:szCs w:val="21"/>
          <w:lang w:val="zh-CN"/>
        </w:rPr>
        <w:t>开标结束后，</w:t>
      </w:r>
      <w:r>
        <w:rPr>
          <w:rFonts w:hint="eastAsia" w:cs="仿宋_GB2312" w:asciiTheme="minorEastAsia" w:hAnsiTheme="minorEastAsia" w:eastAsiaTheme="minorEastAsia"/>
          <w:sz w:val="21"/>
          <w:szCs w:val="21"/>
          <w:lang w:val="zh-CN"/>
        </w:rPr>
        <w:t>采购人依法对投标人资格进行审查</w:t>
      </w:r>
      <w:r>
        <w:rPr>
          <w:rFonts w:cs="仿宋_GB2312" w:asciiTheme="minorEastAsia" w:hAnsiTheme="minorEastAsia" w:eastAsiaTheme="minorEastAsia"/>
          <w:sz w:val="21"/>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9"/>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szCs w:val="21"/>
              </w:rPr>
            </w:pPr>
            <w:r>
              <w:rPr>
                <w:rFonts w:hint="eastAsia" w:asciiTheme="minorEastAsia" w:hAnsiTheme="minorEastAsia"/>
                <w:b/>
                <w:szCs w:val="21"/>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2、法人或者其他组织的营业执照等证明文件，自然人的身份证明</w:t>
            </w:r>
          </w:p>
          <w:p>
            <w:pPr>
              <w:spacing w:line="360" w:lineRule="auto"/>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rPr>
                <w:rFonts w:asciiTheme="minorEastAsia" w:hAnsiTheme="minorEastAsia"/>
                <w:bCs/>
                <w:szCs w:val="21"/>
              </w:rPr>
            </w:pPr>
            <w:r>
              <w:rPr>
                <w:rFonts w:hint="eastAsia" w:asciiTheme="minorEastAsia" w:hAnsiTheme="minorEastAsia"/>
                <w:bCs/>
                <w:szCs w:val="21"/>
              </w:rPr>
              <w:t>（3）执业许可证。（非专业服务机构投标提供）</w:t>
            </w:r>
          </w:p>
          <w:p>
            <w:pPr>
              <w:spacing w:line="360" w:lineRule="auto"/>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rPr>
                <w:rFonts w:asciiTheme="minorEastAsia" w:hAnsiTheme="minorEastAsia"/>
                <w:b/>
                <w:szCs w:val="21"/>
              </w:rPr>
            </w:pPr>
            <w:r>
              <w:rPr>
                <w:rFonts w:hint="eastAsia" w:asciiTheme="minorEastAsia" w:hAnsiTheme="minorEastAsia"/>
                <w:bCs/>
                <w:szCs w:val="21"/>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3、财务状况报告相关材料</w:t>
            </w:r>
          </w:p>
          <w:p>
            <w:pPr>
              <w:spacing w:line="360" w:lineRule="auto"/>
              <w:rPr>
                <w:rFonts w:asciiTheme="minorEastAsia" w:hAnsiTheme="minorEastAsia"/>
                <w:bCs/>
                <w:szCs w:val="21"/>
              </w:rPr>
            </w:pPr>
            <w:r>
              <w:rPr>
                <w:rFonts w:hint="eastAsia" w:asciiTheme="minorEastAsia" w:hAnsiTheme="minorEastAsia"/>
                <w:bCs/>
                <w:szCs w:val="21"/>
              </w:rPr>
              <w:t>（1）2017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szCs w:val="21"/>
              </w:rPr>
            </w:pPr>
            <w:r>
              <w:rPr>
                <w:rFonts w:hint="eastAsia" w:asciiTheme="minorEastAsia" w:hAnsiTheme="minorEastAsia"/>
                <w:bCs/>
                <w:szCs w:val="21"/>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4、依法缴纳税收相关材料</w:t>
            </w:r>
          </w:p>
          <w:p>
            <w:pPr>
              <w:spacing w:line="360" w:lineRule="auto"/>
              <w:rPr>
                <w:rFonts w:asciiTheme="minorEastAsia" w:hAnsiTheme="minorEastAsia"/>
                <w:b/>
                <w:szCs w:val="21"/>
              </w:rPr>
            </w:pPr>
            <w:r>
              <w:rPr>
                <w:rFonts w:hint="eastAsia" w:asciiTheme="minorEastAsia" w:hAnsiTheme="minorEastAsia"/>
                <w:bCs/>
                <w:szCs w:val="21"/>
              </w:rPr>
              <w:t>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5、依法缴纳社会保障资金的证明材料</w:t>
            </w:r>
          </w:p>
          <w:p>
            <w:pPr>
              <w:spacing w:line="360" w:lineRule="auto"/>
              <w:rPr>
                <w:rFonts w:asciiTheme="minorEastAsia" w:hAnsiTheme="minorEastAsia"/>
                <w:bCs/>
                <w:szCs w:val="21"/>
              </w:rPr>
            </w:pPr>
            <w:r>
              <w:rPr>
                <w:rFonts w:hint="eastAsia" w:asciiTheme="minorEastAsia" w:hAnsiTheme="minorEastAsia"/>
                <w:bCs/>
                <w:szCs w:val="21"/>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6、履行合同所必须的设备和专业技术能力的证明材料</w:t>
            </w:r>
          </w:p>
          <w:p>
            <w:pPr>
              <w:spacing w:line="360" w:lineRule="auto"/>
              <w:rPr>
                <w:rFonts w:asciiTheme="minorEastAsia" w:hAnsiTheme="minorEastAsia"/>
                <w:b/>
                <w:szCs w:val="21"/>
              </w:rPr>
            </w:pPr>
            <w:r>
              <w:rPr>
                <w:rFonts w:hint="eastAsia" w:asciiTheme="minorEastAsia" w:hAnsiTheme="minorEastAsia"/>
                <w:bCs/>
                <w:szCs w:val="21"/>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7、参加政府采购活动前3年内在经营活动中没有重大违法记录的声明</w:t>
            </w:r>
          </w:p>
          <w:p>
            <w:pPr>
              <w:spacing w:line="360" w:lineRule="auto"/>
              <w:rPr>
                <w:rFonts w:asciiTheme="minorEastAsia" w:hAnsiTheme="minorEastAsia"/>
                <w:bCs/>
                <w:szCs w:val="21"/>
              </w:rPr>
            </w:pP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8、</w:t>
            </w:r>
            <w:r>
              <w:rPr>
                <w:rFonts w:cs="仿宋_GB2312" w:asciiTheme="minorEastAsia" w:hAnsiTheme="minorEastAsia"/>
                <w:b/>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中国政府采购网</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 xml:space="preserve"> (www.ccgp.gov.cn)政府采购严重违法失信行为记录名单的投标人</w:t>
            </w:r>
            <w:r>
              <w:rPr>
                <w:rFonts w:hint="eastAsia" w:asciiTheme="minorEastAsia" w:hAnsiTheme="minorEastAsia"/>
                <w:b/>
                <w:bCs/>
                <w:szCs w:val="21"/>
              </w:rPr>
              <w:t>。</w:t>
            </w:r>
          </w:p>
          <w:p>
            <w:pPr>
              <w:spacing w:line="360" w:lineRule="auto"/>
              <w:rPr>
                <w:rFonts w:asciiTheme="minorEastAsia" w:hAnsiTheme="minorEastAsia"/>
                <w:bCs/>
                <w:szCs w:val="21"/>
              </w:rPr>
            </w:pPr>
            <w:r>
              <w:rPr>
                <w:rFonts w:hint="eastAsia" w:asciiTheme="minorEastAsia" w:hAnsiTheme="minorEastAsia"/>
                <w:bCs/>
                <w:szCs w:val="21"/>
              </w:rPr>
              <w:t>注：政府采购活动中查询及使用投标人信用记录的具体要求为：投标人未被列入失信被执行人、重大税收违法案件当事人名单、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、政府采购严重违法失信行为记录名单（联合体形式投标的，联合体成员存在不良信用记录，视同联合体存在不良信用记录）。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（1）查询渠道：“信用中国”网站（www.creditchina.gov.cn）和“中国政府采购网”（www.ccgp.gov.cn）；</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szCs w:val="21"/>
                <w:lang w:val="zh-CN"/>
              </w:rPr>
            </w:pPr>
            <w:r>
              <w:rPr>
                <w:rFonts w:hint="eastAsia" w:asciiTheme="minorEastAsia" w:hAnsiTheme="minorEastAsia"/>
                <w:b/>
                <w:bCs/>
                <w:szCs w:val="21"/>
              </w:rPr>
              <w:t>9、</w:t>
            </w:r>
            <w:r>
              <w:rPr>
                <w:rFonts w:hint="eastAsia" w:cs="仿宋_GB2312" w:asciiTheme="minorEastAsia" w:hAnsiTheme="minorEastAsia"/>
                <w:b/>
                <w:szCs w:val="21"/>
                <w:lang w:val="zh-CN"/>
              </w:rPr>
              <w:t>报价</w:t>
            </w:r>
          </w:p>
          <w:p>
            <w:pPr>
              <w:spacing w:line="360" w:lineRule="auto"/>
              <w:rPr>
                <w:rFonts w:asciiTheme="minorEastAsia" w:hAnsiTheme="minorEastAsia"/>
                <w:b/>
                <w:bCs/>
                <w:szCs w:val="21"/>
              </w:rPr>
            </w:pPr>
            <w:r>
              <w:rPr>
                <w:rFonts w:hint="eastAsia" w:cs="仿宋_GB2312" w:asciiTheme="minorEastAsia" w:hAnsiTheme="minorEastAsia"/>
                <w:szCs w:val="21"/>
                <w:lang w:val="zh-CN"/>
              </w:rPr>
              <w:t>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10、联合体协议</w:t>
            </w:r>
          </w:p>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szCs w:val="21"/>
              </w:rPr>
            </w:pPr>
            <w:r>
              <w:rPr>
                <w:rFonts w:hint="eastAsia" w:asciiTheme="minorEastAsia" w:hAnsiTheme="minorEastAsia"/>
                <w:b/>
                <w:szCs w:val="21"/>
              </w:rPr>
              <w:t>11、投标保证金</w:t>
            </w:r>
          </w:p>
          <w:p>
            <w:pPr>
              <w:spacing w:line="360" w:lineRule="auto"/>
              <w:rPr>
                <w:rFonts w:asciiTheme="minorEastAsia" w:hAnsiTheme="minorEastAsia"/>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12、法定代表人身份证明或提供法定代表人授权委托书及被授权人身份证明。</w:t>
            </w:r>
          </w:p>
        </w:tc>
      </w:tr>
    </w:tbl>
    <w:p>
      <w:pPr>
        <w:pStyle w:val="15"/>
        <w:spacing w:line="360" w:lineRule="auto"/>
        <w:ind w:firstLine="482" w:firstLineChars="200"/>
        <w:contextualSpacing/>
        <w:rPr>
          <w:rFonts w:cs="仿宋_GB2312" w:asciiTheme="minorEastAsia" w:hAnsiTheme="minorEastAsia" w:eastAsiaTheme="minorEastAsia"/>
          <w:b/>
          <w:szCs w:val="24"/>
          <w:lang w:val="zh-CN"/>
        </w:rPr>
      </w:pPr>
    </w:p>
    <w:p>
      <w:pPr>
        <w:pStyle w:val="15"/>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5"/>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5"/>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5"/>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5"/>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5"/>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5"/>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5"/>
        <w:spacing w:line="360" w:lineRule="auto"/>
        <w:ind w:firstLine="420" w:firstLineChars="200"/>
        <w:contextualSpacing/>
        <w:rPr>
          <w:rFonts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sz w:val="21"/>
          <w:szCs w:val="21"/>
        </w:rPr>
        <w:t>残疾人福利性单位属于小型、微型企业的，不重复享受政策。</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sz w:val="21"/>
          <w:szCs w:val="21"/>
        </w:rPr>
        <w:t>（2）强制采购节能产品和优先采购节能产品、优先采购环保产品</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投标人所投其他产品若属于“节能产品政府采购清单”优先采购产品，</w:t>
      </w:r>
      <w:r>
        <w:rPr>
          <w:rFonts w:hint="eastAsia" w:cs="仿宋_GB2312" w:asciiTheme="minorEastAsia" w:hAnsiTheme="minorEastAsia"/>
          <w:sz w:val="21"/>
          <w:szCs w:val="21"/>
          <w:lang w:val="zh-CN"/>
        </w:rPr>
        <w:t>投标文件中须提供最新一期《节能产品政府采购清单》中产品所在页并加盖投标人公章的原件扫描件（或图片），评标委员会根据本项目评标标准予以判定并赋分。</w:t>
      </w:r>
    </w:p>
    <w:p>
      <w:pPr>
        <w:pStyle w:val="15"/>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sz w:val="21"/>
          <w:szCs w:val="21"/>
          <w:lang w:val="zh-CN"/>
        </w:rPr>
        <w:t>评标委员会根据本项目评标标准予以判定并赋分。</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关于相同品牌产品</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5"/>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5"/>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）产品查询结果截图并加盖投标人公章或中国信息安全认证中心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5"/>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9"/>
        <w:tblW w:w="89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5953"/>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2046" w:type="dxa"/>
            <w:vAlign w:val="center"/>
          </w:tcPr>
          <w:p>
            <w:pPr>
              <w:spacing w:line="360" w:lineRule="auto"/>
              <w:jc w:val="center"/>
              <w:rPr>
                <w:rFonts w:ascii="宋体" w:hAnsi="宋体" w:eastAsia="宋体"/>
                <w:szCs w:val="21"/>
              </w:rPr>
            </w:pPr>
            <w:r>
              <w:rPr>
                <w:rFonts w:hint="eastAsia" w:ascii="宋体" w:hAnsi="宋体" w:eastAsia="宋体"/>
                <w:szCs w:val="21"/>
              </w:rPr>
              <w:t>分值构成</w:t>
            </w:r>
          </w:p>
          <w:p>
            <w:pPr>
              <w:spacing w:line="360" w:lineRule="auto"/>
              <w:jc w:val="center"/>
              <w:rPr>
                <w:rFonts w:ascii="宋体" w:hAnsi="宋体" w:eastAsia="宋体"/>
                <w:szCs w:val="21"/>
              </w:rPr>
            </w:pPr>
            <w:r>
              <w:rPr>
                <w:rFonts w:hint="eastAsia" w:ascii="宋体" w:hAnsi="宋体" w:eastAsia="宋体"/>
                <w:szCs w:val="21"/>
              </w:rPr>
              <w:t>(总分100分)</w:t>
            </w:r>
          </w:p>
        </w:tc>
        <w:tc>
          <w:tcPr>
            <w:tcW w:w="6920" w:type="dxa"/>
            <w:gridSpan w:val="2"/>
            <w:vAlign w:val="center"/>
          </w:tcPr>
          <w:p>
            <w:pPr>
              <w:spacing w:line="360" w:lineRule="auto"/>
              <w:ind w:firstLine="420" w:firstLineChars="200"/>
              <w:rPr>
                <w:rFonts w:ascii="宋体" w:hAnsi="宋体" w:eastAsia="宋体"/>
                <w:szCs w:val="21"/>
              </w:rPr>
            </w:pPr>
            <w:r>
              <w:rPr>
                <w:rFonts w:hint="eastAsia" w:ascii="宋体" w:hAnsi="宋体" w:eastAsia="宋体"/>
                <w:szCs w:val="21"/>
              </w:rPr>
              <w:t>价格分值：</w:t>
            </w:r>
            <w:r>
              <w:rPr>
                <w:rFonts w:hint="eastAsia" w:ascii="宋体" w:hAnsi="宋体" w:eastAsia="宋体"/>
                <w:szCs w:val="21"/>
                <w:u w:val="single"/>
              </w:rPr>
              <w:t>20</w:t>
            </w:r>
            <w:r>
              <w:rPr>
                <w:rFonts w:hint="eastAsia" w:ascii="宋体" w:hAnsi="宋体" w:eastAsia="宋体"/>
                <w:szCs w:val="21"/>
              </w:rPr>
              <w:t>分</w:t>
            </w:r>
          </w:p>
          <w:p>
            <w:pPr>
              <w:spacing w:line="360" w:lineRule="auto"/>
              <w:ind w:firstLine="420" w:firstLineChars="200"/>
              <w:rPr>
                <w:rFonts w:ascii="宋体" w:hAnsi="宋体" w:eastAsia="宋体"/>
                <w:szCs w:val="21"/>
              </w:rPr>
            </w:pPr>
            <w:r>
              <w:rPr>
                <w:rFonts w:hint="eastAsia" w:ascii="宋体" w:hAnsi="宋体" w:eastAsia="宋体"/>
                <w:szCs w:val="21"/>
              </w:rPr>
              <w:t>商务部分：</w:t>
            </w:r>
            <w:r>
              <w:rPr>
                <w:rFonts w:hint="eastAsia" w:ascii="宋体" w:hAnsi="宋体" w:eastAsia="宋体"/>
                <w:szCs w:val="21"/>
                <w:u w:val="single"/>
              </w:rPr>
              <w:t>35</w:t>
            </w:r>
            <w:r>
              <w:rPr>
                <w:rFonts w:hint="eastAsia" w:ascii="宋体" w:hAnsi="宋体" w:eastAsia="宋体"/>
                <w:szCs w:val="21"/>
              </w:rPr>
              <w:t>分</w:t>
            </w:r>
          </w:p>
          <w:p>
            <w:pPr>
              <w:spacing w:line="360" w:lineRule="auto"/>
              <w:ind w:firstLine="420" w:firstLineChars="200"/>
              <w:rPr>
                <w:rFonts w:ascii="宋体" w:hAnsi="宋体" w:eastAsia="宋体"/>
                <w:szCs w:val="21"/>
              </w:rPr>
            </w:pPr>
            <w:r>
              <w:rPr>
                <w:rFonts w:hint="eastAsia" w:ascii="宋体" w:hAnsi="宋体" w:eastAsia="宋体"/>
                <w:szCs w:val="21"/>
              </w:rPr>
              <w:t>技术部分：</w:t>
            </w:r>
            <w:r>
              <w:rPr>
                <w:rFonts w:hint="eastAsia" w:ascii="宋体" w:hAnsi="宋体" w:eastAsia="宋体"/>
                <w:szCs w:val="21"/>
                <w:u w:val="single"/>
              </w:rPr>
              <w:t>45</w:t>
            </w:r>
            <w:r>
              <w:rPr>
                <w:rFonts w:hint="eastAsia" w:ascii="宋体" w:hAnsi="宋体" w:eastAsia="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tcBorders>
              <w:bottom w:val="single" w:color="auto" w:sz="4" w:space="0"/>
            </w:tcBorders>
            <w:vAlign w:val="center"/>
          </w:tcPr>
          <w:p>
            <w:pPr>
              <w:spacing w:line="360" w:lineRule="auto"/>
              <w:jc w:val="center"/>
              <w:rPr>
                <w:rFonts w:ascii="宋体" w:hAnsi="宋体" w:eastAsia="宋体"/>
                <w:b/>
                <w:szCs w:val="21"/>
              </w:rPr>
            </w:pPr>
            <w:r>
              <w:rPr>
                <w:rFonts w:hint="eastAsia" w:ascii="宋体" w:hAnsi="宋体" w:eastAsia="宋体"/>
                <w:b/>
                <w:bCs/>
                <w:szCs w:val="21"/>
              </w:rPr>
              <w:t>价格部分（满分20分）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tcBorders>
              <w:top w:val="single" w:color="auto" w:sz="4" w:space="0"/>
            </w:tcBorders>
            <w:vAlign w:val="center"/>
          </w:tcPr>
          <w:p>
            <w:pPr>
              <w:spacing w:line="360" w:lineRule="auto"/>
              <w:jc w:val="center"/>
              <w:rPr>
                <w:rFonts w:ascii="宋体" w:hAnsi="宋体" w:eastAsia="宋体"/>
                <w:b/>
                <w:szCs w:val="21"/>
              </w:rPr>
            </w:pPr>
            <w:r>
              <w:rPr>
                <w:rFonts w:hint="eastAsia" w:ascii="宋体" w:hAnsi="宋体" w:eastAsia="宋体"/>
                <w:b/>
                <w:szCs w:val="21"/>
              </w:rPr>
              <w:t>评分因素</w:t>
            </w:r>
          </w:p>
        </w:tc>
        <w:tc>
          <w:tcPr>
            <w:tcW w:w="5953" w:type="dxa"/>
            <w:tcBorders>
              <w:top w:val="single" w:color="auto" w:sz="4" w:space="0"/>
            </w:tcBorders>
            <w:vAlign w:val="center"/>
          </w:tcPr>
          <w:p>
            <w:pPr>
              <w:spacing w:line="360" w:lineRule="auto"/>
              <w:jc w:val="center"/>
              <w:rPr>
                <w:rFonts w:ascii="宋体" w:hAnsi="宋体" w:eastAsia="宋体"/>
                <w:b/>
                <w:szCs w:val="21"/>
              </w:rPr>
            </w:pPr>
            <w:r>
              <w:rPr>
                <w:rFonts w:hint="eastAsia" w:ascii="宋体" w:hAnsi="宋体" w:eastAsia="宋体"/>
                <w:b/>
                <w:szCs w:val="21"/>
              </w:rPr>
              <w:t>评标标准</w:t>
            </w:r>
          </w:p>
        </w:tc>
        <w:tc>
          <w:tcPr>
            <w:tcW w:w="967" w:type="dxa"/>
            <w:tcBorders>
              <w:top w:val="single" w:color="auto" w:sz="4" w:space="0"/>
            </w:tcBorders>
            <w:vAlign w:val="center"/>
          </w:tcPr>
          <w:p>
            <w:pPr>
              <w:spacing w:line="360" w:lineRule="auto"/>
              <w:jc w:val="center"/>
              <w:rPr>
                <w:rFonts w:ascii="宋体" w:hAnsi="宋体" w:eastAsia="宋体"/>
                <w:b/>
                <w:szCs w:val="21"/>
              </w:rPr>
            </w:pPr>
            <w:r>
              <w:rPr>
                <w:rFonts w:hint="eastAsia" w:ascii="宋体" w:hAnsi="宋体" w:eastAsia="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2046" w:type="dxa"/>
            <w:tcBorders>
              <w:top w:val="single" w:color="auto" w:sz="4" w:space="0"/>
            </w:tcBorders>
            <w:vAlign w:val="center"/>
          </w:tcPr>
          <w:p>
            <w:pPr>
              <w:spacing w:line="360" w:lineRule="auto"/>
              <w:jc w:val="center"/>
              <w:rPr>
                <w:rFonts w:ascii="宋体" w:hAnsi="宋体" w:eastAsia="宋体"/>
                <w:szCs w:val="21"/>
              </w:rPr>
            </w:pPr>
            <w:r>
              <w:rPr>
                <w:rFonts w:hint="eastAsia" w:ascii="宋体" w:hAnsi="宋体" w:eastAsia="宋体"/>
                <w:szCs w:val="21"/>
              </w:rPr>
              <w:t>投标报价</w:t>
            </w:r>
          </w:p>
          <w:p>
            <w:pPr>
              <w:spacing w:line="360" w:lineRule="auto"/>
              <w:jc w:val="center"/>
              <w:rPr>
                <w:rFonts w:ascii="宋体" w:hAnsi="宋体" w:eastAsia="宋体"/>
                <w:szCs w:val="21"/>
              </w:rPr>
            </w:pPr>
            <w:r>
              <w:rPr>
                <w:rFonts w:hint="eastAsia" w:ascii="宋体" w:hAnsi="宋体" w:eastAsia="宋体"/>
                <w:szCs w:val="21"/>
              </w:rPr>
              <w:t>评分标准</w:t>
            </w:r>
          </w:p>
        </w:tc>
        <w:tc>
          <w:tcPr>
            <w:tcW w:w="5953" w:type="dxa"/>
            <w:tcBorders>
              <w:top w:val="single" w:color="auto" w:sz="4" w:space="0"/>
            </w:tcBorders>
            <w:vAlign w:val="center"/>
          </w:tcPr>
          <w:p>
            <w:pPr>
              <w:spacing w:line="360" w:lineRule="auto"/>
              <w:rPr>
                <w:rFonts w:ascii="宋体" w:hAnsi="宋体" w:eastAsia="宋体"/>
                <w:szCs w:val="21"/>
              </w:rPr>
            </w:pPr>
            <w:r>
              <w:rPr>
                <w:rFonts w:hint="eastAsia" w:ascii="宋体" w:hAnsi="宋体" w:eastAsia="宋体"/>
                <w:szCs w:val="21"/>
              </w:rPr>
              <w:t>评标基准价：满足招标文件要求的有效投标报价中，最低的投标报价为评标基准价。</w:t>
            </w:r>
          </w:p>
          <w:p>
            <w:pPr>
              <w:spacing w:line="360" w:lineRule="auto"/>
              <w:rPr>
                <w:rFonts w:ascii="宋体" w:hAnsi="宋体" w:eastAsia="宋体"/>
                <w:szCs w:val="21"/>
              </w:rPr>
            </w:pPr>
            <w:r>
              <w:rPr>
                <w:rFonts w:hint="eastAsia" w:ascii="宋体" w:hAnsi="宋体" w:eastAsia="宋体"/>
                <w:szCs w:val="21"/>
              </w:rPr>
              <w:t>投标报价得分=（评标基准价/投标报价）×20</w:t>
            </w:r>
          </w:p>
        </w:tc>
        <w:tc>
          <w:tcPr>
            <w:tcW w:w="967" w:type="dxa"/>
            <w:tcBorders>
              <w:top w:val="single" w:color="auto" w:sz="4" w:space="0"/>
            </w:tcBorders>
            <w:vAlign w:val="center"/>
          </w:tcPr>
          <w:p>
            <w:pPr>
              <w:spacing w:line="360" w:lineRule="auto"/>
              <w:jc w:val="center"/>
              <w:rPr>
                <w:rFonts w:ascii="宋体" w:hAnsi="宋体" w:eastAsia="宋体"/>
                <w:szCs w:val="21"/>
              </w:rPr>
            </w:pPr>
            <w:r>
              <w:rPr>
                <w:rFonts w:hint="eastAsia" w:ascii="宋体" w:hAnsi="宋体" w:eastAsia="宋体"/>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vAlign w:val="center"/>
          </w:tcPr>
          <w:p>
            <w:pPr>
              <w:spacing w:line="360" w:lineRule="auto"/>
              <w:jc w:val="center"/>
              <w:rPr>
                <w:rFonts w:ascii="宋体" w:hAnsi="宋体" w:eastAsia="宋体"/>
                <w:b/>
                <w:szCs w:val="21"/>
              </w:rPr>
            </w:pPr>
            <w:r>
              <w:rPr>
                <w:rFonts w:hint="eastAsia" w:ascii="宋体" w:hAnsi="宋体" w:eastAsia="宋体"/>
                <w:b/>
                <w:szCs w:val="21"/>
              </w:rPr>
              <w:t>商务部分（满分35分）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tcBorders>
              <w:bottom w:val="single" w:color="auto" w:sz="4" w:space="0"/>
            </w:tcBorders>
            <w:vAlign w:val="center"/>
          </w:tcPr>
          <w:p>
            <w:pPr>
              <w:spacing w:line="360" w:lineRule="auto"/>
              <w:jc w:val="center"/>
              <w:rPr>
                <w:rFonts w:ascii="宋体" w:hAnsi="宋体" w:eastAsia="宋体"/>
                <w:b/>
                <w:szCs w:val="21"/>
              </w:rPr>
            </w:pPr>
            <w:r>
              <w:rPr>
                <w:rFonts w:hint="eastAsia" w:ascii="宋体" w:hAnsi="宋体" w:eastAsia="宋体"/>
                <w:b/>
                <w:szCs w:val="21"/>
              </w:rPr>
              <w:t>评分因素</w:t>
            </w:r>
          </w:p>
        </w:tc>
        <w:tc>
          <w:tcPr>
            <w:tcW w:w="5953" w:type="dxa"/>
            <w:vAlign w:val="center"/>
          </w:tcPr>
          <w:p>
            <w:pPr>
              <w:spacing w:line="360" w:lineRule="auto"/>
              <w:jc w:val="center"/>
              <w:rPr>
                <w:rFonts w:ascii="宋体" w:hAnsi="宋体" w:eastAsia="宋体"/>
                <w:b/>
                <w:szCs w:val="21"/>
              </w:rPr>
            </w:pPr>
            <w:r>
              <w:rPr>
                <w:rFonts w:hint="eastAsia" w:ascii="宋体" w:hAnsi="宋体" w:eastAsia="宋体"/>
                <w:b/>
                <w:szCs w:val="21"/>
              </w:rPr>
              <w:t>评标标准</w:t>
            </w:r>
          </w:p>
        </w:tc>
        <w:tc>
          <w:tcPr>
            <w:tcW w:w="967" w:type="dxa"/>
            <w:vAlign w:val="center"/>
          </w:tcPr>
          <w:p>
            <w:pPr>
              <w:spacing w:line="360" w:lineRule="auto"/>
              <w:jc w:val="center"/>
              <w:rPr>
                <w:rFonts w:ascii="宋体" w:hAnsi="宋体" w:eastAsia="宋体"/>
                <w:b/>
                <w:szCs w:val="21"/>
              </w:rPr>
            </w:pPr>
            <w:r>
              <w:rPr>
                <w:rFonts w:hint="eastAsia" w:ascii="宋体" w:hAnsi="宋体" w:eastAsia="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企业综</w:t>
            </w:r>
          </w:p>
          <w:p>
            <w:pPr>
              <w:jc w:val="center"/>
              <w:rPr>
                <w:rFonts w:ascii="宋体" w:hAnsi="宋体" w:eastAsia="宋体"/>
                <w:szCs w:val="21"/>
              </w:rPr>
            </w:pPr>
            <w:r>
              <w:rPr>
                <w:rFonts w:hint="eastAsia" w:ascii="宋体" w:hAnsi="宋体" w:eastAsia="宋体"/>
                <w:szCs w:val="21"/>
              </w:rPr>
              <w:t>合实力</w:t>
            </w:r>
          </w:p>
        </w:tc>
        <w:tc>
          <w:tcPr>
            <w:tcW w:w="5953" w:type="dxa"/>
            <w:vAlign w:val="center"/>
          </w:tcPr>
          <w:p>
            <w:pPr>
              <w:rPr>
                <w:rFonts w:ascii="宋体" w:hAnsi="宋体" w:cs="宋体"/>
                <w:szCs w:val="21"/>
              </w:rPr>
            </w:pPr>
            <w:r>
              <w:rPr>
                <w:rFonts w:hint="eastAsia" w:ascii="宋体" w:hAnsi="宋体" w:cs="宋体"/>
                <w:szCs w:val="21"/>
              </w:rPr>
              <w:t>企业具备环保主管部门颁发的环境工程设计、环境影响评价、环保工程施工资质、环境检测CMA证书等任一项者得5分；</w:t>
            </w:r>
          </w:p>
          <w:p>
            <w:pPr>
              <w:rPr>
                <w:rFonts w:ascii="宋体" w:hAnsi="宋体" w:eastAsia="宋体"/>
                <w:szCs w:val="21"/>
              </w:rPr>
            </w:pPr>
            <w:r>
              <w:rPr>
                <w:rFonts w:hint="eastAsia" w:ascii="宋体" w:hAnsi="宋体" w:cs="宋体"/>
                <w:szCs w:val="21"/>
              </w:rPr>
              <w:t>供应商提供有效的社会信用体系建设主管部门认可的信用评级机构出具的企业信用报告，供应商应提供信用报告原件，网页查询打印件，信用等级为AAA级得4分，AA级得2分，A级得1分。公司具备河南省认可机构评审通过的重合同守信用企业的得3分；</w:t>
            </w:r>
            <w:r>
              <w:rPr>
                <w:rFonts w:ascii="宋体" w:hAnsi="宋体" w:eastAsia="宋体"/>
                <w:szCs w:val="21"/>
              </w:rPr>
              <w:t xml:space="preserve"> </w:t>
            </w:r>
          </w:p>
        </w:tc>
        <w:tc>
          <w:tcPr>
            <w:tcW w:w="967" w:type="dxa"/>
            <w:vAlign w:val="center"/>
          </w:tcPr>
          <w:p>
            <w:pPr>
              <w:jc w:val="center"/>
              <w:rPr>
                <w:rFonts w:ascii="宋体" w:hAnsi="宋体" w:eastAsia="宋体"/>
                <w:szCs w:val="21"/>
                <w:lang w:val="en-GB"/>
              </w:rPr>
            </w:pPr>
            <w:r>
              <w:rPr>
                <w:rFonts w:hint="eastAsia" w:ascii="宋体" w:hAnsi="宋体" w:eastAsia="宋体"/>
                <w:szCs w:val="21"/>
                <w:lang w:val="en-GB"/>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项目班子配备</w:t>
            </w:r>
          </w:p>
        </w:tc>
        <w:tc>
          <w:tcPr>
            <w:tcW w:w="5953" w:type="dxa"/>
            <w:vAlign w:val="center"/>
          </w:tcPr>
          <w:p>
            <w:pPr>
              <w:jc w:val="left"/>
              <w:rPr>
                <w:rFonts w:ascii="宋体" w:hAnsi="宋体" w:eastAsia="宋体"/>
                <w:szCs w:val="21"/>
              </w:rPr>
            </w:pPr>
            <w:r>
              <w:rPr>
                <w:rFonts w:hint="eastAsia" w:ascii="宋体" w:hAnsi="宋体" w:eastAsia="宋体"/>
                <w:szCs w:val="21"/>
              </w:rPr>
              <w:t>1、拟派本项目人员具有相关专业中级及以上职称证书\执业资格证书者每名得2分，本项最高得6分。</w:t>
            </w:r>
          </w:p>
          <w:p>
            <w:pPr>
              <w:jc w:val="left"/>
              <w:rPr>
                <w:szCs w:val="21"/>
              </w:rPr>
            </w:pPr>
            <w:r>
              <w:rPr>
                <w:rFonts w:hint="eastAsia" w:ascii="宋体" w:hAnsi="宋体" w:eastAsia="宋体"/>
                <w:szCs w:val="21"/>
              </w:rPr>
              <w:t>2、拟派本项目人员组成及分工提供合同及资格证，配备合理情况；优3-5分，良1-2，差0-1分；</w:t>
            </w:r>
          </w:p>
        </w:tc>
        <w:tc>
          <w:tcPr>
            <w:tcW w:w="967" w:type="dxa"/>
            <w:vAlign w:val="center"/>
          </w:tcPr>
          <w:p>
            <w:pPr>
              <w:jc w:val="center"/>
              <w:rPr>
                <w:rFonts w:ascii="宋体" w:hAnsi="宋体" w:eastAsia="宋体"/>
                <w:szCs w:val="21"/>
              </w:rPr>
            </w:pPr>
            <w:r>
              <w:rPr>
                <w:rFonts w:hint="eastAsia" w:ascii="宋体" w:hAnsi="宋体" w:eastAsia="宋体"/>
                <w:szCs w:val="21"/>
              </w:rPr>
              <w:t>11分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业    绩</w:t>
            </w:r>
          </w:p>
        </w:tc>
        <w:tc>
          <w:tcPr>
            <w:tcW w:w="5953" w:type="dxa"/>
            <w:vAlign w:val="center"/>
          </w:tcPr>
          <w:p>
            <w:pPr>
              <w:jc w:val="left"/>
              <w:rPr>
                <w:rFonts w:ascii="宋体" w:hAnsi="宋体" w:eastAsia="宋体"/>
                <w:szCs w:val="21"/>
              </w:rPr>
            </w:pPr>
            <w:r>
              <w:rPr>
                <w:rFonts w:hint="eastAsia" w:ascii="宋体" w:hAnsi="宋体" w:eastAsia="宋体"/>
                <w:szCs w:val="21"/>
              </w:rPr>
              <w:t>具有环保项目且不少于本次招标金额的类似业绩者每项得4分，最高得8分；提供合同及中标通知书等相关证明文件</w:t>
            </w:r>
          </w:p>
        </w:tc>
        <w:tc>
          <w:tcPr>
            <w:tcW w:w="967" w:type="dxa"/>
            <w:vAlign w:val="center"/>
          </w:tcPr>
          <w:p>
            <w:pPr>
              <w:jc w:val="center"/>
              <w:rPr>
                <w:rFonts w:ascii="宋体" w:hAnsi="宋体" w:eastAsia="宋体"/>
                <w:szCs w:val="21"/>
              </w:rPr>
            </w:pPr>
            <w:r>
              <w:rPr>
                <w:rFonts w:hint="eastAsia" w:ascii="宋体" w:hAnsi="宋体" w:eastAsia="宋体"/>
                <w:szCs w:val="21"/>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92" w:hRule="atLeast"/>
          <w:jc w:val="center"/>
        </w:trPr>
        <w:tc>
          <w:tcPr>
            <w:tcW w:w="2046" w:type="dxa"/>
            <w:vAlign w:val="center"/>
          </w:tcPr>
          <w:p>
            <w:pPr>
              <w:rPr>
                <w:rFonts w:ascii="宋体" w:hAnsi="宋体" w:eastAsia="宋体"/>
                <w:szCs w:val="21"/>
              </w:rPr>
            </w:pPr>
            <w:r>
              <w:rPr>
                <w:rFonts w:hint="eastAsia" w:ascii="宋体" w:hAnsi="宋体" w:eastAsia="宋体"/>
                <w:szCs w:val="21"/>
              </w:rPr>
              <w:t>投标文件的规范程度</w:t>
            </w:r>
          </w:p>
        </w:tc>
        <w:tc>
          <w:tcPr>
            <w:tcW w:w="5953" w:type="dxa"/>
            <w:vAlign w:val="center"/>
          </w:tcPr>
          <w:p>
            <w:pPr>
              <w:jc w:val="left"/>
              <w:rPr>
                <w:rFonts w:ascii="宋体" w:hAnsi="宋体" w:eastAsia="宋体" w:cs="Courier New"/>
                <w:bCs/>
                <w:szCs w:val="21"/>
              </w:rPr>
            </w:pPr>
            <w:r>
              <w:rPr>
                <w:rFonts w:hint="eastAsia" w:ascii="宋体" w:hAnsi="宋体" w:eastAsia="宋体"/>
                <w:szCs w:val="21"/>
              </w:rPr>
              <w:t>1、</w:t>
            </w:r>
            <w:r>
              <w:rPr>
                <w:rFonts w:hint="eastAsia" w:ascii="宋体" w:hAnsi="宋体" w:eastAsia="宋体" w:cs="Courier New"/>
                <w:bCs/>
                <w:szCs w:val="21"/>
              </w:rPr>
              <w:t>投标文件的编制符合招标文件的规定，装订整齐规范的，得2分；不满足不得分。</w:t>
            </w:r>
          </w:p>
          <w:p>
            <w:pPr>
              <w:rPr>
                <w:rFonts w:ascii="宋体" w:hAnsi="宋体" w:eastAsia="宋体"/>
                <w:szCs w:val="21"/>
              </w:rPr>
            </w:pPr>
            <w:r>
              <w:rPr>
                <w:rFonts w:hint="eastAsia" w:ascii="宋体" w:hAnsi="宋体" w:eastAsia="宋体"/>
                <w:szCs w:val="21"/>
              </w:rPr>
              <w:t>2、</w:t>
            </w:r>
            <w:r>
              <w:rPr>
                <w:rFonts w:hint="eastAsia" w:ascii="宋体" w:hAnsi="宋体" w:eastAsia="宋体" w:cs="Courier New"/>
                <w:bCs/>
                <w:szCs w:val="21"/>
              </w:rPr>
              <w:t>投标人编制投标文件逻辑严紧、描述规范、无文字错误的，得2分；不满足不得分。</w:t>
            </w:r>
          </w:p>
        </w:tc>
        <w:tc>
          <w:tcPr>
            <w:tcW w:w="967" w:type="dxa"/>
            <w:vAlign w:val="center"/>
          </w:tcPr>
          <w:p>
            <w:pPr>
              <w:jc w:val="center"/>
              <w:rPr>
                <w:rFonts w:ascii="宋体" w:hAnsi="宋体" w:eastAsia="宋体"/>
                <w:szCs w:val="21"/>
              </w:rPr>
            </w:pPr>
            <w:r>
              <w:rPr>
                <w:rFonts w:hint="eastAsia" w:ascii="宋体" w:hAnsi="宋体" w:eastAsia="宋体"/>
                <w:szCs w:val="21"/>
              </w:rPr>
              <w:t xml:space="preserve"> 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966" w:type="dxa"/>
            <w:gridSpan w:val="3"/>
            <w:vAlign w:val="center"/>
          </w:tcPr>
          <w:p>
            <w:pPr>
              <w:spacing w:line="360" w:lineRule="auto"/>
              <w:jc w:val="center"/>
              <w:rPr>
                <w:rFonts w:ascii="宋体" w:hAnsi="宋体" w:eastAsia="宋体"/>
                <w:b/>
                <w:szCs w:val="21"/>
              </w:rPr>
            </w:pPr>
            <w:r>
              <w:rPr>
                <w:rFonts w:hint="eastAsia" w:ascii="宋体" w:hAnsi="宋体" w:eastAsia="宋体"/>
                <w:b/>
                <w:szCs w:val="21"/>
              </w:rPr>
              <w:t>技术部分（满分45分）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spacing w:line="360" w:lineRule="auto"/>
              <w:jc w:val="center"/>
              <w:rPr>
                <w:rFonts w:ascii="宋体" w:hAnsi="宋体" w:eastAsia="宋体"/>
                <w:b/>
                <w:szCs w:val="21"/>
              </w:rPr>
            </w:pPr>
            <w:r>
              <w:rPr>
                <w:rFonts w:hint="eastAsia" w:ascii="宋体" w:hAnsi="宋体" w:eastAsia="宋体"/>
                <w:b/>
                <w:szCs w:val="21"/>
              </w:rPr>
              <w:t>评分因素</w:t>
            </w:r>
          </w:p>
        </w:tc>
        <w:tc>
          <w:tcPr>
            <w:tcW w:w="5953" w:type="dxa"/>
            <w:vAlign w:val="center"/>
          </w:tcPr>
          <w:p>
            <w:pPr>
              <w:spacing w:line="360" w:lineRule="auto"/>
              <w:jc w:val="center"/>
              <w:rPr>
                <w:rFonts w:ascii="宋体" w:hAnsi="宋体" w:eastAsia="宋体"/>
                <w:b/>
                <w:szCs w:val="21"/>
              </w:rPr>
            </w:pPr>
            <w:r>
              <w:rPr>
                <w:rFonts w:hint="eastAsia" w:ascii="宋体" w:hAnsi="宋体" w:eastAsia="宋体"/>
                <w:b/>
                <w:szCs w:val="21"/>
              </w:rPr>
              <w:t>评标标准</w:t>
            </w:r>
          </w:p>
        </w:tc>
        <w:tc>
          <w:tcPr>
            <w:tcW w:w="967" w:type="dxa"/>
            <w:vAlign w:val="center"/>
          </w:tcPr>
          <w:p>
            <w:pPr>
              <w:spacing w:line="360" w:lineRule="auto"/>
              <w:jc w:val="center"/>
              <w:rPr>
                <w:rFonts w:ascii="宋体" w:hAnsi="宋体" w:eastAsia="宋体"/>
                <w:b/>
                <w:szCs w:val="21"/>
              </w:rPr>
            </w:pPr>
            <w:r>
              <w:rPr>
                <w:rFonts w:hint="eastAsia" w:ascii="宋体" w:hAnsi="宋体" w:eastAsia="宋体"/>
                <w:b/>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szCs w:val="21"/>
              </w:rPr>
            </w:pPr>
            <w:r>
              <w:rPr>
                <w:rFonts w:hint="eastAsia" w:ascii="宋体" w:hAnsi="宋体" w:eastAsia="宋体"/>
                <w:szCs w:val="21"/>
              </w:rPr>
              <w:t>组织机构与人员安排</w:t>
            </w:r>
          </w:p>
        </w:tc>
        <w:tc>
          <w:tcPr>
            <w:tcW w:w="5953" w:type="dxa"/>
            <w:vAlign w:val="center"/>
          </w:tcPr>
          <w:p>
            <w:pPr>
              <w:rPr>
                <w:rFonts w:ascii="宋体" w:hAnsi="宋体" w:eastAsia="宋体"/>
                <w:szCs w:val="21"/>
              </w:rPr>
            </w:pPr>
            <w:r>
              <w:rPr>
                <w:rFonts w:hint="eastAsia" w:ascii="宋体" w:hAnsi="宋体" w:eastAsia="宋体"/>
                <w:szCs w:val="21"/>
              </w:rPr>
              <w:t>对供应商针对本项目制订的组织机构与人员安排方案进行合理性和科学性计分，合理、科学、可行的得5分，欠合理、欠科学、欠可行的得3分，有不合理、较难实施的得1分，未提供的不得分。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总体实施方案</w:t>
            </w:r>
          </w:p>
        </w:tc>
        <w:tc>
          <w:tcPr>
            <w:tcW w:w="5953" w:type="dxa"/>
            <w:vAlign w:val="center"/>
          </w:tcPr>
          <w:p>
            <w:pPr>
              <w:rPr>
                <w:rFonts w:ascii="宋体" w:hAnsi="宋体" w:eastAsia="宋体"/>
                <w:szCs w:val="21"/>
              </w:rPr>
            </w:pPr>
            <w:r>
              <w:rPr>
                <w:rFonts w:hint="eastAsia" w:ascii="宋体" w:hAnsi="宋体"/>
                <w:szCs w:val="21"/>
              </w:rPr>
              <w:t>对供应商针对本项目提供的总体实施方案进行全面性计分，能全面满足采购项目要求的计5分；基本满足文件要求的计3分；</w:t>
            </w:r>
            <w:r>
              <w:rPr>
                <w:rFonts w:hint="eastAsia" w:ascii="宋体" w:hAnsi="宋体"/>
              </w:rPr>
              <w:t>不全面，需要进一步补充完善的计1分；未提供方案的不计分。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各专项实施方案</w:t>
            </w:r>
          </w:p>
        </w:tc>
        <w:tc>
          <w:tcPr>
            <w:tcW w:w="5953" w:type="dxa"/>
            <w:vAlign w:val="center"/>
          </w:tcPr>
          <w:p>
            <w:pPr>
              <w:rPr>
                <w:rFonts w:ascii="宋体" w:hAnsi="宋体" w:eastAsia="宋体"/>
                <w:szCs w:val="21"/>
              </w:rPr>
            </w:pPr>
            <w:r>
              <w:rPr>
                <w:rFonts w:hint="eastAsia" w:ascii="宋体" w:hAnsi="宋体"/>
                <w:szCs w:val="21"/>
              </w:rPr>
              <w:t>对供应商针对本项目提供的各专项实施方案进行合理性和可操作性计分，科学合理、可操作性强的计5分；欠合理、可操作性有待加强的计3</w:t>
            </w:r>
            <w:r>
              <w:rPr>
                <w:rFonts w:ascii="宋体" w:hAnsi="宋体"/>
                <w:szCs w:val="21"/>
              </w:rPr>
              <w:t xml:space="preserve"> </w:t>
            </w:r>
            <w:r>
              <w:rPr>
                <w:rFonts w:hint="eastAsia" w:ascii="宋体" w:hAnsi="宋体"/>
                <w:szCs w:val="21"/>
              </w:rPr>
              <w:t>分；不合理、很难实施的计1分；未提供方</w:t>
            </w:r>
            <w:r>
              <w:rPr>
                <w:rFonts w:hint="eastAsia" w:ascii="宋体" w:hAnsi="宋体"/>
              </w:rPr>
              <w:t>案的不计分。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eastAsia="宋体"/>
                <w:szCs w:val="21"/>
              </w:rPr>
            </w:pPr>
            <w:r>
              <w:rPr>
                <w:rFonts w:hint="eastAsia" w:ascii="宋体" w:hAnsi="宋体"/>
              </w:rPr>
              <w:t>报告编制方案</w:t>
            </w:r>
          </w:p>
        </w:tc>
        <w:tc>
          <w:tcPr>
            <w:tcW w:w="5953" w:type="dxa"/>
            <w:vAlign w:val="center"/>
          </w:tcPr>
          <w:p>
            <w:pPr>
              <w:pStyle w:val="59"/>
              <w:rPr>
                <w:rFonts w:ascii="宋体" w:hAnsi="宋体"/>
                <w:kern w:val="2"/>
              </w:rPr>
            </w:pPr>
            <w:r>
              <w:rPr>
                <w:rFonts w:hint="eastAsia" w:ascii="宋体" w:hAnsi="宋体"/>
                <w:kern w:val="2"/>
              </w:rPr>
              <w:t>对供应商针对本项目提供的报告编制方案进行技术性计分，能</w:t>
            </w:r>
          </w:p>
          <w:p>
            <w:pPr>
              <w:rPr>
                <w:rFonts w:ascii="宋体" w:hAnsi="宋体" w:eastAsia="宋体"/>
                <w:szCs w:val="21"/>
              </w:rPr>
            </w:pPr>
            <w:r>
              <w:rPr>
                <w:rFonts w:hint="eastAsia" w:ascii="宋体" w:hAnsi="宋体"/>
                <w:szCs w:val="21"/>
              </w:rPr>
              <w:t>切实满足采购项目要求且编制思路清晰、内容全面的计5分；能基本满足文件要求且编制思路较清晰、内容基本全面的计3</w:t>
            </w:r>
            <w:r>
              <w:rPr>
                <w:rFonts w:hint="eastAsia" w:ascii="宋体" w:hAnsi="宋体"/>
              </w:rPr>
              <w:t>分；编制思路较混乱、内容不全的计1</w:t>
            </w:r>
            <w:r>
              <w:rPr>
                <w:rFonts w:ascii="宋体" w:hAnsi="宋体"/>
              </w:rPr>
              <w:t xml:space="preserve"> </w:t>
            </w:r>
            <w:r>
              <w:rPr>
                <w:rFonts w:hint="eastAsia" w:ascii="宋体" w:hAnsi="宋体"/>
              </w:rPr>
              <w:t>分；未提供的不计分。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eastAsia="宋体"/>
                <w:szCs w:val="21"/>
              </w:rPr>
            </w:pPr>
            <w:r>
              <w:rPr>
                <w:rFonts w:hint="eastAsia" w:ascii="宋体" w:hAnsi="宋体"/>
                <w:szCs w:val="21"/>
              </w:rPr>
              <w:t>质量进度控制措施</w:t>
            </w:r>
          </w:p>
        </w:tc>
        <w:tc>
          <w:tcPr>
            <w:tcW w:w="5953" w:type="dxa"/>
            <w:vAlign w:val="center"/>
          </w:tcPr>
          <w:p>
            <w:pPr>
              <w:rPr>
                <w:rFonts w:ascii="宋体" w:hAnsi="宋体" w:eastAsia="宋体"/>
                <w:szCs w:val="21"/>
              </w:rPr>
            </w:pPr>
            <w:r>
              <w:rPr>
                <w:rFonts w:hint="eastAsia" w:ascii="宋体" w:hAnsi="宋体"/>
                <w:szCs w:val="21"/>
              </w:rPr>
              <w:t>对供应商针对本项目提供的质量进度控制措施进行合理性和科学性计分，合理、科学、可行的，计5分；欠合理、欠科学、欠可行的，计3分；有不合理、较难实施的，计1分。未提供</w:t>
            </w:r>
            <w:r>
              <w:rPr>
                <w:rFonts w:hint="eastAsia" w:ascii="宋体" w:hAnsi="宋体"/>
              </w:rPr>
              <w:t>的不计分。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szCs w:val="21"/>
              </w:rPr>
            </w:pPr>
            <w:r>
              <w:rPr>
                <w:rFonts w:hint="eastAsia" w:ascii="宋体" w:hAnsi="宋体"/>
              </w:rPr>
              <w:t>重点、难点的分析</w:t>
            </w:r>
          </w:p>
        </w:tc>
        <w:tc>
          <w:tcPr>
            <w:tcW w:w="5953" w:type="dxa"/>
            <w:vAlign w:val="center"/>
          </w:tcPr>
          <w:p>
            <w:pPr>
              <w:rPr>
                <w:rFonts w:ascii="宋体" w:hAnsi="宋体"/>
                <w:szCs w:val="21"/>
              </w:rPr>
            </w:pPr>
            <w:r>
              <w:rPr>
                <w:rFonts w:hint="eastAsia" w:ascii="宋体" w:hAnsi="宋体"/>
              </w:rPr>
              <w:t>对供应商针对本项目重点突出、技术建议叙述全面、合理、科学、可行的，计5分；欠合理、欠科学、欠可行的，计3分；有不合理、较难实施的，计1分。未提供的不计分。</w:t>
            </w:r>
          </w:p>
        </w:tc>
        <w:tc>
          <w:tcPr>
            <w:tcW w:w="967" w:type="dxa"/>
            <w:vAlign w:val="center"/>
          </w:tcPr>
          <w:p>
            <w:pPr>
              <w:jc w:val="center"/>
              <w:rPr>
                <w:rFonts w:ascii="宋体" w:hAnsi="宋体" w:eastAsia="宋体"/>
                <w:szCs w:val="21"/>
              </w:rPr>
            </w:pPr>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szCs w:val="21"/>
              </w:rPr>
            </w:pPr>
            <w:r>
              <w:rPr>
                <w:rFonts w:hint="eastAsia" w:ascii="宋体" w:hAnsi="宋体"/>
                <w:szCs w:val="21"/>
              </w:rPr>
              <w:t>合同履行保障措施</w:t>
            </w:r>
          </w:p>
        </w:tc>
        <w:tc>
          <w:tcPr>
            <w:tcW w:w="5953" w:type="dxa"/>
            <w:vAlign w:val="center"/>
          </w:tcPr>
          <w:p>
            <w:pPr>
              <w:rPr>
                <w:rFonts w:ascii="宋体" w:hAnsi="宋体"/>
                <w:szCs w:val="21"/>
              </w:rPr>
            </w:pPr>
            <w:r>
              <w:rPr>
                <w:rFonts w:hint="eastAsia" w:ascii="宋体" w:hAnsi="宋体"/>
                <w:szCs w:val="21"/>
              </w:rPr>
              <w:t>对供应商提供的合同履行保障措施进行合理性和科学性计分，合理、科学、可行的，计5分；欠合理、欠科学、欠可行的，</w:t>
            </w:r>
            <w:r>
              <w:rPr>
                <w:rFonts w:hint="eastAsia" w:ascii="宋体" w:hAnsi="宋体"/>
              </w:rPr>
              <w:t>计3分；有不合理、较难实施的，计1分。未提供的不计分。</w:t>
            </w:r>
          </w:p>
        </w:tc>
        <w:tc>
          <w:tcPr>
            <w:tcW w:w="967" w:type="dxa"/>
            <w:vAlign w:val="center"/>
          </w:tcPr>
          <w:p>
            <w:pPr>
              <w:jc w:val="center"/>
              <w:rPr>
                <w:rFonts w:ascii="宋体" w:hAnsi="宋体" w:eastAsia="宋体"/>
                <w:szCs w:val="21"/>
              </w:rPr>
            </w:pPr>
            <w:bookmarkStart w:id="10" w:name="_GoBack"/>
            <w:bookmarkEnd w:id="10"/>
            <w:r>
              <w:rPr>
                <w:rFonts w:hint="eastAsia" w:ascii="宋体" w:hAnsi="宋体" w:eastAsia="宋体"/>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2046" w:type="dxa"/>
            <w:vAlign w:val="center"/>
          </w:tcPr>
          <w:p>
            <w:pPr>
              <w:jc w:val="center"/>
              <w:rPr>
                <w:rFonts w:ascii="宋体" w:hAnsi="宋体" w:eastAsia="宋体"/>
                <w:szCs w:val="21"/>
              </w:rPr>
            </w:pPr>
            <w:r>
              <w:rPr>
                <w:rFonts w:hint="eastAsia" w:ascii="宋体" w:hAnsi="宋体" w:eastAsia="宋体"/>
                <w:szCs w:val="21"/>
              </w:rPr>
              <w:t>售后服务方案</w:t>
            </w:r>
          </w:p>
          <w:p>
            <w:pPr>
              <w:jc w:val="center"/>
              <w:rPr>
                <w:rFonts w:ascii="宋体" w:hAnsi="宋体" w:eastAsia="宋体"/>
                <w:szCs w:val="21"/>
              </w:rPr>
            </w:pPr>
            <w:r>
              <w:rPr>
                <w:rFonts w:hint="eastAsia" w:ascii="宋体" w:hAnsi="宋体" w:eastAsia="宋体"/>
                <w:szCs w:val="21"/>
              </w:rPr>
              <w:t>及承诺</w:t>
            </w:r>
          </w:p>
        </w:tc>
        <w:tc>
          <w:tcPr>
            <w:tcW w:w="5953" w:type="dxa"/>
            <w:vAlign w:val="center"/>
          </w:tcPr>
          <w:p>
            <w:pPr>
              <w:rPr>
                <w:rFonts w:ascii="宋体" w:hAnsi="宋体" w:eastAsia="宋体"/>
                <w:szCs w:val="21"/>
              </w:rPr>
            </w:pPr>
            <w:r>
              <w:rPr>
                <w:rFonts w:hint="eastAsia" w:ascii="宋体" w:hAnsi="宋体" w:eastAsia="宋体"/>
                <w:szCs w:val="21"/>
              </w:rPr>
              <w:t>除满足本招标文件内所有实质性要求之外还有其他服务承诺的得10分，仅进行了简单概况的得5分，没有不得分。</w:t>
            </w:r>
          </w:p>
        </w:tc>
        <w:tc>
          <w:tcPr>
            <w:tcW w:w="967" w:type="dxa"/>
            <w:vAlign w:val="center"/>
          </w:tcPr>
          <w:p>
            <w:pPr>
              <w:jc w:val="center"/>
              <w:rPr>
                <w:rFonts w:ascii="宋体" w:hAnsi="宋体" w:eastAsia="宋体"/>
                <w:szCs w:val="21"/>
              </w:rPr>
            </w:pPr>
            <w:r>
              <w:rPr>
                <w:rFonts w:hint="eastAsia" w:ascii="宋体" w:hAnsi="宋体" w:eastAsia="宋体"/>
                <w:szCs w:val="21"/>
              </w:rPr>
              <w:t>10分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9"/>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szCs w:val="21"/>
                <w:lang w:val="en-GB"/>
              </w:rPr>
            </w:pPr>
            <w:r>
              <w:rPr>
                <w:rFonts w:hint="eastAsia" w:ascii="宋体" w:hAnsi="宋体"/>
                <w:b/>
                <w:szCs w:val="21"/>
                <w:lang w:val="en-GB"/>
              </w:rPr>
              <w:t>序号</w:t>
            </w:r>
          </w:p>
        </w:tc>
        <w:tc>
          <w:tcPr>
            <w:tcW w:w="2823" w:type="dxa"/>
            <w:vAlign w:val="center"/>
          </w:tcPr>
          <w:p>
            <w:pPr>
              <w:jc w:val="center"/>
              <w:rPr>
                <w:rFonts w:ascii="宋体" w:hAnsi="宋体"/>
                <w:b/>
                <w:szCs w:val="21"/>
                <w:lang w:val="en-GB"/>
              </w:rPr>
            </w:pPr>
            <w:r>
              <w:rPr>
                <w:rFonts w:hint="eastAsia" w:ascii="宋体" w:hAnsi="宋体"/>
                <w:b/>
                <w:szCs w:val="21"/>
                <w:lang w:val="en-GB"/>
              </w:rPr>
              <w:t>情形</w:t>
            </w:r>
          </w:p>
        </w:tc>
        <w:tc>
          <w:tcPr>
            <w:tcW w:w="2552" w:type="dxa"/>
            <w:vAlign w:val="center"/>
          </w:tcPr>
          <w:p>
            <w:pPr>
              <w:jc w:val="center"/>
              <w:rPr>
                <w:rFonts w:ascii="宋体" w:hAnsi="宋体"/>
                <w:b/>
                <w:szCs w:val="21"/>
                <w:lang w:val="en-GB"/>
              </w:rPr>
            </w:pPr>
            <w:r>
              <w:rPr>
                <w:rFonts w:hint="eastAsia" w:ascii="宋体" w:hAnsi="宋体"/>
                <w:b/>
                <w:szCs w:val="21"/>
              </w:rPr>
              <w:t>价格扣除</w:t>
            </w:r>
            <w:r>
              <w:rPr>
                <w:rFonts w:hint="eastAsia" w:ascii="宋体" w:hAnsi="宋体"/>
                <w:b/>
                <w:szCs w:val="21"/>
                <w:lang w:val="en-GB"/>
              </w:rPr>
              <w:t>比例</w:t>
            </w:r>
          </w:p>
        </w:tc>
        <w:tc>
          <w:tcPr>
            <w:tcW w:w="2835" w:type="dxa"/>
            <w:vAlign w:val="center"/>
          </w:tcPr>
          <w:p>
            <w:pPr>
              <w:jc w:val="center"/>
              <w:rPr>
                <w:rFonts w:ascii="宋体" w:hAnsi="宋体"/>
                <w:b/>
                <w:szCs w:val="21"/>
                <w:lang w:val="en-GB"/>
              </w:rPr>
            </w:pPr>
            <w:r>
              <w:rPr>
                <w:rFonts w:hint="eastAsia" w:ascii="宋体" w:hAnsi="宋体"/>
                <w:b/>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szCs w:val="21"/>
                <w:lang w:val="en-GB"/>
              </w:rPr>
            </w:pPr>
            <w:r>
              <w:rPr>
                <w:rFonts w:hint="eastAsia" w:ascii="宋体" w:hAnsi="宋体"/>
                <w:b/>
                <w:szCs w:val="21"/>
                <w:lang w:val="en-GB"/>
              </w:rPr>
              <w:t>1</w:t>
            </w:r>
          </w:p>
        </w:tc>
        <w:tc>
          <w:tcPr>
            <w:tcW w:w="2823" w:type="dxa"/>
            <w:vAlign w:val="center"/>
          </w:tcPr>
          <w:p>
            <w:pPr>
              <w:jc w:val="center"/>
              <w:rPr>
                <w:rFonts w:ascii="宋体" w:hAnsi="宋体"/>
                <w:szCs w:val="21"/>
                <w:lang w:val="en-GB"/>
              </w:rPr>
            </w:pPr>
            <w:r>
              <w:rPr>
                <w:rFonts w:hint="eastAsia" w:ascii="宋体" w:hAnsi="宋体"/>
                <w:szCs w:val="21"/>
                <w:lang w:val="en-GB"/>
              </w:rPr>
              <w:t>非联合体投标人</w:t>
            </w:r>
          </w:p>
          <w:p>
            <w:pPr>
              <w:jc w:val="center"/>
              <w:rPr>
                <w:rFonts w:ascii="宋体" w:hAnsi="宋体"/>
                <w:b/>
                <w:szCs w:val="21"/>
                <w:lang w:val="en-GB"/>
              </w:rPr>
            </w:pPr>
            <w:r>
              <w:rPr>
                <w:rFonts w:hint="eastAsia" w:ascii="宋体" w:hAnsi="宋体"/>
                <w:szCs w:val="21"/>
                <w:lang w:val="en-GB"/>
              </w:rPr>
              <w:t>（投标人须为中小企业）</w:t>
            </w:r>
          </w:p>
        </w:tc>
        <w:tc>
          <w:tcPr>
            <w:tcW w:w="2552" w:type="dxa"/>
            <w:vAlign w:val="center"/>
          </w:tcPr>
          <w:p>
            <w:pPr>
              <w:jc w:val="center"/>
              <w:rPr>
                <w:rFonts w:ascii="宋体" w:hAnsi="宋体"/>
                <w:b/>
                <w:szCs w:val="21"/>
                <w:lang w:val="en-GB"/>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szCs w:val="21"/>
                <w:lang w:val="en-GB"/>
              </w:rPr>
            </w:pPr>
            <w:r>
              <w:rPr>
                <w:rFonts w:hint="eastAsia"/>
                <w:szCs w:val="21"/>
                <w:lang w:val="en-GB"/>
              </w:rPr>
              <w:t>评标价格＝投标报价—</w:t>
            </w:r>
            <w:r>
              <w:rPr>
                <w:rFonts w:hint="eastAsia"/>
                <w:szCs w:val="21"/>
              </w:rPr>
              <w:t>小型和微型企业产品的价格</w:t>
            </w:r>
            <w:r>
              <w:rPr>
                <w:rFonts w:hint="eastAsia" w:ascii="宋体" w:hAnsi="宋体"/>
                <w:szCs w:val="21"/>
                <w:lang w:val="en-GB"/>
              </w:rPr>
              <w:t>×</w:t>
            </w:r>
            <w:r>
              <w:rPr>
                <w:rFonts w:hint="eastAsia"/>
                <w:szCs w:val="21"/>
                <w:lang w:val="en-GB"/>
              </w:rPr>
              <w:t>6%</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szCs w:val="21"/>
                <w:lang w:val="en-GB"/>
              </w:rPr>
            </w:pPr>
            <w:r>
              <w:rPr>
                <w:rFonts w:hint="eastAsia" w:ascii="宋体" w:hAnsi="宋体"/>
                <w:b/>
                <w:szCs w:val="21"/>
                <w:lang w:val="en-GB"/>
              </w:rPr>
              <w:t>2</w:t>
            </w:r>
          </w:p>
        </w:tc>
        <w:tc>
          <w:tcPr>
            <w:tcW w:w="2823" w:type="dxa"/>
            <w:vAlign w:val="center"/>
          </w:tcPr>
          <w:p>
            <w:pPr>
              <w:jc w:val="center"/>
              <w:rPr>
                <w:rFonts w:ascii="宋体" w:hAnsi="宋体"/>
                <w:b/>
                <w:szCs w:val="21"/>
              </w:rPr>
            </w:pPr>
            <w:r>
              <w:rPr>
                <w:rFonts w:hint="eastAsia" w:ascii="宋体" w:hAnsi="宋体"/>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3</w:t>
            </w:r>
          </w:p>
        </w:tc>
        <w:tc>
          <w:tcPr>
            <w:tcW w:w="2823" w:type="dxa"/>
            <w:vAlign w:val="center"/>
          </w:tcPr>
          <w:p>
            <w:pPr>
              <w:jc w:val="center"/>
              <w:rPr>
                <w:rFonts w:ascii="宋体" w:hAnsi="宋体"/>
                <w:b/>
                <w:szCs w:val="21"/>
                <w:lang w:val="en-GB"/>
              </w:rPr>
            </w:pPr>
            <w:r>
              <w:rPr>
                <w:rFonts w:hint="eastAsia" w:ascii="宋体" w:hAnsi="宋体"/>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szCs w:val="21"/>
                <w:lang w:val="en-GB"/>
              </w:rPr>
            </w:pPr>
            <w:r>
              <w:rPr>
                <w:rFonts w:hint="eastAsia" w:ascii="宋体" w:hAnsi="宋体"/>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szCs w:val="21"/>
                <w:u w:val="single"/>
              </w:rPr>
            </w:pPr>
            <w:r>
              <w:rPr>
                <w:rFonts w:hint="eastAsia" w:ascii="宋体" w:hAnsi="宋体"/>
                <w:szCs w:val="21"/>
                <w:lang w:val="en-GB"/>
              </w:rPr>
              <w:t>评标价格＝投标报价×</w:t>
            </w:r>
            <w:r>
              <w:rPr>
                <w:rFonts w:hint="eastAsia" w:ascii="宋体" w:hAnsi="宋体"/>
                <w:szCs w:val="21"/>
              </w:rPr>
              <w:t>(1-</w:t>
            </w:r>
            <w:r>
              <w:rPr>
                <w:rFonts w:ascii="宋体" w:hAnsi="宋体"/>
                <w:szCs w:val="21"/>
                <w:u w:val="single"/>
              </w:rPr>
              <w:t>2</w:t>
            </w:r>
            <w:r>
              <w:rPr>
                <w:rFonts w:hint="eastAsia" w:ascii="宋体" w:hAnsi="宋体"/>
                <w:szCs w:val="21"/>
                <w:u w:val="single"/>
              </w:rPr>
              <w:t>%)</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4</w:t>
            </w:r>
          </w:p>
        </w:tc>
        <w:tc>
          <w:tcPr>
            <w:tcW w:w="2823" w:type="dxa"/>
            <w:vAlign w:val="center"/>
          </w:tcPr>
          <w:p>
            <w:pPr>
              <w:jc w:val="center"/>
              <w:rPr>
                <w:rFonts w:ascii="宋体" w:hAnsi="宋体"/>
                <w:szCs w:val="21"/>
                <w:lang w:val="en-GB"/>
              </w:rPr>
            </w:pPr>
            <w:r>
              <w:rPr>
                <w:rFonts w:hint="eastAsia" w:ascii="宋体" w:hAnsi="宋体"/>
                <w:szCs w:val="21"/>
                <w:lang w:val="en-GB"/>
              </w:rPr>
              <w:t>监狱企业</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szCs w:val="21"/>
                <w:lang w:val="en-GB"/>
              </w:rPr>
            </w:pPr>
            <w:r>
              <w:rPr>
                <w:rFonts w:hint="eastAsia"/>
                <w:szCs w:val="21"/>
                <w:lang w:val="en-GB"/>
              </w:rPr>
              <w:t>评标价格＝投标报价—</w:t>
            </w:r>
            <w:r>
              <w:rPr>
                <w:rFonts w:hint="eastAsia"/>
                <w:szCs w:val="21"/>
              </w:rPr>
              <w:t>监狱企业产品的价格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5</w:t>
            </w:r>
          </w:p>
        </w:tc>
        <w:tc>
          <w:tcPr>
            <w:tcW w:w="2823" w:type="dxa"/>
            <w:vAlign w:val="center"/>
          </w:tcPr>
          <w:p>
            <w:pPr>
              <w:jc w:val="center"/>
              <w:rPr>
                <w:rFonts w:ascii="宋体" w:hAnsi="宋体"/>
                <w:szCs w:val="21"/>
                <w:lang w:val="en-GB"/>
              </w:rPr>
            </w:pPr>
            <w:r>
              <w:rPr>
                <w:rFonts w:hint="eastAsia" w:ascii="宋体" w:hAnsi="宋体"/>
                <w:szCs w:val="21"/>
                <w:lang w:val="en-GB"/>
              </w:rPr>
              <w:t>残疾人福利性单位</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szCs w:val="21"/>
                <w:lang w:val="en-GB"/>
              </w:rPr>
            </w:pPr>
            <w:r>
              <w:rPr>
                <w:rFonts w:hint="eastAsia"/>
                <w:szCs w:val="21"/>
                <w:lang w:val="en-GB"/>
              </w:rPr>
              <w:t>评标价格＝投标报价—</w:t>
            </w:r>
            <w:r>
              <w:rPr>
                <w:rFonts w:hint="eastAsia"/>
                <w:szCs w:val="21"/>
              </w:rPr>
              <w:t>残疾人福利性单位产品的价格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pStyle w:val="15"/>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spacing w:line="360" w:lineRule="auto"/>
        <w:ind w:firstLine="480" w:firstLineChars="200"/>
        <w:rPr>
          <w:rFonts w:ascii="宋体" w:hAnsi="宋体"/>
          <w:sz w:val="24"/>
        </w:rPr>
      </w:pPr>
      <w:r>
        <w:rPr>
          <w:rFonts w:hint="eastAsia" w:ascii="宋体" w:hAnsi="宋体"/>
          <w:sz w:val="24"/>
        </w:rPr>
        <w:t>1. 定义</w:t>
      </w:r>
    </w:p>
    <w:p>
      <w:pPr>
        <w:spacing w:line="360" w:lineRule="auto"/>
        <w:ind w:firstLine="480" w:firstLineChars="200"/>
        <w:rPr>
          <w:rFonts w:ascii="宋体" w:hAnsi="宋体"/>
          <w:sz w:val="24"/>
        </w:rPr>
      </w:pPr>
      <w:r>
        <w:rPr>
          <w:rFonts w:hint="eastAsia" w:ascii="宋体" w:hAnsi="宋体"/>
          <w:sz w:val="24"/>
        </w:rPr>
        <w:t>1.1“合同”系指甲方和乙方 （简称合同双方）已达成的协议，即由双方签订的合同格式中的文件，包括所有的附件和组成合同部分的所有其他文件。</w:t>
      </w:r>
    </w:p>
    <w:p>
      <w:pPr>
        <w:spacing w:line="360" w:lineRule="auto"/>
        <w:ind w:firstLine="480" w:firstLineChars="200"/>
        <w:rPr>
          <w:rFonts w:ascii="宋体" w:hAnsi="宋体"/>
          <w:sz w:val="24"/>
        </w:rPr>
      </w:pPr>
      <w:r>
        <w:rPr>
          <w:rFonts w:hint="eastAsia" w:ascii="宋体" w:hAnsi="宋体"/>
          <w:sz w:val="24"/>
        </w:rPr>
        <w:t xml:space="preserve">1.2“合同价格”系指根据合同规定，在乙方全面正确地履行合同义务时应支付给乙方的款项。 </w:t>
      </w:r>
    </w:p>
    <w:p>
      <w:pPr>
        <w:spacing w:line="360" w:lineRule="auto"/>
        <w:ind w:firstLine="480" w:firstLineChars="200"/>
        <w:rPr>
          <w:rFonts w:ascii="宋体" w:hAnsi="宋体"/>
          <w:sz w:val="24"/>
        </w:rPr>
      </w:pPr>
      <w:r>
        <w:rPr>
          <w:rFonts w:hint="eastAsia" w:ascii="宋体" w:hAnsi="宋体"/>
          <w:sz w:val="24"/>
        </w:rPr>
        <w:t>1.3“甲方”系指通过招标方式，接受合同服务的采购人</w:t>
      </w:r>
    </w:p>
    <w:p>
      <w:pPr>
        <w:spacing w:line="360" w:lineRule="auto"/>
        <w:ind w:firstLine="480" w:firstLineChars="200"/>
        <w:rPr>
          <w:rFonts w:ascii="宋体" w:hAnsi="宋体"/>
          <w:sz w:val="24"/>
        </w:rPr>
      </w:pPr>
      <w:r>
        <w:rPr>
          <w:rFonts w:hint="eastAsia" w:ascii="宋体" w:hAnsi="宋体"/>
          <w:sz w:val="24"/>
        </w:rPr>
        <w:t>1.4“乙方”系指中标后提供合同服务的</w:t>
      </w:r>
      <w:r>
        <w:rPr>
          <w:rFonts w:hint="eastAsia" w:ascii="宋体" w:hAnsi="宋体"/>
          <w:bCs/>
          <w:sz w:val="24"/>
        </w:rPr>
        <w:t>中标方</w:t>
      </w:r>
      <w:r>
        <w:rPr>
          <w:rFonts w:hint="eastAsia" w:ascii="宋体" w:hAnsi="宋体"/>
          <w:sz w:val="24"/>
        </w:rPr>
        <w:t>或供应商。</w:t>
      </w:r>
    </w:p>
    <w:p>
      <w:pPr>
        <w:spacing w:line="360" w:lineRule="auto"/>
        <w:ind w:firstLine="480" w:firstLineChars="200"/>
        <w:rPr>
          <w:rFonts w:ascii="宋体" w:hAnsi="宋体"/>
          <w:sz w:val="24"/>
        </w:rPr>
      </w:pPr>
      <w:r>
        <w:rPr>
          <w:rFonts w:hint="eastAsia" w:ascii="宋体" w:hAnsi="宋体"/>
          <w:sz w:val="24"/>
        </w:rPr>
        <w:t>2.适用范围</w:t>
      </w:r>
    </w:p>
    <w:p>
      <w:pPr>
        <w:spacing w:line="360" w:lineRule="auto"/>
        <w:ind w:firstLine="480" w:firstLineChars="200"/>
        <w:rPr>
          <w:rFonts w:ascii="宋体" w:hAnsi="宋体"/>
          <w:sz w:val="24"/>
        </w:rPr>
      </w:pPr>
      <w:r>
        <w:rPr>
          <w:rFonts w:hint="eastAsia" w:ascii="宋体" w:hAnsi="宋体"/>
          <w:sz w:val="24"/>
        </w:rPr>
        <w:t>本合同条款仅适用于本次招标活动。</w:t>
      </w:r>
    </w:p>
    <w:p>
      <w:pPr>
        <w:spacing w:line="360" w:lineRule="auto"/>
        <w:ind w:firstLine="480" w:firstLineChars="200"/>
        <w:rPr>
          <w:rFonts w:ascii="宋体" w:hAnsi="宋体"/>
          <w:sz w:val="24"/>
        </w:rPr>
      </w:pPr>
      <w:r>
        <w:rPr>
          <w:rFonts w:hint="eastAsia" w:ascii="宋体" w:hAnsi="宋体"/>
          <w:sz w:val="24"/>
        </w:rPr>
        <w:t>3.技术规格和标准</w:t>
      </w:r>
    </w:p>
    <w:p>
      <w:pPr>
        <w:pStyle w:val="17"/>
        <w:spacing w:line="360" w:lineRule="auto"/>
        <w:ind w:firstLine="480"/>
        <w:rPr>
          <w:rFonts w:ascii="宋体" w:hAnsi="宋体" w:eastAsia="宋体"/>
          <w:sz w:val="24"/>
        </w:rPr>
      </w:pPr>
      <w:r>
        <w:rPr>
          <w:rFonts w:hint="eastAsia" w:ascii="宋体" w:hAnsi="宋体" w:eastAsia="宋体"/>
          <w:sz w:val="24"/>
        </w:rPr>
        <w:t>本合同项下所提供服务的技术规格标准应与本招标文件技术规格规定的标准相一致。</w:t>
      </w:r>
    </w:p>
    <w:p>
      <w:pPr>
        <w:spacing w:line="360" w:lineRule="auto"/>
        <w:ind w:firstLine="480" w:firstLineChars="200"/>
        <w:rPr>
          <w:rFonts w:ascii="宋体" w:hAnsi="宋体"/>
          <w:sz w:val="24"/>
        </w:rPr>
      </w:pPr>
      <w:r>
        <w:rPr>
          <w:rFonts w:hint="eastAsia" w:ascii="宋体" w:hAnsi="宋体"/>
          <w:sz w:val="24"/>
        </w:rPr>
        <w:t>4.合同期限</w:t>
      </w:r>
    </w:p>
    <w:p>
      <w:pPr>
        <w:spacing w:line="360" w:lineRule="auto"/>
        <w:ind w:firstLine="480" w:firstLineChars="200"/>
        <w:rPr>
          <w:rFonts w:ascii="宋体" w:hAnsi="宋体"/>
          <w:sz w:val="24"/>
        </w:rPr>
      </w:pPr>
      <w:r>
        <w:rPr>
          <w:rFonts w:hint="eastAsia" w:ascii="宋体" w:hAnsi="宋体"/>
          <w:sz w:val="24"/>
        </w:rPr>
        <w:t>即自</w:t>
      </w:r>
      <w:r>
        <w:rPr>
          <w:rFonts w:hint="eastAsia" w:ascii="宋体" w:hAnsi="宋体"/>
          <w:sz w:val="24"/>
        </w:rPr>
        <w:tab/>
      </w:r>
      <w:r>
        <w:rPr>
          <w:rFonts w:hint="eastAsia" w:ascii="宋体" w:hAnsi="宋体"/>
          <w:sz w:val="24"/>
        </w:rPr>
        <w:t>年</w:t>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日起至</w:t>
      </w:r>
      <w:r>
        <w:rPr>
          <w:rFonts w:hint="eastAsia" w:ascii="宋体" w:hAnsi="宋体"/>
          <w:sz w:val="24"/>
        </w:rPr>
        <w:tab/>
      </w:r>
      <w:r>
        <w:rPr>
          <w:rFonts w:hint="eastAsia" w:ascii="宋体" w:hAnsi="宋体"/>
          <w:sz w:val="24"/>
        </w:rPr>
        <w:t>年</w:t>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日止。</w:t>
      </w:r>
    </w:p>
    <w:p>
      <w:pPr>
        <w:spacing w:line="360" w:lineRule="auto"/>
        <w:ind w:firstLine="480" w:firstLineChars="200"/>
        <w:rPr>
          <w:rFonts w:ascii="宋体" w:hAnsi="宋体"/>
          <w:sz w:val="24"/>
        </w:rPr>
      </w:pPr>
      <w:r>
        <w:rPr>
          <w:rFonts w:hint="eastAsia" w:ascii="宋体" w:hAnsi="宋体"/>
          <w:sz w:val="24"/>
        </w:rPr>
        <w:t>5.价格</w:t>
      </w:r>
    </w:p>
    <w:p>
      <w:pPr>
        <w:spacing w:line="360" w:lineRule="auto"/>
        <w:ind w:firstLine="480" w:firstLineChars="200"/>
        <w:rPr>
          <w:rFonts w:ascii="宋体" w:hAnsi="宋体"/>
          <w:sz w:val="24"/>
        </w:rPr>
      </w:pPr>
      <w:r>
        <w:rPr>
          <w:rFonts w:hint="eastAsia" w:ascii="宋体" w:hAnsi="宋体"/>
          <w:sz w:val="24"/>
        </w:rPr>
        <w:t>除非合同中另有规定，乙方为其所提供货物设备和服务而要求甲方支付的金额应与其投标报价一致。</w:t>
      </w:r>
    </w:p>
    <w:p>
      <w:pPr>
        <w:spacing w:line="360" w:lineRule="auto"/>
        <w:ind w:firstLine="480" w:firstLineChars="200"/>
        <w:rPr>
          <w:rFonts w:ascii="宋体" w:hAnsi="宋体"/>
          <w:sz w:val="24"/>
        </w:rPr>
      </w:pPr>
      <w:r>
        <w:rPr>
          <w:rFonts w:hint="eastAsia" w:ascii="宋体" w:hAnsi="宋体"/>
          <w:sz w:val="24"/>
        </w:rPr>
        <w:t>6.索赔</w:t>
      </w:r>
    </w:p>
    <w:p>
      <w:pPr>
        <w:spacing w:line="360" w:lineRule="auto"/>
        <w:ind w:firstLine="480" w:firstLineChars="200"/>
        <w:rPr>
          <w:rFonts w:ascii="宋体" w:hAnsi="宋体"/>
          <w:sz w:val="24"/>
        </w:rPr>
      </w:pPr>
      <w:r>
        <w:rPr>
          <w:rFonts w:hint="eastAsia" w:ascii="宋体" w:hAnsi="宋体"/>
          <w:sz w:val="24"/>
        </w:rPr>
        <w:t>6.1乙方对所提供服务与合同要求不符负有责任，并且甲方已于合同规定的期限内提出索赔，乙方应按甲方同意的下述一种或多种方法解决索赔事宜。</w:t>
      </w:r>
    </w:p>
    <w:p>
      <w:pPr>
        <w:spacing w:line="360" w:lineRule="auto"/>
        <w:ind w:firstLine="480" w:firstLineChars="200"/>
        <w:rPr>
          <w:rFonts w:ascii="宋体" w:hAnsi="宋体"/>
          <w:sz w:val="24"/>
        </w:rPr>
      </w:pPr>
      <w:r>
        <w:rPr>
          <w:rFonts w:hint="eastAsia" w:ascii="宋体" w:hAnsi="宋体"/>
          <w:sz w:val="24"/>
        </w:rPr>
        <w:t>6.1.1乙方同意甲方取消其不符合要求的服务项目，退还已经收取的款项。</w:t>
      </w:r>
    </w:p>
    <w:p>
      <w:pPr>
        <w:spacing w:line="360" w:lineRule="auto"/>
        <w:ind w:firstLine="480" w:firstLineChars="200"/>
        <w:rPr>
          <w:rFonts w:ascii="宋体" w:hAnsi="宋体"/>
          <w:sz w:val="24"/>
        </w:rPr>
      </w:pPr>
      <w:r>
        <w:rPr>
          <w:rFonts w:hint="eastAsia" w:ascii="宋体" w:hAnsi="宋体"/>
          <w:sz w:val="24"/>
        </w:rPr>
        <w:t>6.1.2对于情节严重、造成甲方损失金额巨大的，同意甲方终止全部项目合同，并赔偿甲方因此造成的损失。</w:t>
      </w:r>
    </w:p>
    <w:p>
      <w:pPr>
        <w:spacing w:line="360" w:lineRule="auto"/>
        <w:ind w:firstLine="480" w:firstLineChars="200"/>
        <w:rPr>
          <w:rFonts w:ascii="宋体" w:hAnsi="宋体"/>
          <w:sz w:val="24"/>
        </w:rPr>
      </w:pPr>
      <w:r>
        <w:rPr>
          <w:rFonts w:hint="eastAsia" w:ascii="宋体" w:hAnsi="宋体"/>
          <w:sz w:val="24"/>
        </w:rPr>
        <w:t>6.2如果甲方提出索赔通知后 30天内乙方未能予以签复，该索赔应视为已被乙方接受。若乙方未能在甲方提出索赔通知的 30天内或甲方同意的更长一些的时间内，按甲方同意的上述任何一种方式处理索赔事宜，甲方将乙方提供的履约保证金中扣回索赔金额，同时保留进一步要求赔偿的权利。</w:t>
      </w:r>
    </w:p>
    <w:p>
      <w:pPr>
        <w:spacing w:line="360" w:lineRule="auto"/>
        <w:ind w:firstLine="480" w:firstLineChars="200"/>
        <w:rPr>
          <w:rFonts w:ascii="宋体" w:hAnsi="宋体"/>
          <w:sz w:val="24"/>
        </w:rPr>
      </w:pPr>
      <w:r>
        <w:rPr>
          <w:rFonts w:hint="eastAsia" w:ascii="宋体" w:hAnsi="宋体"/>
          <w:sz w:val="24"/>
        </w:rPr>
        <w:t>7.不可抗力</w:t>
      </w:r>
    </w:p>
    <w:p>
      <w:pPr>
        <w:spacing w:line="360" w:lineRule="auto"/>
        <w:ind w:firstLine="480" w:firstLineChars="200"/>
        <w:rPr>
          <w:rFonts w:ascii="宋体" w:hAnsi="宋体"/>
          <w:sz w:val="24"/>
        </w:rPr>
      </w:pPr>
      <w:r>
        <w:rPr>
          <w:rFonts w:hint="eastAsia" w:ascii="宋体" w:hAnsi="宋体"/>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spacing w:line="360" w:lineRule="auto"/>
        <w:ind w:firstLine="480" w:firstLineChars="200"/>
        <w:rPr>
          <w:rFonts w:ascii="宋体" w:hAnsi="宋体"/>
          <w:sz w:val="24"/>
        </w:rPr>
      </w:pPr>
      <w:r>
        <w:rPr>
          <w:rFonts w:hint="eastAsia" w:ascii="宋体" w:hAnsi="宋体"/>
          <w:sz w:val="24"/>
        </w:rPr>
        <w:t>7.2受损一方应在不可抗力事故发生后尽快用电报、传真或电传通知对方，并于事故发生后 14天内将有关部门出具的证明文件用特快专递或挂号信寄给对方审阅确认。</w:t>
      </w:r>
      <w:r>
        <w:rPr>
          <w:rFonts w:hint="eastAsia" w:ascii="宋体" w:hAnsi="宋体"/>
          <w:sz w:val="24"/>
          <w:u w:val="single"/>
        </w:rPr>
        <w:t>一旦不可抗力事故的影响持续 60天以上</w:t>
      </w:r>
      <w:r>
        <w:rPr>
          <w:rFonts w:hint="eastAsia" w:ascii="宋体" w:hAnsi="宋体"/>
          <w:sz w:val="24"/>
        </w:rPr>
        <w:t>，双方应通过友好协商，在合理的时间内达成进一步履行合同的协议。</w:t>
      </w:r>
    </w:p>
    <w:p>
      <w:pPr>
        <w:spacing w:line="360" w:lineRule="auto"/>
        <w:ind w:firstLine="480" w:firstLineChars="200"/>
        <w:rPr>
          <w:rFonts w:ascii="宋体" w:hAnsi="宋体"/>
          <w:sz w:val="24"/>
        </w:rPr>
      </w:pPr>
      <w:r>
        <w:rPr>
          <w:rFonts w:hint="eastAsia" w:ascii="宋体" w:hAnsi="宋体"/>
          <w:sz w:val="24"/>
        </w:rPr>
        <w:t>8.履约保证金</w:t>
      </w:r>
    </w:p>
    <w:p>
      <w:pPr>
        <w:spacing w:line="360" w:lineRule="auto"/>
        <w:ind w:firstLine="480" w:firstLineChars="200"/>
        <w:rPr>
          <w:rFonts w:ascii="宋体" w:hAnsi="宋体"/>
          <w:sz w:val="24"/>
        </w:rPr>
      </w:pPr>
      <w:r>
        <w:rPr>
          <w:rFonts w:hint="eastAsia" w:ascii="宋体" w:hAnsi="宋体"/>
          <w:sz w:val="24"/>
        </w:rPr>
        <w:t>8.1履约保证金的有效期至供货完毕且验收合格。</w:t>
      </w:r>
    </w:p>
    <w:p>
      <w:pPr>
        <w:spacing w:line="360" w:lineRule="auto"/>
        <w:ind w:firstLine="480" w:firstLineChars="200"/>
        <w:rPr>
          <w:rFonts w:ascii="宋体" w:hAnsi="宋体"/>
          <w:sz w:val="24"/>
        </w:rPr>
      </w:pPr>
      <w:r>
        <w:rPr>
          <w:rFonts w:hint="eastAsia" w:ascii="宋体" w:hAnsi="宋体"/>
          <w:sz w:val="24"/>
        </w:rPr>
        <w:t>8.2乙方提供的履约保证金按规定格式以现金、转帐支票、电汇的形式提供，与此有关的费用由乙方负担。</w:t>
      </w:r>
    </w:p>
    <w:p>
      <w:pPr>
        <w:spacing w:line="360" w:lineRule="auto"/>
        <w:ind w:firstLine="480" w:firstLineChars="200"/>
        <w:rPr>
          <w:rFonts w:ascii="宋体" w:hAnsi="宋体"/>
          <w:sz w:val="24"/>
        </w:rPr>
      </w:pPr>
      <w:r>
        <w:rPr>
          <w:rFonts w:hint="eastAsia" w:ascii="宋体" w:hAnsi="宋体"/>
          <w:sz w:val="24"/>
        </w:rPr>
        <w:t>8.3如果乙方未能按合同规定履行其义务，甲方有权从履约保证金取得补偿。</w:t>
      </w:r>
    </w:p>
    <w:p>
      <w:pPr>
        <w:spacing w:line="360" w:lineRule="auto"/>
        <w:ind w:firstLine="480" w:firstLineChars="200"/>
        <w:rPr>
          <w:rFonts w:ascii="宋体" w:hAnsi="宋体"/>
          <w:sz w:val="24"/>
        </w:rPr>
      </w:pPr>
      <w:r>
        <w:rPr>
          <w:rFonts w:hint="eastAsia" w:ascii="宋体" w:hAnsi="宋体"/>
          <w:sz w:val="24"/>
        </w:rPr>
        <w:t>9.争议的解决</w:t>
      </w:r>
    </w:p>
    <w:p>
      <w:pPr>
        <w:spacing w:line="360" w:lineRule="auto"/>
        <w:ind w:firstLine="480" w:firstLineChars="200"/>
        <w:rPr>
          <w:rFonts w:ascii="宋体" w:hAnsi="宋体"/>
          <w:sz w:val="24"/>
        </w:rPr>
      </w:pPr>
      <w:r>
        <w:rPr>
          <w:rFonts w:hint="eastAsia" w:ascii="宋体" w:hAnsi="宋体"/>
          <w:sz w:val="24"/>
        </w:rPr>
        <w:t>9.1在执行合同中发生的与本合同有关的争端，双方应通过友好协商解决，经协商在 60天内不能达成协议时，应提交仲裁。</w:t>
      </w:r>
    </w:p>
    <w:p>
      <w:pPr>
        <w:spacing w:line="360" w:lineRule="auto"/>
        <w:ind w:firstLine="480" w:firstLineChars="200"/>
        <w:rPr>
          <w:rFonts w:ascii="宋体" w:hAnsi="宋体"/>
          <w:sz w:val="24"/>
        </w:rPr>
      </w:pPr>
      <w:r>
        <w:rPr>
          <w:rFonts w:hint="eastAsia" w:ascii="宋体" w:hAnsi="宋体"/>
          <w:sz w:val="24"/>
        </w:rPr>
        <w:t>9.</w:t>
      </w:r>
      <w:r>
        <w:rPr>
          <w:rFonts w:ascii="宋体" w:hAnsi="宋体"/>
          <w:sz w:val="24"/>
        </w:rPr>
        <w:t>2</w:t>
      </w:r>
      <w:r>
        <w:rPr>
          <w:rFonts w:hint="eastAsia" w:ascii="宋体" w:hAnsi="宋体"/>
          <w:sz w:val="24"/>
        </w:rPr>
        <w:t>合同双方均为国内法人的，其争端的仲裁应由合同发生地许昌市仲裁委员会根据其仲裁程序进行。</w:t>
      </w:r>
    </w:p>
    <w:p>
      <w:pPr>
        <w:spacing w:line="360" w:lineRule="auto"/>
        <w:ind w:firstLine="480" w:firstLineChars="200"/>
        <w:rPr>
          <w:rFonts w:ascii="宋体" w:hAnsi="宋体"/>
          <w:sz w:val="24"/>
        </w:rPr>
      </w:pPr>
      <w:r>
        <w:rPr>
          <w:rFonts w:hint="eastAsia" w:ascii="宋体" w:hAnsi="宋体"/>
          <w:sz w:val="24"/>
        </w:rPr>
        <w:t>9.3 仲裁裁决应为最终决定，并对双方具有约束力。</w:t>
      </w:r>
    </w:p>
    <w:p>
      <w:pPr>
        <w:spacing w:line="360" w:lineRule="auto"/>
        <w:ind w:firstLine="480" w:firstLineChars="200"/>
        <w:rPr>
          <w:rFonts w:ascii="宋体" w:hAnsi="宋体"/>
          <w:sz w:val="24"/>
        </w:rPr>
      </w:pPr>
      <w:r>
        <w:rPr>
          <w:rFonts w:hint="eastAsia" w:ascii="宋体" w:hAnsi="宋体"/>
          <w:sz w:val="24"/>
        </w:rPr>
        <w:t>9.4 除另有裁决外，仲裁费应由败诉方负担。</w:t>
      </w:r>
    </w:p>
    <w:p>
      <w:pPr>
        <w:spacing w:line="360" w:lineRule="auto"/>
        <w:ind w:firstLine="480" w:firstLineChars="200"/>
        <w:rPr>
          <w:rFonts w:ascii="宋体" w:hAnsi="宋体"/>
          <w:sz w:val="24"/>
        </w:rPr>
      </w:pPr>
      <w:r>
        <w:rPr>
          <w:rFonts w:hint="eastAsia" w:ascii="宋体" w:hAnsi="宋体"/>
          <w:sz w:val="24"/>
        </w:rPr>
        <w:t>9.5 在仲裁期间，除正在进行的仲裁部分外，合同其他部分继续执行。</w:t>
      </w:r>
    </w:p>
    <w:p>
      <w:pPr>
        <w:spacing w:line="360" w:lineRule="auto"/>
        <w:ind w:firstLine="480" w:firstLineChars="200"/>
        <w:rPr>
          <w:rFonts w:ascii="宋体" w:hAnsi="宋体"/>
          <w:sz w:val="24"/>
        </w:rPr>
      </w:pPr>
      <w:r>
        <w:rPr>
          <w:rFonts w:hint="eastAsia" w:ascii="宋体" w:hAnsi="宋体"/>
          <w:sz w:val="24"/>
        </w:rPr>
        <w:t>10.合同终止</w:t>
      </w:r>
    </w:p>
    <w:p>
      <w:pPr>
        <w:spacing w:line="360" w:lineRule="auto"/>
        <w:ind w:firstLine="480" w:firstLineChars="200"/>
        <w:rPr>
          <w:rFonts w:ascii="宋体" w:hAnsi="宋体"/>
          <w:sz w:val="24"/>
        </w:rPr>
      </w:pPr>
      <w:r>
        <w:rPr>
          <w:rFonts w:hint="eastAsia" w:ascii="宋体" w:hAnsi="宋体"/>
          <w:sz w:val="24"/>
        </w:rPr>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spacing w:line="360" w:lineRule="auto"/>
        <w:ind w:firstLine="480" w:firstLineChars="200"/>
        <w:rPr>
          <w:rFonts w:ascii="宋体" w:hAnsi="宋体"/>
          <w:sz w:val="24"/>
        </w:rPr>
      </w:pPr>
      <w:r>
        <w:rPr>
          <w:rFonts w:hint="eastAsia" w:ascii="宋体" w:hAnsi="宋体"/>
          <w:sz w:val="24"/>
        </w:rPr>
        <w:t>10.2 出现下列情况时合同自动终止：</w:t>
      </w:r>
    </w:p>
    <w:p>
      <w:pPr>
        <w:spacing w:line="360" w:lineRule="auto"/>
        <w:ind w:firstLine="480" w:firstLineChars="200"/>
        <w:rPr>
          <w:rFonts w:ascii="宋体" w:hAnsi="宋体"/>
          <w:sz w:val="24"/>
        </w:rPr>
      </w:pPr>
      <w:r>
        <w:rPr>
          <w:rFonts w:hint="eastAsia" w:ascii="宋体" w:hAnsi="宋体"/>
          <w:sz w:val="24"/>
        </w:rPr>
        <w:t>10.2.1发生不可抗力时。</w:t>
      </w:r>
    </w:p>
    <w:p>
      <w:pPr>
        <w:spacing w:line="360" w:lineRule="auto"/>
        <w:ind w:firstLine="480" w:firstLineChars="200"/>
        <w:rPr>
          <w:rFonts w:ascii="宋体" w:hAnsi="宋体"/>
          <w:sz w:val="24"/>
        </w:rPr>
      </w:pPr>
      <w:r>
        <w:rPr>
          <w:rFonts w:hint="eastAsia" w:ascii="宋体" w:hAnsi="宋体"/>
          <w:sz w:val="24"/>
        </w:rPr>
        <w:t>10.2.2一方不履行合同条款，造成另一方无法执行合同协议，协商又不能求得解决，合同终止，责任方赔偿损失。</w:t>
      </w:r>
    </w:p>
    <w:p>
      <w:pPr>
        <w:spacing w:line="360" w:lineRule="auto"/>
        <w:ind w:firstLine="480" w:firstLineChars="200"/>
        <w:rPr>
          <w:rFonts w:ascii="宋体" w:hAnsi="宋体"/>
          <w:sz w:val="24"/>
        </w:rPr>
      </w:pPr>
      <w:r>
        <w:rPr>
          <w:rFonts w:hint="eastAsia" w:ascii="宋体" w:hAnsi="宋体"/>
          <w:sz w:val="24"/>
        </w:rPr>
        <w:t>11.合同修改</w:t>
      </w:r>
    </w:p>
    <w:p>
      <w:pPr>
        <w:spacing w:line="360" w:lineRule="auto"/>
        <w:ind w:firstLine="480" w:firstLineChars="200"/>
        <w:rPr>
          <w:rFonts w:ascii="宋体" w:hAnsi="宋体"/>
          <w:sz w:val="24"/>
        </w:rPr>
      </w:pPr>
      <w:r>
        <w:rPr>
          <w:rFonts w:hint="eastAsia" w:ascii="宋体" w:hAnsi="宋体"/>
          <w:sz w:val="24"/>
        </w:rPr>
        <w:t>对于合同的未尽事宜，需进行修改、补充和完善的，甲乙双方必须就所修改的内容签订书面的合同修改书，作为合同的补充协议。</w:t>
      </w:r>
    </w:p>
    <w:p>
      <w:pPr>
        <w:spacing w:line="360" w:lineRule="auto"/>
        <w:ind w:firstLine="480" w:firstLineChars="200"/>
        <w:rPr>
          <w:rFonts w:ascii="宋体" w:hAnsi="宋体"/>
          <w:sz w:val="24"/>
        </w:rPr>
      </w:pPr>
      <w:r>
        <w:rPr>
          <w:rFonts w:hint="eastAsia" w:ascii="宋体" w:hAnsi="宋体"/>
          <w:sz w:val="24"/>
        </w:rPr>
        <w:t>12.适用法律</w:t>
      </w:r>
    </w:p>
    <w:p>
      <w:pPr>
        <w:spacing w:line="360" w:lineRule="auto"/>
        <w:ind w:firstLine="480" w:firstLineChars="200"/>
        <w:rPr>
          <w:rFonts w:ascii="宋体" w:hAnsi="宋体"/>
          <w:sz w:val="24"/>
        </w:rPr>
      </w:pPr>
      <w:r>
        <w:rPr>
          <w:rFonts w:hint="eastAsia" w:ascii="宋体" w:hAnsi="宋体"/>
          <w:sz w:val="24"/>
        </w:rPr>
        <w:t>本合同应按中华人民共和国的法律解释。</w:t>
      </w:r>
    </w:p>
    <w:p>
      <w:pPr>
        <w:spacing w:line="360" w:lineRule="auto"/>
        <w:ind w:firstLine="480" w:firstLineChars="200"/>
        <w:rPr>
          <w:rFonts w:ascii="宋体" w:hAnsi="宋体"/>
          <w:sz w:val="24"/>
        </w:rPr>
      </w:pPr>
      <w:r>
        <w:rPr>
          <w:rFonts w:hint="eastAsia" w:ascii="宋体" w:hAnsi="宋体"/>
          <w:sz w:val="24"/>
        </w:rPr>
        <w:t>13.主导语言与计量单位</w:t>
      </w:r>
    </w:p>
    <w:p>
      <w:pPr>
        <w:spacing w:line="360" w:lineRule="auto"/>
        <w:ind w:firstLine="480" w:firstLineChars="200"/>
        <w:rPr>
          <w:rFonts w:ascii="宋体" w:hAnsi="宋体"/>
          <w:sz w:val="24"/>
        </w:rPr>
      </w:pPr>
      <w:r>
        <w:rPr>
          <w:rFonts w:hint="eastAsia" w:ascii="宋体" w:hAnsi="宋体"/>
          <w:sz w:val="24"/>
        </w:rPr>
        <w:t>13.1 合同书写应用中文书写。合同五份，甲乙双方及采购代理机构和许昌市政府采购管理办公室及相关业务科室（备案）各执一份，具有同等法律效力。</w:t>
      </w:r>
    </w:p>
    <w:p>
      <w:pPr>
        <w:spacing w:line="360" w:lineRule="auto"/>
        <w:ind w:firstLine="480" w:firstLineChars="200"/>
        <w:rPr>
          <w:rFonts w:ascii="宋体" w:hAnsi="宋体"/>
          <w:sz w:val="24"/>
        </w:rPr>
      </w:pPr>
      <w:r>
        <w:rPr>
          <w:rFonts w:hint="eastAsia" w:ascii="宋体" w:hAnsi="宋体"/>
          <w:sz w:val="24"/>
        </w:rPr>
        <w:t>13.2 除技术规格另有规定外，计量单位均使用中华人民共和国法定计量单位。</w:t>
      </w:r>
    </w:p>
    <w:p>
      <w:pPr>
        <w:spacing w:line="360" w:lineRule="auto"/>
        <w:ind w:firstLine="480" w:firstLineChars="200"/>
        <w:rPr>
          <w:rFonts w:ascii="宋体" w:hAnsi="宋体"/>
          <w:sz w:val="24"/>
        </w:rPr>
      </w:pPr>
      <w:r>
        <w:rPr>
          <w:rFonts w:hint="eastAsia" w:ascii="宋体" w:hAnsi="宋体"/>
          <w:sz w:val="24"/>
        </w:rPr>
        <w:t>14.合同生效</w:t>
      </w:r>
    </w:p>
    <w:p>
      <w:pPr>
        <w:pStyle w:val="15"/>
        <w:spacing w:line="360" w:lineRule="auto"/>
        <w:contextualSpacing/>
        <w:jc w:val="left"/>
        <w:rPr>
          <w:rFonts w:ascii="宋体" w:hAnsi="宋体" w:cs="宋体"/>
          <w:b/>
          <w:kern w:val="0"/>
          <w:sz w:val="21"/>
          <w:szCs w:val="21"/>
        </w:rPr>
      </w:pPr>
      <w:r>
        <w:rPr>
          <w:rFonts w:hint="eastAsia" w:ascii="宋体" w:hAnsi="宋体"/>
        </w:rPr>
        <w:t>除非合同中另有说明，本合同经双方签字盖章，并在招标人收到乙方的履约保证金后，即开始生效。</w:t>
      </w: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pStyle w:val="15"/>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pStyle w:val="52"/>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2" w:name="_Toc184023138"/>
      <w:bookmarkStart w:id="3" w:name="_Toc174185203"/>
      <w:bookmarkStart w:id="4" w:name="_Toc186274126"/>
      <w:r>
        <w:rPr>
          <w:rFonts w:hint="eastAsia" w:cs="黑体" w:asciiTheme="minorEastAsia" w:hAnsiTheme="minorEastAsia" w:eastAsiaTheme="minorEastAsia"/>
          <w:color w:val="auto"/>
          <w:kern w:val="2"/>
          <w:sz w:val="28"/>
          <w:szCs w:val="28"/>
          <w:lang w:val="zh-CN"/>
        </w:rPr>
        <w:t>一、投标人应答索引表</w:t>
      </w:r>
      <w:bookmarkEnd w:id="2"/>
      <w:bookmarkEnd w:id="3"/>
      <w:bookmarkEnd w:id="4"/>
    </w:p>
    <w:tbl>
      <w:tblPr>
        <w:tblStyle w:val="29"/>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774" w:type="dxa"/>
            <w:vMerge w:val="restart"/>
            <w:tcBorders>
              <w:right w:val="single" w:color="auto" w:sz="6" w:space="0"/>
            </w:tcBorders>
            <w:vAlign w:val="center"/>
          </w:tcPr>
          <w:p>
            <w:pPr>
              <w:pStyle w:val="15"/>
              <w:kinsoku w:val="0"/>
              <w:overflowPunct w:val="0"/>
              <w:autoSpaceDE w:val="0"/>
              <w:autoSpaceDN w:val="0"/>
              <w:spacing w:line="320" w:lineRule="exact"/>
              <w:jc w:val="center"/>
              <w:rPr>
                <w:rFonts w:hAnsi="宋体" w:cs="微软雅黑"/>
                <w:bCs/>
                <w:kern w:val="0"/>
                <w:sz w:val="21"/>
                <w:szCs w:val="21"/>
              </w:rPr>
            </w:pPr>
            <w:r>
              <w:rPr>
                <w:rFonts w:hint="eastAsia" w:hAnsi="宋体"/>
                <w:kern w:val="0"/>
                <w:sz w:val="21"/>
                <w:szCs w:val="21"/>
              </w:rPr>
              <w:t>纳税证明</w:t>
            </w:r>
          </w:p>
        </w:tc>
        <w:tc>
          <w:tcPr>
            <w:tcW w:w="2977" w:type="dxa"/>
            <w:gridSpan w:val="3"/>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税务登记证</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kern w:val="0"/>
                <w:sz w:val="21"/>
                <w:szCs w:val="21"/>
              </w:rPr>
            </w:pPr>
          </w:p>
        </w:tc>
        <w:tc>
          <w:tcPr>
            <w:tcW w:w="2977" w:type="dxa"/>
            <w:gridSpan w:val="3"/>
            <w:tcBorders>
              <w:left w:val="single" w:color="auto" w:sz="6" w:space="0"/>
            </w:tcBorders>
            <w:vAlign w:val="center"/>
          </w:tcPr>
          <w:p>
            <w:pPr>
              <w:pStyle w:val="15"/>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纳税凭据复印件</w:t>
            </w:r>
          </w:p>
        </w:tc>
        <w:tc>
          <w:tcPr>
            <w:tcW w:w="1559" w:type="dxa"/>
            <w:vAlign w:val="center"/>
          </w:tcPr>
          <w:p>
            <w:pPr>
              <w:pStyle w:val="15"/>
              <w:rPr>
                <w:rFonts w:ascii="宋体" w:hAnsi="宋体" w:cs="微软雅黑"/>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5"/>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5"/>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4"/>
            <w:tcBorders>
              <w:top w:val="doub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强制节能产品政府采购清单情况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宋体" w:hAnsi="宋体"/>
                <w:sz w:val="21"/>
                <w:szCs w:val="21"/>
                <w:lang w:val="en-GB"/>
              </w:rPr>
              <w:t>环境标志产品政府采购清单情况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tcBorders>
              <w:righ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1058" w:type="dxa"/>
            <w:gridSpan w:val="2"/>
            <w:vMerge w:val="restart"/>
            <w:tcBorders>
              <w:right w:val="single" w:color="auto" w:sz="4" w:space="0"/>
            </w:tcBorders>
            <w:vAlign w:val="center"/>
          </w:tcPr>
          <w:p>
            <w:pPr>
              <w:pStyle w:val="15"/>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5"/>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5"/>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5"/>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15"/>
        <w:spacing w:line="360" w:lineRule="auto"/>
        <w:jc w:val="center"/>
        <w:rPr>
          <w:rFonts w:asciiTheme="majorEastAsia" w:hAnsiTheme="majorEastAsia" w:eastAsiaTheme="majorEastAsia"/>
          <w:b/>
          <w:snapToGrid w:val="0"/>
          <w:kern w:val="0"/>
          <w:sz w:val="36"/>
          <w:szCs w:val="36"/>
        </w:rPr>
      </w:pPr>
    </w:p>
    <w:p>
      <w:pPr>
        <w:pStyle w:val="15"/>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5"/>
        <w:spacing w:line="360" w:lineRule="auto"/>
        <w:jc w:val="center"/>
        <w:rPr>
          <w:rFonts w:asciiTheme="majorEastAsia" w:hAnsiTheme="majorEastAsia" w:eastAsiaTheme="majorEastAsia"/>
          <w:b/>
          <w:snapToGrid w:val="0"/>
          <w:kern w:val="0"/>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pacing w:line="360" w:lineRule="auto"/>
        <w:contextualSpacing/>
        <w:rPr>
          <w:rFonts w:asciiTheme="minorEastAsia" w:hAnsiTheme="minorEastAsia"/>
          <w:szCs w:val="21"/>
        </w:rPr>
      </w:pPr>
      <w:r>
        <w:rPr>
          <w:rFonts w:hint="eastAsia" w:asciiTheme="minorEastAsia" w:hAnsiTheme="minorEastAsia"/>
          <w:szCs w:val="21"/>
        </w:rPr>
        <w:t xml:space="preserve">项目名称：                                                      </w:t>
      </w:r>
      <w:r>
        <w:rPr>
          <w:rFonts w:hint="eastAsia" w:cs="Arial" w:asciiTheme="minorEastAsia" w:hAnsiTheme="minorEastAsia"/>
          <w:szCs w:val="21"/>
        </w:rPr>
        <w:t>单位：元（人民币）</w:t>
      </w:r>
    </w:p>
    <w:tbl>
      <w:tblPr>
        <w:tblStyle w:val="29"/>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 w:val="24"/>
                <w:szCs w:val="24"/>
                <w:lang w:val="zh-CN"/>
              </w:rPr>
              <w:t xml:space="preserve">服务期 </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注：交付日期指完成该项目的最终时间（日历天）。</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5"/>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_（项目名称、招标编号）采购的招标公告及投标邀请，_______（姓名和职务）被正式授权并代表投标人（投标人名称、地址）提交。</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我方确认收到贵方提供的（项目名称、招标编号）招标文件的全部内容。</w:t>
      </w:r>
    </w:p>
    <w:p>
      <w:pPr>
        <w:pStyle w:val="15"/>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在此提交的投标文件，正本一份，副本二份。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3"/>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3"/>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3"/>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3"/>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3"/>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5"/>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5"/>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p>
    <w:p>
      <w:pPr>
        <w:pStyle w:val="15"/>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投标人法定代表人（或法定代表人授权代表）签字或盖章：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3.2 法定代表人</w:t>
      </w:r>
      <w:r>
        <w:rPr>
          <w:rFonts w:asciiTheme="majorEastAsia" w:hAnsiTheme="majorEastAsia" w:eastAsiaTheme="majorEastAsia"/>
          <w:b/>
          <w:bCs/>
          <w:sz w:val="24"/>
          <w:szCs w:val="24"/>
        </w:rPr>
        <w:t>资</w:t>
      </w:r>
      <w:r>
        <w:rPr>
          <w:rFonts w:hint="eastAsia" w:asciiTheme="majorEastAsia" w:hAnsiTheme="majorEastAsia" w:eastAsiaTheme="majorEastAsia"/>
          <w:b/>
          <w:bCs/>
          <w:sz w:val="24"/>
          <w:szCs w:val="24"/>
        </w:rPr>
        <w:t>格</w:t>
      </w:r>
      <w:r>
        <w:rPr>
          <w:rFonts w:asciiTheme="majorEastAsia" w:hAnsiTheme="majorEastAsia" w:eastAsiaTheme="majorEastAsia"/>
          <w:b/>
          <w:bCs/>
          <w:sz w:val="24"/>
          <w:szCs w:val="24"/>
        </w:rPr>
        <w:t>证</w:t>
      </w:r>
      <w:r>
        <w:rPr>
          <w:rFonts w:hint="eastAsia" w:asciiTheme="majorEastAsia" w:hAnsiTheme="majorEastAsia" w:eastAsiaTheme="majorEastAsia"/>
          <w:b/>
          <w:bCs/>
          <w:sz w:val="24"/>
          <w:szCs w:val="24"/>
        </w:rPr>
        <w:t>明</w:t>
      </w:r>
      <w:r>
        <w:rPr>
          <w:rFonts w:asciiTheme="majorEastAsia" w:hAnsiTheme="majorEastAsia" w:eastAsiaTheme="majorEastAsia"/>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43"/>
        <w:spacing w:line="480" w:lineRule="auto"/>
        <w:ind w:firstLine="472" w:firstLineChars="225"/>
        <w:jc w:val="left"/>
        <w:rPr>
          <w:rFonts w:asciiTheme="minorEastAsia" w:hAnsiTheme="minorEastAsia"/>
          <w:sz w:val="21"/>
          <w:szCs w:val="21"/>
        </w:rPr>
      </w:pPr>
      <w:r>
        <w:rPr>
          <w:rFonts w:asciiTheme="minorEastAsia" w:hAnsiTheme="minorEastAsia"/>
          <w:sz w:val="21"/>
          <w:szCs w:val="21"/>
        </w:rPr>
        <w:t>单</w:t>
      </w:r>
      <w:r>
        <w:rPr>
          <w:rFonts w:hint="eastAsia" w:asciiTheme="minorEastAsia" w:hAnsiTheme="minorEastAsia"/>
          <w:sz w:val="21"/>
          <w:szCs w:val="21"/>
        </w:rPr>
        <w:t>位名</w:t>
      </w:r>
      <w:r>
        <w:rPr>
          <w:rFonts w:asciiTheme="minorEastAsia" w:hAnsiTheme="minorEastAsia"/>
          <w:sz w:val="21"/>
          <w:szCs w:val="21"/>
        </w:rPr>
        <w:t>称</w:t>
      </w:r>
      <w:r>
        <w:rPr>
          <w:rFonts w:hint="eastAsia" w:asciiTheme="minorEastAsia" w:hAnsiTheme="minorEastAsia"/>
          <w:sz w:val="21"/>
          <w:szCs w:val="21"/>
        </w:rPr>
        <w:t>：</w:t>
      </w:r>
    </w:p>
    <w:p>
      <w:pPr>
        <w:pStyle w:val="43"/>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地址：</w:t>
      </w:r>
    </w:p>
    <w:p>
      <w:pPr>
        <w:pStyle w:val="43"/>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姓名：       性</w:t>
      </w:r>
      <w:r>
        <w:rPr>
          <w:rFonts w:asciiTheme="minorEastAsia" w:hAnsiTheme="minorEastAsia"/>
          <w:sz w:val="21"/>
          <w:szCs w:val="21"/>
        </w:rPr>
        <w:t>别</w:t>
      </w:r>
      <w:r>
        <w:rPr>
          <w:rFonts w:hint="eastAsia" w:asciiTheme="minorEastAsia" w:hAnsiTheme="minorEastAsia"/>
          <w:sz w:val="21"/>
          <w:szCs w:val="21"/>
        </w:rPr>
        <w:t>：     年</w:t>
      </w:r>
      <w:r>
        <w:rPr>
          <w:rFonts w:asciiTheme="minorEastAsia" w:hAnsiTheme="minorEastAsia"/>
          <w:sz w:val="21"/>
          <w:szCs w:val="21"/>
        </w:rPr>
        <w:t>龄</w:t>
      </w:r>
      <w:r>
        <w:rPr>
          <w:rFonts w:hint="eastAsia" w:asciiTheme="minorEastAsia" w:hAnsiTheme="minorEastAsia"/>
          <w:sz w:val="21"/>
          <w:szCs w:val="21"/>
        </w:rPr>
        <w:t>：</w:t>
      </w:r>
      <w:r>
        <w:rPr>
          <w:rFonts w:asciiTheme="minorEastAsia" w:hAnsiTheme="minorEastAsia"/>
          <w:sz w:val="21"/>
          <w:szCs w:val="21"/>
        </w:rPr>
        <w:t xml:space="preserve">     职务</w:t>
      </w:r>
      <w:r>
        <w:rPr>
          <w:rFonts w:hint="eastAsia" w:asciiTheme="minorEastAsia" w:hAnsiTheme="minorEastAsia"/>
          <w:sz w:val="21"/>
          <w:szCs w:val="21"/>
        </w:rPr>
        <w:t xml:space="preserve">：        </w:t>
      </w:r>
    </w:p>
    <w:p>
      <w:pPr>
        <w:pStyle w:val="43"/>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本人系</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sz w:val="21"/>
          <w:szCs w:val="21"/>
        </w:rPr>
        <w:t>的法定代表人。就</w:t>
      </w:r>
      <w:r>
        <w:rPr>
          <w:rFonts w:asciiTheme="minorEastAsia" w:hAnsiTheme="minorEastAsia"/>
          <w:sz w:val="21"/>
          <w:szCs w:val="21"/>
        </w:rPr>
        <w:t>参</w:t>
      </w:r>
      <w:r>
        <w:rPr>
          <w:rFonts w:hint="eastAsia" w:asciiTheme="minorEastAsia" w:hAnsiTheme="minorEastAsia"/>
          <w:sz w:val="21"/>
          <w:szCs w:val="21"/>
        </w:rPr>
        <w:t>加贵方招</w:t>
      </w:r>
      <w:r>
        <w:rPr>
          <w:rFonts w:asciiTheme="minorEastAsia" w:hAnsiTheme="minorEastAsia"/>
          <w:sz w:val="21"/>
          <w:szCs w:val="21"/>
        </w:rPr>
        <w:t>标编号为</w:t>
      </w:r>
      <w:r>
        <w:rPr>
          <w:rFonts w:asciiTheme="minorEastAsia" w:hAnsiTheme="minorEastAsia"/>
          <w:i/>
          <w:sz w:val="21"/>
          <w:szCs w:val="21"/>
          <w:u w:val="single"/>
        </w:rPr>
        <w:t>项目编号</w:t>
      </w:r>
      <w:r>
        <w:rPr>
          <w:rFonts w:hint="eastAsia" w:asciiTheme="minorEastAsia" w:hAnsiTheme="minorEastAsia"/>
          <w:sz w:val="21"/>
          <w:szCs w:val="21"/>
        </w:rPr>
        <w:t>的</w:t>
      </w:r>
      <w:r>
        <w:rPr>
          <w:rFonts w:asciiTheme="minorEastAsia" w:hAnsiTheme="minorEastAsia"/>
          <w:i/>
          <w:sz w:val="21"/>
          <w:szCs w:val="21"/>
          <w:u w:val="single"/>
        </w:rPr>
        <w:t>项目</w:t>
      </w:r>
      <w:r>
        <w:rPr>
          <w:rFonts w:hint="eastAsia" w:asciiTheme="minorEastAsia" w:hAnsiTheme="minorEastAsia"/>
          <w:i/>
          <w:sz w:val="21"/>
          <w:szCs w:val="21"/>
          <w:u w:val="single"/>
        </w:rPr>
        <w:t>名</w:t>
      </w:r>
      <w:r>
        <w:rPr>
          <w:rFonts w:asciiTheme="minorEastAsia" w:hAnsiTheme="minorEastAsia"/>
          <w:i/>
          <w:sz w:val="21"/>
          <w:szCs w:val="21"/>
          <w:u w:val="single"/>
        </w:rPr>
        <w:t>称</w:t>
      </w:r>
      <w:r>
        <w:rPr>
          <w:rFonts w:hint="eastAsia" w:asciiTheme="minorEastAsia" w:hAnsiTheme="minorEastAsia"/>
          <w:sz w:val="21"/>
          <w:szCs w:val="21"/>
        </w:rPr>
        <w:t>公</w:t>
      </w:r>
      <w:r>
        <w:rPr>
          <w:rFonts w:asciiTheme="minorEastAsia" w:hAnsiTheme="minorEastAsia"/>
          <w:sz w:val="21"/>
          <w:szCs w:val="21"/>
        </w:rPr>
        <w:t>开</w:t>
      </w:r>
      <w:r>
        <w:rPr>
          <w:rFonts w:hint="eastAsia" w:asciiTheme="minorEastAsia" w:hAnsiTheme="minorEastAsia"/>
          <w:sz w:val="21"/>
          <w:szCs w:val="21"/>
        </w:rPr>
        <w:t>招</w:t>
      </w:r>
      <w:r>
        <w:rPr>
          <w:rFonts w:asciiTheme="minorEastAsia" w:hAnsiTheme="minorEastAsia"/>
          <w:sz w:val="21"/>
          <w:szCs w:val="21"/>
        </w:rPr>
        <w:t>标项目</w:t>
      </w:r>
      <w:r>
        <w:rPr>
          <w:rFonts w:hint="eastAsia" w:asciiTheme="minorEastAsia" w:hAnsiTheme="minorEastAsia"/>
          <w:sz w:val="21"/>
          <w:szCs w:val="21"/>
        </w:rPr>
        <w:t>的投</w:t>
      </w:r>
      <w:r>
        <w:rPr>
          <w:rFonts w:asciiTheme="minorEastAsia" w:hAnsiTheme="minorEastAsia"/>
          <w:sz w:val="21"/>
          <w:szCs w:val="21"/>
        </w:rPr>
        <w:t>标报价</w:t>
      </w:r>
      <w:r>
        <w:rPr>
          <w:rFonts w:hint="eastAsia" w:asciiTheme="minorEastAsia" w:hAnsiTheme="minorEastAsia"/>
          <w:sz w:val="21"/>
          <w:szCs w:val="21"/>
        </w:rPr>
        <w:t>，</w:t>
      </w:r>
      <w:r>
        <w:rPr>
          <w:rFonts w:asciiTheme="minorEastAsia" w:hAnsiTheme="minorEastAsia"/>
          <w:sz w:val="21"/>
          <w:szCs w:val="21"/>
        </w:rPr>
        <w:t>签</w:t>
      </w:r>
      <w:r>
        <w:rPr>
          <w:rFonts w:hint="eastAsia" w:asciiTheme="minorEastAsia" w:hAnsiTheme="minorEastAsia"/>
          <w:sz w:val="21"/>
          <w:szCs w:val="21"/>
        </w:rPr>
        <w:t>署上</w:t>
      </w:r>
      <w:r>
        <w:rPr>
          <w:rFonts w:asciiTheme="minorEastAsia" w:hAnsiTheme="minorEastAsia"/>
          <w:sz w:val="21"/>
          <w:szCs w:val="21"/>
        </w:rPr>
        <w:t>述项目</w:t>
      </w:r>
      <w:r>
        <w:rPr>
          <w:rFonts w:hint="eastAsia" w:asciiTheme="minorEastAsia" w:hAnsiTheme="minorEastAsia"/>
          <w:sz w:val="21"/>
          <w:szCs w:val="21"/>
        </w:rPr>
        <w:t>的投</w:t>
      </w:r>
      <w:r>
        <w:rPr>
          <w:rFonts w:asciiTheme="minorEastAsia" w:hAnsiTheme="minorEastAsia"/>
          <w:sz w:val="21"/>
          <w:szCs w:val="21"/>
        </w:rPr>
        <w:t>标</w:t>
      </w:r>
      <w:r>
        <w:rPr>
          <w:rFonts w:hint="eastAsia" w:asciiTheme="minorEastAsia" w:hAnsiTheme="minorEastAsia"/>
          <w:sz w:val="21"/>
          <w:szCs w:val="21"/>
        </w:rPr>
        <w:t>文件及合同的</w:t>
      </w:r>
      <w:r>
        <w:rPr>
          <w:rFonts w:asciiTheme="minorEastAsia" w:hAnsiTheme="minorEastAsia"/>
          <w:sz w:val="21"/>
          <w:szCs w:val="21"/>
        </w:rPr>
        <w:t>执</w:t>
      </w:r>
      <w:r>
        <w:rPr>
          <w:rFonts w:hint="eastAsia" w:asciiTheme="minorEastAsia" w:hAnsiTheme="minorEastAsia"/>
          <w:sz w:val="21"/>
          <w:szCs w:val="21"/>
        </w:rPr>
        <w:t>行、完成、服</w:t>
      </w:r>
      <w:r>
        <w:rPr>
          <w:rFonts w:asciiTheme="minorEastAsia" w:hAnsiTheme="minorEastAsia"/>
          <w:sz w:val="21"/>
          <w:szCs w:val="21"/>
        </w:rPr>
        <w:t>务</w:t>
      </w:r>
      <w:r>
        <w:rPr>
          <w:rFonts w:hint="eastAsia" w:asciiTheme="minorEastAsia" w:hAnsiTheme="minorEastAsia"/>
          <w:sz w:val="21"/>
          <w:szCs w:val="21"/>
        </w:rPr>
        <w:t>和保修，</w:t>
      </w:r>
      <w:r>
        <w:rPr>
          <w:rFonts w:asciiTheme="minorEastAsia" w:hAnsiTheme="minorEastAsia"/>
          <w:sz w:val="21"/>
          <w:szCs w:val="21"/>
        </w:rPr>
        <w:t>签</w:t>
      </w:r>
      <w:r>
        <w:rPr>
          <w:rFonts w:hint="eastAsia" w:asciiTheme="minorEastAsia" w:hAnsiTheme="minorEastAsia"/>
          <w:sz w:val="21"/>
          <w:szCs w:val="21"/>
        </w:rPr>
        <w:t>署合同和</w:t>
      </w:r>
      <w:r>
        <w:rPr>
          <w:rFonts w:asciiTheme="minorEastAsia" w:hAnsiTheme="minorEastAsia"/>
          <w:sz w:val="21"/>
          <w:szCs w:val="21"/>
        </w:rPr>
        <w:t>处</w:t>
      </w:r>
      <w:r>
        <w:rPr>
          <w:rFonts w:hint="eastAsia" w:asciiTheme="minorEastAsia" w:hAnsiTheme="minorEastAsia"/>
          <w:sz w:val="21"/>
          <w:szCs w:val="21"/>
        </w:rPr>
        <w:t>理与之有</w:t>
      </w:r>
      <w:r>
        <w:rPr>
          <w:rFonts w:asciiTheme="minorEastAsia" w:hAnsiTheme="minorEastAsia"/>
          <w:sz w:val="21"/>
          <w:szCs w:val="21"/>
        </w:rPr>
        <w:t>关的</w:t>
      </w:r>
      <w:r>
        <w:rPr>
          <w:rFonts w:hint="eastAsia" w:asciiTheme="minorEastAsia" w:hAnsiTheme="minorEastAsia"/>
          <w:sz w:val="21"/>
          <w:szCs w:val="21"/>
        </w:rPr>
        <w:t>一切事</w:t>
      </w:r>
      <w:r>
        <w:rPr>
          <w:rFonts w:asciiTheme="minorEastAsia" w:hAnsiTheme="minorEastAsia"/>
          <w:sz w:val="21"/>
          <w:szCs w:val="21"/>
        </w:rPr>
        <w:t>务</w:t>
      </w:r>
      <w:r>
        <w:rPr>
          <w:rFonts w:hint="eastAsia" w:asciiTheme="minorEastAsia" w:hAnsiTheme="minorEastAsia"/>
          <w:sz w:val="21"/>
          <w:szCs w:val="21"/>
        </w:rPr>
        <w:t>。</w:t>
      </w:r>
    </w:p>
    <w:p>
      <w:pPr>
        <w:pStyle w:val="43"/>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特此</w:t>
      </w:r>
      <w:r>
        <w:rPr>
          <w:rFonts w:asciiTheme="minorEastAsia" w:hAnsiTheme="minorEastAsia"/>
          <w:sz w:val="21"/>
          <w:szCs w:val="21"/>
        </w:rPr>
        <w:t>证</w:t>
      </w:r>
      <w:r>
        <w:rPr>
          <w:rFonts w:hint="eastAsia" w:asciiTheme="minorEastAsia" w:hAnsiTheme="minorEastAsia"/>
          <w:sz w:val="21"/>
          <w:szCs w:val="21"/>
        </w:rPr>
        <w:t>明。</w:t>
      </w:r>
    </w:p>
    <w:p>
      <w:pPr>
        <w:pStyle w:val="43"/>
        <w:spacing w:line="480" w:lineRule="auto"/>
        <w:ind w:firstLine="472" w:firstLineChars="225"/>
        <w:jc w:val="left"/>
        <w:rPr>
          <w:rFonts w:asciiTheme="minorEastAsia" w:hAnsiTheme="minorEastAsia"/>
          <w:sz w:val="21"/>
          <w:szCs w:val="21"/>
        </w:rPr>
      </w:pPr>
    </w:p>
    <w:p>
      <w:pPr>
        <w:pStyle w:val="43"/>
        <w:spacing w:line="480" w:lineRule="auto"/>
        <w:ind w:firstLine="472" w:firstLineChars="225"/>
        <w:jc w:val="left"/>
        <w:rPr>
          <w:rFonts w:asciiTheme="minorEastAsia" w:hAnsiTheme="minorEastAsia"/>
          <w:sz w:val="21"/>
          <w:szCs w:val="21"/>
        </w:rPr>
      </w:pPr>
    </w:p>
    <w:p>
      <w:pPr>
        <w:pStyle w:val="43"/>
        <w:spacing w:line="480" w:lineRule="auto"/>
        <w:ind w:left="-538" w:leftChars="-256" w:firstLine="539" w:firstLineChars="257"/>
        <w:jc w:val="center"/>
        <w:rPr>
          <w:rFonts w:asciiTheme="minorEastAsia" w:hAnsiTheme="minorEastAsia"/>
          <w:bCs/>
          <w:sz w:val="21"/>
          <w:szCs w:val="21"/>
        </w:rPr>
      </w:pPr>
      <w:r>
        <w:rPr>
          <w:rFonts w:hint="eastAsia" w:asciiTheme="minorEastAsia" w:hAnsiTheme="minorEastAsia"/>
          <w:bCs/>
          <w:sz w:val="21"/>
          <w:szCs w:val="21"/>
        </w:rPr>
        <w:t>【此</w:t>
      </w:r>
      <w:r>
        <w:rPr>
          <w:rFonts w:asciiTheme="minorEastAsia" w:hAnsiTheme="minorEastAsia"/>
          <w:bCs/>
          <w:sz w:val="21"/>
          <w:szCs w:val="21"/>
        </w:rPr>
        <w:t>处请</w:t>
      </w:r>
      <w:r>
        <w:rPr>
          <w:rFonts w:hint="eastAsia" w:asciiTheme="minorEastAsia" w:hAnsiTheme="minorEastAsia"/>
          <w:bCs/>
          <w:sz w:val="21"/>
          <w:szCs w:val="21"/>
        </w:rPr>
        <w:t>粘</w:t>
      </w:r>
      <w:r>
        <w:rPr>
          <w:rFonts w:asciiTheme="minorEastAsia" w:hAnsiTheme="minorEastAsia"/>
          <w:bCs/>
          <w:sz w:val="21"/>
          <w:szCs w:val="21"/>
        </w:rPr>
        <w:t>贴</w:t>
      </w:r>
      <w:r>
        <w:rPr>
          <w:rFonts w:hint="eastAsia" w:asciiTheme="minorEastAsia" w:hAnsiTheme="minorEastAsia"/>
          <w:bCs/>
          <w:sz w:val="21"/>
          <w:szCs w:val="21"/>
        </w:rPr>
        <w:t>法定代表人身份</w:t>
      </w:r>
      <w:r>
        <w:rPr>
          <w:rFonts w:asciiTheme="minorEastAsia" w:hAnsiTheme="minorEastAsia"/>
          <w:bCs/>
          <w:sz w:val="21"/>
          <w:szCs w:val="21"/>
        </w:rPr>
        <w:t>证复</w:t>
      </w:r>
      <w:r>
        <w:rPr>
          <w:rFonts w:hint="eastAsia" w:asciiTheme="minorEastAsia" w:hAnsiTheme="minorEastAsia"/>
          <w:bCs/>
          <w:sz w:val="21"/>
          <w:szCs w:val="21"/>
        </w:rPr>
        <w:t>印件，需清晰反映身份证有效期限】</w:t>
      </w:r>
    </w:p>
    <w:p>
      <w:pPr>
        <w:pStyle w:val="43"/>
        <w:spacing w:line="480" w:lineRule="auto"/>
        <w:ind w:left="-538" w:leftChars="-256" w:firstLine="539" w:firstLineChars="257"/>
        <w:jc w:val="center"/>
        <w:rPr>
          <w:rFonts w:asciiTheme="minorEastAsia" w:hAnsiTheme="minorEastAsia"/>
          <w:bCs/>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szCs w:val="21"/>
          <w:u w:val="single"/>
        </w:rPr>
      </w:pPr>
      <w:r>
        <w:rPr>
          <w:rFonts w:hint="eastAsia" w:cs="Arial" w:asciiTheme="minorEastAsia" w:hAnsiTheme="minorEastAsia"/>
          <w:szCs w:val="21"/>
        </w:rPr>
        <w:t>投标人名称（并加盖公章）：</w:t>
      </w:r>
    </w:p>
    <w:p>
      <w:pPr>
        <w:pStyle w:val="46"/>
        <w:spacing w:before="60" w:line="480" w:lineRule="auto"/>
        <w:ind w:firstLine="3937" w:firstLineChars="1875"/>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签署日期：   年   月  日</w:t>
      </w:r>
    </w:p>
    <w:p>
      <w:pPr>
        <w:pStyle w:val="45"/>
        <w:spacing w:line="480" w:lineRule="auto"/>
        <w:rPr>
          <w:rFonts w:cs="Arial" w:asciiTheme="minorEastAsia" w:hAnsiTheme="minorEastAsia"/>
          <w:sz w:val="21"/>
          <w:szCs w:val="21"/>
        </w:rPr>
      </w:pPr>
    </w:p>
    <w:p>
      <w:pPr>
        <w:rPr>
          <w:szCs w:val="21"/>
        </w:rPr>
      </w:pPr>
    </w:p>
    <w:p>
      <w:pPr>
        <w:spacing w:line="320" w:lineRule="exact"/>
        <w:ind w:firstLine="420" w:firstLineChars="200"/>
        <w:rPr>
          <w:rFonts w:asciiTheme="minorEastAsia" w:hAnsiTheme="minorEastAsia"/>
          <w:bCs/>
          <w:kern w:val="12"/>
          <w:szCs w:val="21"/>
        </w:rPr>
      </w:pPr>
      <w:r>
        <w:rPr>
          <w:rFonts w:hint="eastAsia" w:asciiTheme="minorEastAsia" w:hAnsiTheme="minorEastAsia"/>
          <w:bCs/>
          <w:kern w:val="12"/>
          <w:szCs w:val="21"/>
        </w:rPr>
        <w:t>说明：法定代表人</w:t>
      </w:r>
      <w:r>
        <w:rPr>
          <w:rFonts w:asciiTheme="minorEastAsia" w:hAnsiTheme="minorEastAsia"/>
          <w:bCs/>
          <w:kern w:val="12"/>
          <w:szCs w:val="21"/>
        </w:rPr>
        <w:t>参</w:t>
      </w:r>
      <w:r>
        <w:rPr>
          <w:rFonts w:hint="eastAsia" w:asciiTheme="minorEastAsia" w:hAnsiTheme="minorEastAsia"/>
          <w:bCs/>
          <w:kern w:val="12"/>
          <w:szCs w:val="21"/>
        </w:rPr>
        <w:t>加本招</w:t>
      </w:r>
      <w:r>
        <w:rPr>
          <w:rFonts w:asciiTheme="minorEastAsia" w:hAnsiTheme="minorEastAsia"/>
          <w:bCs/>
          <w:kern w:val="12"/>
          <w:szCs w:val="21"/>
        </w:rPr>
        <w:t>标项目</w:t>
      </w:r>
      <w:r>
        <w:rPr>
          <w:rFonts w:hint="eastAsia" w:asciiTheme="minorEastAsia" w:hAnsiTheme="minorEastAsia"/>
          <w:bCs/>
          <w:kern w:val="12"/>
          <w:szCs w:val="21"/>
        </w:rPr>
        <w:t>投</w:t>
      </w:r>
      <w:r>
        <w:rPr>
          <w:rFonts w:asciiTheme="minorEastAsia" w:hAnsiTheme="minorEastAsia"/>
          <w:bCs/>
          <w:kern w:val="12"/>
          <w:szCs w:val="21"/>
        </w:rPr>
        <w:t>标</w:t>
      </w:r>
      <w:r>
        <w:rPr>
          <w:rFonts w:hint="eastAsia" w:asciiTheme="minorEastAsia" w:hAnsiTheme="minorEastAsia"/>
          <w:bCs/>
          <w:kern w:val="12"/>
          <w:szCs w:val="21"/>
        </w:rPr>
        <w:t>的，</w:t>
      </w:r>
      <w:r>
        <w:rPr>
          <w:rFonts w:asciiTheme="minorEastAsia" w:hAnsiTheme="minorEastAsia"/>
          <w:bCs/>
          <w:kern w:val="12"/>
          <w:szCs w:val="21"/>
        </w:rPr>
        <w:t>仅须</w:t>
      </w:r>
      <w:r>
        <w:rPr>
          <w:rFonts w:hint="eastAsia" w:asciiTheme="minorEastAsia" w:hAnsiTheme="minorEastAsia"/>
          <w:bCs/>
          <w:kern w:val="12"/>
          <w:szCs w:val="21"/>
        </w:rPr>
        <w:t>出具此</w:t>
      </w:r>
      <w:r>
        <w:rPr>
          <w:rFonts w:asciiTheme="minorEastAsia" w:hAnsiTheme="minorEastAsia"/>
          <w:bCs/>
          <w:kern w:val="12"/>
          <w:szCs w:val="21"/>
        </w:rPr>
        <w:t>证</w:t>
      </w:r>
      <w:r>
        <w:rPr>
          <w:rFonts w:hint="eastAsia" w:asciiTheme="minorEastAsia" w:hAnsiTheme="minorEastAsia"/>
          <w:bCs/>
          <w:kern w:val="12"/>
          <w:szCs w:val="21"/>
        </w:rPr>
        <w:t>明</w:t>
      </w:r>
      <w:r>
        <w:rPr>
          <w:rFonts w:asciiTheme="minorEastAsia" w:hAnsiTheme="minorEastAsia"/>
          <w:bCs/>
          <w:kern w:val="12"/>
          <w:szCs w:val="21"/>
        </w:rPr>
        <w:t>书</w:t>
      </w:r>
      <w:r>
        <w:rPr>
          <w:rFonts w:hint="eastAsia" w:asciiTheme="minorEastAsia" w:hAnsiTheme="minorEastAsia"/>
          <w:bCs/>
          <w:kern w:val="12"/>
          <w:szCs w:val="21"/>
        </w:rPr>
        <w:t>。</w:t>
      </w:r>
    </w:p>
    <w:p>
      <w:pPr>
        <w:spacing w:line="480" w:lineRule="exact"/>
        <w:jc w:val="center"/>
        <w:rPr>
          <w:rFonts w:ascii="宋体" w:hAnsi="宋体"/>
          <w:b/>
          <w:bCs/>
          <w:sz w:val="36"/>
          <w:szCs w:val="36"/>
        </w:rPr>
      </w:pPr>
    </w:p>
    <w:p>
      <w:pPr>
        <w:spacing w:line="480" w:lineRule="exact"/>
        <w:jc w:val="center"/>
        <w:rPr>
          <w:rFonts w:ascii="宋体" w:hAnsi="宋体"/>
          <w:b/>
          <w:bCs/>
          <w:sz w:val="24"/>
          <w:szCs w:val="24"/>
        </w:rPr>
      </w:pPr>
      <w:r>
        <w:rPr>
          <w:rFonts w:hint="eastAsia" w:ascii="宋体" w:hAnsi="宋体"/>
          <w:b/>
          <w:bCs/>
          <w:sz w:val="24"/>
          <w:szCs w:val="24"/>
        </w:rPr>
        <w:t>3.3 法定代表人授权书</w:t>
      </w:r>
    </w:p>
    <w:p>
      <w:pPr>
        <w:spacing w:line="480" w:lineRule="exact"/>
        <w:jc w:val="center"/>
        <w:rPr>
          <w:rFonts w:ascii="宋体" w:hAnsi="宋体"/>
          <w:b/>
          <w:bCs/>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rPr>
        <w:t>的法定代表人，现委托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  （签字或加盖名章）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法定代表人授权代表：  （签字或加盖名章）</w:t>
      </w:r>
    </w:p>
    <w:tbl>
      <w:tblPr>
        <w:tblStyle w:val="29"/>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5" w:name="_资格证明文件"/>
            <w:bookmarkEnd w:id="5"/>
            <w:bookmarkStart w:id="6" w:name="_Toc364329026"/>
            <w:r>
              <w:rPr>
                <w:rFonts w:hint="eastAsia" w:asciiTheme="minorEastAsia" w:hAnsiTheme="minorEastAsia"/>
                <w:szCs w:val="21"/>
              </w:rPr>
              <w:t>法定代表人授权代表身份证（正面）</w:t>
            </w:r>
            <w:bookmarkEnd w:id="6"/>
          </w:p>
        </w:tc>
        <w:tc>
          <w:tcPr>
            <w:tcW w:w="4492" w:type="dxa"/>
            <w:gridSpan w:val="2"/>
            <w:vAlign w:val="center"/>
          </w:tcPr>
          <w:p>
            <w:pPr>
              <w:jc w:val="center"/>
              <w:rPr>
                <w:rFonts w:asciiTheme="minorEastAsia" w:hAnsiTheme="minorEastAsia"/>
                <w:szCs w:val="21"/>
              </w:rPr>
            </w:pPr>
            <w:bookmarkStart w:id="7" w:name="_Toc364329027"/>
            <w:r>
              <w:rPr>
                <w:rFonts w:hint="eastAsia" w:asciiTheme="minorEastAsia" w:hAnsiTheme="minorEastAsia"/>
                <w:szCs w:val="21"/>
              </w:rPr>
              <w:t>法定代表人授权代表身份证（反面）</w:t>
            </w:r>
            <w:bookmarkEnd w:id="7"/>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sz w:val="24"/>
          <w:szCs w:val="24"/>
        </w:rPr>
      </w:pPr>
      <w:r>
        <w:rPr>
          <w:rFonts w:hint="eastAsia" w:ascii="宋体" w:hAnsi="宋体"/>
          <w:b/>
          <w:bCs/>
          <w:sz w:val="24"/>
          <w:szCs w:val="24"/>
        </w:rPr>
        <w:t>3.4 没有重大违法记录的声明</w:t>
      </w:r>
    </w:p>
    <w:p>
      <w:pPr>
        <w:spacing w:before="156" w:beforeLines="50" w:after="156" w:afterLines="50"/>
        <w:jc w:val="center"/>
        <w:rPr>
          <w:rFonts w:ascii="宋体" w:hAnsi="宋体" w:cs="Arial"/>
          <w:kern w:val="0"/>
          <w:sz w:val="28"/>
          <w:szCs w:val="28"/>
        </w:rPr>
      </w:pPr>
      <w:r>
        <w:rPr>
          <w:rFonts w:hint="eastAsia" w:ascii="宋体" w:hAnsi="宋体" w:cs="Arial"/>
          <w:kern w:val="0"/>
          <w:sz w:val="28"/>
          <w:szCs w:val="28"/>
        </w:rPr>
        <w:t>声　   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156" w:beforeLines="50" w:after="156" w:afterLines="50" w:line="360" w:lineRule="auto"/>
        <w:ind w:firstLine="495" w:firstLineChars="236"/>
        <w:rPr>
          <w:rFonts w:cs="宋体" w:asciiTheme="minorEastAsia" w:hAnsiTheme="minorEastAsia"/>
          <w:szCs w:val="21"/>
          <w:lang w:val="zh-CN"/>
        </w:rPr>
      </w:pP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156" w:beforeLines="50" w:after="156" w:afterLines="50" w:line="360" w:lineRule="auto"/>
        <w:ind w:right="420" w:firstLine="5486" w:firstLineChars="2286"/>
        <w:rPr>
          <w:rFonts w:cs="宋体" w:asciiTheme="minorEastAsia" w:hAnsiTheme="minorEastAsia"/>
          <w:sz w:val="24"/>
          <w:szCs w:val="24"/>
          <w:lang w:val="zh-CN"/>
        </w:rPr>
      </w:pPr>
    </w:p>
    <w:p>
      <w:pPr>
        <w:spacing w:before="156" w:beforeLines="50" w:after="156"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3.5 投标保证金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许昌公共资源交易中心保证金缴纳回执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4.1 投标分项报价表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9"/>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pacing w:line="300" w:lineRule="exact"/>
        <w:rPr>
          <w:rFonts w:asciiTheme="minorEastAsia" w:hAnsiTheme="minorEastAsia"/>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4.2 技术规格偏离表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9"/>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11"/>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11"/>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11"/>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4.3 技术方案（实施方案）</w:t>
      </w: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（投标人根据招标文件要求自行编制，需提供项目配备服务人员情况表）</w:t>
      </w:r>
    </w:p>
    <w:tbl>
      <w:tblPr>
        <w:tblStyle w:val="29"/>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718"/>
        <w:gridCol w:w="716"/>
        <w:gridCol w:w="1076"/>
        <w:gridCol w:w="1434"/>
        <w:gridCol w:w="1389"/>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jc w:val="center"/>
        </w:trPr>
        <w:tc>
          <w:tcPr>
            <w:tcW w:w="1583"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姓 名</w:t>
            </w:r>
          </w:p>
        </w:tc>
        <w:tc>
          <w:tcPr>
            <w:tcW w:w="718"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性别</w:t>
            </w:r>
          </w:p>
        </w:tc>
        <w:tc>
          <w:tcPr>
            <w:tcW w:w="716"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年龄</w:t>
            </w:r>
          </w:p>
        </w:tc>
        <w:tc>
          <w:tcPr>
            <w:tcW w:w="1076"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学历</w:t>
            </w:r>
          </w:p>
        </w:tc>
        <w:tc>
          <w:tcPr>
            <w:tcW w:w="1434"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从事</w:t>
            </w:r>
          </w:p>
          <w:p>
            <w:pPr>
              <w:autoSpaceDE w:val="0"/>
              <w:autoSpaceDN w:val="0"/>
              <w:adjustRightInd w:val="0"/>
              <w:spacing w:line="360" w:lineRule="auto"/>
              <w:outlineLvl w:val="0"/>
              <w:rPr>
                <w:rFonts w:ascii="宋体" w:cs="宋体"/>
                <w:sz w:val="24"/>
                <w:lang w:val="zh-CN"/>
              </w:rPr>
            </w:pPr>
            <w:r>
              <w:rPr>
                <w:rFonts w:hint="eastAsia" w:ascii="宋体" w:cs="宋体"/>
                <w:sz w:val="24"/>
                <w:lang w:val="zh-CN"/>
              </w:rPr>
              <w:t>专业</w:t>
            </w:r>
          </w:p>
        </w:tc>
        <w:tc>
          <w:tcPr>
            <w:tcW w:w="1389"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何时从事</w:t>
            </w:r>
          </w:p>
          <w:p>
            <w:pPr>
              <w:autoSpaceDE w:val="0"/>
              <w:autoSpaceDN w:val="0"/>
              <w:adjustRightInd w:val="0"/>
              <w:spacing w:line="360" w:lineRule="auto"/>
              <w:outlineLvl w:val="0"/>
              <w:rPr>
                <w:rFonts w:ascii="宋体" w:cs="宋体"/>
                <w:sz w:val="24"/>
                <w:lang w:val="zh-CN"/>
              </w:rPr>
            </w:pPr>
            <w:r>
              <w:rPr>
                <w:rFonts w:hint="eastAsia" w:ascii="宋体" w:cs="宋体"/>
                <w:sz w:val="24"/>
                <w:lang w:val="zh-CN"/>
              </w:rPr>
              <w:t>工作</w:t>
            </w:r>
          </w:p>
        </w:tc>
        <w:tc>
          <w:tcPr>
            <w:tcW w:w="1584"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岗位资格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6" w:hRule="atLeast"/>
          <w:jc w:val="center"/>
        </w:trPr>
        <w:tc>
          <w:tcPr>
            <w:tcW w:w="1583" w:type="dxa"/>
            <w:vMerge w:val="continue"/>
            <w:vAlign w:val="center"/>
          </w:tcPr>
          <w:p>
            <w:pPr>
              <w:autoSpaceDE w:val="0"/>
              <w:autoSpaceDN w:val="0"/>
              <w:adjustRightInd w:val="0"/>
              <w:spacing w:line="360" w:lineRule="auto"/>
              <w:outlineLvl w:val="0"/>
              <w:rPr>
                <w:rFonts w:ascii="宋体" w:cs="宋体"/>
                <w:sz w:val="24"/>
                <w:lang w:val="zh-CN"/>
              </w:rPr>
            </w:pPr>
          </w:p>
        </w:tc>
        <w:tc>
          <w:tcPr>
            <w:tcW w:w="718" w:type="dxa"/>
            <w:vMerge w:val="continue"/>
            <w:vAlign w:val="center"/>
          </w:tcPr>
          <w:p>
            <w:pPr>
              <w:autoSpaceDE w:val="0"/>
              <w:autoSpaceDN w:val="0"/>
              <w:adjustRightInd w:val="0"/>
              <w:spacing w:line="360" w:lineRule="auto"/>
              <w:outlineLvl w:val="0"/>
              <w:rPr>
                <w:rFonts w:ascii="宋体" w:cs="宋体"/>
                <w:sz w:val="24"/>
                <w:lang w:val="zh-CN"/>
              </w:rPr>
            </w:pPr>
          </w:p>
        </w:tc>
        <w:tc>
          <w:tcPr>
            <w:tcW w:w="716" w:type="dxa"/>
            <w:vMerge w:val="continue"/>
            <w:vAlign w:val="center"/>
          </w:tcPr>
          <w:p>
            <w:pPr>
              <w:autoSpaceDE w:val="0"/>
              <w:autoSpaceDN w:val="0"/>
              <w:adjustRightInd w:val="0"/>
              <w:spacing w:line="360" w:lineRule="auto"/>
              <w:outlineLvl w:val="0"/>
              <w:rPr>
                <w:rFonts w:ascii="宋体" w:cs="宋体"/>
                <w:sz w:val="24"/>
                <w:lang w:val="zh-CN"/>
              </w:rPr>
            </w:pPr>
          </w:p>
        </w:tc>
        <w:tc>
          <w:tcPr>
            <w:tcW w:w="1076" w:type="dxa"/>
            <w:vMerge w:val="continue"/>
            <w:vAlign w:val="center"/>
          </w:tcPr>
          <w:p>
            <w:pPr>
              <w:autoSpaceDE w:val="0"/>
              <w:autoSpaceDN w:val="0"/>
              <w:adjustRightInd w:val="0"/>
              <w:spacing w:line="360" w:lineRule="auto"/>
              <w:outlineLvl w:val="0"/>
              <w:rPr>
                <w:rFonts w:ascii="宋体" w:cs="宋体"/>
                <w:sz w:val="24"/>
                <w:lang w:val="zh-CN"/>
              </w:rPr>
            </w:pPr>
          </w:p>
        </w:tc>
        <w:tc>
          <w:tcPr>
            <w:tcW w:w="1434" w:type="dxa"/>
            <w:vMerge w:val="continue"/>
            <w:vAlign w:val="center"/>
          </w:tcPr>
          <w:p>
            <w:pPr>
              <w:autoSpaceDE w:val="0"/>
              <w:autoSpaceDN w:val="0"/>
              <w:adjustRightInd w:val="0"/>
              <w:spacing w:line="360" w:lineRule="auto"/>
              <w:outlineLvl w:val="0"/>
              <w:rPr>
                <w:rFonts w:ascii="宋体" w:cs="宋体"/>
                <w:sz w:val="24"/>
                <w:lang w:val="zh-CN"/>
              </w:rPr>
            </w:pPr>
          </w:p>
        </w:tc>
        <w:tc>
          <w:tcPr>
            <w:tcW w:w="1389" w:type="dxa"/>
            <w:vMerge w:val="continue"/>
            <w:vAlign w:val="center"/>
          </w:tcPr>
          <w:p>
            <w:pPr>
              <w:autoSpaceDE w:val="0"/>
              <w:autoSpaceDN w:val="0"/>
              <w:adjustRightInd w:val="0"/>
              <w:spacing w:line="360" w:lineRule="auto"/>
              <w:outlineLvl w:val="0"/>
              <w:rPr>
                <w:rFonts w:ascii="宋体" w:cs="宋体"/>
                <w:sz w:val="24"/>
                <w:lang w:val="zh-CN"/>
              </w:rPr>
            </w:pPr>
          </w:p>
        </w:tc>
        <w:tc>
          <w:tcPr>
            <w:tcW w:w="1584" w:type="dxa"/>
            <w:vMerge w:val="continue"/>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bl>
    <w:p>
      <w:pPr>
        <w:spacing w:after="156" w:afterLines="50" w:line="320" w:lineRule="exact"/>
        <w:rPr>
          <w:rFonts w:ascii="宋体" w:hAnsi="宋体" w:cs="Arial"/>
          <w:sz w:val="24"/>
          <w:szCs w:val="24"/>
          <w:u w:val="single"/>
        </w:rPr>
      </w:pPr>
      <w:r>
        <w:rPr>
          <w:rFonts w:hint="eastAsia" w:ascii="宋体" w:hAnsi="宋体" w:cs="Arial"/>
          <w:sz w:val="24"/>
          <w:szCs w:val="24"/>
        </w:rPr>
        <w:t>供应商名</w:t>
      </w:r>
      <w:r>
        <w:rPr>
          <w:rFonts w:ascii="宋体" w:hAnsi="宋体" w:cs="Arial"/>
          <w:sz w:val="24"/>
          <w:szCs w:val="24"/>
        </w:rPr>
        <w:t>称</w:t>
      </w:r>
      <w:r>
        <w:rPr>
          <w:rFonts w:hint="eastAsia" w:ascii="宋体" w:hAnsi="宋体" w:cs="Arial"/>
          <w:sz w:val="24"/>
          <w:szCs w:val="24"/>
        </w:rPr>
        <w:t>（并加</w:t>
      </w:r>
      <w:r>
        <w:rPr>
          <w:rFonts w:ascii="宋体" w:hAnsi="宋体" w:cs="Arial"/>
          <w:sz w:val="24"/>
          <w:szCs w:val="24"/>
        </w:rPr>
        <w:t>盖</w:t>
      </w:r>
      <w:r>
        <w:rPr>
          <w:rFonts w:hint="eastAsia" w:ascii="宋体" w:hAnsi="宋体" w:cs="Arial"/>
          <w:sz w:val="24"/>
          <w:szCs w:val="24"/>
        </w:rPr>
        <w:t>公章）：</w:t>
      </w:r>
    </w:p>
    <w:p>
      <w:pPr>
        <w:adjustRightInd w:val="0"/>
        <w:spacing w:before="60" w:after="156" w:afterLines="50" w:line="320" w:lineRule="exact"/>
        <w:jc w:val="left"/>
        <w:textAlignment w:val="baseline"/>
        <w:rPr>
          <w:rFonts w:ascii="宋体" w:hAnsi="宋体" w:cs="Arial"/>
          <w:kern w:val="0"/>
          <w:sz w:val="24"/>
          <w:szCs w:val="24"/>
        </w:rPr>
      </w:pPr>
      <w:r>
        <w:rPr>
          <w:rFonts w:hint="eastAsia" w:ascii="宋体" w:hAnsi="宋体" w:cs="Arial"/>
          <w:kern w:val="0"/>
          <w:sz w:val="24"/>
          <w:szCs w:val="24"/>
        </w:rPr>
        <w:t>法定代表人（代表人）或其授</w:t>
      </w:r>
      <w:r>
        <w:rPr>
          <w:rFonts w:ascii="宋体" w:hAnsi="宋体" w:cs="Arial"/>
          <w:kern w:val="0"/>
          <w:sz w:val="24"/>
          <w:szCs w:val="24"/>
        </w:rPr>
        <w:t>权</w:t>
      </w:r>
      <w:r>
        <w:rPr>
          <w:rFonts w:hint="eastAsia" w:ascii="宋体" w:hAnsi="宋体" w:cs="Arial"/>
          <w:kern w:val="0"/>
          <w:sz w:val="24"/>
          <w:szCs w:val="24"/>
        </w:rPr>
        <w:t>委托人：</w:t>
      </w:r>
      <w:r>
        <w:rPr>
          <w:rFonts w:hint="eastAsia" w:ascii="黑体" w:hAnsi="宋体" w:eastAsia="黑体" w:cs="Arial"/>
          <w:kern w:val="0"/>
          <w:szCs w:val="21"/>
          <w:u w:val="single"/>
        </w:rPr>
        <w:t>（法定代表人（代表人）可签字或加盖名章，授权委托人必须签字）</w:t>
      </w:r>
    </w:p>
    <w:p>
      <w:pPr>
        <w:snapToGrid w:val="0"/>
        <w:spacing w:line="360" w:lineRule="auto"/>
        <w:jc w:val="left"/>
        <w:rPr>
          <w:rFonts w:hAnsi="宋体" w:eastAsia="宋体"/>
          <w:bCs/>
          <w:snapToGrid w:val="0"/>
          <w:kern w:val="0"/>
          <w:sz w:val="36"/>
          <w:szCs w:val="36"/>
        </w:rPr>
      </w:pPr>
      <w:r>
        <w:rPr>
          <w:kern w:val="0"/>
          <w:sz w:val="24"/>
          <w:szCs w:val="20"/>
        </w:rPr>
        <w:t>签</w:t>
      </w:r>
      <w:r>
        <w:rPr>
          <w:rFonts w:hint="eastAsia"/>
          <w:kern w:val="0"/>
          <w:sz w:val="24"/>
          <w:szCs w:val="20"/>
        </w:rPr>
        <w:t>署日期：年月日</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4.4 业绩情况表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napToGrid w:val="0"/>
        <w:spacing w:line="360" w:lineRule="auto"/>
        <w:rPr>
          <w:rFonts w:hAnsi="宋体" w:eastAsia="宋体"/>
          <w:b/>
          <w:snapToGrid w:val="0"/>
          <w:kern w:val="0"/>
          <w:szCs w:val="21"/>
        </w:rPr>
      </w:pPr>
      <w:r>
        <w:rPr>
          <w:rFonts w:hint="eastAsia" w:asciiTheme="minorEastAsia" w:hAnsiTheme="minorEastAsia"/>
          <w:szCs w:val="21"/>
        </w:rPr>
        <w:t xml:space="preserve">项目名称：   </w:t>
      </w:r>
    </w:p>
    <w:tbl>
      <w:tblPr>
        <w:tblStyle w:val="29"/>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11"/>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11"/>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11"/>
              <w:spacing w:line="360" w:lineRule="auto"/>
              <w:rPr>
                <w:rFonts w:ascii="宋体" w:hAnsi="宋体" w:eastAsia="宋体" w:cs="Times New Roman"/>
                <w:sz w:val="21"/>
                <w:szCs w:val="21"/>
              </w:rPr>
            </w:pPr>
          </w:p>
        </w:tc>
        <w:tc>
          <w:tcPr>
            <w:tcW w:w="3579" w:type="dxa"/>
            <w:vAlign w:val="center"/>
          </w:tcPr>
          <w:p>
            <w:pPr>
              <w:pStyle w:val="11"/>
              <w:spacing w:line="360" w:lineRule="auto"/>
              <w:rPr>
                <w:rFonts w:ascii="宋体" w:hAnsi="宋体" w:eastAsia="宋体" w:cs="Times New Roman"/>
                <w:sz w:val="21"/>
                <w:szCs w:val="21"/>
              </w:rPr>
            </w:pPr>
          </w:p>
        </w:tc>
        <w:tc>
          <w:tcPr>
            <w:tcW w:w="1440" w:type="dxa"/>
            <w:vAlign w:val="center"/>
          </w:tcPr>
          <w:p>
            <w:pPr>
              <w:pStyle w:val="11"/>
              <w:spacing w:line="360" w:lineRule="auto"/>
              <w:rPr>
                <w:rFonts w:ascii="宋体" w:hAnsi="宋体" w:eastAsia="宋体" w:cs="Times New Roman"/>
                <w:sz w:val="21"/>
                <w:szCs w:val="21"/>
              </w:rPr>
            </w:pPr>
          </w:p>
        </w:tc>
        <w:tc>
          <w:tcPr>
            <w:tcW w:w="1706" w:type="dxa"/>
            <w:vAlign w:val="center"/>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4.5 售后服务方案</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4.6“节能产品政府采购清单”强制节能产品情况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2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11"/>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节字标志认证证书号</w:t>
            </w:r>
          </w:p>
        </w:tc>
        <w:tc>
          <w:tcPr>
            <w:tcW w:w="1439"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提供节能产品所在页</w:t>
            </w:r>
          </w:p>
          <w:p>
            <w:pPr>
              <w:pStyle w:val="11"/>
              <w:jc w:val="center"/>
              <w:rPr>
                <w:rFonts w:ascii="宋体" w:hAnsi="宋体" w:eastAsia="宋体" w:cs="宋体"/>
                <w:b/>
                <w:bCs/>
                <w:sz w:val="21"/>
                <w:szCs w:val="21"/>
              </w:rPr>
            </w:pPr>
            <w:r>
              <w:rPr>
                <w:rFonts w:hint="eastAsia" w:ascii="宋体" w:hAnsi="宋体" w:eastAsia="宋体" w:cs="宋体"/>
                <w:b/>
                <w:bCs/>
                <w:sz w:val="21"/>
                <w:szCs w:val="21"/>
              </w:rPr>
              <w:t>复印件</w:t>
            </w:r>
          </w:p>
          <w:p>
            <w:pPr>
              <w:pStyle w:val="11"/>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说明：所投产品节能清单所在页复印件并加盖投标人公章须附后。</w:t>
      </w:r>
    </w:p>
    <w:p>
      <w:pPr>
        <w:autoSpaceDE w:val="0"/>
        <w:autoSpaceDN w:val="0"/>
        <w:adjustRightInd w:val="0"/>
        <w:spacing w:line="360" w:lineRule="auto"/>
        <w:jc w:val="center"/>
        <w:outlineLvl w:val="0"/>
        <w:rPr>
          <w:rFonts w:ascii="宋体" w:hAnsi="宋体"/>
          <w:b/>
          <w:bCs/>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4.7 “节能产品政府采购清单”优先采购产品情况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2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11"/>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节字标志认证证书号</w:t>
            </w:r>
          </w:p>
        </w:tc>
        <w:tc>
          <w:tcPr>
            <w:tcW w:w="1439"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提供节能产品所在页</w:t>
            </w:r>
          </w:p>
          <w:p>
            <w:pPr>
              <w:pStyle w:val="11"/>
              <w:jc w:val="center"/>
              <w:rPr>
                <w:rFonts w:ascii="宋体" w:hAnsi="宋体" w:eastAsia="宋体" w:cs="宋体"/>
                <w:b/>
                <w:bCs/>
                <w:sz w:val="21"/>
                <w:szCs w:val="21"/>
              </w:rPr>
            </w:pPr>
            <w:r>
              <w:rPr>
                <w:rFonts w:hint="eastAsia" w:ascii="宋体" w:hAnsi="宋体" w:eastAsia="宋体" w:cs="宋体"/>
                <w:b/>
                <w:bCs/>
                <w:sz w:val="21"/>
                <w:szCs w:val="21"/>
              </w:rPr>
              <w:t>复印件</w:t>
            </w:r>
          </w:p>
          <w:p>
            <w:pPr>
              <w:pStyle w:val="11"/>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说明：所投产品“节能产品政府采购清单”所在页复印件并加盖投标人公章须附后。</w:t>
      </w: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4.8 “环境标志产品政府采购清单”优先采购产品情况</w:t>
      </w:r>
    </w:p>
    <w:p>
      <w:pPr>
        <w:autoSpaceDE w:val="0"/>
        <w:autoSpaceDN w:val="0"/>
        <w:adjustRightInd w:val="0"/>
        <w:spacing w:line="360" w:lineRule="auto"/>
        <w:jc w:val="center"/>
        <w:outlineLvl w:val="0"/>
        <w:rPr>
          <w:rFonts w:ascii="宋体" w:hAnsi="宋体"/>
          <w:b/>
          <w:bCs/>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tabs>
          <w:tab w:val="left" w:pos="1800"/>
          <w:tab w:val="left" w:pos="5580"/>
        </w:tabs>
        <w:spacing w:line="360" w:lineRule="auto"/>
        <w:rPr>
          <w:rFonts w:ascii="宋体" w:hAnsi="宋体"/>
          <w:szCs w:val="21"/>
        </w:rPr>
      </w:pPr>
      <w:r>
        <w:rPr>
          <w:rFonts w:hint="eastAsia" w:asciiTheme="minorEastAsia" w:hAnsiTheme="minorEastAsia"/>
          <w:szCs w:val="21"/>
        </w:rPr>
        <w:t>项目名称：</w:t>
      </w:r>
    </w:p>
    <w:tbl>
      <w:tblPr>
        <w:tblStyle w:val="29"/>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74"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货物名称</w:t>
            </w:r>
          </w:p>
        </w:tc>
        <w:tc>
          <w:tcPr>
            <w:tcW w:w="991"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135"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制造商</w:t>
            </w:r>
          </w:p>
          <w:p>
            <w:pPr>
              <w:pStyle w:val="11"/>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中国环境标志认证证书编号</w:t>
            </w:r>
          </w:p>
        </w:tc>
        <w:tc>
          <w:tcPr>
            <w:tcW w:w="1439"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提供环境标志产品所在页复印件</w:t>
            </w:r>
          </w:p>
          <w:p>
            <w:pPr>
              <w:pStyle w:val="11"/>
              <w:jc w:val="center"/>
              <w:rPr>
                <w:rFonts w:ascii="宋体" w:hAnsi="宋体" w:eastAsia="宋体" w:cs="宋体"/>
                <w:b/>
                <w:bCs/>
                <w:sz w:val="21"/>
                <w:szCs w:val="21"/>
              </w:rPr>
            </w:pPr>
            <w:r>
              <w:rPr>
                <w:rFonts w:hint="eastAsia" w:ascii="宋体" w:hAnsi="宋体" w:eastAsia="宋体" w:cs="宋体"/>
                <w:b/>
                <w:bCs/>
                <w:sz w:val="21"/>
                <w:szCs w:val="21"/>
              </w:rPr>
              <w:t>（是/否）</w:t>
            </w:r>
          </w:p>
        </w:tc>
        <w:tc>
          <w:tcPr>
            <w:tcW w:w="1252" w:type="dxa"/>
            <w:shd w:val="clear" w:color="auto" w:fill="F1F1F1" w:themeFill="background1" w:themeFillShade="F2"/>
            <w:vAlign w:val="center"/>
          </w:tcPr>
          <w:p>
            <w:pPr>
              <w:pStyle w:val="11"/>
              <w:jc w:val="center"/>
              <w:rPr>
                <w:rFonts w:ascii="宋体" w:hAnsi="宋体" w:eastAsia="宋体" w:cs="宋体"/>
                <w:b/>
                <w:bCs/>
                <w:sz w:val="21"/>
                <w:szCs w:val="21"/>
              </w:rPr>
            </w:pPr>
            <w:r>
              <w:rPr>
                <w:rFonts w:hint="eastAsia" w:ascii="宋体" w:hAnsi="宋体" w:eastAsia="宋体" w:cs="宋体"/>
                <w:b/>
                <w:bCs/>
                <w:sz w:val="21"/>
                <w:szCs w:val="21"/>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11"/>
              <w:spacing w:line="360" w:lineRule="auto"/>
              <w:jc w:val="center"/>
              <w:rPr>
                <w:rFonts w:ascii="宋体" w:hAnsi="宋体" w:eastAsia="宋体" w:cs="Times New Roman"/>
                <w:sz w:val="21"/>
                <w:szCs w:val="21"/>
              </w:rPr>
            </w:pPr>
            <w:r>
              <w:rPr>
                <w:rFonts w:hint="eastAsia" w:ascii="宋体" w:hAnsi="宋体" w:eastAsia="宋体" w:cs="Times New Roman"/>
                <w:sz w:val="21"/>
                <w:szCs w:val="21"/>
              </w:rPr>
              <w:t>…</w:t>
            </w:r>
          </w:p>
        </w:tc>
        <w:tc>
          <w:tcPr>
            <w:tcW w:w="1274" w:type="dxa"/>
            <w:vAlign w:val="center"/>
          </w:tcPr>
          <w:p>
            <w:pPr>
              <w:pStyle w:val="11"/>
              <w:spacing w:line="360" w:lineRule="auto"/>
              <w:rPr>
                <w:rFonts w:ascii="宋体" w:hAnsi="宋体" w:eastAsia="宋体" w:cs="Times New Roman"/>
                <w:sz w:val="21"/>
                <w:szCs w:val="21"/>
              </w:rPr>
            </w:pPr>
          </w:p>
        </w:tc>
        <w:tc>
          <w:tcPr>
            <w:tcW w:w="991" w:type="dxa"/>
            <w:vAlign w:val="center"/>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135" w:type="dxa"/>
          </w:tcPr>
          <w:p>
            <w:pPr>
              <w:pStyle w:val="11"/>
              <w:spacing w:line="360" w:lineRule="auto"/>
              <w:rPr>
                <w:rFonts w:ascii="宋体" w:hAnsi="宋体" w:eastAsia="宋体" w:cs="Times New Roman"/>
                <w:sz w:val="21"/>
                <w:szCs w:val="21"/>
              </w:rPr>
            </w:pPr>
          </w:p>
        </w:tc>
        <w:tc>
          <w:tcPr>
            <w:tcW w:w="1276" w:type="dxa"/>
          </w:tcPr>
          <w:p>
            <w:pPr>
              <w:pStyle w:val="11"/>
              <w:spacing w:line="360" w:lineRule="auto"/>
              <w:rPr>
                <w:rFonts w:ascii="宋体" w:hAnsi="宋体" w:eastAsia="宋体" w:cs="Times New Roman"/>
                <w:sz w:val="21"/>
                <w:szCs w:val="21"/>
              </w:rPr>
            </w:pPr>
          </w:p>
        </w:tc>
        <w:tc>
          <w:tcPr>
            <w:tcW w:w="1439" w:type="dxa"/>
          </w:tcPr>
          <w:p>
            <w:pPr>
              <w:pStyle w:val="11"/>
              <w:spacing w:line="360" w:lineRule="auto"/>
              <w:rPr>
                <w:rFonts w:ascii="宋体" w:hAnsi="宋体" w:eastAsia="宋体" w:cs="Times New Roman"/>
                <w:sz w:val="21"/>
                <w:szCs w:val="21"/>
              </w:rPr>
            </w:pPr>
          </w:p>
        </w:tc>
        <w:tc>
          <w:tcPr>
            <w:tcW w:w="1252" w:type="dxa"/>
          </w:tcPr>
          <w:p>
            <w:pPr>
              <w:pStyle w:val="11"/>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napToGrid w:val="0"/>
        <w:spacing w:line="500" w:lineRule="exact"/>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说明：所投产品“环境标志产品政府采购清单”所在页复印件并加盖投标人公章须附后。</w:t>
      </w: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spacing w:line="360" w:lineRule="auto"/>
        <w:jc w:val="center"/>
        <w:rPr>
          <w:rFonts w:ascii="宋体" w:hAnsi="宋体"/>
          <w:b/>
          <w:bCs/>
          <w:sz w:val="36"/>
          <w:szCs w:val="36"/>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4.9 中小企业声明函</w:t>
      </w:r>
    </w:p>
    <w:p>
      <w:pPr>
        <w:spacing w:line="360" w:lineRule="auto"/>
        <w:jc w:val="center"/>
        <w:rPr>
          <w:rFonts w:ascii="宋体" w:hAnsi="宋体"/>
          <w:b/>
          <w:bCs/>
          <w:szCs w:val="21"/>
        </w:rPr>
      </w:pP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Cs w:val="21"/>
        </w:rPr>
        <w:br w:type="textWrapping"/>
      </w:r>
      <w:r>
        <w:rPr>
          <w:rFonts w:hint="eastAsia" w:ascii="宋体" w:hAnsi="宋体" w:cs="Arial"/>
          <w:kern w:val="0"/>
          <w:szCs w:val="21"/>
        </w:rPr>
        <w:t>　　根据《工业和信息化部、国家统计局、国家发展和改革委员会、财政部关于印发中小企业划型标准规定的通知》（工信部联企业[2011]300号）规定的划分标准，</w:t>
      </w:r>
      <w:r>
        <w:rPr>
          <w:rFonts w:hint="eastAsia"/>
          <w:szCs w:val="21"/>
        </w:rPr>
        <w:t>按照《国家统计局关于印发统计上大中小微型企业划分办法的通知》（国统字</w:t>
      </w:r>
      <w:r>
        <w:rPr>
          <w:szCs w:val="21"/>
        </w:rPr>
        <w:t>[2011] 75</w:t>
      </w:r>
      <w:r>
        <w:rPr>
          <w:rFonts w:hint="eastAsia"/>
          <w:szCs w:val="21"/>
        </w:rPr>
        <w:t>号）规定，本公司所属行业为</w:t>
      </w:r>
      <w:r>
        <w:rPr>
          <w:szCs w:val="21"/>
        </w:rPr>
        <w:t>______</w:t>
      </w:r>
      <w:r>
        <w:rPr>
          <w:rFonts w:hint="eastAsia"/>
          <w:szCs w:val="21"/>
        </w:rPr>
        <w:t>，截至上一财年末，公司资产总额</w:t>
      </w:r>
      <w:r>
        <w:rPr>
          <w:szCs w:val="21"/>
        </w:rPr>
        <w:t>______</w:t>
      </w:r>
      <w:r>
        <w:rPr>
          <w:rFonts w:hint="eastAsia"/>
          <w:szCs w:val="21"/>
        </w:rPr>
        <w:t>万元，营业收入</w:t>
      </w:r>
      <w:r>
        <w:rPr>
          <w:szCs w:val="21"/>
        </w:rPr>
        <w:t>______</w:t>
      </w:r>
      <w:r>
        <w:rPr>
          <w:rFonts w:hint="eastAsia"/>
          <w:szCs w:val="21"/>
        </w:rPr>
        <w:t>万元，从业人员</w:t>
      </w:r>
      <w:r>
        <w:rPr>
          <w:szCs w:val="21"/>
        </w:rPr>
        <w:t>______</w:t>
      </w:r>
      <w:r>
        <w:rPr>
          <w:rFonts w:hint="eastAsia"/>
          <w:szCs w:val="21"/>
        </w:rPr>
        <w:t>人，</w:t>
      </w:r>
      <w:r>
        <w:rPr>
          <w:rFonts w:hint="eastAsia" w:ascii="宋体" w:hAnsi="宋体" w:cs="Arial"/>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r>
        <w:rPr>
          <w:rFonts w:hint="eastAsia" w:ascii="宋体" w:hAnsi="宋体" w:cs="Arial"/>
          <w:kern w:val="0"/>
          <w:szCs w:val="21"/>
        </w:rPr>
        <w:t>企业名称（盖章）：　　　　　　　　　</w:t>
      </w:r>
      <w:r>
        <w:rPr>
          <w:rFonts w:hint="eastAsia" w:ascii="宋体" w:hAnsi="宋体" w:cs="Arial"/>
          <w:kern w:val="0"/>
          <w:szCs w:val="21"/>
        </w:rPr>
        <w:br w:type="textWrapping"/>
      </w:r>
      <w:r>
        <w:rPr>
          <w:rFonts w:hint="eastAsia" w:ascii="宋体" w:hAnsi="宋体" w:cs="Arial"/>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jc w:val="left"/>
        <w:rPr>
          <w:rFonts w:ascii="宋体" w:hAnsi="宋体"/>
          <w:szCs w:val="21"/>
        </w:rPr>
      </w:pPr>
    </w:p>
    <w:p>
      <w:pPr>
        <w:widowControl/>
        <w:spacing w:before="100" w:beforeAutospacing="1" w:after="100" w:afterAutospacing="1" w:line="360" w:lineRule="auto"/>
        <w:jc w:val="left"/>
        <w:rPr>
          <w:rFonts w:ascii="宋体" w:hAnsi="宋体"/>
          <w:szCs w:val="21"/>
        </w:rPr>
      </w:pPr>
    </w:p>
    <w:p>
      <w:pPr>
        <w:widowControl/>
        <w:spacing w:before="100" w:beforeAutospacing="1" w:after="100" w:afterAutospacing="1" w:line="360" w:lineRule="auto"/>
        <w:contextualSpacing/>
        <w:jc w:val="left"/>
        <w:rPr>
          <w:rFonts w:ascii="宋体" w:hAnsi="宋体"/>
          <w:szCs w:val="21"/>
        </w:rPr>
      </w:pPr>
      <w:r>
        <w:rPr>
          <w:rFonts w:hint="eastAsia" w:ascii="宋体" w:hAnsi="宋体"/>
          <w:szCs w:val="21"/>
        </w:rPr>
        <w:t>说明：</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2、如投标人为联合投标的，联合投标人需分别填写上述《中小企业声明函》。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24"/>
          <w:szCs w:val="24"/>
        </w:rPr>
      </w:pPr>
      <w:bookmarkStart w:id="8" w:name="OLE_LINK13"/>
      <w:bookmarkStart w:id="9" w:name="OLE_LINK14"/>
      <w:r>
        <w:rPr>
          <w:rFonts w:hint="eastAsia" w:ascii="宋体" w:hAnsi="宋体"/>
          <w:b/>
          <w:bCs/>
          <w:sz w:val="24"/>
          <w:szCs w:val="24"/>
        </w:rPr>
        <w:t>4.10 残疾人福利性单位声明函</w:t>
      </w:r>
    </w:p>
    <w:bookmarkEnd w:id="8"/>
    <w:bookmarkEnd w:id="9"/>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widowControl/>
        <w:spacing w:before="100" w:beforeAutospacing="1" w:after="100" w:afterAutospacing="1" w:line="360" w:lineRule="auto"/>
        <w:jc w:val="center"/>
        <w:rPr>
          <w:rFonts w:ascii="宋体" w:hAnsi="宋体"/>
          <w:b/>
          <w:bCs/>
          <w:sz w:val="36"/>
          <w:szCs w:val="36"/>
        </w:rPr>
      </w:pPr>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sz w:val="28"/>
          <w:szCs w:val="28"/>
        </w:rPr>
      </w:pPr>
      <w:r>
        <w:rPr>
          <w:rFonts w:ascii="宋体" w:hAnsi="宋体"/>
          <w:b/>
          <w:bCs/>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简隶书">
    <w:altName w:val="宋体"/>
    <w:panose1 w:val="00000000000000000000"/>
    <w:charset w:val="86"/>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2" w:usb2="00000016" w:usb3="00000000" w:csb0="0004001F" w:csb1="00000000"/>
  </w:font>
  <w:font w:name="TimesNewRomanPSMT">
    <w:altName w:val="宋体"/>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9"/>
                </w:pPr>
                <w:r>
                  <w:fldChar w:fldCharType="begin"/>
                </w:r>
                <w:r>
                  <w:instrText xml:space="preserve"> PAGE  \* MERGEFORMAT </w:instrText>
                </w:r>
                <w:r>
                  <w:fldChar w:fldCharType="separate"/>
                </w:r>
                <w:r>
                  <w:t>61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70" w:hanging="544"/>
      </w:pPr>
      <w:rPr>
        <w:rFonts w:hint="eastAsia"/>
      </w:rPr>
    </w:lvl>
    <w:lvl w:ilvl="1" w:tentative="0">
      <w:start w:val="1"/>
      <w:numFmt w:val="lowerLetter"/>
      <w:lvlText w:val="%2)"/>
      <w:lvlJc w:val="left"/>
      <w:pPr>
        <w:ind w:left="846" w:hanging="420"/>
      </w:pPr>
    </w:lvl>
    <w:lvl w:ilvl="2" w:tentative="0">
      <w:start w:val="1"/>
      <w:numFmt w:val="lowerRoman"/>
      <w:lvlText w:val="%3."/>
      <w:lvlJc w:val="right"/>
      <w:pPr>
        <w:ind w:left="1266" w:hanging="420"/>
      </w:pPr>
    </w:lvl>
    <w:lvl w:ilvl="3" w:tentative="0">
      <w:start w:val="1"/>
      <w:numFmt w:val="decimal"/>
      <w:lvlText w:val="%4."/>
      <w:lvlJc w:val="left"/>
      <w:pPr>
        <w:ind w:left="1686" w:hanging="420"/>
      </w:pPr>
    </w:lvl>
    <w:lvl w:ilvl="4" w:tentative="0">
      <w:start w:val="1"/>
      <w:numFmt w:val="lowerLetter"/>
      <w:lvlText w:val="%5)"/>
      <w:lvlJc w:val="left"/>
      <w:pPr>
        <w:ind w:left="2106" w:hanging="420"/>
      </w:pPr>
    </w:lvl>
    <w:lvl w:ilvl="5" w:tentative="0">
      <w:start w:val="1"/>
      <w:numFmt w:val="lowerRoman"/>
      <w:lvlText w:val="%6."/>
      <w:lvlJc w:val="right"/>
      <w:pPr>
        <w:ind w:left="2526" w:hanging="420"/>
      </w:pPr>
    </w:lvl>
    <w:lvl w:ilvl="6" w:tentative="0">
      <w:start w:val="1"/>
      <w:numFmt w:val="decimal"/>
      <w:lvlText w:val="%7."/>
      <w:lvlJc w:val="left"/>
      <w:pPr>
        <w:ind w:left="2946" w:hanging="420"/>
      </w:pPr>
    </w:lvl>
    <w:lvl w:ilvl="7" w:tentative="0">
      <w:start w:val="1"/>
      <w:numFmt w:val="lowerLetter"/>
      <w:lvlText w:val="%8)"/>
      <w:lvlJc w:val="left"/>
      <w:pPr>
        <w:ind w:left="3366" w:hanging="420"/>
      </w:pPr>
    </w:lvl>
    <w:lvl w:ilvl="8" w:tentative="0">
      <w:start w:val="1"/>
      <w:numFmt w:val="lowerRoman"/>
      <w:lvlText w:val="%9."/>
      <w:lvlJc w:val="right"/>
      <w:pPr>
        <w:ind w:left="3786" w:hanging="420"/>
      </w:pPr>
    </w:lvl>
  </w:abstractNum>
  <w:abstractNum w:abstractNumId="11">
    <w:nsid w:val="46207351"/>
    <w:multiLevelType w:val="multilevel"/>
    <w:tmpl w:val="46207351"/>
    <w:lvl w:ilvl="0" w:tentative="0">
      <w:start w:val="2"/>
      <w:numFmt w:val="decimal"/>
      <w:lvlText w:val="%1."/>
      <w:lvlJc w:val="left"/>
      <w:pPr>
        <w:ind w:left="420" w:hanging="420"/>
      </w:pPr>
      <w:rPr>
        <w:rFonts w:hint="eastAsia"/>
      </w:rPr>
    </w:lvl>
    <w:lvl w:ilvl="1" w:tentative="0">
      <w:start w:val="2"/>
      <w:numFmt w:val="decimal"/>
      <w:lvlText w:val="%2.8.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2"/>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07C01F4"/>
    <w:multiLevelType w:val="multilevel"/>
    <w:tmpl w:val="707C01F4"/>
    <w:lvl w:ilvl="0" w:tentative="0">
      <w:start w:val="2"/>
      <w:numFmt w:val="decimal"/>
      <w:lvlText w:val="%1."/>
      <w:lvlJc w:val="left"/>
      <w:pPr>
        <w:ind w:left="420" w:hanging="420"/>
      </w:pPr>
      <w:rPr>
        <w:rFonts w:hint="eastAsia"/>
      </w:rPr>
    </w:lvl>
    <w:lvl w:ilvl="1" w:tentative="0">
      <w:start w:val="2"/>
      <w:numFmt w:val="decimal"/>
      <w:lvlText w:val="%2.8.1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7"/>
  </w:num>
  <w:num w:numId="6">
    <w:abstractNumId w:val="15"/>
  </w:num>
  <w:num w:numId="7">
    <w:abstractNumId w:val="16"/>
  </w:num>
  <w:num w:numId="8">
    <w:abstractNumId w:val="11"/>
  </w:num>
  <w:num w:numId="9">
    <w:abstractNumId w:val="8"/>
  </w:num>
  <w:num w:numId="10">
    <w:abstractNumId w:val="4"/>
  </w:num>
  <w:num w:numId="11">
    <w:abstractNumId w:val="5"/>
  </w:num>
  <w:num w:numId="12">
    <w:abstractNumId w:val="18"/>
  </w:num>
  <w:num w:numId="13">
    <w:abstractNumId w:val="10"/>
  </w:num>
  <w:num w:numId="14">
    <w:abstractNumId w:val="17"/>
  </w:num>
  <w:num w:numId="15">
    <w:abstractNumId w:val="3"/>
  </w:num>
  <w:num w:numId="16">
    <w:abstractNumId w:val="6"/>
  </w:num>
  <w:num w:numId="17">
    <w:abstractNumId w:val="12"/>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D20A3"/>
    <w:rsid w:val="00000A27"/>
    <w:rsid w:val="000043E4"/>
    <w:rsid w:val="00012712"/>
    <w:rsid w:val="000178D4"/>
    <w:rsid w:val="00020353"/>
    <w:rsid w:val="00022000"/>
    <w:rsid w:val="00022021"/>
    <w:rsid w:val="000300B0"/>
    <w:rsid w:val="000318E9"/>
    <w:rsid w:val="00033D27"/>
    <w:rsid w:val="00034324"/>
    <w:rsid w:val="000554D6"/>
    <w:rsid w:val="0006144B"/>
    <w:rsid w:val="00061EBD"/>
    <w:rsid w:val="00066076"/>
    <w:rsid w:val="00074086"/>
    <w:rsid w:val="00086AFB"/>
    <w:rsid w:val="000938BE"/>
    <w:rsid w:val="000A7A0E"/>
    <w:rsid w:val="000B0281"/>
    <w:rsid w:val="000B0639"/>
    <w:rsid w:val="000B76FE"/>
    <w:rsid w:val="000C15AC"/>
    <w:rsid w:val="000C5472"/>
    <w:rsid w:val="000D0962"/>
    <w:rsid w:val="000D24B4"/>
    <w:rsid w:val="000D3714"/>
    <w:rsid w:val="000D4F8E"/>
    <w:rsid w:val="000D56C3"/>
    <w:rsid w:val="000E102E"/>
    <w:rsid w:val="000F3964"/>
    <w:rsid w:val="00113A6C"/>
    <w:rsid w:val="00114F7B"/>
    <w:rsid w:val="001309C7"/>
    <w:rsid w:val="0013622E"/>
    <w:rsid w:val="001413B0"/>
    <w:rsid w:val="0014292A"/>
    <w:rsid w:val="0014476A"/>
    <w:rsid w:val="001453AC"/>
    <w:rsid w:val="00157BFD"/>
    <w:rsid w:val="0016162A"/>
    <w:rsid w:val="00162961"/>
    <w:rsid w:val="001729F5"/>
    <w:rsid w:val="00175E00"/>
    <w:rsid w:val="001812E3"/>
    <w:rsid w:val="00187562"/>
    <w:rsid w:val="001A1B6C"/>
    <w:rsid w:val="001A3DE4"/>
    <w:rsid w:val="001B3201"/>
    <w:rsid w:val="001B3B1F"/>
    <w:rsid w:val="001B3FA7"/>
    <w:rsid w:val="001B4DA3"/>
    <w:rsid w:val="001C128F"/>
    <w:rsid w:val="001D1F28"/>
    <w:rsid w:val="001D2862"/>
    <w:rsid w:val="001D6381"/>
    <w:rsid w:val="001D6D29"/>
    <w:rsid w:val="001E3E55"/>
    <w:rsid w:val="001F00B2"/>
    <w:rsid w:val="00212A04"/>
    <w:rsid w:val="00220A8C"/>
    <w:rsid w:val="00234499"/>
    <w:rsid w:val="00235DB3"/>
    <w:rsid w:val="002373EF"/>
    <w:rsid w:val="002408D3"/>
    <w:rsid w:val="002447F3"/>
    <w:rsid w:val="00247D4B"/>
    <w:rsid w:val="00247EBC"/>
    <w:rsid w:val="00251DBD"/>
    <w:rsid w:val="0025438E"/>
    <w:rsid w:val="002557F6"/>
    <w:rsid w:val="00257170"/>
    <w:rsid w:val="00257C0C"/>
    <w:rsid w:val="00257C27"/>
    <w:rsid w:val="002644FB"/>
    <w:rsid w:val="00274792"/>
    <w:rsid w:val="00274F8B"/>
    <w:rsid w:val="00282D0F"/>
    <w:rsid w:val="002A4363"/>
    <w:rsid w:val="002A4A94"/>
    <w:rsid w:val="002A79F5"/>
    <w:rsid w:val="002D5CAA"/>
    <w:rsid w:val="002E3710"/>
    <w:rsid w:val="002F56B1"/>
    <w:rsid w:val="002F68B9"/>
    <w:rsid w:val="00300379"/>
    <w:rsid w:val="00301814"/>
    <w:rsid w:val="00304216"/>
    <w:rsid w:val="00307037"/>
    <w:rsid w:val="003103B1"/>
    <w:rsid w:val="00313750"/>
    <w:rsid w:val="003149D4"/>
    <w:rsid w:val="00315BEB"/>
    <w:rsid w:val="003176AD"/>
    <w:rsid w:val="00322385"/>
    <w:rsid w:val="00323554"/>
    <w:rsid w:val="00323B0A"/>
    <w:rsid w:val="00325EC7"/>
    <w:rsid w:val="003315A3"/>
    <w:rsid w:val="00333DA4"/>
    <w:rsid w:val="00334728"/>
    <w:rsid w:val="0033593F"/>
    <w:rsid w:val="00336C58"/>
    <w:rsid w:val="00337220"/>
    <w:rsid w:val="00346F29"/>
    <w:rsid w:val="00347D99"/>
    <w:rsid w:val="00355A48"/>
    <w:rsid w:val="00361029"/>
    <w:rsid w:val="00361EF7"/>
    <w:rsid w:val="00365D02"/>
    <w:rsid w:val="0037403C"/>
    <w:rsid w:val="00380D7C"/>
    <w:rsid w:val="00383B76"/>
    <w:rsid w:val="003B007E"/>
    <w:rsid w:val="003B47AA"/>
    <w:rsid w:val="003B602C"/>
    <w:rsid w:val="003B6371"/>
    <w:rsid w:val="003C7CD4"/>
    <w:rsid w:val="003D1B55"/>
    <w:rsid w:val="003D2B2F"/>
    <w:rsid w:val="003D3FB5"/>
    <w:rsid w:val="003E149A"/>
    <w:rsid w:val="003E2DBE"/>
    <w:rsid w:val="003E60D9"/>
    <w:rsid w:val="00403846"/>
    <w:rsid w:val="0041124B"/>
    <w:rsid w:val="00412829"/>
    <w:rsid w:val="00414486"/>
    <w:rsid w:val="00415A4E"/>
    <w:rsid w:val="00417373"/>
    <w:rsid w:val="004212CB"/>
    <w:rsid w:val="0042172E"/>
    <w:rsid w:val="004226E9"/>
    <w:rsid w:val="00425942"/>
    <w:rsid w:val="00436090"/>
    <w:rsid w:val="00445971"/>
    <w:rsid w:val="00447141"/>
    <w:rsid w:val="00453CFB"/>
    <w:rsid w:val="004611F4"/>
    <w:rsid w:val="00471D9E"/>
    <w:rsid w:val="0048788B"/>
    <w:rsid w:val="004A3EBE"/>
    <w:rsid w:val="004B2239"/>
    <w:rsid w:val="004B22D3"/>
    <w:rsid w:val="004B5C2C"/>
    <w:rsid w:val="004B6F46"/>
    <w:rsid w:val="004B7646"/>
    <w:rsid w:val="004C3729"/>
    <w:rsid w:val="004C488A"/>
    <w:rsid w:val="004D339F"/>
    <w:rsid w:val="004E2C91"/>
    <w:rsid w:val="004E5692"/>
    <w:rsid w:val="004E5ED0"/>
    <w:rsid w:val="004E6481"/>
    <w:rsid w:val="004F1DBB"/>
    <w:rsid w:val="004F3C93"/>
    <w:rsid w:val="004F5BE4"/>
    <w:rsid w:val="005020CD"/>
    <w:rsid w:val="00512A12"/>
    <w:rsid w:val="00521E2C"/>
    <w:rsid w:val="00522091"/>
    <w:rsid w:val="00522697"/>
    <w:rsid w:val="00544270"/>
    <w:rsid w:val="00547C51"/>
    <w:rsid w:val="005549F8"/>
    <w:rsid w:val="00561C5B"/>
    <w:rsid w:val="0056716F"/>
    <w:rsid w:val="00573D06"/>
    <w:rsid w:val="005768AB"/>
    <w:rsid w:val="00577061"/>
    <w:rsid w:val="0058043E"/>
    <w:rsid w:val="0058324E"/>
    <w:rsid w:val="005856E5"/>
    <w:rsid w:val="005A0399"/>
    <w:rsid w:val="005A0CBC"/>
    <w:rsid w:val="005A14CE"/>
    <w:rsid w:val="005A3071"/>
    <w:rsid w:val="005B3B69"/>
    <w:rsid w:val="005E3409"/>
    <w:rsid w:val="005E3A2B"/>
    <w:rsid w:val="005E3F3F"/>
    <w:rsid w:val="005F0B1E"/>
    <w:rsid w:val="005F1DF2"/>
    <w:rsid w:val="0060569D"/>
    <w:rsid w:val="00610002"/>
    <w:rsid w:val="00614304"/>
    <w:rsid w:val="0061792B"/>
    <w:rsid w:val="00620EE2"/>
    <w:rsid w:val="0062161D"/>
    <w:rsid w:val="00621BE3"/>
    <w:rsid w:val="00622B0B"/>
    <w:rsid w:val="00624843"/>
    <w:rsid w:val="006357B0"/>
    <w:rsid w:val="006369BE"/>
    <w:rsid w:val="00636AAD"/>
    <w:rsid w:val="0063754C"/>
    <w:rsid w:val="0065294F"/>
    <w:rsid w:val="00653D9B"/>
    <w:rsid w:val="00654B93"/>
    <w:rsid w:val="006626FF"/>
    <w:rsid w:val="0067408D"/>
    <w:rsid w:val="00674726"/>
    <w:rsid w:val="006906FE"/>
    <w:rsid w:val="00695567"/>
    <w:rsid w:val="0069586C"/>
    <w:rsid w:val="00696358"/>
    <w:rsid w:val="006A7085"/>
    <w:rsid w:val="006B11BB"/>
    <w:rsid w:val="006B59F9"/>
    <w:rsid w:val="006C021A"/>
    <w:rsid w:val="006C1ABC"/>
    <w:rsid w:val="006C4A8D"/>
    <w:rsid w:val="006D2F3B"/>
    <w:rsid w:val="006D5390"/>
    <w:rsid w:val="006E6EAB"/>
    <w:rsid w:val="006F0427"/>
    <w:rsid w:val="006F2C6A"/>
    <w:rsid w:val="006F63C9"/>
    <w:rsid w:val="006F68CC"/>
    <w:rsid w:val="0070010A"/>
    <w:rsid w:val="00704BF9"/>
    <w:rsid w:val="00705BA9"/>
    <w:rsid w:val="00716F27"/>
    <w:rsid w:val="00721226"/>
    <w:rsid w:val="00721711"/>
    <w:rsid w:val="00737DB9"/>
    <w:rsid w:val="007401C3"/>
    <w:rsid w:val="00740E91"/>
    <w:rsid w:val="00746A32"/>
    <w:rsid w:val="007568C2"/>
    <w:rsid w:val="007570E2"/>
    <w:rsid w:val="00760543"/>
    <w:rsid w:val="007727E6"/>
    <w:rsid w:val="0077455F"/>
    <w:rsid w:val="00784774"/>
    <w:rsid w:val="0078780A"/>
    <w:rsid w:val="0079352C"/>
    <w:rsid w:val="00796672"/>
    <w:rsid w:val="007A31F4"/>
    <w:rsid w:val="007A34F1"/>
    <w:rsid w:val="007A48E9"/>
    <w:rsid w:val="007B30DE"/>
    <w:rsid w:val="007B39C7"/>
    <w:rsid w:val="007C07ED"/>
    <w:rsid w:val="007C6705"/>
    <w:rsid w:val="007D2A0A"/>
    <w:rsid w:val="007D2B0C"/>
    <w:rsid w:val="007D3A74"/>
    <w:rsid w:val="007D4BAD"/>
    <w:rsid w:val="007D6D78"/>
    <w:rsid w:val="007E1FE9"/>
    <w:rsid w:val="007E5964"/>
    <w:rsid w:val="007E6183"/>
    <w:rsid w:val="007F0A64"/>
    <w:rsid w:val="007F6FB7"/>
    <w:rsid w:val="0080260F"/>
    <w:rsid w:val="008101FB"/>
    <w:rsid w:val="00811BB1"/>
    <w:rsid w:val="00832E87"/>
    <w:rsid w:val="00833C6A"/>
    <w:rsid w:val="0084302F"/>
    <w:rsid w:val="00846EB6"/>
    <w:rsid w:val="00847088"/>
    <w:rsid w:val="0085213A"/>
    <w:rsid w:val="0086265C"/>
    <w:rsid w:val="00864542"/>
    <w:rsid w:val="008656DB"/>
    <w:rsid w:val="008734AD"/>
    <w:rsid w:val="008753FE"/>
    <w:rsid w:val="008768A2"/>
    <w:rsid w:val="00877C6C"/>
    <w:rsid w:val="008833DC"/>
    <w:rsid w:val="008834FE"/>
    <w:rsid w:val="00884D0F"/>
    <w:rsid w:val="00884F11"/>
    <w:rsid w:val="00887FE7"/>
    <w:rsid w:val="0089369E"/>
    <w:rsid w:val="00893B24"/>
    <w:rsid w:val="00896816"/>
    <w:rsid w:val="008A1EE5"/>
    <w:rsid w:val="008A4543"/>
    <w:rsid w:val="008A5850"/>
    <w:rsid w:val="008A7465"/>
    <w:rsid w:val="008B57FF"/>
    <w:rsid w:val="008B5A12"/>
    <w:rsid w:val="008B7AF4"/>
    <w:rsid w:val="008C40A8"/>
    <w:rsid w:val="008C4BEA"/>
    <w:rsid w:val="008C53A7"/>
    <w:rsid w:val="008E62A2"/>
    <w:rsid w:val="008F0E43"/>
    <w:rsid w:val="008F3208"/>
    <w:rsid w:val="00902A7F"/>
    <w:rsid w:val="00905A17"/>
    <w:rsid w:val="00915A58"/>
    <w:rsid w:val="00920609"/>
    <w:rsid w:val="00920892"/>
    <w:rsid w:val="009209F7"/>
    <w:rsid w:val="0092409E"/>
    <w:rsid w:val="00930F65"/>
    <w:rsid w:val="00945983"/>
    <w:rsid w:val="00973D36"/>
    <w:rsid w:val="0097535A"/>
    <w:rsid w:val="00976128"/>
    <w:rsid w:val="00985EBA"/>
    <w:rsid w:val="0098622D"/>
    <w:rsid w:val="009A452D"/>
    <w:rsid w:val="009B15D1"/>
    <w:rsid w:val="009B2B36"/>
    <w:rsid w:val="009B5BC7"/>
    <w:rsid w:val="009B6EA8"/>
    <w:rsid w:val="009C12AB"/>
    <w:rsid w:val="009C5BE8"/>
    <w:rsid w:val="009C5BF0"/>
    <w:rsid w:val="009D1F9C"/>
    <w:rsid w:val="009D203C"/>
    <w:rsid w:val="009D20A3"/>
    <w:rsid w:val="009D24A3"/>
    <w:rsid w:val="009D3502"/>
    <w:rsid w:val="009E6699"/>
    <w:rsid w:val="00A045C1"/>
    <w:rsid w:val="00A0474D"/>
    <w:rsid w:val="00A14184"/>
    <w:rsid w:val="00A159FC"/>
    <w:rsid w:val="00A15F7A"/>
    <w:rsid w:val="00A21DDF"/>
    <w:rsid w:val="00A23F1B"/>
    <w:rsid w:val="00A27AA9"/>
    <w:rsid w:val="00A339F0"/>
    <w:rsid w:val="00A36206"/>
    <w:rsid w:val="00A4096D"/>
    <w:rsid w:val="00A42751"/>
    <w:rsid w:val="00A44605"/>
    <w:rsid w:val="00A52737"/>
    <w:rsid w:val="00A54E5B"/>
    <w:rsid w:val="00A61AF6"/>
    <w:rsid w:val="00A63C44"/>
    <w:rsid w:val="00A678EF"/>
    <w:rsid w:val="00A75A79"/>
    <w:rsid w:val="00A910F1"/>
    <w:rsid w:val="00AA0F1B"/>
    <w:rsid w:val="00AA4CCD"/>
    <w:rsid w:val="00AA753F"/>
    <w:rsid w:val="00AA779D"/>
    <w:rsid w:val="00AC49CE"/>
    <w:rsid w:val="00AC4FD2"/>
    <w:rsid w:val="00AD28F1"/>
    <w:rsid w:val="00AE3298"/>
    <w:rsid w:val="00B018CE"/>
    <w:rsid w:val="00B02024"/>
    <w:rsid w:val="00B05115"/>
    <w:rsid w:val="00B07980"/>
    <w:rsid w:val="00B12A55"/>
    <w:rsid w:val="00B15872"/>
    <w:rsid w:val="00B16E78"/>
    <w:rsid w:val="00B20FA0"/>
    <w:rsid w:val="00B24D17"/>
    <w:rsid w:val="00B277AA"/>
    <w:rsid w:val="00B30127"/>
    <w:rsid w:val="00B32542"/>
    <w:rsid w:val="00B32A03"/>
    <w:rsid w:val="00B4067A"/>
    <w:rsid w:val="00B41493"/>
    <w:rsid w:val="00B42330"/>
    <w:rsid w:val="00B42703"/>
    <w:rsid w:val="00B47396"/>
    <w:rsid w:val="00B5289C"/>
    <w:rsid w:val="00B53BAE"/>
    <w:rsid w:val="00B548CE"/>
    <w:rsid w:val="00B601A6"/>
    <w:rsid w:val="00B61615"/>
    <w:rsid w:val="00B616DF"/>
    <w:rsid w:val="00B775F1"/>
    <w:rsid w:val="00BA68F5"/>
    <w:rsid w:val="00BB1F82"/>
    <w:rsid w:val="00BB2ACA"/>
    <w:rsid w:val="00BB33D2"/>
    <w:rsid w:val="00BB33E6"/>
    <w:rsid w:val="00BB6706"/>
    <w:rsid w:val="00BC09E9"/>
    <w:rsid w:val="00BC30AC"/>
    <w:rsid w:val="00BC4761"/>
    <w:rsid w:val="00BC548C"/>
    <w:rsid w:val="00BD26E3"/>
    <w:rsid w:val="00BD46B3"/>
    <w:rsid w:val="00BD4844"/>
    <w:rsid w:val="00BD4F16"/>
    <w:rsid w:val="00BD62A9"/>
    <w:rsid w:val="00BD6B19"/>
    <w:rsid w:val="00BD7252"/>
    <w:rsid w:val="00BD77B4"/>
    <w:rsid w:val="00BF1566"/>
    <w:rsid w:val="00BF2BE8"/>
    <w:rsid w:val="00C214C3"/>
    <w:rsid w:val="00C21A0B"/>
    <w:rsid w:val="00C22847"/>
    <w:rsid w:val="00C23C88"/>
    <w:rsid w:val="00C272E8"/>
    <w:rsid w:val="00C3639D"/>
    <w:rsid w:val="00C41183"/>
    <w:rsid w:val="00C42E82"/>
    <w:rsid w:val="00C44B22"/>
    <w:rsid w:val="00C46BF7"/>
    <w:rsid w:val="00C70AC1"/>
    <w:rsid w:val="00C70FB9"/>
    <w:rsid w:val="00C73B5B"/>
    <w:rsid w:val="00C75E17"/>
    <w:rsid w:val="00C821C3"/>
    <w:rsid w:val="00C94323"/>
    <w:rsid w:val="00C967BD"/>
    <w:rsid w:val="00CA60C0"/>
    <w:rsid w:val="00CB5D80"/>
    <w:rsid w:val="00CB7BBD"/>
    <w:rsid w:val="00CC635B"/>
    <w:rsid w:val="00CD0DF3"/>
    <w:rsid w:val="00CD1688"/>
    <w:rsid w:val="00CD275D"/>
    <w:rsid w:val="00CE03F4"/>
    <w:rsid w:val="00CE0D24"/>
    <w:rsid w:val="00CE1F97"/>
    <w:rsid w:val="00CE2012"/>
    <w:rsid w:val="00CE3B68"/>
    <w:rsid w:val="00CE5C22"/>
    <w:rsid w:val="00D03251"/>
    <w:rsid w:val="00D13B7F"/>
    <w:rsid w:val="00D17952"/>
    <w:rsid w:val="00D22B67"/>
    <w:rsid w:val="00D255E5"/>
    <w:rsid w:val="00D273E8"/>
    <w:rsid w:val="00D276CD"/>
    <w:rsid w:val="00D301AB"/>
    <w:rsid w:val="00D306DE"/>
    <w:rsid w:val="00D37098"/>
    <w:rsid w:val="00D40911"/>
    <w:rsid w:val="00D42A85"/>
    <w:rsid w:val="00D50424"/>
    <w:rsid w:val="00D53F80"/>
    <w:rsid w:val="00D615B9"/>
    <w:rsid w:val="00D65B94"/>
    <w:rsid w:val="00D65D54"/>
    <w:rsid w:val="00D76F25"/>
    <w:rsid w:val="00DB0DE6"/>
    <w:rsid w:val="00DC21F0"/>
    <w:rsid w:val="00DC6509"/>
    <w:rsid w:val="00DE0BA3"/>
    <w:rsid w:val="00DE35F4"/>
    <w:rsid w:val="00DF1A9A"/>
    <w:rsid w:val="00DF2776"/>
    <w:rsid w:val="00DF323D"/>
    <w:rsid w:val="00E03D77"/>
    <w:rsid w:val="00E26814"/>
    <w:rsid w:val="00E301A5"/>
    <w:rsid w:val="00E31290"/>
    <w:rsid w:val="00E34343"/>
    <w:rsid w:val="00E533A3"/>
    <w:rsid w:val="00E53E54"/>
    <w:rsid w:val="00E554FC"/>
    <w:rsid w:val="00E57228"/>
    <w:rsid w:val="00E7089C"/>
    <w:rsid w:val="00E7246F"/>
    <w:rsid w:val="00E81BC8"/>
    <w:rsid w:val="00E970F5"/>
    <w:rsid w:val="00EA3A53"/>
    <w:rsid w:val="00EA678F"/>
    <w:rsid w:val="00EA7785"/>
    <w:rsid w:val="00EB0809"/>
    <w:rsid w:val="00EB122F"/>
    <w:rsid w:val="00EC12C7"/>
    <w:rsid w:val="00EC52FD"/>
    <w:rsid w:val="00EC5F8C"/>
    <w:rsid w:val="00EC6291"/>
    <w:rsid w:val="00ED12B1"/>
    <w:rsid w:val="00ED4E2E"/>
    <w:rsid w:val="00ED57DC"/>
    <w:rsid w:val="00EE15AB"/>
    <w:rsid w:val="00EE15D9"/>
    <w:rsid w:val="00EF1B01"/>
    <w:rsid w:val="00EF5261"/>
    <w:rsid w:val="00F001F0"/>
    <w:rsid w:val="00F028D6"/>
    <w:rsid w:val="00F04FC6"/>
    <w:rsid w:val="00F105D7"/>
    <w:rsid w:val="00F270AE"/>
    <w:rsid w:val="00F2739F"/>
    <w:rsid w:val="00F36EAE"/>
    <w:rsid w:val="00F53FD6"/>
    <w:rsid w:val="00F566F9"/>
    <w:rsid w:val="00F6323A"/>
    <w:rsid w:val="00F64931"/>
    <w:rsid w:val="00F6614B"/>
    <w:rsid w:val="00F700DD"/>
    <w:rsid w:val="00F70122"/>
    <w:rsid w:val="00F726CB"/>
    <w:rsid w:val="00F771F3"/>
    <w:rsid w:val="00F823FB"/>
    <w:rsid w:val="00F84F9D"/>
    <w:rsid w:val="00F94449"/>
    <w:rsid w:val="00F95117"/>
    <w:rsid w:val="00FA3464"/>
    <w:rsid w:val="00FA69A3"/>
    <w:rsid w:val="00FC5937"/>
    <w:rsid w:val="00FC7550"/>
    <w:rsid w:val="00FD2FE5"/>
    <w:rsid w:val="00FE0F7C"/>
    <w:rsid w:val="00FE6A83"/>
    <w:rsid w:val="00FF2E8B"/>
    <w:rsid w:val="00FF7E23"/>
    <w:rsid w:val="04B4109C"/>
    <w:rsid w:val="06BF1EA6"/>
    <w:rsid w:val="06D84C2B"/>
    <w:rsid w:val="072B4937"/>
    <w:rsid w:val="07405120"/>
    <w:rsid w:val="09CB7734"/>
    <w:rsid w:val="0B174CFF"/>
    <w:rsid w:val="0C6322DD"/>
    <w:rsid w:val="0E370BC9"/>
    <w:rsid w:val="0E920B1C"/>
    <w:rsid w:val="14464F15"/>
    <w:rsid w:val="159407BD"/>
    <w:rsid w:val="1E231C31"/>
    <w:rsid w:val="205A6931"/>
    <w:rsid w:val="20FE2263"/>
    <w:rsid w:val="232C34A4"/>
    <w:rsid w:val="2699369F"/>
    <w:rsid w:val="2BBA039F"/>
    <w:rsid w:val="2D9D3A14"/>
    <w:rsid w:val="2F952B22"/>
    <w:rsid w:val="34AB19F6"/>
    <w:rsid w:val="353676A3"/>
    <w:rsid w:val="39656B66"/>
    <w:rsid w:val="3B941598"/>
    <w:rsid w:val="3F2C3390"/>
    <w:rsid w:val="42982FF7"/>
    <w:rsid w:val="43107F6B"/>
    <w:rsid w:val="45DC0799"/>
    <w:rsid w:val="47897C75"/>
    <w:rsid w:val="4F0F1C31"/>
    <w:rsid w:val="54822946"/>
    <w:rsid w:val="55C9186A"/>
    <w:rsid w:val="58443E8B"/>
    <w:rsid w:val="5895333B"/>
    <w:rsid w:val="5A9138C7"/>
    <w:rsid w:val="5E8D3844"/>
    <w:rsid w:val="60B4658E"/>
    <w:rsid w:val="64392765"/>
    <w:rsid w:val="65456C34"/>
    <w:rsid w:val="661E7A63"/>
    <w:rsid w:val="67132BEA"/>
    <w:rsid w:val="67742B15"/>
    <w:rsid w:val="68131D94"/>
    <w:rsid w:val="6A50263F"/>
    <w:rsid w:val="713C0C8D"/>
    <w:rsid w:val="766462B9"/>
    <w:rsid w:val="78A53551"/>
    <w:rsid w:val="791848FA"/>
    <w:rsid w:val="7A001347"/>
    <w:rsid w:val="7A2F7FEF"/>
    <w:rsid w:val="7A3F43BD"/>
    <w:rsid w:val="7AB01D2F"/>
    <w:rsid w:val="7C7D2474"/>
    <w:rsid w:val="7CAE41C1"/>
    <w:rsid w:val="7F1C314B"/>
    <w:rsid w:val="7F52700A"/>
    <w:rsid w:val="7FCF4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0"/>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1"/>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2"/>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3"/>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9">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link w:val="54"/>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53"/>
    <w:semiHidden/>
    <w:unhideWhenUsed/>
    <w:qFormat/>
    <w:uiPriority w:val="99"/>
    <w:pPr>
      <w:spacing w:after="120"/>
    </w:pPr>
  </w:style>
  <w:style w:type="paragraph" w:styleId="8">
    <w:name w:val="annotation subject"/>
    <w:basedOn w:val="9"/>
    <w:next w:val="9"/>
    <w:link w:val="58"/>
    <w:unhideWhenUsed/>
    <w:qFormat/>
    <w:uiPriority w:val="0"/>
    <w:rPr>
      <w:b/>
      <w:bCs/>
    </w:rPr>
  </w:style>
  <w:style w:type="paragraph" w:styleId="9">
    <w:name w:val="annotation text"/>
    <w:basedOn w:val="1"/>
    <w:link w:val="57"/>
    <w:semiHidden/>
    <w:unhideWhenUsed/>
    <w:qFormat/>
    <w:uiPriority w:val="99"/>
    <w:pPr>
      <w:jc w:val="left"/>
    </w:pPr>
  </w:style>
  <w:style w:type="paragraph" w:styleId="10">
    <w:name w:val="Normal Indent"/>
    <w:basedOn w:val="1"/>
    <w:qFormat/>
    <w:uiPriority w:val="0"/>
    <w:pPr>
      <w:ind w:firstLine="425"/>
    </w:pPr>
    <w:rPr>
      <w:rFonts w:ascii="Times New Roman" w:hAnsi="Times New Roman" w:eastAsia="宋体" w:cs="Times New Roman"/>
      <w:szCs w:val="20"/>
    </w:rPr>
  </w:style>
  <w:style w:type="paragraph" w:styleId="11">
    <w:name w:val="caption"/>
    <w:basedOn w:val="1"/>
    <w:next w:val="1"/>
    <w:qFormat/>
    <w:uiPriority w:val="0"/>
    <w:rPr>
      <w:rFonts w:ascii="Arial" w:hAnsi="Arial" w:eastAsia="黑体" w:cs="Arial"/>
      <w:sz w:val="20"/>
      <w:szCs w:val="20"/>
    </w:rPr>
  </w:style>
  <w:style w:type="paragraph" w:styleId="12">
    <w:name w:val="Body Text 3"/>
    <w:basedOn w:val="1"/>
    <w:link w:val="49"/>
    <w:qFormat/>
    <w:uiPriority w:val="0"/>
    <w:rPr>
      <w:rFonts w:ascii="Times New Roman" w:hAnsi="Times New Roman" w:eastAsia="宋体" w:cs="Times New Roman"/>
      <w:color w:val="FF0000"/>
      <w:sz w:val="24"/>
      <w:szCs w:val="24"/>
    </w:rPr>
  </w:style>
  <w:style w:type="paragraph" w:styleId="13">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4">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5">
    <w:name w:val="Plain Text"/>
    <w:basedOn w:val="1"/>
    <w:link w:val="34"/>
    <w:qFormat/>
    <w:uiPriority w:val="0"/>
    <w:rPr>
      <w:rFonts w:eastAsia="宋体"/>
      <w:sz w:val="24"/>
    </w:rPr>
  </w:style>
  <w:style w:type="paragraph" w:styleId="16">
    <w:name w:val="Date"/>
    <w:basedOn w:val="1"/>
    <w:next w:val="1"/>
    <w:link w:val="35"/>
    <w:unhideWhenUsed/>
    <w:qFormat/>
    <w:uiPriority w:val="99"/>
    <w:pPr>
      <w:ind w:left="100" w:leftChars="2500"/>
    </w:pPr>
  </w:style>
  <w:style w:type="paragraph" w:styleId="17">
    <w:name w:val="Body Text Indent 2"/>
    <w:basedOn w:val="1"/>
    <w:semiHidden/>
    <w:unhideWhenUsed/>
    <w:qFormat/>
    <w:uiPriority w:val="99"/>
    <w:pPr>
      <w:spacing w:line="440" w:lineRule="exact"/>
      <w:ind w:firstLine="560" w:firstLineChars="200"/>
    </w:pPr>
    <w:rPr>
      <w:rFonts w:ascii="仿宋_GB2312" w:eastAsia="仿宋_GB2312"/>
      <w:sz w:val="28"/>
    </w:rPr>
  </w:style>
  <w:style w:type="paragraph" w:styleId="18">
    <w:name w:val="Balloon Text"/>
    <w:basedOn w:val="1"/>
    <w:link w:val="56"/>
    <w:semiHidden/>
    <w:unhideWhenUsed/>
    <w:qFormat/>
    <w:uiPriority w:val="99"/>
    <w:rPr>
      <w:sz w:val="18"/>
      <w:szCs w:val="18"/>
    </w:rPr>
  </w:style>
  <w:style w:type="paragraph" w:styleId="19">
    <w:name w:val="footer"/>
    <w:basedOn w:val="1"/>
    <w:link w:val="36"/>
    <w:unhideWhenUsed/>
    <w:qFormat/>
    <w:uiPriority w:val="99"/>
    <w:pPr>
      <w:tabs>
        <w:tab w:val="center" w:pos="4153"/>
        <w:tab w:val="right" w:pos="8306"/>
      </w:tabs>
      <w:snapToGrid w:val="0"/>
      <w:jc w:val="left"/>
    </w:pPr>
    <w:rPr>
      <w:sz w:val="18"/>
      <w:szCs w:val="18"/>
    </w:rPr>
  </w:style>
  <w:style w:type="paragraph" w:styleId="20">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2">
    <w:name w:val="HTML Preformatted"/>
    <w:basedOn w:val="1"/>
    <w:link w:val="5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3">
    <w:name w:val="Normal (Web)"/>
    <w:basedOn w:val="1"/>
    <w:qFormat/>
    <w:uiPriority w:val="99"/>
    <w:rPr>
      <w:rFonts w:ascii="Calibri" w:hAnsi="Calibri" w:eastAsia="宋体" w:cs="Times New Roman"/>
      <w:sz w:val="24"/>
      <w:szCs w:val="24"/>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Hyperlink"/>
    <w:basedOn w:val="24"/>
    <w:unhideWhenUsed/>
    <w:qFormat/>
    <w:uiPriority w:val="99"/>
    <w:rPr>
      <w:color w:val="0000FF"/>
      <w:u w:val="single"/>
    </w:rPr>
  </w:style>
  <w:style w:type="character" w:styleId="28">
    <w:name w:val="annotation reference"/>
    <w:basedOn w:val="24"/>
    <w:semiHidden/>
    <w:unhideWhenUsed/>
    <w:qFormat/>
    <w:uiPriority w:val="99"/>
    <w:rPr>
      <w:sz w:val="21"/>
      <w:szCs w:val="21"/>
    </w:rPr>
  </w:style>
  <w:style w:type="character" w:customStyle="1" w:styleId="30">
    <w:name w:val="标题 1 字符"/>
    <w:basedOn w:val="24"/>
    <w:link w:val="4"/>
    <w:qFormat/>
    <w:uiPriority w:val="0"/>
    <w:rPr>
      <w:rFonts w:ascii="Calibri" w:hAnsi="Calibri" w:eastAsia="宋体" w:cs="Times New Roman"/>
      <w:b/>
      <w:bCs/>
      <w:kern w:val="44"/>
      <w:sz w:val="44"/>
      <w:szCs w:val="44"/>
    </w:rPr>
  </w:style>
  <w:style w:type="character" w:customStyle="1" w:styleId="31">
    <w:name w:val="标题 2 字符"/>
    <w:basedOn w:val="24"/>
    <w:link w:val="5"/>
    <w:qFormat/>
    <w:uiPriority w:val="0"/>
    <w:rPr>
      <w:rFonts w:ascii="Arial" w:hAnsi="Arial" w:eastAsia="黑体" w:cs="Times New Roman"/>
      <w:b/>
      <w:bCs/>
      <w:kern w:val="0"/>
      <w:sz w:val="32"/>
      <w:szCs w:val="32"/>
    </w:rPr>
  </w:style>
  <w:style w:type="character" w:customStyle="1" w:styleId="32">
    <w:name w:val="标题 3 字符"/>
    <w:basedOn w:val="24"/>
    <w:link w:val="6"/>
    <w:qFormat/>
    <w:uiPriority w:val="0"/>
    <w:rPr>
      <w:rFonts w:ascii="宋体" w:hAnsi="宋体" w:eastAsia="宋体" w:cs="Times New Roman"/>
      <w:b/>
      <w:color w:val="000000"/>
      <w:kern w:val="0"/>
      <w:sz w:val="24"/>
      <w:szCs w:val="20"/>
      <w:lang w:val="en-GB"/>
    </w:rPr>
  </w:style>
  <w:style w:type="character" w:customStyle="1" w:styleId="33">
    <w:name w:val="标题 4 字符"/>
    <w:basedOn w:val="24"/>
    <w:link w:val="7"/>
    <w:qFormat/>
    <w:uiPriority w:val="0"/>
    <w:rPr>
      <w:rFonts w:ascii="Arial" w:hAnsi="Arial" w:eastAsia="黑体" w:cs="Times New Roman"/>
      <w:b/>
      <w:bCs/>
      <w:kern w:val="0"/>
      <w:sz w:val="28"/>
      <w:szCs w:val="28"/>
    </w:rPr>
  </w:style>
  <w:style w:type="character" w:customStyle="1" w:styleId="34">
    <w:name w:val="纯文本 字符"/>
    <w:basedOn w:val="24"/>
    <w:link w:val="15"/>
    <w:qFormat/>
    <w:uiPriority w:val="0"/>
    <w:rPr>
      <w:rFonts w:eastAsia="宋体"/>
      <w:sz w:val="24"/>
    </w:rPr>
  </w:style>
  <w:style w:type="character" w:customStyle="1" w:styleId="35">
    <w:name w:val="日期 字符"/>
    <w:basedOn w:val="24"/>
    <w:link w:val="16"/>
    <w:qFormat/>
    <w:uiPriority w:val="99"/>
  </w:style>
  <w:style w:type="character" w:customStyle="1" w:styleId="36">
    <w:name w:val="页脚 字符"/>
    <w:basedOn w:val="24"/>
    <w:link w:val="19"/>
    <w:qFormat/>
    <w:uiPriority w:val="99"/>
    <w:rPr>
      <w:sz w:val="18"/>
      <w:szCs w:val="18"/>
    </w:rPr>
  </w:style>
  <w:style w:type="character" w:customStyle="1" w:styleId="37">
    <w:name w:val="页眉 字符"/>
    <w:basedOn w:val="24"/>
    <w:link w:val="20"/>
    <w:qFormat/>
    <w:uiPriority w:val="99"/>
    <w:rPr>
      <w:sz w:val="18"/>
      <w:szCs w:val="18"/>
    </w:rPr>
  </w:style>
  <w:style w:type="character" w:customStyle="1" w:styleId="38">
    <w:name w:val="纯文本 Char1"/>
    <w:qFormat/>
    <w:uiPriority w:val="0"/>
    <w:rPr>
      <w:rFonts w:eastAsia="宋体"/>
      <w:sz w:val="24"/>
    </w:rPr>
  </w:style>
  <w:style w:type="paragraph" w:customStyle="1" w:styleId="39">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0">
    <w:name w:val="列出段落1"/>
    <w:basedOn w:val="1"/>
    <w:qFormat/>
    <w:uiPriority w:val="34"/>
    <w:pPr>
      <w:ind w:firstLine="420" w:firstLineChars="200"/>
    </w:pPr>
  </w:style>
  <w:style w:type="paragraph" w:styleId="41">
    <w:name w:val="List Paragraph"/>
    <w:basedOn w:val="1"/>
    <w:unhideWhenUsed/>
    <w:qFormat/>
    <w:uiPriority w:val="99"/>
    <w:pPr>
      <w:ind w:firstLine="420" w:firstLineChars="200"/>
    </w:pPr>
  </w:style>
  <w:style w:type="character" w:customStyle="1" w:styleId="42">
    <w:name w:val="正文文本缩进 Char Char"/>
    <w:link w:val="43"/>
    <w:qFormat/>
    <w:uiPriority w:val="0"/>
    <w:rPr>
      <w:rFonts w:ascii="宋体"/>
      <w:sz w:val="24"/>
    </w:rPr>
  </w:style>
  <w:style w:type="paragraph" w:customStyle="1" w:styleId="43">
    <w:name w:val="正文文本缩进1"/>
    <w:basedOn w:val="1"/>
    <w:link w:val="42"/>
    <w:qFormat/>
    <w:uiPriority w:val="0"/>
    <w:pPr>
      <w:spacing w:line="360" w:lineRule="auto"/>
      <w:ind w:firstLine="480" w:firstLineChars="200"/>
    </w:pPr>
    <w:rPr>
      <w:rFonts w:ascii="宋体"/>
      <w:sz w:val="24"/>
    </w:rPr>
  </w:style>
  <w:style w:type="character" w:customStyle="1" w:styleId="44">
    <w:name w:val="日期 Char Char"/>
    <w:link w:val="45"/>
    <w:qFormat/>
    <w:uiPriority w:val="0"/>
    <w:rPr>
      <w:sz w:val="24"/>
    </w:rPr>
  </w:style>
  <w:style w:type="paragraph" w:customStyle="1" w:styleId="45">
    <w:name w:val="日期1"/>
    <w:basedOn w:val="1"/>
    <w:next w:val="1"/>
    <w:link w:val="44"/>
    <w:qFormat/>
    <w:uiPriority w:val="0"/>
    <w:rPr>
      <w:sz w:val="24"/>
    </w:rPr>
  </w:style>
  <w:style w:type="paragraph" w:customStyle="1" w:styleId="46">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7">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9">
    <w:name w:val="正文文本 3 字符"/>
    <w:basedOn w:val="24"/>
    <w:link w:val="12"/>
    <w:qFormat/>
    <w:uiPriority w:val="0"/>
    <w:rPr>
      <w:rFonts w:ascii="Times New Roman" w:hAnsi="Times New Roman" w:eastAsia="宋体" w:cs="Times New Roman"/>
      <w:color w:val="FF0000"/>
      <w:sz w:val="24"/>
      <w:szCs w:val="24"/>
    </w:rPr>
  </w:style>
  <w:style w:type="character" w:customStyle="1" w:styleId="50">
    <w:name w:val="edittexttarea"/>
    <w:basedOn w:val="24"/>
    <w:qFormat/>
    <w:uiPriority w:val="0"/>
  </w:style>
  <w:style w:type="paragraph" w:customStyle="1" w:styleId="51">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2">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3">
    <w:name w:val="正文文本 字符"/>
    <w:basedOn w:val="24"/>
    <w:link w:val="3"/>
    <w:semiHidden/>
    <w:qFormat/>
    <w:uiPriority w:val="99"/>
  </w:style>
  <w:style w:type="character" w:customStyle="1" w:styleId="54">
    <w:name w:val="正文文本首行缩进 字符"/>
    <w:basedOn w:val="53"/>
    <w:link w:val="2"/>
    <w:qFormat/>
    <w:uiPriority w:val="0"/>
    <w:rPr>
      <w:rFonts w:ascii="宋体" w:hAnsi="Times New Roman" w:eastAsia="宋体" w:cs="Times New Roman"/>
      <w:kern w:val="0"/>
      <w:sz w:val="34"/>
      <w:szCs w:val="20"/>
    </w:rPr>
  </w:style>
  <w:style w:type="character" w:customStyle="1" w:styleId="55">
    <w:name w:val="HTML 预设格式 字符"/>
    <w:basedOn w:val="24"/>
    <w:link w:val="22"/>
    <w:semiHidden/>
    <w:qFormat/>
    <w:uiPriority w:val="99"/>
    <w:rPr>
      <w:rFonts w:ascii="宋体" w:hAnsi="宋体" w:eastAsia="宋体" w:cs="宋体"/>
      <w:kern w:val="0"/>
      <w:sz w:val="24"/>
      <w:szCs w:val="24"/>
    </w:rPr>
  </w:style>
  <w:style w:type="character" w:customStyle="1" w:styleId="56">
    <w:name w:val="批注框文本 字符"/>
    <w:basedOn w:val="24"/>
    <w:link w:val="18"/>
    <w:semiHidden/>
    <w:qFormat/>
    <w:uiPriority w:val="99"/>
    <w:rPr>
      <w:kern w:val="2"/>
      <w:sz w:val="18"/>
      <w:szCs w:val="18"/>
    </w:rPr>
  </w:style>
  <w:style w:type="character" w:customStyle="1" w:styleId="57">
    <w:name w:val="批注文字 字符"/>
    <w:basedOn w:val="24"/>
    <w:link w:val="9"/>
    <w:semiHidden/>
    <w:qFormat/>
    <w:uiPriority w:val="99"/>
    <w:rPr>
      <w:kern w:val="2"/>
      <w:sz w:val="21"/>
      <w:szCs w:val="22"/>
    </w:rPr>
  </w:style>
  <w:style w:type="character" w:customStyle="1" w:styleId="58">
    <w:name w:val="批注主题 字符"/>
    <w:basedOn w:val="57"/>
    <w:link w:val="8"/>
    <w:qFormat/>
    <w:uiPriority w:val="0"/>
    <w:rPr>
      <w:kern w:val="2"/>
      <w:sz w:val="21"/>
      <w:szCs w:val="22"/>
    </w:rPr>
  </w:style>
  <w:style w:type="paragraph" w:customStyle="1" w:styleId="59">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A0036B-EB36-4880-BBC7-BF7BE16564BE}">
  <ds:schemaRefs/>
</ds:datastoreItem>
</file>

<file path=docProps/app.xml><?xml version="1.0" encoding="utf-8"?>
<Properties xmlns="http://schemas.openxmlformats.org/officeDocument/2006/extended-properties" xmlns:vt="http://schemas.openxmlformats.org/officeDocument/2006/docPropsVTypes">
  <Template>Normal</Template>
  <Pages>63</Pages>
  <Words>5420</Words>
  <Characters>30895</Characters>
  <Lines>257</Lines>
  <Paragraphs>72</Paragraphs>
  <TotalTime>0</TotalTime>
  <ScaleCrop>false</ScaleCrop>
  <LinksUpToDate>false</LinksUpToDate>
  <CharactersWithSpaces>36243</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2018-05-16T03:22:00Z</dcterms:created>
  <dc:creator>许昌市公共资源交易中心:孟莉</dc:creator>
  <cp:lastModifiedBy>‖红高粱、</cp:lastModifiedBy>
  <cp:lastPrinted>2018-10-10T07:05:00Z</cp:lastPrinted>
  <dcterms:modified xsi:type="dcterms:W3CDTF">2018-10-11T02:34:48Z</dcterms:modified>
  <cp:revision>493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