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许昌市城乡一体化示范区建设环保局</w:t>
      </w:r>
      <w:bookmarkStart w:id="9" w:name="_GoBack"/>
      <w:r>
        <w:rPr>
          <w:rFonts w:hint="eastAsia" w:asciiTheme="majorEastAsia" w:hAnsiTheme="majorEastAsia" w:eastAsiaTheme="majorEastAsia" w:cstheme="majorEastAsia"/>
          <w:b/>
          <w:bCs/>
          <w:sz w:val="44"/>
          <w:szCs w:val="44"/>
        </w:rPr>
        <w:t>“芙蓉广场环保监测站点巡查管控服务”</w:t>
      </w:r>
      <w:bookmarkEnd w:id="9"/>
      <w:r>
        <w:rPr>
          <w:rFonts w:hint="eastAsia" w:asciiTheme="majorEastAsia" w:hAnsiTheme="majorEastAsia" w:eastAsiaTheme="majorEastAsia" w:cstheme="majorEastAsia"/>
          <w:b/>
          <w:bCs/>
          <w:sz w:val="44"/>
          <w:szCs w:val="44"/>
        </w:rPr>
        <w:t>项目</w:t>
      </w:r>
    </w:p>
    <w:p>
      <w:pPr>
        <w:rPr>
          <w:rFonts w:ascii="微软简隶书" w:eastAsia="微软简隶书"/>
          <w:u w:val="single"/>
        </w:rPr>
      </w:pPr>
    </w:p>
    <w:p>
      <w:pPr>
        <w:rPr>
          <w:rFonts w:ascii="微软简隶书" w:eastAsia="微软简隶书"/>
        </w:rPr>
      </w:pPr>
    </w:p>
    <w:p>
      <w:pPr>
        <w:pStyle w:val="2"/>
        <w:ind w:firstLine="340"/>
      </w:pPr>
    </w:p>
    <w:p>
      <w:pPr>
        <w:pStyle w:val="2"/>
        <w:ind w:firstLine="340"/>
      </w:pPr>
    </w:p>
    <w:p>
      <w:pPr>
        <w:pStyle w:val="2"/>
        <w:ind w:firstLine="340"/>
      </w:pPr>
    </w:p>
    <w:p>
      <w:pPr>
        <w:pStyle w:val="2"/>
        <w:ind w:firstLine="340"/>
      </w:pPr>
    </w:p>
    <w:p>
      <w:pPr>
        <w:jc w:val="center"/>
        <w:rPr>
          <w:rFonts w:ascii="微软简隶书" w:eastAsia="微软简隶书"/>
        </w:rPr>
      </w:pPr>
      <w:r>
        <w:rPr>
          <w:rFonts w:hint="eastAsia" w:asciiTheme="majorEastAsia" w:hAnsiTheme="majorEastAsia" w:eastAsiaTheme="majorEastAsia" w:cstheme="majorEastAsia"/>
          <w:bCs/>
          <w:w w:val="90"/>
          <w:sz w:val="96"/>
          <w:szCs w:val="120"/>
        </w:rPr>
        <w:t>招　标　文　件</w:t>
      </w:r>
    </w:p>
    <w:p>
      <w:pPr>
        <w:jc w:val="center"/>
        <w:rPr>
          <w:rFonts w:asciiTheme="majorEastAsia" w:hAnsiTheme="majorEastAsia" w:eastAsiaTheme="majorEastAsia" w:cstheme="majorEastAsia"/>
          <w:bCs/>
          <w:w w:val="90"/>
          <w:sz w:val="120"/>
          <w:szCs w:val="120"/>
        </w:rPr>
      </w:pPr>
    </w:p>
    <w:p>
      <w:pPr>
        <w:rPr>
          <w:rFonts w:ascii="微软简隶书" w:eastAsia="微软简隶书"/>
        </w:rPr>
      </w:pPr>
    </w:p>
    <w:p>
      <w:pPr>
        <w:rPr>
          <w:rFonts w:ascii="微软简隶书" w:eastAsia="微软简隶书"/>
        </w:rPr>
      </w:pPr>
    </w:p>
    <w:p>
      <w:pPr>
        <w:rPr>
          <w:rFonts w:ascii="微软简隶书" w:eastAsia="微软简隶书"/>
        </w:rPr>
      </w:pPr>
    </w:p>
    <w:p>
      <w:pPr>
        <w:pStyle w:val="2"/>
        <w:ind w:firstLine="340"/>
      </w:pPr>
    </w:p>
    <w:p>
      <w:pPr>
        <w:rPr>
          <w:rFonts w:ascii="微软简隶书" w:eastAsia="微软简隶书"/>
        </w:rPr>
      </w:pPr>
    </w:p>
    <w:p>
      <w:pPr>
        <w:rPr>
          <w:rFonts w:ascii="微软简隶书" w:eastAsia="微软简隶书"/>
        </w:rPr>
      </w:pPr>
    </w:p>
    <w:p>
      <w:pPr>
        <w:rPr>
          <w:rFonts w:ascii="微软简隶书" w:eastAsia="微软简隶书"/>
        </w:rPr>
      </w:pPr>
    </w:p>
    <w:p>
      <w:pP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 xml:space="preserve">   </w:t>
      </w:r>
      <w:r>
        <w:rPr>
          <w:rFonts w:asciiTheme="majorEastAsia" w:hAnsiTheme="majorEastAsia" w:eastAsiaTheme="majorEastAsia" w:cstheme="majorEastAsia"/>
          <w:b/>
          <w:bCs/>
          <w:sz w:val="36"/>
          <w:szCs w:val="36"/>
        </w:rPr>
        <w:t xml:space="preserve">   </w:t>
      </w:r>
      <w:r>
        <w:rPr>
          <w:rFonts w:hint="eastAsia" w:asciiTheme="majorEastAsia" w:hAnsiTheme="majorEastAsia" w:eastAsiaTheme="majorEastAsia" w:cstheme="majorEastAsia"/>
          <w:b/>
          <w:bCs/>
          <w:sz w:val="36"/>
          <w:szCs w:val="36"/>
        </w:rPr>
        <w:t>项目编号：JZFCG-G2018088号</w:t>
      </w:r>
    </w:p>
    <w:p>
      <w:pPr>
        <w:ind w:firstLine="1084" w:firstLineChars="300"/>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采购单位：许昌市城乡一体化示范区建设环保局</w:t>
      </w:r>
    </w:p>
    <w:p>
      <w:pPr>
        <w:ind w:firstLine="1084" w:firstLineChars="300"/>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代理机构：中大国信工程管理有限公司</w:t>
      </w: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二〇一八年十月</w:t>
      </w:r>
    </w:p>
    <w:p>
      <w:pPr>
        <w:autoSpaceDE w:val="0"/>
        <w:autoSpaceDN w:val="0"/>
        <w:adjustRightInd w:val="0"/>
        <w:spacing w:line="700" w:lineRule="exact"/>
        <w:ind w:firstLine="551"/>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招标文件目录</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第一章 投标邀请</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第二章 项目需求</w:t>
      </w:r>
    </w:p>
    <w:p>
      <w:pPr>
        <w:autoSpaceDE w:val="0"/>
        <w:autoSpaceDN w:val="0"/>
        <w:adjustRightInd w:val="0"/>
        <w:spacing w:line="700" w:lineRule="exact"/>
        <w:ind w:firstLine="560"/>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第三章 </w:t>
      </w:r>
      <w:r>
        <w:rPr>
          <w:rFonts w:hint="eastAsia" w:asciiTheme="majorEastAsia" w:hAnsiTheme="majorEastAsia" w:eastAsiaTheme="majorEastAsia" w:cstheme="majorEastAsia"/>
          <w:b/>
          <w:kern w:val="0"/>
          <w:sz w:val="30"/>
          <w:szCs w:val="30"/>
        </w:rPr>
        <w:t>投标人须知前附表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第四章 </w:t>
      </w:r>
      <w:r>
        <w:rPr>
          <w:rFonts w:hint="eastAsia" w:asciiTheme="majorEastAsia" w:hAnsiTheme="majorEastAsia" w:eastAsiaTheme="majorEastAsia" w:cstheme="majorEastAsia"/>
          <w:b/>
          <w:kern w:val="0"/>
          <w:sz w:val="30"/>
          <w:szCs w:val="30"/>
        </w:rPr>
        <w:t>投标人须知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二、招标文件说明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三、投标文件的编制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四、投标文件的递交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五、开标和评标</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六、定标和授予合同</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第五章 </w:t>
      </w:r>
      <w:r>
        <w:rPr>
          <w:rFonts w:hint="eastAsia" w:asciiTheme="majorEastAsia" w:hAnsiTheme="majorEastAsia" w:eastAsiaTheme="majorEastAsia" w:cstheme="majorEastAsia"/>
          <w:b/>
          <w:kern w:val="0"/>
          <w:sz w:val="30"/>
          <w:szCs w:val="30"/>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第六章 </w:t>
      </w:r>
      <w:r>
        <w:rPr>
          <w:rFonts w:hint="eastAsia" w:asciiTheme="majorEastAsia" w:hAnsiTheme="majorEastAsia" w:eastAsiaTheme="majorEastAsia" w:cstheme="majorEastAsia"/>
          <w:b/>
          <w:kern w:val="0"/>
          <w:sz w:val="30"/>
          <w:szCs w:val="30"/>
        </w:rPr>
        <w:t>资格审查与评标</w:t>
      </w:r>
    </w:p>
    <w:p>
      <w:pPr>
        <w:autoSpaceDE w:val="0"/>
        <w:autoSpaceDN w:val="0"/>
        <w:adjustRightInd w:val="0"/>
        <w:spacing w:line="700" w:lineRule="exact"/>
        <w:ind w:firstLine="551"/>
        <w:outlineLvl w:val="0"/>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b/>
          <w:bCs/>
          <w:sz w:val="30"/>
          <w:szCs w:val="30"/>
          <w:lang w:val="zh-CN"/>
        </w:rPr>
        <w:t xml:space="preserve">第七章 </w:t>
      </w:r>
      <w:r>
        <w:rPr>
          <w:rFonts w:hint="eastAsia" w:asciiTheme="majorEastAsia" w:hAnsiTheme="majorEastAsia" w:eastAsiaTheme="majorEastAsia" w:cstheme="majorEastAsia"/>
          <w:b/>
          <w:kern w:val="0"/>
          <w:sz w:val="30"/>
          <w:szCs w:val="30"/>
        </w:rPr>
        <w:t>合同条款及格式</w:t>
      </w:r>
    </w:p>
    <w:p>
      <w:pPr>
        <w:autoSpaceDE w:val="0"/>
        <w:autoSpaceDN w:val="0"/>
        <w:adjustRightInd w:val="0"/>
        <w:spacing w:line="700" w:lineRule="exact"/>
        <w:ind w:firstLine="551"/>
        <w:rPr>
          <w:rFonts w:asciiTheme="majorEastAsia" w:hAnsiTheme="majorEastAsia" w:eastAsiaTheme="majorEastAsia" w:cstheme="majorEastAsia"/>
          <w:b/>
          <w:kern w:val="0"/>
          <w:sz w:val="30"/>
          <w:szCs w:val="30"/>
        </w:rPr>
      </w:pPr>
      <w:r>
        <w:rPr>
          <w:rFonts w:hint="eastAsia" w:asciiTheme="majorEastAsia" w:hAnsiTheme="majorEastAsia" w:eastAsiaTheme="majorEastAsia" w:cstheme="majorEastAsia"/>
          <w:b/>
          <w:bCs/>
          <w:sz w:val="30"/>
          <w:szCs w:val="30"/>
          <w:lang w:val="zh-CN"/>
        </w:rPr>
        <w:t xml:space="preserve">第八章 </w:t>
      </w:r>
      <w:r>
        <w:rPr>
          <w:rFonts w:hint="eastAsia" w:asciiTheme="majorEastAsia" w:hAnsiTheme="majorEastAsia" w:eastAsiaTheme="majorEastAsia" w:cstheme="majorEastAsia"/>
          <w:b/>
          <w:kern w:val="0"/>
          <w:sz w:val="30"/>
          <w:szCs w:val="30"/>
        </w:rPr>
        <w:t>投标文件有关格式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pStyle w:val="2"/>
        <w:ind w:firstLine="340"/>
      </w:pPr>
    </w:p>
    <w:p>
      <w:pPr>
        <w:pStyle w:val="2"/>
        <w:ind w:firstLine="340"/>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第一章 投标邀请</w:t>
      </w:r>
    </w:p>
    <w:p>
      <w:pPr>
        <w:pStyle w:val="21"/>
        <w:widowControl/>
        <w:shd w:val="clear" w:color="auto" w:fill="FFFFFF"/>
        <w:spacing w:line="360" w:lineRule="auto"/>
        <w:contextualSpacing/>
        <w:jc w:val="left"/>
        <w:rPr>
          <w:rFonts w:cs="黑体" w:asciiTheme="minorEastAsia" w:hAnsiTheme="minorEastAsia" w:eastAsiaTheme="minorEastAsia"/>
          <w:b/>
          <w:bCs/>
          <w:sz w:val="21"/>
          <w:szCs w:val="21"/>
        </w:rPr>
      </w:pPr>
      <w:r>
        <w:rPr>
          <w:rFonts w:hint="eastAsia" w:cs="黑体" w:asciiTheme="minorEastAsia" w:hAnsiTheme="minorEastAsia" w:eastAsiaTheme="minorEastAsia"/>
          <w:b/>
          <w:bCs/>
          <w:sz w:val="21"/>
          <w:szCs w:val="21"/>
          <w:shd w:val="clear" w:color="auto" w:fill="FFFFFF"/>
        </w:rPr>
        <w:t>一、项目基本情况</w:t>
      </w:r>
    </w:p>
    <w:p>
      <w:pPr>
        <w:pStyle w:val="21"/>
        <w:widowControl/>
        <w:shd w:val="clear" w:color="auto" w:fill="FFFFFF"/>
        <w:spacing w:line="360" w:lineRule="auto"/>
        <w:ind w:firstLine="42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（一）项目名称：许昌市城乡一体化示范区建设环保局“芙蓉广场环保监测站点巡查管控服务”项目</w:t>
      </w:r>
    </w:p>
    <w:p>
      <w:pPr>
        <w:pStyle w:val="21"/>
        <w:widowControl/>
        <w:shd w:val="clear" w:color="auto" w:fill="FFFFFF"/>
        <w:spacing w:line="360" w:lineRule="auto"/>
        <w:ind w:firstLine="42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 xml:space="preserve">（二）项目编号：JZFCG-G2018088号    </w:t>
      </w:r>
    </w:p>
    <w:p>
      <w:pPr>
        <w:pStyle w:val="21"/>
        <w:widowControl/>
        <w:shd w:val="clear" w:color="auto" w:fill="FFFFFF"/>
        <w:spacing w:line="360" w:lineRule="auto"/>
        <w:ind w:firstLine="42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（三）采购方式：公开招标</w:t>
      </w:r>
    </w:p>
    <w:p>
      <w:pPr>
        <w:pStyle w:val="21"/>
        <w:widowControl/>
        <w:shd w:val="clear" w:color="auto" w:fill="FFFFFF"/>
        <w:spacing w:line="360" w:lineRule="auto"/>
        <w:ind w:firstLine="42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（四）项目主要内容、数量及要求： 1、对辖区内环境空气“六因子（PM</w:t>
      </w:r>
      <w:r>
        <w:rPr>
          <w:rFonts w:hint="eastAsia" w:cs="仿宋_GB2312" w:asciiTheme="minorEastAsia" w:hAnsiTheme="minorEastAsia" w:eastAsiaTheme="minorEastAsia"/>
          <w:sz w:val="21"/>
          <w:szCs w:val="21"/>
          <w:shd w:val="clear" w:color="auto" w:fill="FFFFFF"/>
          <w:vertAlign w:val="subscript"/>
        </w:rPr>
        <w:t>10</w:t>
      </w:r>
      <w:r>
        <w:rPr>
          <w:rFonts w:hint="eastAsia" w:cs="仿宋_GB2312" w:asciiTheme="minorEastAsia" w:hAnsiTheme="minorEastAsia" w:eastAsiaTheme="minorEastAsia"/>
          <w:sz w:val="21"/>
          <w:szCs w:val="21"/>
          <w:shd w:val="clear" w:color="auto" w:fill="FFFFFF"/>
        </w:rPr>
        <w:t>、PM</w:t>
      </w:r>
      <w:r>
        <w:rPr>
          <w:rFonts w:hint="eastAsia" w:cs="仿宋_GB2312" w:asciiTheme="minorEastAsia" w:hAnsiTheme="minorEastAsia" w:eastAsiaTheme="minorEastAsia"/>
          <w:sz w:val="21"/>
          <w:szCs w:val="21"/>
          <w:shd w:val="clear" w:color="auto" w:fill="FFFFFF"/>
          <w:vertAlign w:val="subscript"/>
        </w:rPr>
        <w:t>2.5</w:t>
      </w:r>
      <w:r>
        <w:rPr>
          <w:rFonts w:hint="eastAsia" w:cs="仿宋_GB2312" w:asciiTheme="minorEastAsia" w:hAnsiTheme="minorEastAsia" w:eastAsiaTheme="minorEastAsia"/>
          <w:sz w:val="21"/>
          <w:szCs w:val="21"/>
          <w:shd w:val="clear" w:color="auto" w:fill="FFFFFF"/>
        </w:rPr>
        <w:t>、SO</w:t>
      </w:r>
      <w:r>
        <w:rPr>
          <w:rFonts w:hint="eastAsia" w:cs="仿宋_GB2312" w:asciiTheme="minorEastAsia" w:hAnsiTheme="minorEastAsia" w:eastAsiaTheme="minorEastAsia"/>
          <w:sz w:val="21"/>
          <w:szCs w:val="21"/>
          <w:shd w:val="clear" w:color="auto" w:fill="FFFFFF"/>
          <w:vertAlign w:val="subscript"/>
        </w:rPr>
        <w:t>2</w:t>
      </w:r>
      <w:r>
        <w:rPr>
          <w:rFonts w:hint="eastAsia" w:cs="仿宋_GB2312" w:asciiTheme="minorEastAsia" w:hAnsiTheme="minorEastAsia" w:eastAsiaTheme="minorEastAsia"/>
          <w:sz w:val="21"/>
          <w:szCs w:val="21"/>
          <w:shd w:val="clear" w:color="auto" w:fill="FFFFFF"/>
        </w:rPr>
        <w:t>、NO</w:t>
      </w:r>
      <w:r>
        <w:rPr>
          <w:rFonts w:hint="eastAsia" w:cs="仿宋_GB2312" w:asciiTheme="minorEastAsia" w:hAnsiTheme="minorEastAsia" w:eastAsiaTheme="minorEastAsia"/>
          <w:sz w:val="21"/>
          <w:szCs w:val="21"/>
          <w:shd w:val="clear" w:color="auto" w:fill="FFFFFF"/>
          <w:vertAlign w:val="subscript"/>
        </w:rPr>
        <w:t>x</w:t>
      </w:r>
      <w:r>
        <w:rPr>
          <w:rFonts w:hint="eastAsia" w:cs="仿宋_GB2312" w:asciiTheme="minorEastAsia" w:hAnsiTheme="minorEastAsia" w:eastAsiaTheme="minorEastAsia"/>
          <w:sz w:val="21"/>
          <w:szCs w:val="21"/>
          <w:shd w:val="clear" w:color="auto" w:fill="FFFFFF"/>
        </w:rPr>
        <w:t>、CO、O</w:t>
      </w:r>
      <w:r>
        <w:rPr>
          <w:rFonts w:hint="eastAsia" w:cs="仿宋_GB2312" w:asciiTheme="minorEastAsia" w:hAnsiTheme="minorEastAsia" w:eastAsiaTheme="minorEastAsia"/>
          <w:sz w:val="21"/>
          <w:szCs w:val="21"/>
          <w:shd w:val="clear" w:color="auto" w:fill="FFFFFF"/>
          <w:vertAlign w:val="subscript"/>
        </w:rPr>
        <w:t>3</w:t>
      </w:r>
      <w:r>
        <w:rPr>
          <w:rFonts w:hint="eastAsia" w:cs="仿宋_GB2312" w:asciiTheme="minorEastAsia" w:hAnsiTheme="minorEastAsia" w:eastAsiaTheme="minorEastAsia"/>
          <w:sz w:val="21"/>
          <w:szCs w:val="21"/>
          <w:shd w:val="clear" w:color="auto" w:fill="FFFFFF"/>
        </w:rPr>
        <w:t>）”进行非固定点位监测；2、提出相应的改进及合理化建议；3、辖区内建筑工及重点污染源的巡查与监控。</w:t>
      </w:r>
    </w:p>
    <w:p>
      <w:pPr>
        <w:pStyle w:val="21"/>
        <w:widowControl/>
        <w:shd w:val="clear" w:color="auto" w:fill="FFFFFF"/>
        <w:spacing w:line="360" w:lineRule="auto"/>
        <w:ind w:firstLine="42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（五）预算金额：</w:t>
      </w:r>
      <w:r>
        <w:rPr>
          <w:rFonts w:hint="eastAsia" w:cs="仿宋_GB2312" w:asciiTheme="minorEastAsia" w:hAnsiTheme="minorEastAsia" w:eastAsiaTheme="minorEastAsia"/>
          <w:sz w:val="21"/>
          <w:szCs w:val="21"/>
          <w:u w:val="single"/>
          <w:shd w:val="clear" w:color="auto" w:fill="FFFFFF"/>
        </w:rPr>
        <w:t>52万元</w:t>
      </w:r>
      <w:r>
        <w:rPr>
          <w:rFonts w:hint="eastAsia" w:cs="仿宋_GB2312" w:asciiTheme="minorEastAsia" w:hAnsiTheme="minorEastAsia" w:eastAsiaTheme="minorEastAsia"/>
          <w:sz w:val="21"/>
          <w:szCs w:val="21"/>
          <w:shd w:val="clear" w:color="auto" w:fill="FFFFFF"/>
        </w:rPr>
        <w:t>。最高限价：</w:t>
      </w:r>
      <w:r>
        <w:rPr>
          <w:rFonts w:hint="eastAsia" w:cs="仿宋_GB2312" w:asciiTheme="minorEastAsia" w:hAnsiTheme="minorEastAsia" w:eastAsiaTheme="minorEastAsia"/>
          <w:sz w:val="21"/>
          <w:szCs w:val="21"/>
          <w:u w:val="single"/>
          <w:shd w:val="clear" w:color="auto" w:fill="FFFFFF"/>
        </w:rPr>
        <w:t>52万元</w:t>
      </w:r>
      <w:r>
        <w:rPr>
          <w:rFonts w:hint="eastAsia" w:cs="仿宋_GB2312" w:asciiTheme="minorEastAsia" w:hAnsiTheme="minorEastAsia" w:eastAsiaTheme="minorEastAsia"/>
          <w:sz w:val="21"/>
          <w:szCs w:val="21"/>
          <w:shd w:val="clear" w:color="auto" w:fill="FFFFFF"/>
        </w:rPr>
        <w:t>。</w:t>
      </w:r>
    </w:p>
    <w:p>
      <w:pPr>
        <w:pStyle w:val="21"/>
        <w:widowControl/>
        <w:shd w:val="clear" w:color="auto" w:fill="FFFFFF"/>
        <w:spacing w:line="360" w:lineRule="auto"/>
        <w:ind w:firstLine="42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 xml:space="preserve">（六）交付（服务、完工）时间 ：合同签订后三个月内完成。 </w:t>
      </w:r>
    </w:p>
    <w:p>
      <w:pPr>
        <w:pStyle w:val="21"/>
        <w:widowControl/>
        <w:shd w:val="clear" w:color="auto" w:fill="FFFFFF"/>
        <w:spacing w:line="360" w:lineRule="auto"/>
        <w:ind w:firstLine="42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（七）交付（服务、完工）地点： 许昌市城乡一体化示范区</w:t>
      </w:r>
    </w:p>
    <w:p>
      <w:pPr>
        <w:pStyle w:val="21"/>
        <w:widowControl/>
        <w:shd w:val="clear" w:color="auto" w:fill="FFFFFF"/>
        <w:spacing w:line="360" w:lineRule="auto"/>
        <w:ind w:firstLine="420"/>
        <w:contextualSpacing/>
        <w:jc w:val="left"/>
        <w:rPr>
          <w:rFonts w:cs="黑体" w:asciiTheme="minorEastAsia" w:hAnsiTheme="minorEastAsia" w:eastAsiaTheme="minorEastAsia"/>
          <w:b/>
          <w:bCs/>
          <w:sz w:val="21"/>
          <w:szCs w:val="21"/>
          <w:shd w:val="clear" w:color="auto" w:fill="FFFFFF"/>
        </w:rPr>
      </w:pPr>
      <w:r>
        <w:rPr>
          <w:rFonts w:hint="eastAsia" w:cs="黑体" w:asciiTheme="minorEastAsia" w:hAnsiTheme="minorEastAsia" w:eastAsiaTheme="minorEastAsia"/>
          <w:b/>
          <w:bCs/>
          <w:sz w:val="21"/>
          <w:szCs w:val="21"/>
          <w:shd w:val="clear" w:color="auto" w:fill="FFFFFF"/>
        </w:rPr>
        <w:t>二、需要落实的政府采购政策</w:t>
      </w:r>
    </w:p>
    <w:p>
      <w:pPr>
        <w:pStyle w:val="21"/>
        <w:widowControl/>
        <w:shd w:val="clear" w:color="auto" w:fill="FFFFFF"/>
        <w:spacing w:line="360" w:lineRule="auto"/>
        <w:ind w:firstLine="42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本项目落实</w:t>
      </w:r>
      <w:r>
        <w:rPr>
          <w:rFonts w:hint="eastAsia" w:cs="仿宋_GB2312" w:asciiTheme="minorEastAsia" w:hAnsiTheme="minorEastAsia" w:eastAsiaTheme="minorEastAsia"/>
          <w:sz w:val="21"/>
          <w:szCs w:val="21"/>
          <w:u w:val="single"/>
          <w:shd w:val="clear" w:color="auto" w:fill="FFFFFF"/>
        </w:rPr>
        <w:t>节能环保</w:t>
      </w:r>
      <w:r>
        <w:rPr>
          <w:rFonts w:hint="eastAsia" w:cs="仿宋_GB2312" w:asciiTheme="minorEastAsia" w:hAnsiTheme="minorEastAsia" w:eastAsiaTheme="minorEastAsia"/>
          <w:sz w:val="21"/>
          <w:szCs w:val="21"/>
          <w:shd w:val="clear" w:color="auto" w:fill="FFFFFF"/>
        </w:rPr>
        <w:t>、</w:t>
      </w:r>
      <w:r>
        <w:rPr>
          <w:rFonts w:hint="eastAsia" w:cs="仿宋_GB2312" w:asciiTheme="minorEastAsia" w:hAnsiTheme="minorEastAsia" w:eastAsiaTheme="minorEastAsia"/>
          <w:sz w:val="21"/>
          <w:szCs w:val="21"/>
          <w:u w:val="single"/>
          <w:shd w:val="clear" w:color="auto" w:fill="FFFFFF"/>
        </w:rPr>
        <w:t>中小微型企业</w:t>
      </w:r>
      <w:r>
        <w:rPr>
          <w:rFonts w:hint="eastAsia" w:cs="仿宋_GB2312" w:asciiTheme="minorEastAsia" w:hAnsiTheme="minorEastAsia" w:eastAsiaTheme="minorEastAsia"/>
          <w:sz w:val="21"/>
          <w:szCs w:val="21"/>
          <w:shd w:val="clear" w:color="auto" w:fill="FFFFFF"/>
        </w:rPr>
        <w:t>、</w:t>
      </w:r>
      <w:r>
        <w:rPr>
          <w:rFonts w:hint="eastAsia" w:cs="仿宋_GB2312" w:asciiTheme="minorEastAsia" w:hAnsiTheme="minorEastAsia" w:eastAsiaTheme="minorEastAsia"/>
          <w:sz w:val="21"/>
          <w:szCs w:val="21"/>
          <w:u w:val="single"/>
          <w:shd w:val="clear" w:color="auto" w:fill="FFFFFF"/>
        </w:rPr>
        <w:t>残疾人福利性单位</w:t>
      </w:r>
      <w:r>
        <w:rPr>
          <w:rFonts w:hint="eastAsia" w:cs="仿宋_GB2312" w:asciiTheme="minorEastAsia" w:hAnsiTheme="minorEastAsia" w:eastAsiaTheme="minorEastAsia"/>
          <w:sz w:val="21"/>
          <w:szCs w:val="21"/>
          <w:shd w:val="clear" w:color="auto" w:fill="FFFFFF"/>
        </w:rPr>
        <w:t>扶持等相关政府采购政策。</w:t>
      </w:r>
    </w:p>
    <w:p>
      <w:pPr>
        <w:pStyle w:val="21"/>
        <w:widowControl/>
        <w:shd w:val="clear" w:color="auto" w:fill="FFFFFF"/>
        <w:spacing w:line="360" w:lineRule="auto"/>
        <w:ind w:firstLine="420"/>
        <w:contextualSpacing/>
        <w:jc w:val="left"/>
        <w:rPr>
          <w:rFonts w:cs="黑体" w:asciiTheme="minorEastAsia" w:hAnsiTheme="minorEastAsia" w:eastAsiaTheme="minorEastAsia"/>
          <w:b/>
          <w:bCs/>
          <w:sz w:val="21"/>
          <w:szCs w:val="21"/>
          <w:shd w:val="clear" w:color="auto" w:fill="FFFFFF"/>
        </w:rPr>
      </w:pPr>
      <w:r>
        <w:rPr>
          <w:rFonts w:hint="eastAsia" w:cs="黑体" w:asciiTheme="minorEastAsia" w:hAnsiTheme="minorEastAsia" w:eastAsiaTheme="minorEastAsia"/>
          <w:b/>
          <w:bCs/>
          <w:sz w:val="21"/>
          <w:szCs w:val="21"/>
          <w:shd w:val="clear" w:color="auto" w:fill="FFFFFF"/>
        </w:rPr>
        <w:t>三、投标人资格要求</w:t>
      </w:r>
    </w:p>
    <w:p>
      <w:pPr>
        <w:pStyle w:val="21"/>
        <w:widowControl/>
        <w:shd w:val="clear" w:color="auto" w:fill="FFFFFF"/>
        <w:spacing w:line="360" w:lineRule="auto"/>
        <w:ind w:firstLine="42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（一）符合《政府采购法》第二十二条第一款规定条件并提供相关材料；</w:t>
      </w:r>
    </w:p>
    <w:p>
      <w:pPr>
        <w:pStyle w:val="21"/>
        <w:widowControl/>
        <w:shd w:val="clear" w:color="auto" w:fill="FFFFFF"/>
        <w:spacing w:line="360" w:lineRule="auto"/>
        <w:ind w:firstLine="420" w:firstLineChars="20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(二) 具有相应经营范围；</w:t>
      </w:r>
    </w:p>
    <w:p>
      <w:pPr>
        <w:pStyle w:val="21"/>
        <w:widowControl/>
        <w:shd w:val="clear" w:color="auto" w:fill="FFFFFF"/>
        <w:spacing w:line="360" w:lineRule="auto"/>
        <w:ind w:firstLine="420" w:firstLineChars="20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（三）未被列入“信用中国”网站(www.creditchina.gov.cn)失信被执行人、重大税收违法案件当事人名单、政府采购严重违法失信名单的投标人；“中国政府采购网” (www.ccgp.gov.cn)政府采购严重违法失信行为记录名单的投标人；</w:t>
      </w:r>
    </w:p>
    <w:p>
      <w:pPr>
        <w:pStyle w:val="21"/>
        <w:widowControl/>
        <w:shd w:val="clear" w:color="auto" w:fill="FFFFFF"/>
        <w:spacing w:line="360" w:lineRule="auto"/>
        <w:ind w:firstLine="42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（四）本次招标不接受联合体投标。</w:t>
      </w:r>
    </w:p>
    <w:p>
      <w:pPr>
        <w:pStyle w:val="21"/>
        <w:widowControl/>
        <w:shd w:val="clear" w:color="auto" w:fill="FFFFFF"/>
        <w:spacing w:line="360" w:lineRule="auto"/>
        <w:ind w:firstLine="420"/>
        <w:contextualSpacing/>
        <w:jc w:val="left"/>
        <w:rPr>
          <w:rFonts w:cs="黑体" w:asciiTheme="minorEastAsia" w:hAnsiTheme="minorEastAsia" w:eastAsiaTheme="minorEastAsia"/>
          <w:b/>
          <w:bCs/>
          <w:sz w:val="21"/>
          <w:szCs w:val="21"/>
          <w:shd w:val="clear" w:color="auto" w:fill="FFFFFF"/>
        </w:rPr>
      </w:pPr>
      <w:r>
        <w:rPr>
          <w:rFonts w:hint="eastAsia" w:cs="黑体" w:asciiTheme="minorEastAsia" w:hAnsiTheme="minorEastAsia" w:eastAsiaTheme="minorEastAsia"/>
          <w:b/>
          <w:bCs/>
          <w:sz w:val="21"/>
          <w:szCs w:val="21"/>
          <w:shd w:val="clear" w:color="auto" w:fill="FFFFFF"/>
        </w:rPr>
        <w:t>四、招标文件的获取</w:t>
      </w:r>
    </w:p>
    <w:p>
      <w:pPr>
        <w:pStyle w:val="21"/>
        <w:widowControl/>
        <w:shd w:val="clear" w:color="auto" w:fill="FFFFFF"/>
        <w:spacing w:line="360" w:lineRule="auto"/>
        <w:ind w:firstLine="42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（一）网上下载招标文件</w:t>
      </w:r>
    </w:p>
    <w:p>
      <w:pPr>
        <w:pStyle w:val="21"/>
        <w:widowControl/>
        <w:shd w:val="clear" w:color="auto" w:fill="FFFFFF"/>
        <w:spacing w:line="360" w:lineRule="auto"/>
        <w:ind w:firstLine="42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1、持CA数字认证证书，登录《全国公共资源交易平台（河南省·许昌市）》“系统用户注册”入口http://221.14.6.70:8088/ggzy/eps/public/RegistAllJcxx.html）进行免费注册登记（详见“常见问题解答-诚信库网上注册相关资料下载”）；</w:t>
      </w:r>
    </w:p>
    <w:p>
      <w:pPr>
        <w:pStyle w:val="21"/>
        <w:widowControl/>
        <w:shd w:val="clear" w:color="auto" w:fill="FFFFFF"/>
        <w:spacing w:line="360" w:lineRule="auto"/>
        <w:ind w:firstLine="42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2、在投标截止时间前均可登录《全国公共资源交易平台（河南省·许昌市）》“投标人/供应商登录”入口（http://221.14.6.70:8088/ggzy/）自行下载招标文件（详见“常见问题解答-交易系统操作手册”）。</w:t>
      </w:r>
    </w:p>
    <w:p>
      <w:pPr>
        <w:pStyle w:val="21"/>
        <w:widowControl/>
        <w:shd w:val="clear" w:color="auto" w:fill="FFFFFF"/>
        <w:spacing w:line="360" w:lineRule="auto"/>
        <w:ind w:firstLine="420"/>
        <w:contextualSpacing/>
        <w:jc w:val="left"/>
        <w:rPr>
          <w:rFonts w:cs="仿宋_GB2312" w:asciiTheme="minorEastAsia" w:hAnsiTheme="minorEastAsia" w:eastAsiaTheme="minorEastAsia"/>
          <w:sz w:val="21"/>
          <w:szCs w:val="21"/>
          <w:shd w:val="clear" w:color="auto" w:fill="FFFFFF"/>
        </w:rPr>
      </w:pPr>
      <w:r>
        <w:rPr>
          <w:rFonts w:hint="eastAsia" w:cs="仿宋_GB2312" w:asciiTheme="minorEastAsia" w:hAnsiTheme="minorEastAsia" w:eastAsiaTheme="minorEastAsia"/>
          <w:sz w:val="21"/>
          <w:szCs w:val="21"/>
          <w:shd w:val="clear" w:color="auto" w:fill="FFFFFF"/>
        </w:rPr>
        <w:t>（二）招标文件售价</w:t>
      </w:r>
      <w:r>
        <w:rPr>
          <w:rFonts w:hint="eastAsia" w:cs="仿宋_GB2312" w:asciiTheme="minorEastAsia" w:hAnsiTheme="minorEastAsia" w:eastAsiaTheme="minorEastAsia"/>
          <w:sz w:val="21"/>
          <w:szCs w:val="21"/>
          <w:u w:val="single"/>
          <w:shd w:val="clear" w:color="auto" w:fill="FFFFFF"/>
        </w:rPr>
        <w:t>300</w:t>
      </w:r>
      <w:r>
        <w:rPr>
          <w:rFonts w:hint="eastAsia" w:cs="仿宋_GB2312" w:asciiTheme="minorEastAsia" w:hAnsiTheme="minorEastAsia" w:eastAsiaTheme="minorEastAsia"/>
          <w:sz w:val="21"/>
          <w:szCs w:val="21"/>
          <w:shd w:val="clear" w:color="auto" w:fill="FFFFFF"/>
        </w:rPr>
        <w:t>元/套，投标人在递交投标文件时向采购代理机构交纳采购文件费用，售后不退。</w:t>
      </w:r>
    </w:p>
    <w:p>
      <w:pPr>
        <w:pStyle w:val="21"/>
        <w:widowControl/>
        <w:shd w:val="clear" w:color="auto" w:fill="FFFFFF"/>
        <w:spacing w:line="360" w:lineRule="auto"/>
        <w:ind w:firstLine="420"/>
        <w:contextualSpacing/>
        <w:jc w:val="left"/>
        <w:rPr>
          <w:rFonts w:cs="黑体" w:asciiTheme="minorEastAsia" w:hAnsiTheme="minorEastAsia" w:eastAsiaTheme="minorEastAsia"/>
          <w:b/>
          <w:bCs/>
          <w:sz w:val="21"/>
          <w:szCs w:val="21"/>
          <w:shd w:val="clear" w:color="auto" w:fill="FFFFFF"/>
        </w:rPr>
      </w:pPr>
      <w:r>
        <w:rPr>
          <w:rFonts w:hint="eastAsia" w:cs="黑体" w:asciiTheme="minorEastAsia" w:hAnsiTheme="minorEastAsia" w:eastAsiaTheme="minorEastAsia"/>
          <w:b/>
          <w:bCs/>
          <w:sz w:val="21"/>
          <w:szCs w:val="21"/>
          <w:shd w:val="clear" w:color="auto" w:fill="FFFFFF"/>
        </w:rPr>
        <w:t>五、投标截止时间、开标时间及地点</w:t>
      </w:r>
    </w:p>
    <w:p>
      <w:pPr>
        <w:pStyle w:val="21"/>
        <w:widowControl/>
        <w:shd w:val="clear" w:color="auto" w:fill="FFFFFF"/>
        <w:spacing w:line="360" w:lineRule="auto"/>
        <w:ind w:firstLine="420"/>
        <w:contextualSpacing/>
        <w:jc w:val="left"/>
        <w:rPr>
          <w:rFonts w:cs="仿宋_GB2312" w:asciiTheme="minorEastAsia" w:hAnsiTheme="minorEastAsia" w:eastAsiaTheme="minorEastAsia"/>
          <w:sz w:val="21"/>
          <w:szCs w:val="21"/>
        </w:rPr>
      </w:pPr>
      <w:r>
        <w:rPr>
          <w:rFonts w:hint="eastAsia" w:cs="仿宋_GB2312" w:asciiTheme="minorEastAsia" w:hAnsiTheme="minorEastAsia" w:eastAsiaTheme="minorEastAsia"/>
          <w:sz w:val="21"/>
          <w:szCs w:val="21"/>
        </w:rPr>
        <w:t>（一）投标截止及开标时间：2018年</w:t>
      </w:r>
      <w:r>
        <w:rPr>
          <w:rFonts w:hint="eastAsia" w:cs="仿宋_GB2312" w:asciiTheme="minorEastAsia" w:hAnsiTheme="minorEastAsia" w:eastAsiaTheme="minorEastAsia"/>
          <w:sz w:val="21"/>
          <w:szCs w:val="21"/>
          <w:lang w:val="en-US" w:eastAsia="zh-CN"/>
        </w:rPr>
        <w:t>11</w:t>
      </w:r>
      <w:r>
        <w:rPr>
          <w:rFonts w:hint="eastAsia" w:cs="仿宋_GB2312" w:asciiTheme="minorEastAsia" w:hAnsiTheme="minorEastAsia" w:eastAsiaTheme="minorEastAsia"/>
          <w:sz w:val="21"/>
          <w:szCs w:val="21"/>
        </w:rPr>
        <w:t>月</w:t>
      </w:r>
      <w:r>
        <w:rPr>
          <w:rFonts w:hint="eastAsia" w:cs="仿宋_GB2312" w:asciiTheme="minorEastAsia" w:hAnsiTheme="minorEastAsia" w:eastAsiaTheme="minorEastAsia"/>
          <w:sz w:val="21"/>
          <w:szCs w:val="21"/>
          <w:lang w:val="en-US" w:eastAsia="zh-CN"/>
        </w:rPr>
        <w:t>2</w:t>
      </w:r>
      <w:r>
        <w:rPr>
          <w:rFonts w:hint="eastAsia" w:cs="仿宋_GB2312" w:asciiTheme="minorEastAsia" w:hAnsiTheme="minorEastAsia" w:eastAsiaTheme="minorEastAsia"/>
          <w:sz w:val="21"/>
          <w:szCs w:val="21"/>
        </w:rPr>
        <w:t>日</w:t>
      </w:r>
      <w:r>
        <w:rPr>
          <w:rFonts w:hint="eastAsia" w:cs="仿宋_GB2312" w:asciiTheme="minorEastAsia" w:hAnsiTheme="minorEastAsia" w:eastAsiaTheme="minorEastAsia"/>
          <w:sz w:val="21"/>
          <w:szCs w:val="21"/>
          <w:lang w:val="en-US" w:eastAsia="zh-CN"/>
        </w:rPr>
        <w:t>9</w:t>
      </w:r>
      <w:r>
        <w:rPr>
          <w:rFonts w:hint="eastAsia" w:cs="仿宋_GB2312" w:asciiTheme="minorEastAsia" w:hAnsiTheme="minorEastAsia" w:eastAsiaTheme="minorEastAsia"/>
          <w:sz w:val="21"/>
          <w:szCs w:val="21"/>
        </w:rPr>
        <w:t>时</w:t>
      </w:r>
      <w:r>
        <w:rPr>
          <w:rFonts w:hint="eastAsia" w:cs="仿宋_GB2312" w:asciiTheme="minorEastAsia" w:hAnsiTheme="minorEastAsia" w:eastAsiaTheme="minorEastAsia"/>
          <w:sz w:val="21"/>
          <w:szCs w:val="21"/>
          <w:lang w:val="en-US" w:eastAsia="zh-CN"/>
        </w:rPr>
        <w:t>30</w:t>
      </w:r>
      <w:r>
        <w:rPr>
          <w:rFonts w:hint="eastAsia" w:cs="仿宋_GB2312" w:asciiTheme="minorEastAsia" w:hAnsiTheme="minorEastAsia" w:eastAsiaTheme="minorEastAsia"/>
          <w:sz w:val="21"/>
          <w:szCs w:val="21"/>
        </w:rPr>
        <w:t>分（北京时间），逾期提交或不符合规定的投标文件不予接受。</w:t>
      </w:r>
    </w:p>
    <w:p>
      <w:pPr>
        <w:pStyle w:val="21"/>
        <w:widowControl/>
        <w:shd w:val="clear" w:color="auto" w:fill="FFFFFF"/>
        <w:spacing w:line="360" w:lineRule="auto"/>
        <w:ind w:firstLine="420"/>
        <w:contextualSpacing/>
        <w:jc w:val="left"/>
        <w:rPr>
          <w:rFonts w:cs="仿宋_GB2312" w:asciiTheme="minorEastAsia" w:hAnsiTheme="minorEastAsia" w:eastAsiaTheme="minorEastAsia"/>
          <w:sz w:val="21"/>
          <w:szCs w:val="21"/>
        </w:rPr>
      </w:pPr>
      <w:r>
        <w:rPr>
          <w:rFonts w:hint="eastAsia" w:cs="仿宋_GB2312" w:asciiTheme="minorEastAsia" w:hAnsiTheme="minorEastAsia" w:eastAsiaTheme="minorEastAsia"/>
          <w:sz w:val="21"/>
          <w:szCs w:val="21"/>
        </w:rPr>
        <w:t>（二）开标地点：许昌市公共资源交易中心（</w:t>
      </w:r>
      <w:r>
        <w:rPr>
          <w:rFonts w:cs="Arial" w:asciiTheme="minorEastAsia" w:hAnsiTheme="minorEastAsia" w:eastAsiaTheme="minorEastAsia"/>
          <w:sz w:val="21"/>
          <w:szCs w:val="21"/>
        </w:rPr>
        <w:t>龙兴路与竹林路交汇处</w:t>
      </w:r>
      <w:r>
        <w:rPr>
          <w:rFonts w:hint="eastAsia" w:cs="仿宋_GB2312" w:asciiTheme="minorEastAsia" w:hAnsiTheme="minorEastAsia" w:eastAsiaTheme="minorEastAsia"/>
          <w:sz w:val="21"/>
          <w:szCs w:val="21"/>
        </w:rPr>
        <w:t>公共资源大厦）三楼开标</w:t>
      </w:r>
      <w:r>
        <w:rPr>
          <w:rFonts w:hint="eastAsia" w:cs="仿宋_GB2312" w:asciiTheme="minorEastAsia" w:hAnsiTheme="minorEastAsia" w:eastAsiaTheme="minorEastAsia"/>
          <w:sz w:val="21"/>
          <w:szCs w:val="21"/>
          <w:lang w:eastAsia="zh-CN"/>
        </w:rPr>
        <w:t>四</w:t>
      </w:r>
      <w:r>
        <w:rPr>
          <w:rFonts w:hint="eastAsia" w:cs="仿宋_GB2312" w:asciiTheme="minorEastAsia" w:hAnsiTheme="minorEastAsia" w:eastAsiaTheme="minorEastAsia"/>
          <w:sz w:val="21"/>
          <w:szCs w:val="21"/>
        </w:rPr>
        <w:t>室。</w:t>
      </w:r>
    </w:p>
    <w:p>
      <w:pPr>
        <w:pStyle w:val="21"/>
        <w:widowControl/>
        <w:shd w:val="clear" w:color="auto" w:fill="FFFFFF"/>
        <w:spacing w:line="360" w:lineRule="auto"/>
        <w:ind w:firstLine="420"/>
        <w:contextualSpacing/>
        <w:jc w:val="left"/>
        <w:rPr>
          <w:rFonts w:cs="仿宋_GB2312" w:asciiTheme="minorEastAsia" w:hAnsiTheme="minorEastAsia" w:eastAsiaTheme="minorEastAsia"/>
          <w:sz w:val="21"/>
          <w:szCs w:val="21"/>
        </w:rPr>
      </w:pPr>
      <w:r>
        <w:rPr>
          <w:rFonts w:hint="eastAsia" w:cs="仿宋_GB2312" w:asciiTheme="minorEastAsia" w:hAnsiTheme="minorEastAsia" w:eastAsiaTheme="minorEastAsia"/>
          <w:sz w:val="21"/>
          <w:szCs w:val="21"/>
        </w:rPr>
        <w:t>（三） 本项目为全流程电子化交易项目，投标人须提交电子投标文件和纸质投标文件。</w:t>
      </w:r>
    </w:p>
    <w:p>
      <w:pPr>
        <w:pStyle w:val="21"/>
        <w:widowControl/>
        <w:shd w:val="clear" w:color="auto" w:fill="FFFFFF"/>
        <w:spacing w:line="360" w:lineRule="auto"/>
        <w:ind w:firstLine="420"/>
        <w:contextualSpacing/>
        <w:jc w:val="left"/>
        <w:rPr>
          <w:rFonts w:cs="仿宋_GB2312" w:asciiTheme="minorEastAsia" w:hAnsiTheme="minorEastAsia" w:eastAsiaTheme="minorEastAsia"/>
          <w:sz w:val="21"/>
          <w:szCs w:val="21"/>
        </w:rPr>
      </w:pPr>
      <w:r>
        <w:rPr>
          <w:rFonts w:hint="eastAsia" w:cs="仿宋_GB2312" w:asciiTheme="minorEastAsia" w:hAnsiTheme="minorEastAsia" w:eastAsiaTheme="minorEastAsia"/>
          <w:sz w:val="21"/>
          <w:szCs w:val="21"/>
        </w:rPr>
        <w:t>1、加密电子投标文件</w:t>
      </w:r>
      <w:r>
        <w:rPr>
          <w:rFonts w:hint="eastAsia" w:cs="宋体" w:asciiTheme="minorEastAsia" w:hAnsiTheme="minorEastAsia"/>
          <w:sz w:val="21"/>
          <w:szCs w:val="21"/>
        </w:rPr>
        <w:t>（</w:t>
      </w:r>
      <w:r>
        <w:rPr>
          <w:rFonts w:asciiTheme="minorEastAsia" w:hAnsiTheme="minorEastAsia" w:eastAsiaTheme="minorEastAsia"/>
          <w:sz w:val="21"/>
          <w:szCs w:val="21"/>
        </w:rPr>
        <w:t>.file</w:t>
      </w:r>
      <w:r>
        <w:rPr>
          <w:rFonts w:hint="eastAsia" w:cs="宋体" w:asciiTheme="minorEastAsia" w:hAnsiTheme="minorEastAsia"/>
          <w:sz w:val="21"/>
          <w:szCs w:val="21"/>
        </w:rPr>
        <w:t>格式）须</w:t>
      </w:r>
      <w:r>
        <w:rPr>
          <w:rFonts w:hint="eastAsia" w:cs="仿宋_GB2312" w:asciiTheme="minorEastAsia" w:hAnsiTheme="minorEastAsia" w:eastAsiaTheme="minorEastAsia"/>
          <w:sz w:val="21"/>
          <w:szCs w:val="21"/>
        </w:rPr>
        <w:t>在投标截止时间（开标时间）前通过《全国公共资源交易平台(河南省</w:t>
      </w:r>
      <w:r>
        <w:rPr>
          <w:rFonts w:hint="eastAsia" w:ascii="MS Mincho" w:hAnsi="MS Mincho" w:eastAsia="MS Mincho" w:cs="MS Mincho"/>
          <w:sz w:val="21"/>
          <w:szCs w:val="21"/>
        </w:rPr>
        <w:t>▪</w:t>
      </w:r>
      <w:r>
        <w:rPr>
          <w:rFonts w:hint="eastAsia" w:ascii="宋体" w:hAnsi="宋体" w:cs="宋体"/>
          <w:sz w:val="21"/>
          <w:szCs w:val="21"/>
        </w:rPr>
        <w:t>许昌市</w:t>
      </w:r>
      <w:r>
        <w:rPr>
          <w:rFonts w:hint="eastAsia" w:cs="仿宋_GB2312" w:asciiTheme="minorEastAsia" w:hAnsiTheme="minorEastAsia" w:eastAsiaTheme="minorEastAsia"/>
          <w:sz w:val="21"/>
          <w:szCs w:val="21"/>
        </w:rPr>
        <w:t>)》公共资源交易系统成功上传。</w:t>
      </w:r>
    </w:p>
    <w:p>
      <w:pPr>
        <w:pStyle w:val="21"/>
        <w:widowControl/>
        <w:shd w:val="clear" w:color="auto" w:fill="FFFFFF"/>
        <w:spacing w:line="360" w:lineRule="auto"/>
        <w:ind w:firstLine="420"/>
        <w:contextualSpacing/>
        <w:jc w:val="left"/>
        <w:rPr>
          <w:rFonts w:cs="仿宋_GB2312" w:asciiTheme="minorEastAsia" w:hAnsiTheme="minorEastAsia" w:eastAsiaTheme="minorEastAsia"/>
          <w:sz w:val="21"/>
          <w:szCs w:val="21"/>
          <w:shd w:val="pct10" w:color="auto" w:fill="FFFFFF"/>
        </w:rPr>
      </w:pPr>
      <w:r>
        <w:rPr>
          <w:rFonts w:hint="eastAsia" w:cs="仿宋_GB2312" w:asciiTheme="minorEastAsia" w:hAnsiTheme="minorEastAsia" w:eastAsiaTheme="minorEastAsia"/>
          <w:sz w:val="21"/>
          <w:szCs w:val="21"/>
        </w:rPr>
        <w:t>2、纸质投标文件（正本、副本各1份）和备份文件1份</w:t>
      </w:r>
      <w:r>
        <w:rPr>
          <w:rFonts w:hint="eastAsia" w:hAnsi="宋体"/>
          <w:sz w:val="21"/>
          <w:szCs w:val="21"/>
        </w:rPr>
        <w:t>（使用电子介质存储）</w:t>
      </w:r>
      <w:r>
        <w:rPr>
          <w:rFonts w:hint="eastAsia" w:cs="仿宋_GB2312" w:asciiTheme="minorEastAsia" w:hAnsiTheme="minorEastAsia" w:eastAsiaTheme="minorEastAsia"/>
          <w:sz w:val="21"/>
          <w:szCs w:val="21"/>
        </w:rPr>
        <w:t>在投标截止时间（开标时间）前递交至本项目开标地点。</w:t>
      </w:r>
    </w:p>
    <w:p>
      <w:pPr>
        <w:pStyle w:val="21"/>
        <w:widowControl/>
        <w:shd w:val="clear" w:color="auto" w:fill="FFFFFF"/>
        <w:spacing w:line="360" w:lineRule="auto"/>
        <w:ind w:firstLine="420"/>
        <w:contextualSpacing/>
        <w:jc w:val="left"/>
        <w:rPr>
          <w:rFonts w:cs="黑体" w:asciiTheme="minorEastAsia" w:hAnsiTheme="minorEastAsia" w:eastAsiaTheme="minorEastAsia"/>
          <w:b/>
          <w:bCs/>
          <w:sz w:val="21"/>
          <w:szCs w:val="21"/>
          <w:shd w:val="clear" w:color="auto" w:fill="FFFFFF"/>
        </w:rPr>
      </w:pPr>
      <w:r>
        <w:rPr>
          <w:rFonts w:hint="eastAsia" w:cs="黑体" w:asciiTheme="minorEastAsia" w:hAnsiTheme="minorEastAsia" w:eastAsiaTheme="minorEastAsia"/>
          <w:b/>
          <w:bCs/>
          <w:sz w:val="21"/>
          <w:szCs w:val="21"/>
          <w:shd w:val="clear" w:color="auto" w:fill="FFFFFF"/>
        </w:rPr>
        <w:t>六、本次招标公告同时在《中国政府采购网》、《河南省政府采购网》、《许昌市政府采购网》、《全国公共资源交易平台（河南省·许昌市）》发布。</w:t>
      </w:r>
    </w:p>
    <w:p>
      <w:pPr>
        <w:pStyle w:val="21"/>
        <w:widowControl/>
        <w:shd w:val="clear" w:color="auto" w:fill="FFFFFF"/>
        <w:spacing w:line="360" w:lineRule="auto"/>
        <w:ind w:firstLine="420"/>
        <w:contextualSpacing/>
        <w:jc w:val="left"/>
        <w:rPr>
          <w:rFonts w:cs="黑体" w:asciiTheme="minorEastAsia" w:hAnsiTheme="minorEastAsia" w:eastAsiaTheme="minorEastAsia"/>
          <w:b/>
          <w:bCs/>
          <w:sz w:val="21"/>
          <w:szCs w:val="21"/>
          <w:shd w:val="clear" w:color="auto" w:fill="FFFFFF"/>
        </w:rPr>
      </w:pPr>
      <w:r>
        <w:rPr>
          <w:rFonts w:hint="eastAsia" w:cs="黑体" w:asciiTheme="minorEastAsia" w:hAnsiTheme="minorEastAsia" w:eastAsiaTheme="minorEastAsia"/>
          <w:b/>
          <w:bCs/>
          <w:sz w:val="21"/>
          <w:szCs w:val="21"/>
          <w:shd w:val="clear" w:color="auto" w:fill="FFFFFF"/>
        </w:rPr>
        <w:t>七、公告期限</w:t>
      </w:r>
    </w:p>
    <w:p>
      <w:pPr>
        <w:pStyle w:val="21"/>
        <w:widowControl/>
        <w:shd w:val="clear" w:color="auto" w:fill="FFFFFF"/>
        <w:spacing w:line="360" w:lineRule="auto"/>
        <w:ind w:firstLine="420"/>
        <w:contextualSpacing/>
        <w:jc w:val="left"/>
        <w:rPr>
          <w:rFonts w:cs="仿宋_GB2312" w:asciiTheme="minorEastAsia" w:hAnsiTheme="minorEastAsia" w:eastAsiaTheme="minorEastAsia"/>
          <w:sz w:val="21"/>
          <w:szCs w:val="21"/>
        </w:rPr>
      </w:pPr>
      <w:r>
        <w:rPr>
          <w:rFonts w:hint="eastAsia" w:cs="仿宋_GB2312" w:asciiTheme="minorEastAsia" w:hAnsiTheme="minorEastAsia" w:eastAsiaTheme="minorEastAsia"/>
          <w:sz w:val="21"/>
          <w:szCs w:val="21"/>
        </w:rPr>
        <w:t>本招标公告自发布之日起公告期限为5个工作日。</w:t>
      </w:r>
    </w:p>
    <w:p>
      <w:pPr>
        <w:pStyle w:val="21"/>
        <w:widowControl/>
        <w:shd w:val="clear" w:color="auto" w:fill="FFFFFF"/>
        <w:spacing w:line="360" w:lineRule="auto"/>
        <w:ind w:firstLine="420"/>
        <w:contextualSpacing/>
        <w:jc w:val="left"/>
        <w:rPr>
          <w:rFonts w:cs="黑体" w:asciiTheme="minorEastAsia" w:hAnsiTheme="minorEastAsia" w:eastAsiaTheme="minorEastAsia"/>
          <w:b/>
          <w:bCs/>
          <w:sz w:val="21"/>
          <w:szCs w:val="21"/>
        </w:rPr>
      </w:pPr>
      <w:r>
        <w:rPr>
          <w:rFonts w:hint="eastAsia" w:cs="黑体" w:asciiTheme="minorEastAsia" w:hAnsiTheme="minorEastAsia" w:eastAsiaTheme="minorEastAsia"/>
          <w:b/>
          <w:bCs/>
          <w:sz w:val="21"/>
          <w:szCs w:val="21"/>
        </w:rPr>
        <w:t>八、联系方式</w:t>
      </w:r>
    </w:p>
    <w:p>
      <w:pPr>
        <w:pStyle w:val="21"/>
        <w:widowControl/>
        <w:shd w:val="clear" w:color="auto" w:fill="FFFFFF"/>
        <w:spacing w:line="360" w:lineRule="auto"/>
        <w:ind w:firstLine="420"/>
        <w:contextualSpacing/>
        <w:jc w:val="left"/>
        <w:rPr>
          <w:rFonts w:cs="仿宋_GB2312" w:asciiTheme="minorEastAsia" w:hAnsiTheme="minorEastAsia" w:eastAsiaTheme="minorEastAsia"/>
          <w:sz w:val="21"/>
          <w:szCs w:val="21"/>
        </w:rPr>
      </w:pPr>
      <w:r>
        <w:rPr>
          <w:rFonts w:hint="eastAsia" w:cs="仿宋_GB2312" w:asciiTheme="minorEastAsia" w:hAnsiTheme="minorEastAsia" w:eastAsiaTheme="minorEastAsia"/>
          <w:sz w:val="21"/>
          <w:szCs w:val="21"/>
        </w:rPr>
        <w:t>采购人：许昌市城乡一体化示范区建设环保局</w:t>
      </w:r>
    </w:p>
    <w:p>
      <w:pPr>
        <w:pStyle w:val="21"/>
        <w:widowControl/>
        <w:shd w:val="clear" w:color="auto" w:fill="FFFFFF"/>
        <w:spacing w:line="360" w:lineRule="auto"/>
        <w:ind w:firstLine="420"/>
        <w:contextualSpacing/>
        <w:jc w:val="left"/>
        <w:rPr>
          <w:rFonts w:cs="仿宋_GB2312" w:asciiTheme="minorEastAsia" w:hAnsiTheme="minorEastAsia" w:eastAsiaTheme="minorEastAsia"/>
          <w:sz w:val="21"/>
          <w:szCs w:val="21"/>
        </w:rPr>
      </w:pPr>
      <w:r>
        <w:rPr>
          <w:rFonts w:hint="eastAsia" w:cs="仿宋_GB2312" w:asciiTheme="minorEastAsia" w:hAnsiTheme="minorEastAsia" w:eastAsiaTheme="minorEastAsia"/>
          <w:sz w:val="21"/>
          <w:szCs w:val="21"/>
        </w:rPr>
        <w:t>地 址：许昌市城乡一体化示范区</w:t>
      </w:r>
    </w:p>
    <w:p>
      <w:pPr>
        <w:pStyle w:val="21"/>
        <w:widowControl/>
        <w:shd w:val="clear" w:color="auto" w:fill="FFFFFF"/>
        <w:spacing w:line="360" w:lineRule="auto"/>
        <w:ind w:firstLine="420"/>
        <w:contextualSpacing/>
        <w:jc w:val="left"/>
        <w:rPr>
          <w:rFonts w:cs="仿宋_GB2312" w:asciiTheme="minorEastAsia" w:hAnsiTheme="minorEastAsia" w:eastAsiaTheme="minorEastAsia"/>
          <w:sz w:val="21"/>
          <w:szCs w:val="21"/>
        </w:rPr>
      </w:pPr>
      <w:r>
        <w:rPr>
          <w:rFonts w:hint="eastAsia" w:cs="仿宋_GB2312" w:asciiTheme="minorEastAsia" w:hAnsiTheme="minorEastAsia" w:eastAsiaTheme="minorEastAsia"/>
          <w:sz w:val="21"/>
          <w:szCs w:val="21"/>
        </w:rPr>
        <w:t>联系人：郭君  联系电话：0374-3372707</w:t>
      </w:r>
    </w:p>
    <w:p>
      <w:pPr>
        <w:pStyle w:val="21"/>
        <w:widowControl/>
        <w:shd w:val="clear" w:color="auto" w:fill="FFFFFF"/>
        <w:spacing w:line="360" w:lineRule="auto"/>
        <w:ind w:firstLine="420"/>
        <w:contextualSpacing/>
        <w:jc w:val="left"/>
        <w:rPr>
          <w:rFonts w:cs="仿宋_GB2312" w:asciiTheme="minorEastAsia" w:hAnsiTheme="minorEastAsia" w:eastAsiaTheme="minorEastAsia"/>
          <w:sz w:val="21"/>
          <w:szCs w:val="21"/>
        </w:rPr>
      </w:pPr>
      <w:r>
        <w:rPr>
          <w:rFonts w:hint="eastAsia" w:cs="仿宋_GB2312" w:asciiTheme="minorEastAsia" w:hAnsiTheme="minorEastAsia" w:eastAsiaTheme="minorEastAsia"/>
          <w:sz w:val="21"/>
          <w:szCs w:val="21"/>
        </w:rPr>
        <w:t>代理机构：中大国信工程管理有限公司</w:t>
      </w:r>
    </w:p>
    <w:p>
      <w:pPr>
        <w:pStyle w:val="21"/>
        <w:widowControl/>
        <w:shd w:val="clear" w:color="auto" w:fill="FFFFFF"/>
        <w:spacing w:line="360" w:lineRule="auto"/>
        <w:ind w:firstLine="420"/>
        <w:contextualSpacing/>
        <w:jc w:val="left"/>
        <w:rPr>
          <w:rFonts w:cs="仿宋_GB2312" w:asciiTheme="minorEastAsia" w:hAnsiTheme="minorEastAsia" w:eastAsiaTheme="minorEastAsia"/>
          <w:sz w:val="21"/>
          <w:szCs w:val="21"/>
        </w:rPr>
      </w:pPr>
      <w:r>
        <w:rPr>
          <w:rFonts w:hint="eastAsia" w:cs="仿宋_GB2312" w:asciiTheme="minorEastAsia" w:hAnsiTheme="minorEastAsia" w:eastAsiaTheme="minorEastAsia"/>
          <w:sz w:val="21"/>
          <w:szCs w:val="21"/>
        </w:rPr>
        <w:t>地    址：许昌市府西路万象春天2栋3单元2001室</w:t>
      </w:r>
    </w:p>
    <w:p>
      <w:pPr>
        <w:pStyle w:val="21"/>
        <w:widowControl/>
        <w:shd w:val="clear" w:color="auto" w:fill="FFFFFF"/>
        <w:spacing w:line="360" w:lineRule="auto"/>
        <w:ind w:firstLine="420"/>
        <w:contextualSpacing/>
        <w:jc w:val="left"/>
        <w:rPr>
          <w:rFonts w:cs="仿宋_GB2312" w:asciiTheme="minorEastAsia" w:hAnsiTheme="minorEastAsia" w:eastAsiaTheme="minorEastAsia"/>
          <w:sz w:val="21"/>
          <w:szCs w:val="21"/>
        </w:rPr>
      </w:pPr>
      <w:r>
        <w:rPr>
          <w:rFonts w:hint="eastAsia" w:cs="仿宋_GB2312" w:asciiTheme="minorEastAsia" w:hAnsiTheme="minorEastAsia" w:eastAsiaTheme="minorEastAsia"/>
          <w:sz w:val="21"/>
          <w:szCs w:val="21"/>
        </w:rPr>
        <w:t>联 系 人：刘岩      联系电话：15617285069</w:t>
      </w:r>
    </w:p>
    <w:p>
      <w:pPr>
        <w:pStyle w:val="21"/>
        <w:widowControl/>
        <w:shd w:val="clear" w:color="auto" w:fill="FFFFFF"/>
        <w:spacing w:line="360" w:lineRule="auto"/>
        <w:ind w:firstLine="420"/>
        <w:contextualSpacing/>
        <w:jc w:val="right"/>
        <w:rPr>
          <w:rFonts w:cs="仿宋_GB2312" w:asciiTheme="minorEastAsia" w:hAnsiTheme="minorEastAsia"/>
          <w:szCs w:val="21"/>
        </w:rPr>
      </w:pPr>
    </w:p>
    <w:p>
      <w:pPr>
        <w:pStyle w:val="21"/>
        <w:widowControl/>
        <w:shd w:val="clear" w:color="auto" w:fill="FFFFFF"/>
        <w:spacing w:line="360" w:lineRule="auto"/>
        <w:ind w:firstLine="420"/>
        <w:contextualSpacing/>
        <w:jc w:val="right"/>
        <w:rPr>
          <w:rFonts w:cs="仿宋_GB2312" w:asciiTheme="minorEastAsia" w:hAnsiTheme="minorEastAsia" w:eastAsiaTheme="minorEastAsia"/>
          <w:sz w:val="21"/>
          <w:szCs w:val="21"/>
        </w:rPr>
      </w:pPr>
      <w:r>
        <w:rPr>
          <w:rFonts w:hint="eastAsia" w:cs="仿宋_GB2312" w:asciiTheme="minorEastAsia" w:hAnsiTheme="minorEastAsia"/>
          <w:szCs w:val="21"/>
        </w:rPr>
        <w:t>许昌市城乡一体化示范区建设环保局</w:t>
      </w:r>
    </w:p>
    <w:p>
      <w:pPr>
        <w:autoSpaceDE w:val="0"/>
        <w:autoSpaceDN w:val="0"/>
        <w:adjustRightInd w:val="0"/>
        <w:spacing w:line="700" w:lineRule="exact"/>
        <w:ind w:right="840"/>
        <w:jc w:val="right"/>
        <w:rPr>
          <w:rFonts w:cs="仿宋_GB2312" w:asciiTheme="minorEastAsia" w:hAnsiTheme="minorEastAsia"/>
          <w:szCs w:val="21"/>
        </w:rPr>
      </w:pPr>
      <w:r>
        <w:rPr>
          <w:rFonts w:hint="eastAsia" w:cs="仿宋_GB2312" w:asciiTheme="minorEastAsia" w:hAnsiTheme="minorEastAsia"/>
          <w:szCs w:val="21"/>
        </w:rPr>
        <w:t xml:space="preserve">二〇一八年十月 </w:t>
      </w:r>
    </w:p>
    <w:p>
      <w:pPr>
        <w:spacing w:line="360" w:lineRule="auto"/>
        <w:rPr>
          <w:rFonts w:hAnsi="宋体"/>
          <w:b/>
          <w:sz w:val="28"/>
          <w:szCs w:val="28"/>
        </w:rPr>
      </w:pPr>
      <w:r>
        <w:rPr>
          <w:rFonts w:hint="eastAsia" w:hAnsi="宋体"/>
          <w:b/>
          <w:sz w:val="28"/>
          <w:szCs w:val="28"/>
        </w:rPr>
        <w:t>温馨提示：</w:t>
      </w:r>
    </w:p>
    <w:p>
      <w:pPr>
        <w:spacing w:line="360" w:lineRule="auto"/>
        <w:ind w:firstLine="562" w:firstLineChars="200"/>
        <w:rPr>
          <w:rFonts w:ascii="仿宋_GB2312" w:eastAsia="仿宋_GB2312"/>
          <w:b/>
          <w:sz w:val="32"/>
          <w:szCs w:val="32"/>
        </w:rPr>
      </w:pPr>
      <w:r>
        <w:rPr>
          <w:rFonts w:hint="eastAsia" w:hAnsi="宋体"/>
          <w:b/>
          <w:sz w:val="28"/>
          <w:szCs w:val="28"/>
        </w:rPr>
        <w:t>本项目为全流程电子化交易项目，请认真阅读招标文件，并注意以下事项。</w:t>
      </w:r>
    </w:p>
    <w:p>
      <w:pPr>
        <w:tabs>
          <w:tab w:val="left" w:pos="7095"/>
        </w:tabs>
        <w:spacing w:line="360" w:lineRule="auto"/>
        <w:ind w:firstLine="422" w:firstLineChars="200"/>
        <w:contextualSpacing/>
        <w:rPr>
          <w:rFonts w:hAnsi="宋体"/>
          <w:b/>
          <w:szCs w:val="21"/>
        </w:rPr>
      </w:pPr>
      <w:r>
        <w:rPr>
          <w:rFonts w:hint="eastAsia" w:asciiTheme="minorEastAsia" w:hAnsiTheme="minorEastAsia"/>
          <w:b/>
          <w:szCs w:val="21"/>
        </w:rPr>
        <w:t>1.</w:t>
      </w:r>
      <w:r>
        <w:rPr>
          <w:rFonts w:hint="eastAsia" w:hAnsi="宋体"/>
          <w:b/>
          <w:szCs w:val="21"/>
        </w:rPr>
        <w:t>投标人应按招标文件规定编制、提交电子投标文件和纸质投标文件。开、评标现场不接受投标人递交的备份电子投标文件和纸质投标文件以外的其他资料。</w:t>
      </w:r>
    </w:p>
    <w:p>
      <w:pPr>
        <w:tabs>
          <w:tab w:val="left" w:pos="7095"/>
        </w:tabs>
        <w:spacing w:line="360" w:lineRule="auto"/>
        <w:ind w:firstLine="422" w:firstLineChars="200"/>
        <w:contextualSpacing/>
        <w:rPr>
          <w:rFonts w:hAnsi="宋体"/>
          <w:b/>
          <w:szCs w:val="21"/>
        </w:rPr>
      </w:pPr>
      <w:r>
        <w:rPr>
          <w:rFonts w:hint="eastAsia" w:asciiTheme="minorEastAsia" w:hAnsiTheme="minorEastAsia"/>
          <w:b/>
          <w:szCs w:val="21"/>
        </w:rPr>
        <w:t>2</w:t>
      </w:r>
      <w:r>
        <w:rPr>
          <w:rFonts w:asciiTheme="minorEastAsia" w:hAnsiTheme="minorEastAsia"/>
          <w:b/>
          <w:szCs w:val="21"/>
        </w:rPr>
        <w:t>.</w:t>
      </w:r>
      <w:r>
        <w:rPr>
          <w:rFonts w:hint="eastAsia" w:hAnsi="宋体"/>
          <w:b/>
          <w:szCs w:val="21"/>
        </w:rPr>
        <w:t>电子文件下载、制作、提交期间和开标（</w:t>
      </w:r>
      <w:r>
        <w:rPr>
          <w:rFonts w:hint="eastAsia" w:hAnsi="宋体"/>
          <w:szCs w:val="21"/>
        </w:rPr>
        <w:t>电子投标文件的解密</w:t>
      </w:r>
      <w:r>
        <w:rPr>
          <w:rFonts w:hint="eastAsia" w:hAnsi="宋体"/>
          <w:b/>
          <w:szCs w:val="21"/>
        </w:rPr>
        <w:t>）环节，投标人须使用</w:t>
      </w:r>
      <w:r>
        <w:rPr>
          <w:rFonts w:hAnsi="宋体"/>
          <w:b/>
          <w:szCs w:val="21"/>
        </w:rPr>
        <w:t>CA数字证书</w:t>
      </w:r>
      <w:r>
        <w:rPr>
          <w:rFonts w:hint="eastAsia" w:hAnsi="宋体"/>
          <w:b/>
          <w:szCs w:val="21"/>
        </w:rPr>
        <w:t>（证书须在有效期内）</w:t>
      </w:r>
      <w:r>
        <w:rPr>
          <w:rFonts w:hAnsi="宋体"/>
          <w:b/>
          <w:szCs w:val="21"/>
        </w:rPr>
        <w:t>。</w:t>
      </w:r>
    </w:p>
    <w:p>
      <w:pPr>
        <w:tabs>
          <w:tab w:val="left" w:pos="7095"/>
        </w:tabs>
        <w:spacing w:line="360" w:lineRule="auto"/>
        <w:ind w:firstLine="422" w:firstLineChars="200"/>
        <w:contextualSpacing/>
        <w:rPr>
          <w:rFonts w:hAnsi="宋体"/>
          <w:b/>
          <w:szCs w:val="21"/>
        </w:rPr>
      </w:pPr>
      <w:r>
        <w:rPr>
          <w:rFonts w:asciiTheme="minorEastAsia" w:hAnsiTheme="minorEastAsia"/>
          <w:b/>
          <w:szCs w:val="21"/>
        </w:rPr>
        <w:t>3</w:t>
      </w:r>
      <w:r>
        <w:rPr>
          <w:rFonts w:hint="eastAsia" w:asciiTheme="minorEastAsia" w:hAnsiTheme="minorEastAsia"/>
          <w:b/>
          <w:szCs w:val="21"/>
        </w:rPr>
        <w:t>.</w:t>
      </w:r>
      <w:r>
        <w:rPr>
          <w:rFonts w:hint="eastAsia" w:hAnsi="宋体"/>
          <w:b/>
          <w:szCs w:val="21"/>
        </w:rPr>
        <w:t>电子投标文件的制作</w:t>
      </w:r>
    </w:p>
    <w:p>
      <w:pPr>
        <w:tabs>
          <w:tab w:val="left" w:pos="7095"/>
        </w:tabs>
        <w:spacing w:line="360" w:lineRule="auto"/>
        <w:ind w:firstLine="420" w:firstLineChars="200"/>
        <w:contextualSpacing/>
        <w:rPr>
          <w:rFonts w:hAnsi="宋体"/>
          <w:szCs w:val="21"/>
        </w:rPr>
      </w:pPr>
      <w:r>
        <w:rPr>
          <w:rFonts w:asciiTheme="minorEastAsia" w:hAnsiTheme="minorEastAsia"/>
          <w:szCs w:val="21"/>
        </w:rPr>
        <w:t>3</w:t>
      </w:r>
      <w:r>
        <w:rPr>
          <w:rFonts w:hint="eastAsia" w:asciiTheme="minorEastAsia" w:hAnsiTheme="minorEastAsia"/>
          <w:szCs w:val="21"/>
        </w:rPr>
        <w:t>.1</w:t>
      </w:r>
      <w:r>
        <w:rPr>
          <w:rFonts w:hint="eastAsia" w:hAnsi="宋体"/>
          <w:szCs w:val="21"/>
        </w:rPr>
        <w:t xml:space="preserve"> 投标人登录《全国公共资源交易平台</w:t>
      </w:r>
      <w:r>
        <w:rPr>
          <w:rFonts w:hint="eastAsia" w:asciiTheme="majorEastAsia" w:hAnsiTheme="majorEastAsia" w:eastAsiaTheme="majorEastAsia"/>
          <w:szCs w:val="21"/>
        </w:rPr>
        <w:t>(</w:t>
      </w:r>
      <w:r>
        <w:rPr>
          <w:rFonts w:hint="eastAsia" w:hAnsi="宋体"/>
          <w:szCs w:val="21"/>
        </w:rPr>
        <w:t>河南省▪许昌市</w:t>
      </w:r>
      <w:r>
        <w:rPr>
          <w:rFonts w:hint="eastAsia" w:asciiTheme="minorEastAsia" w:hAnsiTheme="minorEastAsia"/>
          <w:szCs w:val="21"/>
        </w:rPr>
        <w:t>)</w:t>
      </w:r>
      <w:r>
        <w:rPr>
          <w:rFonts w:hint="eastAsia" w:hAnsi="宋体"/>
          <w:szCs w:val="21"/>
        </w:rPr>
        <w:t>》公共资源交易系统（</w:t>
      </w:r>
      <w:r>
        <w:rPr>
          <w:rStyle w:val="25"/>
          <w:rFonts w:hAnsi="宋体"/>
          <w:color w:val="auto"/>
          <w:szCs w:val="21"/>
        </w:rPr>
        <w:fldChar w:fldCharType="begin"/>
      </w:r>
      <w:r>
        <w:rPr>
          <w:rStyle w:val="25"/>
          <w:rFonts w:hAnsi="宋体"/>
          <w:color w:val="auto"/>
          <w:szCs w:val="21"/>
        </w:rPr>
        <w:instrText xml:space="preserve"> HYPERLINK "http://221.14.6.70:8088/ggzy/" </w:instrText>
      </w:r>
      <w:r>
        <w:rPr>
          <w:rStyle w:val="25"/>
          <w:rFonts w:hAnsi="宋体"/>
          <w:color w:val="auto"/>
          <w:szCs w:val="21"/>
        </w:rPr>
        <w:fldChar w:fldCharType="separate"/>
      </w:r>
      <w:r>
        <w:rPr>
          <w:rStyle w:val="25"/>
          <w:rFonts w:hAnsi="宋体"/>
          <w:color w:val="auto"/>
          <w:szCs w:val="21"/>
        </w:rPr>
        <w:t>http://221.14.6.70:8088/ggzy/</w:t>
      </w:r>
      <w:r>
        <w:rPr>
          <w:rStyle w:val="25"/>
          <w:rFonts w:hAnsi="宋体"/>
          <w:color w:val="auto"/>
          <w:szCs w:val="21"/>
        </w:rPr>
        <w:fldChar w:fldCharType="end"/>
      </w:r>
      <w:r>
        <w:rPr>
          <w:rFonts w:hint="eastAsia" w:hAnsi="宋体"/>
          <w:szCs w:val="21"/>
        </w:rPr>
        <w:t>）下载“许昌投标文件制作系统SEARUN V1.0”，按招标文件要求制作电子投标文件。</w:t>
      </w:r>
    </w:p>
    <w:p>
      <w:pPr>
        <w:tabs>
          <w:tab w:val="left" w:pos="7095"/>
        </w:tabs>
        <w:spacing w:line="360" w:lineRule="auto"/>
        <w:ind w:firstLine="420" w:firstLineChars="200"/>
        <w:contextualSpacing/>
        <w:rPr>
          <w:rFonts w:hAnsi="宋体"/>
          <w:szCs w:val="21"/>
        </w:rPr>
      </w:pPr>
      <w:r>
        <w:rPr>
          <w:rFonts w:hint="eastAsia" w:hAnsi="宋体"/>
          <w:szCs w:val="21"/>
        </w:rPr>
        <w:t>电子投标文件的制作，参考《全国公共资源交易平台</w:t>
      </w:r>
      <w:r>
        <w:rPr>
          <w:rFonts w:hint="eastAsia" w:asciiTheme="minorEastAsia" w:hAnsiTheme="minorEastAsia"/>
          <w:szCs w:val="21"/>
        </w:rPr>
        <w:t>(</w:t>
      </w:r>
      <w:r>
        <w:rPr>
          <w:rFonts w:hint="eastAsia" w:hAnsi="宋体"/>
          <w:szCs w:val="21"/>
        </w:rPr>
        <w:t>河南省</w:t>
      </w:r>
      <w:r>
        <w:rPr>
          <w:rFonts w:hint="eastAsia" w:ascii="MS Mincho" w:hAnsi="MS Mincho" w:eastAsia="MS Mincho" w:cs="MS Mincho"/>
          <w:szCs w:val="21"/>
        </w:rPr>
        <w:t>▪</w:t>
      </w:r>
      <w:r>
        <w:rPr>
          <w:rFonts w:hint="eastAsia" w:ascii="宋体" w:hAnsi="宋体" w:eastAsia="宋体" w:cs="宋体"/>
          <w:szCs w:val="21"/>
        </w:rPr>
        <w:t>许昌市</w:t>
      </w:r>
      <w:r>
        <w:rPr>
          <w:rFonts w:hint="eastAsia" w:asciiTheme="minorEastAsia" w:hAnsiTheme="minorEastAsia"/>
          <w:szCs w:val="21"/>
        </w:rPr>
        <w:t>)</w:t>
      </w:r>
      <w:r>
        <w:rPr>
          <w:rFonts w:hint="eastAsia" w:hAnsi="宋体"/>
          <w:szCs w:val="21"/>
        </w:rPr>
        <w:t>》公共资源交易系统——组件下载——交易系统操作手册（投标人、供应商）。</w:t>
      </w:r>
    </w:p>
    <w:p>
      <w:pPr>
        <w:tabs>
          <w:tab w:val="left" w:pos="7095"/>
        </w:tabs>
        <w:spacing w:line="360" w:lineRule="auto"/>
        <w:ind w:firstLine="420" w:firstLineChars="200"/>
        <w:contextualSpacing/>
        <w:rPr>
          <w:rFonts w:hAnsi="宋体"/>
          <w:szCs w:val="21"/>
        </w:rPr>
      </w:pPr>
      <w:r>
        <w:rPr>
          <w:rFonts w:asciiTheme="minorEastAsia" w:hAnsiTheme="minorEastAsia"/>
          <w:szCs w:val="21"/>
        </w:rPr>
        <w:t>3</w:t>
      </w:r>
      <w:r>
        <w:rPr>
          <w:rFonts w:hint="eastAsia" w:asciiTheme="minorEastAsia" w:hAnsiTheme="minorEastAsia"/>
          <w:szCs w:val="21"/>
        </w:rPr>
        <w:t>.</w:t>
      </w:r>
      <w:r>
        <w:rPr>
          <w:rFonts w:asciiTheme="minorEastAsia" w:hAnsiTheme="minorEastAsia"/>
          <w:szCs w:val="21"/>
        </w:rPr>
        <w:t>2</w:t>
      </w:r>
      <w:r>
        <w:rPr>
          <w:rFonts w:hint="eastAsia" w:hAnsi="宋体"/>
          <w:szCs w:val="21"/>
        </w:rPr>
        <w:t xml:space="preserve"> 投标人须将招标文件要求的资质、业绩、荣誉及相关人员证明材料等资料原件扫描件（或图片）制作到所提交的电子投标文件中。</w:t>
      </w:r>
    </w:p>
    <w:p>
      <w:pPr>
        <w:tabs>
          <w:tab w:val="left" w:pos="7095"/>
        </w:tabs>
        <w:spacing w:line="360" w:lineRule="auto"/>
        <w:ind w:firstLine="420" w:firstLineChars="200"/>
        <w:contextualSpacing/>
        <w:rPr>
          <w:rFonts w:hAnsi="宋体"/>
          <w:szCs w:val="21"/>
        </w:rPr>
      </w:pPr>
      <w:r>
        <w:rPr>
          <w:rFonts w:asciiTheme="minorEastAsia" w:hAnsiTheme="minorEastAsia"/>
          <w:szCs w:val="21"/>
        </w:rPr>
        <w:t>3.3</w:t>
      </w:r>
      <w:r>
        <w:rPr>
          <w:rFonts w:hint="eastAsia" w:hAnsi="宋体"/>
          <w:szCs w:val="21"/>
        </w:rPr>
        <w:t>投标人对同一项目多个标段进行投标的，应分别下载所投标段的招标文件，按标段制作电子投标文件，并</w:t>
      </w:r>
      <w:r>
        <w:rPr>
          <w:rFonts w:hAnsi="宋体"/>
          <w:szCs w:val="21"/>
        </w:rPr>
        <w:t>按招标文件要求在相应位置加盖</w:t>
      </w:r>
      <w:r>
        <w:rPr>
          <w:rFonts w:hint="eastAsia" w:hAnsi="宋体"/>
          <w:szCs w:val="21"/>
        </w:rPr>
        <w:t>投标人</w:t>
      </w:r>
      <w:r>
        <w:rPr>
          <w:rFonts w:hAnsi="宋体"/>
          <w:szCs w:val="21"/>
        </w:rPr>
        <w:t>电子印章</w:t>
      </w:r>
      <w:r>
        <w:rPr>
          <w:rFonts w:hint="eastAsia" w:hAnsi="宋体"/>
          <w:szCs w:val="21"/>
        </w:rPr>
        <w:t>和法人电子印章。</w:t>
      </w:r>
    </w:p>
    <w:p>
      <w:pPr>
        <w:tabs>
          <w:tab w:val="left" w:pos="7095"/>
        </w:tabs>
        <w:spacing w:line="360" w:lineRule="auto"/>
        <w:ind w:left="105" w:leftChars="50" w:firstLine="315" w:firstLineChars="150"/>
        <w:contextualSpacing/>
        <w:rPr>
          <w:rFonts w:hAnsi="宋体"/>
          <w:szCs w:val="21"/>
        </w:rPr>
      </w:pPr>
      <w:r>
        <w:rPr>
          <w:rFonts w:hint="eastAsia" w:hAnsi="宋体"/>
          <w:szCs w:val="21"/>
        </w:rPr>
        <w:t>一个标段对应生成一个文件夹（xxxx项目xx标段）, 其中包含2个文件和1个文件夹。后缀名为“</w:t>
      </w:r>
      <w:r>
        <w:rPr>
          <w:rFonts w:hAnsi="宋体"/>
          <w:szCs w:val="21"/>
        </w:rPr>
        <w:t>.file</w:t>
      </w:r>
      <w:r>
        <w:rPr>
          <w:rFonts w:hint="eastAsia" w:hAnsi="宋体"/>
          <w:szCs w:val="21"/>
        </w:rPr>
        <w:t>”的文件用于电子投标使用，后缀名为“.PDF”的文件用于打印纸质投标文件，名称为“备份”的文件夹使用电子介质存储，供开标现场备用。</w:t>
      </w:r>
    </w:p>
    <w:p>
      <w:pPr>
        <w:tabs>
          <w:tab w:val="left" w:pos="7095"/>
        </w:tabs>
        <w:spacing w:line="360" w:lineRule="auto"/>
        <w:ind w:firstLine="422" w:firstLineChars="200"/>
        <w:contextualSpacing/>
        <w:rPr>
          <w:rFonts w:hAnsi="宋体"/>
          <w:b/>
          <w:szCs w:val="21"/>
        </w:rPr>
      </w:pPr>
      <w:r>
        <w:rPr>
          <w:rFonts w:asciiTheme="minorEastAsia" w:hAnsiTheme="minorEastAsia"/>
          <w:b/>
          <w:szCs w:val="21"/>
        </w:rPr>
        <w:t>4</w:t>
      </w:r>
      <w:r>
        <w:rPr>
          <w:rFonts w:hint="eastAsia" w:asciiTheme="minorEastAsia" w:hAnsiTheme="minorEastAsia"/>
          <w:b/>
          <w:szCs w:val="21"/>
        </w:rPr>
        <w:t>.加密</w:t>
      </w:r>
      <w:r>
        <w:rPr>
          <w:rFonts w:hint="eastAsia" w:hAnsi="宋体"/>
          <w:b/>
          <w:szCs w:val="21"/>
        </w:rPr>
        <w:t>电子投标文件的提交</w:t>
      </w:r>
    </w:p>
    <w:p>
      <w:pPr>
        <w:tabs>
          <w:tab w:val="left" w:pos="7095"/>
        </w:tabs>
        <w:spacing w:line="360" w:lineRule="auto"/>
        <w:contextualSpacing/>
        <w:rPr>
          <w:rFonts w:hAnsi="宋体"/>
          <w:szCs w:val="21"/>
        </w:rPr>
      </w:pPr>
      <w:r>
        <w:rPr>
          <w:rFonts w:asciiTheme="minorEastAsia" w:hAnsiTheme="minorEastAsia"/>
          <w:szCs w:val="21"/>
        </w:rPr>
        <w:t>4</w:t>
      </w:r>
      <w:r>
        <w:rPr>
          <w:rFonts w:hint="eastAsia" w:asciiTheme="minorEastAsia" w:hAnsiTheme="minorEastAsia"/>
          <w:szCs w:val="21"/>
        </w:rPr>
        <w:t>.1加密</w:t>
      </w:r>
      <w:r>
        <w:rPr>
          <w:rFonts w:hint="eastAsia" w:hAnsi="宋体"/>
          <w:szCs w:val="21"/>
        </w:rPr>
        <w:t>电子投标文件应在招标文件规定的投标截止时间（开标时间）之前成功提交至《全国公共资源交易平台(河南省</w:t>
      </w:r>
      <w:r>
        <w:rPr>
          <w:rFonts w:hint="eastAsia" w:ascii="MS Mincho" w:hAnsi="MS Mincho" w:eastAsia="MS Mincho" w:cs="MS Mincho"/>
          <w:szCs w:val="21"/>
        </w:rPr>
        <w:t>▪</w:t>
      </w:r>
      <w:r>
        <w:rPr>
          <w:rFonts w:hint="eastAsia" w:ascii="宋体" w:hAnsi="宋体" w:eastAsia="宋体" w:cs="宋体"/>
          <w:szCs w:val="21"/>
        </w:rPr>
        <w:t>许昌市</w:t>
      </w:r>
      <w:r>
        <w:rPr>
          <w:rFonts w:hint="eastAsia" w:hAnsi="宋体"/>
          <w:szCs w:val="21"/>
        </w:rPr>
        <w:t>)》公共资源交易系统（</w:t>
      </w:r>
      <w:r>
        <w:rPr>
          <w:rStyle w:val="25"/>
          <w:rFonts w:hAnsi="宋体"/>
          <w:color w:val="auto"/>
          <w:szCs w:val="21"/>
        </w:rPr>
        <w:fldChar w:fldCharType="begin"/>
      </w:r>
      <w:r>
        <w:rPr>
          <w:rStyle w:val="25"/>
          <w:rFonts w:hAnsi="宋体"/>
          <w:color w:val="auto"/>
          <w:szCs w:val="21"/>
        </w:rPr>
        <w:instrText xml:space="preserve"> HYPERLINK "http://221.14.6.70:8088/ggzy/" </w:instrText>
      </w:r>
      <w:r>
        <w:rPr>
          <w:rStyle w:val="25"/>
          <w:rFonts w:hAnsi="宋体"/>
          <w:color w:val="auto"/>
          <w:szCs w:val="21"/>
        </w:rPr>
        <w:fldChar w:fldCharType="separate"/>
      </w:r>
      <w:r>
        <w:rPr>
          <w:rStyle w:val="25"/>
          <w:rFonts w:hAnsi="宋体"/>
          <w:color w:val="auto"/>
          <w:szCs w:val="21"/>
        </w:rPr>
        <w:t>http://221.14.6.70:8088/ggzy/</w:t>
      </w:r>
      <w:r>
        <w:rPr>
          <w:rStyle w:val="25"/>
          <w:rFonts w:hAnsi="宋体"/>
          <w:color w:val="auto"/>
          <w:szCs w:val="21"/>
        </w:rPr>
        <w:fldChar w:fldCharType="end"/>
      </w:r>
      <w:r>
        <w:rPr>
          <w:rFonts w:hint="eastAsia" w:hAnsi="宋体"/>
          <w:szCs w:val="21"/>
        </w:rPr>
        <w:t>）。</w:t>
      </w:r>
    </w:p>
    <w:p>
      <w:pPr>
        <w:tabs>
          <w:tab w:val="left" w:pos="7095"/>
        </w:tabs>
        <w:spacing w:line="360" w:lineRule="auto"/>
        <w:ind w:firstLine="420" w:firstLineChars="200"/>
        <w:contextualSpacing/>
        <w:rPr>
          <w:rFonts w:hAnsi="宋体"/>
          <w:szCs w:val="21"/>
        </w:rPr>
      </w:pPr>
      <w:r>
        <w:rPr>
          <w:rFonts w:hint="eastAsia" w:hAnsi="宋体"/>
          <w:szCs w:val="21"/>
        </w:rPr>
        <w:t>投标人应充分考虑并预留技术处理和上传数据所需时间。</w:t>
      </w:r>
    </w:p>
    <w:p>
      <w:pPr>
        <w:tabs>
          <w:tab w:val="left" w:pos="7095"/>
        </w:tabs>
        <w:spacing w:line="360" w:lineRule="auto"/>
        <w:ind w:firstLine="420" w:firstLineChars="200"/>
        <w:contextualSpacing/>
        <w:rPr>
          <w:rFonts w:hAnsi="宋体"/>
          <w:szCs w:val="21"/>
        </w:rPr>
      </w:pPr>
      <w:r>
        <w:rPr>
          <w:rFonts w:asciiTheme="minorEastAsia" w:hAnsiTheme="minorEastAsia"/>
          <w:szCs w:val="21"/>
        </w:rPr>
        <w:t>4.</w:t>
      </w:r>
      <w:r>
        <w:rPr>
          <w:rFonts w:hint="eastAsia" w:asciiTheme="minorEastAsia" w:hAnsiTheme="minorEastAsia"/>
          <w:szCs w:val="21"/>
        </w:rPr>
        <w:t xml:space="preserve">2 </w:t>
      </w:r>
      <w:r>
        <w:rPr>
          <w:rFonts w:hint="eastAsia" w:hAnsi="宋体"/>
          <w:szCs w:val="21"/>
        </w:rPr>
        <w:t>投标人对同一项目多个标段进行投标的，加密电子投标文件应按标段分别提交。</w:t>
      </w:r>
    </w:p>
    <w:p>
      <w:pPr>
        <w:tabs>
          <w:tab w:val="left" w:pos="7095"/>
        </w:tabs>
        <w:spacing w:line="360" w:lineRule="auto"/>
        <w:ind w:firstLine="420" w:firstLineChars="200"/>
        <w:contextualSpacing/>
        <w:rPr>
          <w:rFonts w:hAnsi="宋体"/>
          <w:szCs w:val="21"/>
        </w:rPr>
      </w:pPr>
      <w:r>
        <w:rPr>
          <w:rFonts w:asciiTheme="minorEastAsia" w:hAnsiTheme="minorEastAsia"/>
          <w:szCs w:val="21"/>
        </w:rPr>
        <w:t>4</w:t>
      </w:r>
      <w:r>
        <w:rPr>
          <w:rFonts w:hint="eastAsia" w:asciiTheme="minorEastAsia" w:hAnsiTheme="minorEastAsia"/>
          <w:szCs w:val="21"/>
        </w:rPr>
        <w:t>.</w:t>
      </w:r>
      <w:r>
        <w:rPr>
          <w:rFonts w:asciiTheme="minorEastAsia" w:hAnsiTheme="minorEastAsia"/>
          <w:szCs w:val="21"/>
        </w:rPr>
        <w:t>3</w:t>
      </w:r>
      <w:r>
        <w:rPr>
          <w:rFonts w:hint="eastAsia" w:asciiTheme="minorEastAsia" w:hAnsiTheme="minorEastAsia"/>
          <w:szCs w:val="21"/>
        </w:rPr>
        <w:t xml:space="preserve"> 加密</w:t>
      </w:r>
      <w:r>
        <w:rPr>
          <w:rFonts w:hint="eastAsia" w:hAnsi="宋体"/>
          <w:szCs w:val="21"/>
        </w:rPr>
        <w:t>电子投标文件成功提交后，投标人应打印“投标文件提交回执单”供开标现场备查。</w:t>
      </w:r>
    </w:p>
    <w:p>
      <w:pPr>
        <w:tabs>
          <w:tab w:val="left" w:pos="7095"/>
        </w:tabs>
        <w:spacing w:line="360" w:lineRule="auto"/>
        <w:ind w:firstLine="422" w:firstLineChars="200"/>
        <w:contextualSpacing/>
        <w:rPr>
          <w:rFonts w:hAnsi="宋体"/>
          <w:b/>
          <w:szCs w:val="21"/>
        </w:rPr>
      </w:pPr>
      <w:r>
        <w:rPr>
          <w:rFonts w:asciiTheme="minorEastAsia" w:hAnsiTheme="minorEastAsia"/>
          <w:b/>
          <w:szCs w:val="21"/>
        </w:rPr>
        <w:t>5</w:t>
      </w:r>
      <w:r>
        <w:rPr>
          <w:rFonts w:hint="eastAsia" w:asciiTheme="minorEastAsia" w:hAnsiTheme="minorEastAsia"/>
          <w:b/>
          <w:szCs w:val="21"/>
        </w:rPr>
        <w:t>.</w:t>
      </w:r>
      <w:r>
        <w:rPr>
          <w:rFonts w:hint="eastAsia" w:hAnsi="宋体"/>
          <w:b/>
          <w:szCs w:val="21"/>
        </w:rPr>
        <w:t>评标依据</w:t>
      </w:r>
    </w:p>
    <w:p>
      <w:pPr>
        <w:tabs>
          <w:tab w:val="left" w:pos="7095"/>
        </w:tabs>
        <w:spacing w:line="360" w:lineRule="auto"/>
        <w:ind w:firstLine="420" w:firstLineChars="200"/>
        <w:contextualSpacing/>
        <w:rPr>
          <w:rFonts w:hAnsi="宋体"/>
          <w:szCs w:val="21"/>
        </w:rPr>
      </w:pPr>
      <w:r>
        <w:rPr>
          <w:rFonts w:hint="eastAsia" w:asciiTheme="minorEastAsia" w:hAnsiTheme="minorEastAsia"/>
          <w:szCs w:val="21"/>
        </w:rPr>
        <w:t>5.1</w:t>
      </w:r>
      <w:r>
        <w:rPr>
          <w:rFonts w:hint="eastAsia" w:hAnsi="宋体"/>
          <w:szCs w:val="21"/>
        </w:rPr>
        <w:t>采用全流程电子化交易评标时，评标委员会以电子投标文件为依据评标。</w:t>
      </w:r>
    </w:p>
    <w:p>
      <w:pPr>
        <w:tabs>
          <w:tab w:val="left" w:pos="7095"/>
        </w:tabs>
        <w:spacing w:line="360" w:lineRule="auto"/>
        <w:ind w:firstLine="420" w:firstLineChars="200"/>
        <w:contextualSpacing/>
        <w:rPr>
          <w:rFonts w:hAnsi="宋体"/>
          <w:szCs w:val="21"/>
        </w:rPr>
      </w:pPr>
      <w:r>
        <w:rPr>
          <w:rFonts w:hint="eastAsia" w:asciiTheme="minorEastAsia" w:hAnsiTheme="minorEastAsia"/>
          <w:szCs w:val="21"/>
        </w:rPr>
        <w:t>5.2</w:t>
      </w:r>
      <w:r>
        <w:rPr>
          <w:rFonts w:hint="eastAsia" w:hAnsi="宋体"/>
          <w:szCs w:val="21"/>
        </w:rPr>
        <w:t>全流程电子化交易如因系统异常情况无法完成，将以人工方式进行。评标委员会以纸质投标文件为依据评标。</w:t>
      </w:r>
    </w:p>
    <w:p>
      <w:pPr>
        <w:autoSpaceDE w:val="0"/>
        <w:autoSpaceDN w:val="0"/>
        <w:adjustRightInd w:val="0"/>
        <w:spacing w:line="700" w:lineRule="exact"/>
        <w:ind w:firstLine="560"/>
        <w:rPr>
          <w:rFonts w:cs="仿宋_GB2312" w:asciiTheme="minorEastAsia" w:hAnsiTheme="minorEastAsia"/>
          <w:sz w:val="24"/>
          <w:szCs w:val="24"/>
        </w:rPr>
      </w:pPr>
    </w:p>
    <w:p>
      <w:pPr>
        <w:autoSpaceDE w:val="0"/>
        <w:autoSpaceDN w:val="0"/>
        <w:adjustRightInd w:val="0"/>
        <w:spacing w:line="700" w:lineRule="exact"/>
        <w:ind w:firstLine="560"/>
        <w:rPr>
          <w:rFonts w:cs="仿宋_GB2312" w:asciiTheme="minorEastAsia" w:hAnsiTheme="minorEastAsia"/>
          <w:sz w:val="24"/>
          <w:szCs w:val="24"/>
        </w:rPr>
      </w:pPr>
    </w:p>
    <w:p>
      <w:pPr>
        <w:autoSpaceDE w:val="0"/>
        <w:autoSpaceDN w:val="0"/>
        <w:adjustRightInd w:val="0"/>
        <w:spacing w:line="700" w:lineRule="exact"/>
        <w:ind w:firstLine="560"/>
        <w:rPr>
          <w:rFonts w:cs="仿宋_GB2312" w:asciiTheme="minorEastAsia" w:hAnsiTheme="minorEastAsia"/>
          <w:sz w:val="24"/>
          <w:szCs w:val="24"/>
        </w:rPr>
      </w:pPr>
    </w:p>
    <w:p>
      <w:pPr>
        <w:autoSpaceDE w:val="0"/>
        <w:autoSpaceDN w:val="0"/>
        <w:adjustRightInd w:val="0"/>
        <w:spacing w:line="700" w:lineRule="exact"/>
        <w:ind w:firstLine="560"/>
        <w:rPr>
          <w:rFonts w:cs="仿宋_GB2312" w:asciiTheme="minorEastAsia" w:hAnsiTheme="minorEastAsia"/>
          <w:sz w:val="24"/>
          <w:szCs w:val="24"/>
        </w:rPr>
      </w:pPr>
    </w:p>
    <w:p>
      <w:pPr>
        <w:autoSpaceDE w:val="0"/>
        <w:autoSpaceDN w:val="0"/>
        <w:adjustRightInd w:val="0"/>
        <w:spacing w:line="700" w:lineRule="exact"/>
        <w:ind w:firstLine="560"/>
        <w:rPr>
          <w:rFonts w:cs="仿宋_GB2312" w:asciiTheme="minorEastAsia" w:hAnsiTheme="minorEastAsia"/>
          <w:sz w:val="24"/>
          <w:szCs w:val="24"/>
        </w:rPr>
      </w:pPr>
    </w:p>
    <w:p>
      <w:pPr>
        <w:autoSpaceDE w:val="0"/>
        <w:autoSpaceDN w:val="0"/>
        <w:adjustRightInd w:val="0"/>
        <w:spacing w:line="700" w:lineRule="exact"/>
        <w:ind w:firstLine="560"/>
        <w:rPr>
          <w:rFonts w:cs="仿宋_GB2312" w:asciiTheme="minorEastAsia" w:hAnsiTheme="minorEastAsia"/>
          <w:sz w:val="24"/>
          <w:szCs w:val="24"/>
        </w:rPr>
      </w:pPr>
    </w:p>
    <w:p>
      <w:pPr>
        <w:autoSpaceDE w:val="0"/>
        <w:autoSpaceDN w:val="0"/>
        <w:adjustRightInd w:val="0"/>
        <w:spacing w:line="700" w:lineRule="exact"/>
        <w:ind w:firstLine="560"/>
        <w:rPr>
          <w:rFonts w:cs="仿宋_GB2312" w:asciiTheme="minorEastAsia" w:hAnsiTheme="minorEastAsia"/>
          <w:sz w:val="24"/>
          <w:szCs w:val="24"/>
        </w:rPr>
      </w:pPr>
    </w:p>
    <w:p>
      <w:pPr>
        <w:autoSpaceDE w:val="0"/>
        <w:autoSpaceDN w:val="0"/>
        <w:adjustRightInd w:val="0"/>
        <w:spacing w:line="700" w:lineRule="exact"/>
        <w:ind w:firstLine="560"/>
        <w:rPr>
          <w:rFonts w:cs="仿宋_GB2312" w:asciiTheme="minorEastAsia" w:hAnsiTheme="minorEastAsia"/>
          <w:sz w:val="24"/>
          <w:szCs w:val="24"/>
        </w:rPr>
      </w:pPr>
    </w:p>
    <w:p>
      <w:pPr>
        <w:autoSpaceDE w:val="0"/>
        <w:autoSpaceDN w:val="0"/>
        <w:adjustRightInd w:val="0"/>
        <w:spacing w:line="700" w:lineRule="exact"/>
        <w:ind w:firstLine="560"/>
        <w:rPr>
          <w:rFonts w:cs="仿宋_GB2312" w:asciiTheme="minorEastAsia" w:hAnsiTheme="minorEastAsia"/>
          <w:sz w:val="24"/>
          <w:szCs w:val="24"/>
        </w:rPr>
      </w:pPr>
    </w:p>
    <w:p>
      <w:pPr>
        <w:autoSpaceDE w:val="0"/>
        <w:autoSpaceDN w:val="0"/>
        <w:adjustRightInd w:val="0"/>
        <w:spacing w:line="700" w:lineRule="exact"/>
        <w:ind w:firstLine="560"/>
        <w:rPr>
          <w:rFonts w:cs="仿宋_GB2312" w:asciiTheme="minorEastAsia" w:hAnsiTheme="minorEastAsia"/>
          <w:sz w:val="24"/>
          <w:szCs w:val="24"/>
        </w:rPr>
      </w:pPr>
    </w:p>
    <w:p>
      <w:pPr>
        <w:autoSpaceDE w:val="0"/>
        <w:autoSpaceDN w:val="0"/>
        <w:adjustRightInd w:val="0"/>
        <w:spacing w:line="700" w:lineRule="exact"/>
        <w:ind w:firstLine="560"/>
        <w:rPr>
          <w:rFonts w:cs="仿宋_GB2312" w:asciiTheme="minorEastAsia" w:hAnsiTheme="minorEastAsia"/>
          <w:sz w:val="24"/>
          <w:szCs w:val="24"/>
        </w:rPr>
      </w:pPr>
    </w:p>
    <w:p>
      <w:pPr>
        <w:autoSpaceDE w:val="0"/>
        <w:autoSpaceDN w:val="0"/>
        <w:adjustRightInd w:val="0"/>
        <w:spacing w:line="700" w:lineRule="exact"/>
        <w:ind w:firstLine="560"/>
        <w:rPr>
          <w:rFonts w:cs="仿宋_GB2312" w:asciiTheme="minorEastAsia" w:hAnsiTheme="minorEastAsia"/>
          <w:sz w:val="24"/>
          <w:szCs w:val="24"/>
        </w:rPr>
      </w:pPr>
    </w:p>
    <w:p>
      <w:pPr>
        <w:autoSpaceDE w:val="0"/>
        <w:autoSpaceDN w:val="0"/>
        <w:adjustRightInd w:val="0"/>
        <w:spacing w:line="700" w:lineRule="exact"/>
        <w:ind w:firstLine="560"/>
        <w:rPr>
          <w:rFonts w:cs="仿宋_GB2312" w:asciiTheme="minorEastAsia" w:hAnsiTheme="minorEastAsia"/>
          <w:sz w:val="24"/>
          <w:szCs w:val="24"/>
        </w:rPr>
      </w:pPr>
    </w:p>
    <w:p>
      <w:pPr>
        <w:pStyle w:val="2"/>
        <w:ind w:firstLine="340"/>
      </w:pPr>
    </w:p>
    <w:p>
      <w:pPr>
        <w:numPr>
          <w:ilvl w:val="0"/>
          <w:numId w:val="4"/>
        </w:num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项目需求</w:t>
      </w:r>
    </w:p>
    <w:p>
      <w:pPr>
        <w:spacing w:line="360" w:lineRule="auto"/>
        <w:ind w:firstLine="241" w:firstLineChars="100"/>
        <w:contextualSpacing/>
        <w:rPr>
          <w:rFonts w:ascii="宋体" w:hAnsi="宋体" w:cs="宋体"/>
          <w:b/>
          <w:bCs/>
          <w:kern w:val="0"/>
          <w:sz w:val="24"/>
          <w:shd w:val="clear" w:color="auto" w:fill="FFFFFF"/>
        </w:rPr>
      </w:pPr>
      <w:r>
        <w:rPr>
          <w:rFonts w:hint="eastAsia" w:ascii="宋体" w:hAnsi="宋体" w:cs="宋体"/>
          <w:b/>
          <w:bCs/>
          <w:kern w:val="0"/>
          <w:sz w:val="24"/>
          <w:shd w:val="clear" w:color="auto" w:fill="FFFFFF"/>
        </w:rPr>
        <w:t>一、本项目需实现的功能或者目标：</w:t>
      </w:r>
    </w:p>
    <w:p>
      <w:pPr>
        <w:spacing w:line="360" w:lineRule="auto"/>
        <w:ind w:firstLine="480" w:firstLineChars="200"/>
        <w:contextualSpacing/>
        <w:rPr>
          <w:rFonts w:ascii="宋体" w:hAnsi="宋体" w:cs="宋体"/>
          <w:kern w:val="0"/>
          <w:sz w:val="24"/>
          <w:shd w:val="clear" w:color="auto" w:fill="FFFFFF"/>
        </w:rPr>
      </w:pPr>
      <w:r>
        <w:rPr>
          <w:rFonts w:hint="eastAsia" w:ascii="宋体" w:hAnsi="宋体" w:cs="宋体"/>
          <w:kern w:val="0"/>
          <w:sz w:val="24"/>
          <w:shd w:val="clear" w:color="auto" w:fill="FFFFFF"/>
        </w:rPr>
        <w:t>1、确保区域范围内所有建设工程、单位、镇（办）等单位达到扬尘管控“6个100%”要求；</w:t>
      </w:r>
    </w:p>
    <w:p>
      <w:pPr>
        <w:pStyle w:val="2"/>
        <w:ind w:firstLine="480" w:firstLineChars="200"/>
        <w:rPr>
          <w:rFonts w:hAnsi="宋体" w:cs="宋体"/>
          <w:sz w:val="24"/>
          <w:shd w:val="clear" w:color="auto" w:fill="FFFFFF"/>
        </w:rPr>
      </w:pPr>
      <w:r>
        <w:rPr>
          <w:rFonts w:hint="eastAsia" w:hAnsi="宋体" w:cs="宋体"/>
          <w:sz w:val="24"/>
          <w:shd w:val="clear" w:color="auto" w:fill="FFFFFF"/>
        </w:rPr>
        <w:t>2、确保如我辖区空气质量日报出现异常能及时进行相关监测；</w:t>
      </w:r>
    </w:p>
    <w:p>
      <w:pPr>
        <w:pStyle w:val="2"/>
        <w:ind w:firstLine="480" w:firstLineChars="200"/>
        <w:rPr>
          <w:rFonts w:hAnsi="宋体" w:cs="宋体"/>
          <w:sz w:val="24"/>
          <w:shd w:val="clear" w:color="auto" w:fill="FFFFFF"/>
        </w:rPr>
      </w:pPr>
      <w:r>
        <w:rPr>
          <w:rFonts w:hint="eastAsia" w:hAnsi="宋体" w:cs="宋体"/>
          <w:sz w:val="24"/>
          <w:shd w:val="clear" w:color="auto" w:fill="FFFFFF"/>
        </w:rPr>
        <w:t>3、查找筛选出相关污染源，提出合理化建议；</w:t>
      </w:r>
    </w:p>
    <w:p>
      <w:pPr>
        <w:spacing w:line="360" w:lineRule="auto"/>
        <w:ind w:firstLine="480" w:firstLineChars="200"/>
        <w:contextualSpacing/>
        <w:rPr>
          <w:rFonts w:ascii="宋体" w:hAnsi="宋体" w:cs="宋体"/>
          <w:kern w:val="0"/>
          <w:sz w:val="24"/>
          <w:shd w:val="clear" w:color="auto" w:fill="FFFFFF"/>
        </w:rPr>
      </w:pPr>
      <w:r>
        <w:rPr>
          <w:rFonts w:hint="eastAsia" w:ascii="宋体" w:hAnsi="宋体" w:cs="宋体"/>
          <w:kern w:val="0"/>
          <w:sz w:val="24"/>
          <w:shd w:val="clear" w:color="auto" w:fill="FFFFFF"/>
        </w:rPr>
        <w:t>4、配合做好其他临时交办工作。</w:t>
      </w:r>
    </w:p>
    <w:p>
      <w:pPr>
        <w:spacing w:line="360" w:lineRule="auto"/>
        <w:ind w:firstLine="482" w:firstLineChars="200"/>
        <w:contextualSpacing/>
        <w:rPr>
          <w:rFonts w:ascii="宋体" w:hAnsi="宋体" w:cs="宋体"/>
          <w:b/>
          <w:bCs/>
          <w:kern w:val="0"/>
          <w:sz w:val="24"/>
          <w:shd w:val="clear" w:color="auto" w:fill="FFFFFF"/>
        </w:rPr>
      </w:pPr>
      <w:r>
        <w:rPr>
          <w:rFonts w:hint="eastAsia" w:ascii="宋体" w:hAnsi="宋体" w:cs="宋体"/>
          <w:b/>
          <w:bCs/>
          <w:kern w:val="0"/>
          <w:sz w:val="24"/>
          <w:shd w:val="clear" w:color="auto" w:fill="FFFFFF"/>
        </w:rPr>
        <w:t>二、项目概况及技术要求：</w:t>
      </w:r>
    </w:p>
    <w:p>
      <w:pPr>
        <w:spacing w:line="360" w:lineRule="auto"/>
        <w:ind w:firstLine="480" w:firstLineChars="200"/>
        <w:contextualSpacing/>
        <w:rPr>
          <w:rFonts w:ascii="Arial" w:hAnsi="Arial" w:cs="Arial"/>
          <w:sz w:val="24"/>
          <w:szCs w:val="24"/>
        </w:rPr>
      </w:pPr>
      <w:r>
        <w:rPr>
          <w:rFonts w:hint="eastAsia" w:ascii="Arial" w:hAnsi="Arial" w:cs="Arial"/>
          <w:sz w:val="24"/>
          <w:szCs w:val="24"/>
        </w:rPr>
        <w:t>项目概况：</w:t>
      </w:r>
    </w:p>
    <w:p>
      <w:pPr>
        <w:pStyle w:val="2"/>
        <w:spacing w:after="0" w:line="360" w:lineRule="auto"/>
        <w:ind w:firstLine="480" w:firstLineChars="200"/>
        <w:rPr>
          <w:rFonts w:ascii="Arial" w:hAnsi="Arial" w:cs="Arial" w:eastAsiaTheme="minorEastAsia"/>
          <w:kern w:val="2"/>
          <w:sz w:val="24"/>
          <w:szCs w:val="24"/>
        </w:rPr>
      </w:pPr>
      <w:r>
        <w:rPr>
          <w:rFonts w:hint="eastAsia" w:ascii="Arial" w:hAnsi="Arial" w:cs="Arial" w:eastAsiaTheme="minorEastAsia"/>
          <w:kern w:val="2"/>
          <w:sz w:val="24"/>
          <w:szCs w:val="24"/>
        </w:rPr>
        <w:t>由于采购方辖区内空气质量部分时间会出现异常波动，因此进行此次采购。具体要求：1、实施24小时全天随时待命应急监测；2、对异常情况下影响环境空气质量的“六因子”进行检测，重点是PM</w:t>
      </w:r>
      <w:r>
        <w:rPr>
          <w:rFonts w:hint="eastAsia" w:ascii="Arial" w:hAnsi="Arial" w:cs="Arial" w:eastAsiaTheme="minorEastAsia"/>
          <w:kern w:val="2"/>
          <w:sz w:val="24"/>
          <w:szCs w:val="24"/>
          <w:vertAlign w:val="subscript"/>
        </w:rPr>
        <w:t>10</w:t>
      </w:r>
      <w:r>
        <w:rPr>
          <w:rFonts w:hint="eastAsia" w:ascii="Arial" w:hAnsi="Arial" w:cs="Arial" w:eastAsiaTheme="minorEastAsia"/>
          <w:kern w:val="2"/>
          <w:sz w:val="24"/>
          <w:szCs w:val="24"/>
        </w:rPr>
        <w:t>、PM</w:t>
      </w:r>
      <w:r>
        <w:rPr>
          <w:rFonts w:hint="eastAsia" w:ascii="Arial" w:hAnsi="Arial" w:cs="Arial" w:eastAsiaTheme="minorEastAsia"/>
          <w:kern w:val="2"/>
          <w:sz w:val="24"/>
          <w:szCs w:val="24"/>
          <w:vertAlign w:val="subscript"/>
        </w:rPr>
        <w:t>2.5</w:t>
      </w:r>
      <w:r>
        <w:rPr>
          <w:rFonts w:hint="eastAsia" w:ascii="Arial" w:hAnsi="Arial" w:cs="Arial" w:eastAsiaTheme="minorEastAsia"/>
          <w:kern w:val="2"/>
          <w:sz w:val="24"/>
          <w:szCs w:val="24"/>
        </w:rPr>
        <w:t>数据。同时提出数据变化建设性建议；3、当监测数据出现异常，及时通知采购方进行应急监督检查。</w:t>
      </w:r>
    </w:p>
    <w:p>
      <w:pPr>
        <w:pStyle w:val="2"/>
        <w:spacing w:after="0" w:line="360" w:lineRule="auto"/>
        <w:ind w:firstLine="480" w:firstLineChars="200"/>
        <w:rPr>
          <w:rFonts w:ascii="Arial" w:hAnsi="Arial" w:cs="Arial" w:eastAsiaTheme="minorEastAsia"/>
          <w:kern w:val="2"/>
          <w:sz w:val="24"/>
          <w:szCs w:val="24"/>
        </w:rPr>
      </w:pPr>
      <w:r>
        <w:rPr>
          <w:rFonts w:hint="eastAsia" w:ascii="Arial" w:hAnsi="Arial" w:cs="Arial" w:eastAsiaTheme="minorEastAsia"/>
          <w:kern w:val="2"/>
          <w:sz w:val="24"/>
          <w:szCs w:val="24"/>
        </w:rPr>
        <w:t>技术要求：</w:t>
      </w:r>
    </w:p>
    <w:p>
      <w:pPr>
        <w:pStyle w:val="2"/>
        <w:spacing w:after="0" w:line="360" w:lineRule="auto"/>
        <w:ind w:firstLine="480" w:firstLineChars="200"/>
        <w:rPr>
          <w:rFonts w:ascii="Arial" w:hAnsi="Arial" w:cs="Arial" w:eastAsiaTheme="minorEastAsia"/>
          <w:kern w:val="2"/>
          <w:sz w:val="24"/>
          <w:szCs w:val="24"/>
        </w:rPr>
      </w:pPr>
      <w:r>
        <w:rPr>
          <w:rFonts w:hint="eastAsia" w:ascii="Arial" w:hAnsi="Arial" w:cs="Arial" w:eastAsiaTheme="minorEastAsia"/>
          <w:kern w:val="2"/>
          <w:sz w:val="24"/>
          <w:szCs w:val="24"/>
        </w:rPr>
        <w:t>（一）巡查。1、每日24小时负责对辖区内所有污染源进行巡查；2、发现辖区内有建筑工地施工、扬尘污染源、渣土偷运、“小散乱”企业违规生产、焚烧垃圾树叶等问题，立即进行提醒处置，无法处置的及时提醒采购方到场；3、合同履行期间，车辆及人员接受采购方调派，无紧急原因车辆、人员不准随意调换，如需调换应先征得采购方同意。</w:t>
      </w:r>
    </w:p>
    <w:p>
      <w:pPr>
        <w:pStyle w:val="2"/>
        <w:spacing w:after="0" w:line="360" w:lineRule="auto"/>
        <w:ind w:firstLine="480" w:firstLineChars="200"/>
        <w:rPr>
          <w:rFonts w:ascii="Arial" w:hAnsi="Arial" w:cs="Arial" w:eastAsiaTheme="minorEastAsia"/>
          <w:kern w:val="2"/>
          <w:sz w:val="24"/>
          <w:szCs w:val="24"/>
        </w:rPr>
      </w:pPr>
      <w:r>
        <w:rPr>
          <w:rFonts w:hint="eastAsia" w:ascii="Arial" w:hAnsi="Arial" w:cs="Arial" w:eastAsiaTheme="minorEastAsia"/>
          <w:kern w:val="2"/>
          <w:sz w:val="24"/>
          <w:szCs w:val="24"/>
        </w:rPr>
        <w:t>（二）管控。投标人应安装车载定位系统，每天向采购方发送前晚巡查轨迹情况；每天对夜晚发现问题、巡查、处理情况及合理性建议形成文字报采购方。</w:t>
      </w:r>
    </w:p>
    <w:p>
      <w:pPr>
        <w:pStyle w:val="2"/>
        <w:spacing w:after="0" w:line="360" w:lineRule="auto"/>
        <w:ind w:firstLine="480" w:firstLineChars="200"/>
        <w:rPr>
          <w:rFonts w:ascii="Arial" w:hAnsi="Arial" w:cs="Arial" w:eastAsiaTheme="minorEastAsia"/>
          <w:kern w:val="2"/>
          <w:sz w:val="24"/>
          <w:szCs w:val="24"/>
        </w:rPr>
      </w:pPr>
      <w:r>
        <w:rPr>
          <w:rFonts w:hint="eastAsia" w:ascii="Arial" w:hAnsi="Arial" w:cs="Arial" w:eastAsiaTheme="minorEastAsia"/>
          <w:kern w:val="2"/>
          <w:sz w:val="24"/>
          <w:szCs w:val="24"/>
        </w:rPr>
        <w:t>（三）当采购方辖区内空气质量日报数据出现异常时，应在两个小时内抵达现场，开展应急监测，并根据巡查、监测结果分析原因，提出合理化建议。</w:t>
      </w:r>
    </w:p>
    <w:p>
      <w:pPr>
        <w:widowControl/>
        <w:shd w:val="clear" w:color="auto" w:fill="FFFFFF"/>
        <w:spacing w:line="360" w:lineRule="auto"/>
        <w:ind w:firstLine="422" w:firstLineChars="200"/>
        <w:contextualSpacing/>
        <w:jc w:val="left"/>
        <w:rPr>
          <w:rFonts w:ascii="楷体" w:hAnsi="楷体" w:eastAsia="楷体" w:cs="宋体"/>
          <w:kern w:val="0"/>
          <w:szCs w:val="21"/>
          <w:lang w:val="zh-CN"/>
        </w:rPr>
      </w:pPr>
      <w:r>
        <w:rPr>
          <w:rFonts w:hint="eastAsia" w:cs="微软雅黑" w:asciiTheme="minorEastAsia" w:hAnsiTheme="minorEastAsia"/>
          <w:b/>
          <w:szCs w:val="21"/>
        </w:rPr>
        <w:t>★</w:t>
      </w:r>
      <w:r>
        <w:rPr>
          <w:rFonts w:hint="eastAsia" w:cs="宋体" w:asciiTheme="minorEastAsia" w:hAnsiTheme="minorEastAsia"/>
          <w:b/>
          <w:kern w:val="0"/>
          <w:szCs w:val="21"/>
          <w:lang w:val="zh-CN"/>
        </w:rPr>
        <w:t>三、验收标准</w:t>
      </w:r>
    </w:p>
    <w:p>
      <w:pPr>
        <w:pStyle w:val="21"/>
        <w:widowControl/>
        <w:shd w:val="clear" w:color="auto" w:fill="FFFFFF"/>
        <w:spacing w:line="360" w:lineRule="auto"/>
        <w:ind w:firstLine="420"/>
        <w:contextualSpacing/>
        <w:jc w:val="left"/>
        <w:rPr>
          <w:rFonts w:cs="宋体" w:asciiTheme="minorEastAsia" w:hAnsiTheme="minorEastAsia"/>
          <w:kern w:val="0"/>
          <w:szCs w:val="21"/>
          <w:lang w:val="zh-CN"/>
        </w:rPr>
      </w:pPr>
      <w:r>
        <w:rPr>
          <w:rFonts w:hint="eastAsia" w:cs="宋体" w:asciiTheme="minorEastAsia" w:hAnsiTheme="minorEastAsia"/>
          <w:kern w:val="0"/>
          <w:szCs w:val="21"/>
          <w:lang w:val="zh-CN"/>
        </w:rPr>
        <w:t>1、由采购人成立验收小组,按照国价相关标准并结合采购合同的约定对中标人履约情况进行验收。</w:t>
      </w:r>
    </w:p>
    <w:p>
      <w:pPr>
        <w:pStyle w:val="21"/>
        <w:widowControl/>
        <w:shd w:val="clear" w:color="auto" w:fill="FFFFFF"/>
        <w:spacing w:line="360" w:lineRule="auto"/>
        <w:ind w:firstLine="420"/>
        <w:contextualSpacing/>
        <w:jc w:val="left"/>
        <w:rPr>
          <w:rFonts w:cs="宋体" w:asciiTheme="minorEastAsia" w:hAnsiTheme="minorEastAsia"/>
          <w:kern w:val="0"/>
          <w:szCs w:val="21"/>
          <w:lang w:val="zh-CN"/>
        </w:rPr>
      </w:pPr>
      <w:r>
        <w:rPr>
          <w:rFonts w:hint="eastAsia" w:cs="宋体" w:asciiTheme="minorEastAsia" w:hAnsiTheme="minorEastAsia"/>
          <w:kern w:val="0"/>
          <w:szCs w:val="21"/>
          <w:lang w:val="zh-CN"/>
        </w:rPr>
        <w:t>2、按照招标文件要求、投标文件响应和承诺验收。</w:t>
      </w:r>
    </w:p>
    <w:p>
      <w:pPr>
        <w:pStyle w:val="21"/>
        <w:widowControl/>
        <w:shd w:val="clear" w:color="auto" w:fill="FFFFFF"/>
        <w:spacing w:line="360" w:lineRule="auto"/>
        <w:ind w:firstLine="420"/>
        <w:contextualSpacing/>
        <w:jc w:val="left"/>
        <w:rPr>
          <w:rFonts w:cs="宋体" w:asciiTheme="minorEastAsia" w:hAnsiTheme="minorEastAsia"/>
          <w:b/>
          <w:kern w:val="0"/>
          <w:szCs w:val="21"/>
          <w:lang w:val="zh-CN"/>
        </w:rPr>
      </w:pPr>
      <w:r>
        <w:rPr>
          <w:rFonts w:hint="eastAsia" w:cs="宋体" w:asciiTheme="minorEastAsia" w:hAnsiTheme="minorEastAsia"/>
          <w:b/>
          <w:kern w:val="0"/>
          <w:szCs w:val="21"/>
          <w:lang w:val="zh-CN"/>
        </w:rPr>
        <w:t>★四、本项目预算金额52万元。最高限价52万元。超出最高限价的投标无效。</w:t>
      </w:r>
    </w:p>
    <w:p>
      <w:pPr>
        <w:pStyle w:val="21"/>
        <w:widowControl/>
        <w:shd w:val="clear" w:color="auto" w:fill="FFFFFF"/>
        <w:spacing w:line="360" w:lineRule="auto"/>
        <w:ind w:firstLine="420"/>
        <w:contextualSpacing/>
        <w:jc w:val="left"/>
        <w:rPr>
          <w:rFonts w:cs="宋体" w:asciiTheme="minorEastAsia" w:hAnsiTheme="minorEastAsia"/>
          <w:b/>
          <w:kern w:val="0"/>
          <w:szCs w:val="21"/>
          <w:lang w:val="zh-CN"/>
        </w:rPr>
      </w:pPr>
      <w:r>
        <w:rPr>
          <w:rFonts w:hint="eastAsia" w:cs="宋体" w:asciiTheme="minorEastAsia" w:hAnsiTheme="minorEastAsia"/>
          <w:b/>
          <w:kern w:val="0"/>
          <w:szCs w:val="21"/>
          <w:lang w:val="zh-CN"/>
        </w:rPr>
        <w:t>★五、资金支付</w:t>
      </w:r>
    </w:p>
    <w:p>
      <w:pPr>
        <w:pStyle w:val="21"/>
        <w:widowControl/>
        <w:shd w:val="clear" w:color="auto" w:fill="FFFFFF"/>
        <w:spacing w:line="360" w:lineRule="auto"/>
        <w:ind w:firstLine="420"/>
        <w:contextualSpacing/>
        <w:jc w:val="left"/>
        <w:rPr>
          <w:rFonts w:cs="宋体" w:asciiTheme="minorEastAsia" w:hAnsiTheme="minorEastAsia"/>
          <w:kern w:val="0"/>
          <w:szCs w:val="21"/>
          <w:lang w:val="zh-CN"/>
        </w:rPr>
      </w:pPr>
      <w:r>
        <w:rPr>
          <w:rFonts w:hint="eastAsia" w:cs="宋体" w:asciiTheme="minorEastAsia" w:hAnsiTheme="minorEastAsia"/>
          <w:kern w:val="0"/>
          <w:szCs w:val="21"/>
          <w:lang w:val="zh-CN"/>
        </w:rPr>
        <w:t>1、支付方式：银行转账。</w:t>
      </w:r>
    </w:p>
    <w:p>
      <w:pPr>
        <w:widowControl/>
        <w:shd w:val="clear" w:color="auto" w:fill="FFFFFF"/>
        <w:spacing w:line="360" w:lineRule="auto"/>
        <w:ind w:firstLine="420" w:firstLineChars="200"/>
        <w:contextualSpacing/>
        <w:jc w:val="left"/>
        <w:rPr>
          <w:rFonts w:ascii="宋体" w:hAnsi="宋体" w:cs="宋体"/>
          <w:kern w:val="0"/>
          <w:szCs w:val="21"/>
          <w:lang w:val="zh-CN"/>
        </w:rPr>
      </w:pPr>
      <w:r>
        <w:rPr>
          <w:rFonts w:hint="eastAsia" w:cs="宋体" w:asciiTheme="minorEastAsia" w:hAnsiTheme="minorEastAsia"/>
          <w:kern w:val="0"/>
          <w:szCs w:val="21"/>
          <w:lang w:val="zh-CN"/>
        </w:rPr>
        <w:t>2、支付时间及条件：</w:t>
      </w:r>
      <w:r>
        <w:rPr>
          <w:rFonts w:hint="eastAsia" w:ascii="宋体" w:hAnsi="宋体" w:cs="宋体"/>
          <w:kern w:val="0"/>
          <w:szCs w:val="21"/>
          <w:lang w:val="zh-CN"/>
        </w:rPr>
        <w:t>签订合同后三个工作日内，支付项目款的30%作为定金；合同期满，服务完成后结清全部项目款。</w:t>
      </w:r>
    </w:p>
    <w:p>
      <w:pPr>
        <w:autoSpaceDE w:val="0"/>
        <w:autoSpaceDN w:val="0"/>
        <w:adjustRightInd w:val="0"/>
        <w:jc w:val="center"/>
        <w:rPr>
          <w:rFonts w:cs="宋体" w:asciiTheme="majorEastAsia" w:hAnsiTheme="majorEastAsia" w:eastAsiaTheme="majorEastAsia"/>
          <w:b/>
          <w:kern w:val="0"/>
          <w:sz w:val="32"/>
          <w:szCs w:val="32"/>
        </w:rPr>
        <w:sectPr>
          <w:footerReference r:id="rId3" w:type="default"/>
          <w:pgSz w:w="11906" w:h="16838"/>
          <w:pgMar w:top="2098" w:right="1474" w:bottom="1928" w:left="1588" w:header="851" w:footer="992" w:gutter="0"/>
          <w:cols w:space="425" w:num="1"/>
          <w:docGrid w:type="lines" w:linePitch="312" w:charSpace="0"/>
        </w:sectPr>
      </w:pPr>
    </w:p>
    <w:p>
      <w:pPr>
        <w:autoSpaceDE w:val="0"/>
        <w:autoSpaceDN w:val="0"/>
        <w:adjustRightInd w:val="0"/>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第三章 投标人须知前附表</w:t>
      </w: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szCs w:val="21"/>
        </w:rPr>
        <w:t>招标文件中凡标有</w:t>
      </w:r>
      <w:r>
        <w:rPr>
          <w:rFonts w:hint="eastAsia" w:cs="微软雅黑" w:asciiTheme="minorEastAsia" w:hAnsiTheme="minorEastAsia"/>
          <w:b/>
          <w:szCs w:val="21"/>
        </w:rPr>
        <w:t>★</w:t>
      </w:r>
      <w:r>
        <w:rPr>
          <w:rFonts w:hint="eastAsia" w:cs="微软雅黑"/>
          <w:b/>
          <w:szCs w:val="21"/>
        </w:rPr>
        <w:t>条款均为实质性要求条款，投标文件须完全响应，未实质响应的，按照无效投标处理。</w:t>
      </w:r>
    </w:p>
    <w:tbl>
      <w:tblPr>
        <w:tblStyle w:val="26"/>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1504"/>
        <w:gridCol w:w="75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1504"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7577"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1504"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7577" w:type="dxa"/>
          </w:tcPr>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项目名称：许昌市城乡一体化示范区建设环保局“芙蓉广场环保监测站点巡查管控服务”项目</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项目编号：JZFCG-G2018</w:t>
            </w:r>
            <w:r>
              <w:rPr>
                <w:rFonts w:hint="eastAsia" w:cs="仿宋_GB2312" w:asciiTheme="minorEastAsia" w:hAnsiTheme="minorEastAsia"/>
                <w:szCs w:val="21"/>
                <w:lang w:val="en-US" w:eastAsia="zh-CN"/>
              </w:rPr>
              <w:t>088</w:t>
            </w:r>
            <w:r>
              <w:rPr>
                <w:rFonts w:hint="eastAsia" w:cs="仿宋_GB2312" w:asciiTheme="minorEastAsia" w:hAnsiTheme="minorEastAsia"/>
                <w:szCs w:val="21"/>
              </w:rPr>
              <w:t>号</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 xml:space="preserve">项目内容：应急监测、辖区内重点污染源及施工工地巡查 </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Cs w:val="21"/>
              </w:rPr>
              <w:t xml:space="preserve">项目地址： 许昌市城乡一体化示范区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1504"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7577" w:type="dxa"/>
            <w:vAlign w:val="center"/>
          </w:tcPr>
          <w:p>
            <w:pPr>
              <w:pStyle w:val="21"/>
              <w:widowControl/>
              <w:shd w:val="clear" w:color="auto" w:fill="FFFFFF"/>
              <w:spacing w:line="360" w:lineRule="auto"/>
              <w:contextualSpacing/>
              <w:jc w:val="left"/>
              <w:rPr>
                <w:rFonts w:cs="仿宋_GB2312" w:asciiTheme="minorEastAsia" w:hAnsiTheme="minorEastAsia"/>
                <w:sz w:val="21"/>
                <w:szCs w:val="21"/>
              </w:rPr>
            </w:pPr>
            <w:r>
              <w:rPr>
                <w:rFonts w:hint="eastAsia" w:cs="仿宋_GB2312" w:asciiTheme="minorEastAsia" w:hAnsiTheme="minorEastAsia"/>
                <w:sz w:val="21"/>
                <w:szCs w:val="21"/>
              </w:rPr>
              <w:t>名称：许昌市城乡一体化示范区建设环保局</w:t>
            </w:r>
          </w:p>
          <w:p>
            <w:pPr>
              <w:pStyle w:val="21"/>
              <w:widowControl/>
              <w:shd w:val="clear" w:color="auto" w:fill="FFFFFF"/>
              <w:spacing w:line="360" w:lineRule="auto"/>
              <w:contextualSpacing/>
              <w:jc w:val="left"/>
              <w:rPr>
                <w:rFonts w:cs="仿宋_GB2312" w:asciiTheme="minorEastAsia" w:hAnsiTheme="minorEastAsia"/>
                <w:sz w:val="21"/>
                <w:szCs w:val="21"/>
              </w:rPr>
            </w:pPr>
            <w:r>
              <w:rPr>
                <w:rFonts w:hint="eastAsia" w:cs="仿宋_GB2312" w:asciiTheme="minorEastAsia" w:hAnsiTheme="minorEastAsia"/>
                <w:sz w:val="21"/>
                <w:szCs w:val="21"/>
              </w:rPr>
              <w:t xml:space="preserve">地址：许昌市城乡一体化示范区 </w:t>
            </w:r>
          </w:p>
          <w:p>
            <w:pPr>
              <w:pStyle w:val="21"/>
              <w:widowControl/>
              <w:shd w:val="clear" w:color="auto" w:fill="FFFFFF"/>
              <w:spacing w:line="360" w:lineRule="auto"/>
              <w:contextualSpacing/>
              <w:jc w:val="left"/>
              <w:rPr>
                <w:rFonts w:cs="仿宋_GB2312" w:asciiTheme="minorEastAsia" w:hAnsiTheme="minorEastAsia"/>
                <w:sz w:val="21"/>
                <w:szCs w:val="21"/>
              </w:rPr>
            </w:pPr>
            <w:r>
              <w:rPr>
                <w:rFonts w:hint="eastAsia" w:cs="仿宋_GB2312" w:asciiTheme="minorEastAsia" w:hAnsiTheme="minorEastAsia"/>
                <w:sz w:val="21"/>
                <w:szCs w:val="21"/>
              </w:rPr>
              <w:t>联系人：郭君  联系电话：0374-3372707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1504" w:type="dxa"/>
            <w:vAlign w:val="center"/>
          </w:tcPr>
          <w:p>
            <w:pPr>
              <w:autoSpaceDE w:val="0"/>
              <w:autoSpaceDN w:val="0"/>
              <w:adjustRightInd w:val="0"/>
              <w:spacing w:line="360" w:lineRule="auto"/>
              <w:jc w:val="center"/>
              <w:rPr>
                <w:rFonts w:eastAsia="宋体" w:cs="仿宋_GB2312" w:asciiTheme="minorEastAsia" w:hAnsiTheme="minorEastAsia"/>
                <w:szCs w:val="21"/>
              </w:rPr>
            </w:pPr>
            <w:r>
              <w:rPr>
                <w:rFonts w:hint="eastAsia" w:eastAsia="宋体" w:cs="仿宋_GB2312" w:asciiTheme="minorEastAsia" w:hAnsiTheme="minorEastAsia"/>
                <w:szCs w:val="21"/>
              </w:rPr>
              <w:t>代理机构</w:t>
            </w:r>
          </w:p>
        </w:tc>
        <w:tc>
          <w:tcPr>
            <w:tcW w:w="7577" w:type="dxa"/>
            <w:vAlign w:val="center"/>
          </w:tcPr>
          <w:p>
            <w:pPr>
              <w:autoSpaceDE w:val="0"/>
              <w:autoSpaceDN w:val="0"/>
              <w:adjustRightInd w:val="0"/>
              <w:spacing w:line="360" w:lineRule="auto"/>
              <w:jc w:val="left"/>
              <w:rPr>
                <w:rFonts w:eastAsia="宋体" w:cs="仿宋_GB2312" w:asciiTheme="minorEastAsia" w:hAnsiTheme="minorEastAsia"/>
                <w:szCs w:val="21"/>
              </w:rPr>
            </w:pPr>
            <w:r>
              <w:rPr>
                <w:rFonts w:hint="eastAsia" w:eastAsia="宋体" w:cs="仿宋_GB2312" w:asciiTheme="minorEastAsia" w:hAnsiTheme="minorEastAsia"/>
                <w:szCs w:val="21"/>
              </w:rPr>
              <w:t>名称：中大国信工程管理有限公司</w:t>
            </w:r>
          </w:p>
          <w:p>
            <w:pPr>
              <w:autoSpaceDE w:val="0"/>
              <w:autoSpaceDN w:val="0"/>
              <w:adjustRightInd w:val="0"/>
              <w:spacing w:line="360" w:lineRule="auto"/>
              <w:jc w:val="left"/>
              <w:rPr>
                <w:rFonts w:eastAsia="宋体" w:cs="仿宋_GB2312" w:asciiTheme="minorEastAsia" w:hAnsiTheme="minorEastAsia"/>
                <w:szCs w:val="21"/>
              </w:rPr>
            </w:pPr>
            <w:r>
              <w:rPr>
                <w:rFonts w:hint="eastAsia" w:eastAsia="宋体" w:cs="仿宋_GB2312" w:asciiTheme="minorEastAsia" w:hAnsiTheme="minorEastAsia"/>
                <w:szCs w:val="21"/>
              </w:rPr>
              <w:t>地址：许昌市府西路万象春天2栋3单元2001室</w:t>
            </w:r>
          </w:p>
          <w:p>
            <w:pPr>
              <w:autoSpaceDE w:val="0"/>
              <w:autoSpaceDN w:val="0"/>
              <w:adjustRightInd w:val="0"/>
              <w:spacing w:line="360" w:lineRule="auto"/>
              <w:jc w:val="left"/>
              <w:rPr>
                <w:rFonts w:eastAsia="宋体" w:cs="仿宋_GB2312" w:asciiTheme="minorEastAsia" w:hAnsiTheme="minorEastAsia"/>
                <w:szCs w:val="21"/>
              </w:rPr>
            </w:pPr>
            <w:r>
              <w:rPr>
                <w:rFonts w:hint="eastAsia" w:eastAsia="宋体" w:cs="仿宋_GB2312" w:asciiTheme="minorEastAsia" w:hAnsiTheme="minorEastAsia"/>
                <w:szCs w:val="21"/>
              </w:rPr>
              <w:t>联系人：刘岩      联系电话：15617285069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1504"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szCs w:val="21"/>
              </w:rPr>
              <w:t>★</w:t>
            </w:r>
            <w:r>
              <w:rPr>
                <w:rFonts w:hint="eastAsia" w:cs="仿宋_GB2312" w:asciiTheme="minorEastAsia" w:hAnsiTheme="minorEastAsia"/>
                <w:szCs w:val="21"/>
              </w:rPr>
              <w:t>投标人资格</w:t>
            </w:r>
          </w:p>
        </w:tc>
        <w:tc>
          <w:tcPr>
            <w:tcW w:w="7577"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1、企业法人营业执照或营业执照。（企业投标提供）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2、事业单位法人证书。（事业单位投标提供）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3、执业许可证。（非专业服务机构投标提供）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4、个体工商户营业执照。（个体工商户投标提供）</w:t>
            </w:r>
          </w:p>
          <w:p>
            <w:pPr>
              <w:autoSpaceDE w:val="0"/>
              <w:autoSpaceDN w:val="0"/>
              <w:adjustRightInd w:val="0"/>
              <w:spacing w:line="360" w:lineRule="auto"/>
              <w:jc w:val="left"/>
              <w:rPr>
                <w:rFonts w:cs="仿宋_GB2312" w:asciiTheme="minorEastAsia" w:hAnsiTheme="minorEastAsia"/>
                <w:szCs w:val="21"/>
              </w:rPr>
            </w:pPr>
            <w:r>
              <w:rPr>
                <w:rFonts w:hint="eastAsia" w:cs="宋体" w:asciiTheme="minorEastAsia" w:hAnsiTheme="minorEastAsia"/>
                <w:bCs/>
                <w:szCs w:val="21"/>
                <w:lang w:val="zh-CN"/>
              </w:rPr>
              <w:t>5、自然人身份证明。（自然人投标提供）</w:t>
            </w:r>
          </w:p>
          <w:p>
            <w:pPr>
              <w:autoSpaceDE w:val="0"/>
              <w:autoSpaceDN w:val="0"/>
              <w:adjustRightInd w:val="0"/>
              <w:spacing w:line="360" w:lineRule="auto"/>
              <w:jc w:val="left"/>
              <w:rPr>
                <w:rFonts w:cs="仿宋_GB2312" w:asciiTheme="minorEastAsia" w:hAnsiTheme="minorEastAsia"/>
                <w:b/>
                <w:szCs w:val="21"/>
              </w:rPr>
            </w:pPr>
            <w:r>
              <w:rPr>
                <w:rFonts w:hint="eastAsia" w:cs="仿宋_GB2312" w:asciiTheme="minorEastAsia" w:hAnsiTheme="minorEastAsia"/>
                <w:b/>
                <w:szCs w:val="21"/>
              </w:rPr>
              <w:t>二、财务状况报告相关材料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szCs w:val="21"/>
              </w:rPr>
              <w:t>1、</w:t>
            </w:r>
            <w:r>
              <w:rPr>
                <w:rFonts w:hint="eastAsia" w:cs="宋体" w:asciiTheme="minorEastAsia" w:hAnsiTheme="minorEastAsia"/>
                <w:bCs/>
                <w:szCs w:val="21"/>
                <w:lang w:val="zh-CN"/>
              </w:rPr>
              <w:t>201</w:t>
            </w:r>
            <w:r>
              <w:rPr>
                <w:rFonts w:hint="eastAsia" w:cs="宋体" w:asciiTheme="minorEastAsia" w:hAnsiTheme="minorEastAsia"/>
                <w:bCs/>
                <w:szCs w:val="21"/>
              </w:rPr>
              <w:t>7</w:t>
            </w:r>
            <w:r>
              <w:rPr>
                <w:rFonts w:hint="eastAsia" w:cs="宋体" w:asciiTheme="minorEastAsia" w:hAnsiTheme="minorEastAsia"/>
                <w:bCs/>
                <w:szCs w:val="21"/>
                <w:lang w:val="zh-CN"/>
              </w:rPr>
              <w:t>年度经审计的财务报告，包括资产负债表、利润表、现金流量表、所有者权益变动表及其附注；或基本开户银行出具的资信证明；或财政部门认可的政府采购专业担保机构的证明文件和担保机构出具的投标担保函。（法人投标提供。法人包括企业法人、机关法人、事业单位法人和社会团体法人）</w:t>
            </w:r>
          </w:p>
          <w:p>
            <w:pPr>
              <w:autoSpaceDE w:val="0"/>
              <w:autoSpaceDN w:val="0"/>
              <w:adjustRightInd w:val="0"/>
              <w:spacing w:line="360" w:lineRule="auto"/>
              <w:ind w:right="-11"/>
              <w:rPr>
                <w:rFonts w:cs="仿宋_GB2312" w:asciiTheme="minorEastAsia" w:hAnsiTheme="minorEastAsia"/>
                <w:b/>
                <w:szCs w:val="21"/>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投标截止时间前三个月内任意一个月缴纳税收凭据。（依法免税的投标人，应提供相应文件证明依法免税）</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投标截止时间前三个月内任意一个月缴纳社会保险凭据。（依法不需要缴纳社会保障资金的投标人，应提供相应文件证明依法不需要缴纳社会保障资金）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kern w:val="0"/>
                <w:szCs w:val="21"/>
              </w:rPr>
            </w:pPr>
            <w:r>
              <w:rPr>
                <w:rFonts w:hint="eastAsia" w:cs="宋体" w:asciiTheme="minorEastAsia" w:hAnsiTheme="minorEastAsia"/>
                <w:bCs/>
                <w:szCs w:val="21"/>
                <w:lang w:val="zh-CN"/>
              </w:rPr>
              <w:t>相关设备的购置发票、专业技术人员职称证书或者</w:t>
            </w:r>
            <w:r>
              <w:rPr>
                <w:rFonts w:hint="eastAsia" w:cs="宋体" w:asciiTheme="minorEastAsia" w:hAnsiTheme="minorEastAsia"/>
                <w:kern w:val="0"/>
                <w:szCs w:val="21"/>
              </w:rPr>
              <w:t>附投标人相关承诺函或声明。</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投标人“</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重大违法记录，是指投标人因违法经营受到刑事处罚或者责令停产停业、吊销许可证或者执照、较大数额罚款等行政处罚。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szCs w:val="21"/>
                <w:shd w:val="clear" w:color="auto" w:fill="FFFFFF"/>
              </w:rPr>
              <w:t>未被列入“信用中国”网站(www.creditchina.gov.cn)失信被执行人、重大税收违法案件当事人名单、政府采购严重违法失信名单的投标人；</w:t>
            </w:r>
            <w:r>
              <w:rPr>
                <w:rFonts w:hint="eastAsia" w:cs="仿宋_GB2312" w:asciiTheme="minorEastAsia" w:hAnsiTheme="minorEastAsia"/>
                <w:b/>
                <w:szCs w:val="21"/>
                <w:shd w:val="clear" w:color="auto" w:fill="FFFFFF"/>
              </w:rPr>
              <w:t>“</w:t>
            </w:r>
            <w:r>
              <w:rPr>
                <w:rFonts w:cs="仿宋_GB2312" w:asciiTheme="minorEastAsia" w:hAnsiTheme="minorEastAsia"/>
                <w:b/>
                <w:szCs w:val="21"/>
                <w:shd w:val="clear" w:color="auto" w:fill="FFFFFF"/>
              </w:rPr>
              <w:t>中国政府采购网</w:t>
            </w:r>
            <w:r>
              <w:rPr>
                <w:rFonts w:hint="eastAsia" w:cs="仿宋_GB2312" w:asciiTheme="minorEastAsia" w:hAnsiTheme="minorEastAsia"/>
                <w:b/>
                <w:szCs w:val="21"/>
                <w:shd w:val="clear" w:color="auto" w:fill="FFFFFF"/>
              </w:rPr>
              <w:t>”</w:t>
            </w:r>
            <w:r>
              <w:rPr>
                <w:rFonts w:cs="仿宋_GB2312" w:asciiTheme="minorEastAsia" w:hAnsiTheme="minorEastAsia"/>
                <w:b/>
                <w:szCs w:val="21"/>
                <w:shd w:val="clear" w:color="auto" w:fill="FFFFFF"/>
              </w:rPr>
              <w:t xml:space="preserve"> (www.ccgp.gov.cn)政府采购严重违法失信行为记录名单的投标人</w:t>
            </w:r>
            <w:r>
              <w:rPr>
                <w:rFonts w:hint="eastAsia" w:cs="宋体" w:asciiTheme="minorEastAsia" w:hAnsiTheme="minorEastAsia"/>
                <w:b/>
                <w:bCs/>
                <w:szCs w:val="21"/>
                <w:lang w:val="zh-CN"/>
              </w:rPr>
              <w:t>。</w:t>
            </w:r>
            <w:r>
              <w:rPr>
                <w:rFonts w:hint="eastAsia" w:cs="宋体" w:asciiTheme="minorEastAsia" w:hAnsiTheme="minorEastAsia"/>
                <w:kern w:val="0"/>
                <w:szCs w:val="21"/>
              </w:rPr>
              <w:t>（联合体形式投标的，联合体成员存在不良信用记录，视同联合体存在不良信用记录）。</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）和“中国政府采购网”（</w:t>
            </w:r>
            <w:r>
              <w:rPr>
                <w:rFonts w:cs="宋体" w:asciiTheme="minorEastAsia" w:hAnsiTheme="minorEastAsia"/>
                <w:kern w:val="0"/>
                <w:szCs w:val="21"/>
              </w:rPr>
              <w:t>www.ccgp.gov.cn</w:t>
            </w:r>
            <w:r>
              <w:rPr>
                <w:rFonts w:hint="eastAsia" w:cs="宋体" w:asciiTheme="minorEastAsia" w:hAnsiTheme="minorEastAsia"/>
                <w:kern w:val="0"/>
                <w:szCs w:val="21"/>
              </w:rPr>
              <w:t>）；</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2、截止时间：同投标截止时间；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3、信用信息查询记录和证据留存具体方式：经采购人确认的查询结果网页截图作为查询记录和证据，与其他采购文件一并保存；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4、信用信息的使用原则：经采购人认定的被列入失信被执行人、重大税收违法案件当事人名单、政府采购严重违法失信行为记录名单的投标人，将拒绝其参与政府采购活动。</w:t>
            </w:r>
          </w:p>
          <w:p>
            <w:pPr>
              <w:autoSpaceDE w:val="0"/>
              <w:autoSpaceDN w:val="0"/>
              <w:spacing w:line="360" w:lineRule="auto"/>
              <w:contextualSpacing/>
              <w:rPr>
                <w:rFonts w:cs="仿宋_GB2312" w:asciiTheme="minorEastAsia" w:hAnsiTheme="minorEastAsia"/>
                <w:szCs w:val="21"/>
              </w:rPr>
            </w:pPr>
            <w:r>
              <w:rPr>
                <w:rFonts w:hint="eastAsia" w:cs="宋体" w:asciiTheme="minorEastAsia" w:hAnsiTheme="minorEastAsia"/>
                <w:kern w:val="0"/>
                <w:szCs w:val="21"/>
              </w:rPr>
              <w:t>5、投标人不良信用记录以采购人查询结果为准，采购人查询之后，网站信息发生的任何变更不再作为评审依据，投标人自行提供的与网站信息不一致的其他证明材料亦不作为评审依据。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1504"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szCs w:val="21"/>
              </w:rPr>
              <w:t>★</w:t>
            </w:r>
            <w:r>
              <w:rPr>
                <w:rFonts w:hint="eastAsia" w:cs="宋体" w:asciiTheme="minorEastAsia" w:hAnsiTheme="minorEastAsia"/>
                <w:bCs/>
                <w:szCs w:val="21"/>
                <w:lang w:val="zh-CN"/>
              </w:rPr>
              <w:t>联合体投标</w:t>
            </w:r>
          </w:p>
        </w:tc>
        <w:tc>
          <w:tcPr>
            <w:tcW w:w="7577"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kern w:val="0"/>
                <w:szCs w:val="21"/>
                <w:lang w:val="zh-CN"/>
              </w:rPr>
              <w:fldChar w:fldCharType="begin"/>
            </w:r>
            <w:r>
              <w:rPr>
                <w:rFonts w:hint="eastAsia" w:cs="宋体" w:asciiTheme="minorEastAsia" w:hAnsiTheme="minorEastAsia"/>
                <w:b/>
                <w:kern w:val="0"/>
                <w:szCs w:val="21"/>
                <w:lang w:val="zh-CN"/>
              </w:rPr>
              <w:instrText xml:space="preserve">eq \o\ac(□,</w:instrText>
            </w:r>
            <w:r>
              <w:rPr>
                <w:rFonts w:hint="eastAsia" w:cs="宋体" w:asciiTheme="minorEastAsia" w:hAnsiTheme="minorEastAsia"/>
                <w:b/>
                <w:kern w:val="0"/>
                <w:position w:val="2"/>
                <w:szCs w:val="21"/>
                <w:lang w:val="zh-CN"/>
              </w:rPr>
              <w:instrText xml:space="preserve">√</w:instrText>
            </w:r>
            <w:r>
              <w:rPr>
                <w:rFonts w:hint="eastAsia" w:cs="宋体" w:asciiTheme="minorEastAsia" w:hAnsiTheme="minorEastAsia"/>
                <w:b/>
                <w:kern w:val="0"/>
                <w:szCs w:val="21"/>
                <w:lang w:val="zh-CN"/>
              </w:rPr>
              <w:instrText xml:space="preserve">)</w:instrText>
            </w:r>
            <w:r>
              <w:rPr>
                <w:rFonts w:cs="宋体" w:asciiTheme="minorEastAsia" w:hAnsiTheme="minorEastAsia"/>
                <w:b/>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联合体投标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1504"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szCs w:val="21"/>
              </w:rPr>
              <w:t>★</w:t>
            </w:r>
            <w:r>
              <w:rPr>
                <w:rFonts w:hint="eastAsia" w:cs="宋体" w:asciiTheme="minorEastAsia" w:hAnsiTheme="minorEastAsia"/>
                <w:bCs/>
                <w:szCs w:val="21"/>
                <w:lang w:val="zh-CN"/>
              </w:rPr>
              <w:t>最高限价</w:t>
            </w:r>
          </w:p>
        </w:tc>
        <w:tc>
          <w:tcPr>
            <w:tcW w:w="7577"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bCs/>
                <w:szCs w:val="21"/>
                <w:lang w:val="zh-CN"/>
              </w:rPr>
              <w:t>52万元，超出最高限价的投标无效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1504"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7577" w:type="dxa"/>
            <w:vAlign w:val="center"/>
          </w:tcPr>
          <w:p>
            <w:pPr>
              <w:autoSpaceDE w:val="0"/>
              <w:autoSpaceDN w:val="0"/>
              <w:adjustRightInd w:val="0"/>
              <w:spacing w:line="360" w:lineRule="auto"/>
              <w:rPr>
                <w:rFonts w:cs="宋体" w:asciiTheme="minorEastAsia" w:hAnsiTheme="minorEastAsia"/>
                <w:kern w:val="0"/>
                <w:szCs w:val="21"/>
                <w:lang w:val="zh-CN"/>
              </w:rPr>
            </w:pPr>
            <w:r>
              <w:rPr>
                <w:rFonts w:cs="宋体" w:asciiTheme="minorEastAsia" w:hAnsiTheme="minorEastAsia"/>
                <w:b/>
                <w:kern w:val="0"/>
                <w:szCs w:val="21"/>
                <w:lang w:val="zh-CN"/>
              </w:rPr>
              <w:fldChar w:fldCharType="begin"/>
            </w:r>
            <w:r>
              <w:rPr>
                <w:rFonts w:hint="eastAsia" w:cs="宋体" w:asciiTheme="minorEastAsia" w:hAnsiTheme="minorEastAsia"/>
                <w:b/>
                <w:kern w:val="0"/>
                <w:szCs w:val="21"/>
                <w:lang w:val="zh-CN"/>
              </w:rPr>
              <w:instrText xml:space="preserve">eq \o\ac(□,</w:instrText>
            </w:r>
            <w:r>
              <w:rPr>
                <w:rFonts w:hint="eastAsia" w:cs="宋体" w:asciiTheme="minorEastAsia" w:hAnsiTheme="minorEastAsia"/>
                <w:b/>
                <w:kern w:val="0"/>
                <w:position w:val="2"/>
                <w:szCs w:val="21"/>
                <w:lang w:val="zh-CN"/>
              </w:rPr>
              <w:instrText xml:space="preserve">√</w:instrText>
            </w:r>
            <w:r>
              <w:rPr>
                <w:rFonts w:hint="eastAsia" w:cs="宋体" w:asciiTheme="minorEastAsia" w:hAnsiTheme="minorEastAsia"/>
                <w:b/>
                <w:kern w:val="0"/>
                <w:szCs w:val="21"/>
                <w:lang w:val="zh-CN"/>
              </w:rPr>
              <w:instrText xml:space="preserve">)</w:instrText>
            </w:r>
            <w:r>
              <w:rPr>
                <w:rFonts w:cs="宋体" w:asciiTheme="minorEastAsia" w:hAnsiTheme="minorEastAsia"/>
                <w:b/>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1504"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开标前答疑会</w:t>
            </w:r>
          </w:p>
        </w:tc>
        <w:tc>
          <w:tcPr>
            <w:tcW w:w="7577" w:type="dxa"/>
            <w:vAlign w:val="center"/>
          </w:tcPr>
          <w:p>
            <w:pPr>
              <w:autoSpaceDE w:val="0"/>
              <w:autoSpaceDN w:val="0"/>
              <w:adjustRightInd w:val="0"/>
              <w:spacing w:line="360" w:lineRule="auto"/>
              <w:rPr>
                <w:rFonts w:cs="宋体" w:asciiTheme="minorEastAsia" w:hAnsiTheme="minorEastAsia"/>
                <w:kern w:val="0"/>
                <w:szCs w:val="21"/>
                <w:lang w:val="zh-CN"/>
              </w:rPr>
            </w:pPr>
            <w:r>
              <w:rPr>
                <w:rFonts w:cs="宋体" w:asciiTheme="minorEastAsia" w:hAnsiTheme="minorEastAsia"/>
                <w:b/>
                <w:kern w:val="0"/>
                <w:szCs w:val="21"/>
                <w:lang w:val="zh-CN"/>
              </w:rPr>
              <w:fldChar w:fldCharType="begin"/>
            </w:r>
            <w:r>
              <w:rPr>
                <w:rFonts w:hint="eastAsia" w:cs="宋体" w:asciiTheme="minorEastAsia" w:hAnsiTheme="minorEastAsia"/>
                <w:b/>
                <w:kern w:val="0"/>
                <w:szCs w:val="21"/>
                <w:lang w:val="zh-CN"/>
              </w:rPr>
              <w:instrText xml:space="preserve">eq \o\ac(□,</w:instrText>
            </w:r>
            <w:r>
              <w:rPr>
                <w:rFonts w:hint="eastAsia" w:cs="宋体" w:asciiTheme="minorEastAsia" w:hAnsiTheme="minorEastAsia"/>
                <w:b/>
                <w:kern w:val="0"/>
                <w:position w:val="2"/>
                <w:szCs w:val="21"/>
                <w:lang w:val="zh-CN"/>
              </w:rPr>
              <w:instrText xml:space="preserve">√</w:instrText>
            </w:r>
            <w:r>
              <w:rPr>
                <w:rFonts w:hint="eastAsia" w:cs="宋体" w:asciiTheme="minorEastAsia" w:hAnsiTheme="minorEastAsia"/>
                <w:b/>
                <w:kern w:val="0"/>
                <w:szCs w:val="21"/>
                <w:lang w:val="zh-CN"/>
              </w:rPr>
              <w:instrText xml:space="preserve">)</w:instrText>
            </w:r>
            <w:r>
              <w:rPr>
                <w:rFonts w:cs="宋体" w:asciiTheme="minorEastAsia" w:hAnsiTheme="minorEastAsia"/>
                <w:b/>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1504"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7577"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kern w:val="0"/>
                <w:szCs w:val="21"/>
                <w:lang w:val="zh-CN"/>
              </w:rPr>
              <w:fldChar w:fldCharType="begin"/>
            </w:r>
            <w:r>
              <w:rPr>
                <w:rFonts w:hint="eastAsia" w:cs="宋体" w:asciiTheme="minorEastAsia" w:hAnsiTheme="minorEastAsia"/>
                <w:b/>
                <w:kern w:val="0"/>
                <w:szCs w:val="21"/>
                <w:lang w:val="zh-CN"/>
              </w:rPr>
              <w:instrText xml:space="preserve">eq \o\ac(□,</w:instrText>
            </w:r>
            <w:r>
              <w:rPr>
                <w:rFonts w:hint="eastAsia" w:cs="宋体" w:asciiTheme="minorEastAsia" w:hAnsiTheme="minorEastAsia"/>
                <w:b/>
                <w:kern w:val="0"/>
                <w:position w:val="2"/>
                <w:szCs w:val="21"/>
                <w:lang w:val="zh-CN"/>
              </w:rPr>
              <w:instrText xml:space="preserve">√</w:instrText>
            </w:r>
            <w:r>
              <w:rPr>
                <w:rFonts w:hint="eastAsia" w:cs="宋体" w:asciiTheme="minorEastAsia" w:hAnsiTheme="minorEastAsia"/>
                <w:b/>
                <w:kern w:val="0"/>
                <w:szCs w:val="21"/>
                <w:lang w:val="zh-CN"/>
              </w:rPr>
              <w:instrText xml:space="preserve">)</w:instrText>
            </w:r>
            <w:r>
              <w:rPr>
                <w:rFonts w:cs="宋体" w:asciiTheme="minorEastAsia" w:hAnsiTheme="minorEastAsia"/>
                <w:b/>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1504"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szCs w:val="21"/>
              </w:rPr>
              <w:t>★</w:t>
            </w:r>
            <w:r>
              <w:rPr>
                <w:rFonts w:hint="eastAsia" w:cs="仿宋_GB2312" w:asciiTheme="minorEastAsia" w:hAnsiTheme="minorEastAsia"/>
                <w:szCs w:val="21"/>
              </w:rPr>
              <w:t>投标有效期</w:t>
            </w:r>
          </w:p>
        </w:tc>
        <w:tc>
          <w:tcPr>
            <w:tcW w:w="7577"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rPr>
              <w:t>60天（自</w:t>
            </w:r>
            <w:r>
              <w:rPr>
                <w:rFonts w:hint="eastAsia" w:cs="宋体" w:asciiTheme="minorEastAsia" w:hAnsiTheme="minorEastAsia"/>
                <w:kern w:val="0"/>
                <w:szCs w:val="21"/>
              </w:rPr>
              <w:t>提交投标文件的截止之日起算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cs="仿宋_GB2312" w:asciiTheme="minorEastAsia" w:hAnsiTheme="minorEastAsia"/>
                <w:szCs w:val="21"/>
                <w:lang w:val="zh-CN"/>
              </w:rPr>
              <w:t>中标</w:t>
            </w:r>
            <w:r>
              <w:rPr>
                <w:rFonts w:hint="eastAsia" w:cs="仿宋_GB2312" w:asciiTheme="minorEastAsia" w:hAnsiTheme="minorEastAsia"/>
                <w:szCs w:val="21"/>
                <w:lang w:val="zh-CN"/>
              </w:rPr>
              <w:t>人投标</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中标人全部合同义务履行完毕为止。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1504" w:type="dxa"/>
            <w:vAlign w:val="center"/>
          </w:tcPr>
          <w:p>
            <w:pPr>
              <w:autoSpaceDE w:val="0"/>
              <w:autoSpaceDN w:val="0"/>
              <w:adjustRightInd w:val="0"/>
              <w:spacing w:line="360" w:lineRule="auto"/>
              <w:rPr>
                <w:rFonts w:cs="仿宋_GB2312" w:asciiTheme="minorEastAsia" w:hAnsiTheme="minorEastAsia"/>
                <w:szCs w:val="21"/>
              </w:rPr>
            </w:pPr>
            <w:r>
              <w:rPr>
                <w:rFonts w:cs="宋体" w:asciiTheme="minorEastAsia" w:hAnsiTheme="minorEastAsia"/>
                <w:bCs/>
                <w:szCs w:val="21"/>
                <w:lang w:val="zh-CN"/>
              </w:rPr>
              <w:t>中标人将本项目非主体、非关键性工作分包</w:t>
            </w:r>
          </w:p>
        </w:tc>
        <w:tc>
          <w:tcPr>
            <w:tcW w:w="7577"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kern w:val="0"/>
                <w:szCs w:val="21"/>
                <w:lang w:val="zh-CN"/>
              </w:rPr>
              <w:fldChar w:fldCharType="begin"/>
            </w:r>
            <w:r>
              <w:rPr>
                <w:rFonts w:hint="eastAsia" w:cs="宋体" w:asciiTheme="minorEastAsia" w:hAnsiTheme="minorEastAsia"/>
                <w:b/>
                <w:kern w:val="0"/>
                <w:szCs w:val="21"/>
                <w:lang w:val="zh-CN"/>
              </w:rPr>
              <w:instrText xml:space="preserve">eq \o\ac(□,</w:instrText>
            </w:r>
            <w:r>
              <w:rPr>
                <w:rFonts w:hint="eastAsia" w:cs="宋体" w:asciiTheme="minorEastAsia" w:hAnsiTheme="minorEastAsia"/>
                <w:b/>
                <w:kern w:val="0"/>
                <w:position w:val="2"/>
                <w:szCs w:val="21"/>
                <w:lang w:val="zh-CN"/>
              </w:rPr>
              <w:instrText xml:space="preserve">√</w:instrText>
            </w:r>
            <w:r>
              <w:rPr>
                <w:rFonts w:hint="eastAsia" w:cs="宋体" w:asciiTheme="minorEastAsia" w:hAnsiTheme="minorEastAsia"/>
                <w:b/>
                <w:kern w:val="0"/>
                <w:szCs w:val="21"/>
                <w:lang w:val="zh-CN"/>
              </w:rPr>
              <w:instrText xml:space="preserve">)</w:instrText>
            </w:r>
            <w:r>
              <w:rPr>
                <w:rFonts w:cs="宋体" w:asciiTheme="minorEastAsia" w:hAnsiTheme="minorEastAsia"/>
                <w:b/>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1504"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投标截止及开标时间</w:t>
            </w:r>
          </w:p>
        </w:tc>
        <w:tc>
          <w:tcPr>
            <w:tcW w:w="7577"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eastAsiaTheme="minorEastAsia"/>
                <w:sz w:val="21"/>
                <w:szCs w:val="21"/>
              </w:rPr>
              <w:t>2018年</w:t>
            </w:r>
            <w:r>
              <w:rPr>
                <w:rFonts w:hint="eastAsia" w:cs="仿宋_GB2312" w:asciiTheme="minorEastAsia" w:hAnsiTheme="minorEastAsia" w:eastAsiaTheme="minorEastAsia"/>
                <w:sz w:val="21"/>
                <w:szCs w:val="21"/>
                <w:lang w:val="en-US" w:eastAsia="zh-CN"/>
              </w:rPr>
              <w:t>11</w:t>
            </w:r>
            <w:r>
              <w:rPr>
                <w:rFonts w:hint="eastAsia" w:cs="仿宋_GB2312" w:asciiTheme="minorEastAsia" w:hAnsiTheme="minorEastAsia" w:eastAsiaTheme="minorEastAsia"/>
                <w:sz w:val="21"/>
                <w:szCs w:val="21"/>
              </w:rPr>
              <w:t>月</w:t>
            </w:r>
            <w:r>
              <w:rPr>
                <w:rFonts w:hint="eastAsia" w:cs="仿宋_GB2312" w:asciiTheme="minorEastAsia" w:hAnsiTheme="minorEastAsia" w:eastAsiaTheme="minorEastAsia"/>
                <w:sz w:val="21"/>
                <w:szCs w:val="21"/>
                <w:lang w:val="en-US" w:eastAsia="zh-CN"/>
              </w:rPr>
              <w:t>2</w:t>
            </w:r>
            <w:r>
              <w:rPr>
                <w:rFonts w:hint="eastAsia" w:cs="仿宋_GB2312" w:asciiTheme="minorEastAsia" w:hAnsiTheme="minorEastAsia" w:eastAsiaTheme="minorEastAsia"/>
                <w:sz w:val="21"/>
                <w:szCs w:val="21"/>
              </w:rPr>
              <w:t>日</w:t>
            </w:r>
            <w:r>
              <w:rPr>
                <w:rFonts w:hint="eastAsia" w:cs="仿宋_GB2312" w:asciiTheme="minorEastAsia" w:hAnsiTheme="minorEastAsia" w:eastAsiaTheme="minorEastAsia"/>
                <w:sz w:val="21"/>
                <w:szCs w:val="21"/>
                <w:lang w:val="en-US" w:eastAsia="zh-CN"/>
              </w:rPr>
              <w:t>9</w:t>
            </w:r>
            <w:r>
              <w:rPr>
                <w:rFonts w:hint="eastAsia" w:cs="仿宋_GB2312" w:asciiTheme="minorEastAsia" w:hAnsiTheme="minorEastAsia" w:eastAsiaTheme="minorEastAsia"/>
                <w:sz w:val="21"/>
                <w:szCs w:val="21"/>
              </w:rPr>
              <w:t>时</w:t>
            </w:r>
            <w:r>
              <w:rPr>
                <w:rFonts w:hint="eastAsia" w:cs="仿宋_GB2312" w:asciiTheme="minorEastAsia" w:hAnsiTheme="minorEastAsia" w:eastAsiaTheme="minorEastAsia"/>
                <w:sz w:val="21"/>
                <w:szCs w:val="21"/>
                <w:lang w:val="en-US" w:eastAsia="zh-CN"/>
              </w:rPr>
              <w:t>30</w:t>
            </w:r>
            <w:r>
              <w:rPr>
                <w:rFonts w:hint="eastAsia" w:cs="仿宋_GB2312" w:asciiTheme="minorEastAsia" w:hAnsiTheme="minorEastAsia" w:eastAsiaTheme="minorEastAsia"/>
                <w:sz w:val="21"/>
                <w:szCs w:val="21"/>
              </w:rPr>
              <w:t>分</w:t>
            </w:r>
            <w:r>
              <w:rPr>
                <w:rFonts w:hint="eastAsia" w:cs="宋体" w:asciiTheme="minorEastAsia" w:hAnsiTheme="minorEastAsia"/>
                <w:bCs/>
                <w:szCs w:val="21"/>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1504"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递交投标文件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及开标地点</w:t>
            </w:r>
          </w:p>
        </w:tc>
        <w:tc>
          <w:tcPr>
            <w:tcW w:w="7577"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许昌市公共资源交易中心三楼开标四室（</w:t>
            </w:r>
            <w:r>
              <w:rPr>
                <w:rFonts w:cs="宋体" w:asciiTheme="minorEastAsia" w:hAnsiTheme="minorEastAsia"/>
                <w:bCs/>
                <w:szCs w:val="21"/>
                <w:lang w:val="zh-CN"/>
              </w:rPr>
              <w:t>龙兴路与竹林路交汇处</w:t>
            </w:r>
            <w:r>
              <w:rPr>
                <w:rFonts w:hint="eastAsia" w:cs="宋体" w:asciiTheme="minorEastAsia" w:hAnsiTheme="minorEastAsia"/>
                <w:bCs/>
                <w:szCs w:val="21"/>
                <w:lang w:val="zh-CN"/>
              </w:rPr>
              <w:t>公共资源大厦）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1504"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投标保证金</w:t>
            </w:r>
          </w:p>
        </w:tc>
        <w:tc>
          <w:tcPr>
            <w:tcW w:w="7577" w:type="dxa"/>
            <w:vAlign w:val="center"/>
          </w:tcPr>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缴纳截止时间：同投标截止时间。</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金额：壹万元整（¥10</w:t>
            </w:r>
            <w:r>
              <w:rPr>
                <w:rFonts w:hint="eastAsia" w:cs="仿宋_GB2312" w:asciiTheme="minorEastAsia" w:hAnsiTheme="minorEastAsia"/>
                <w:szCs w:val="21"/>
              </w:rPr>
              <w:t>000</w:t>
            </w:r>
            <w:r>
              <w:rPr>
                <w:rFonts w:hint="eastAsia" w:cs="仿宋_GB2312" w:asciiTheme="minorEastAsia" w:hAnsiTheme="minorEastAsia"/>
                <w:szCs w:val="21"/>
                <w:lang w:val="zh-CN"/>
              </w:rPr>
              <w:t>）</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一、投标保证金的递交方式：银行转帐、银行电汇（均需从投标人注册银行账户转出），不接受以现金方式缴纳的投标保证金。凡以现金方式缴纳投标保证金而影响其投标结果的，由投标人自行负责。 </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二、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三、投标保证金缴纳方式：</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1、投标人网上下载招标文件后，登录</w:t>
            </w:r>
            <w:r>
              <w:fldChar w:fldCharType="begin"/>
            </w:r>
            <w:r>
              <w:instrText xml:space="preserve"> HYPERLINK "http://221.14.6.70:8088/ggzy" </w:instrText>
            </w:r>
            <w:r>
              <w:fldChar w:fldCharType="separate"/>
            </w:r>
            <w:r>
              <w:rPr>
                <w:rFonts w:hint="eastAsia" w:cs="仿宋_GB2312" w:asciiTheme="minorEastAsia" w:hAnsiTheme="minorEastAsia"/>
                <w:szCs w:val="21"/>
                <w:lang w:val="zh-CN"/>
              </w:rPr>
              <w:t>http://221.14.6.70:8088/ggzy</w:t>
            </w:r>
            <w:r>
              <w:rPr>
                <w:rFonts w:hint="eastAsia" w:cs="仿宋_GB2312" w:asciiTheme="minorEastAsia" w:hAnsiTheme="minorEastAsia"/>
                <w:szCs w:val="21"/>
                <w:lang w:val="zh-CN"/>
              </w:rPr>
              <w:fldChar w:fldCharType="end"/>
            </w:r>
            <w:r>
              <w:rPr>
                <w:rFonts w:hint="eastAsia" w:cs="仿宋_GB2312" w:asciiTheme="minorEastAsia" w:hAnsiTheme="minorEastAsia"/>
                <w:szCs w:val="21"/>
                <w:lang w:val="zh-CN"/>
              </w:rPr>
              <w:t>系统，依次点击“会员向导”→“参与投标”→“费用缴纳说明”→“保证金缴纳说明单”，获取缴费说明单，根据每个标段的缴纳说明单在缴纳截止时间前缴纳；</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2、成功缴纳后重新登录前述系统，依次点击“会员向导”→“参与投标”→“保证金绑定”→“绑定”进行投标保证金绑定。</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3、《保证金缴纳绑定操作指南》获取方法：登录许昌公共资源交易系统-组件下载-《保证金缴纳绑定操作指南》。</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4、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5、每个投标人每个项目每个标段只有唯一缴纳账号，切勿重复缴纳或错误缴纳。</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6、投标人所提交的投标保证金仅限当次投标项目（标段）有效，不得重复替代使用。一个招标项目有多个标段或者有多个项目同时招标的，投标人必须按项目、标段分别提交投标保证金。</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7、不同投标人的投标保证金不得从同一单位或者个人的账户转出。</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8、未按上述规定操作引起的无效投标，由投标人自行负责。</w:t>
            </w:r>
          </w:p>
          <w:p>
            <w:pPr>
              <w:tabs>
                <w:tab w:val="left" w:pos="1260"/>
              </w:tabs>
              <w:autoSpaceDE w:val="0"/>
              <w:autoSpaceDN w:val="0"/>
              <w:adjustRightInd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9、汇款凭证无需备注项目编号和项目名称。</w:t>
            </w:r>
          </w:p>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四、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1504"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7577"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szCs w:val="21"/>
              </w:rPr>
              <w:t>招标公告、中标公告、变更（更正）公告、现场勘察答复等相关信息同时在以下网站发布：《中国政府采购网》、《河南省政府采购网》、《许昌市政府采购网》、《全国公共资源交易平台（河南省·许昌市）》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1504"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招标文件时间</w:t>
            </w:r>
          </w:p>
        </w:tc>
        <w:tc>
          <w:tcPr>
            <w:tcW w:w="7577"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投标截止时间15日前（</w:t>
            </w:r>
            <w:r>
              <w:rPr>
                <w:rFonts w:hint="eastAsia" w:cs="仿宋_GB2312" w:asciiTheme="minorEastAsia" w:hAnsiTheme="minorEastAsia"/>
                <w:szCs w:val="21"/>
                <w:lang w:val="zh-CN"/>
              </w:rPr>
              <w:t>澄清内容可能影响投标文件编制的）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1504"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投标人对采购文件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7577"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招标公告期满之日起七个工作日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1504"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投标文件份数</w:t>
            </w:r>
          </w:p>
        </w:tc>
        <w:tc>
          <w:tcPr>
            <w:tcW w:w="7577" w:type="dxa"/>
            <w:vAlign w:val="center"/>
          </w:tcPr>
          <w:p>
            <w:pPr>
              <w:autoSpaceDE w:val="0"/>
              <w:autoSpaceDN w:val="0"/>
              <w:adjustRightInd w:val="0"/>
              <w:spacing w:line="360" w:lineRule="auto"/>
              <w:rPr>
                <w:rFonts w:cs="宋体" w:asciiTheme="minorEastAsia" w:hAnsiTheme="minorEastAsia"/>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电子投标文件：成功上传至《全国公共资源交易平台（河南省·许昌市）》公共资源交易系统加密电子投标文件1份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纸质投标文件：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份，副本两份。使用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lang w:val="zh-CN"/>
              </w:rPr>
            </w:pPr>
            <w:r>
              <w:rPr>
                <w:rFonts w:hint="eastAsia" w:ascii="新宋体" w:hAnsi="新宋体" w:eastAsia="新宋体"/>
                <w:szCs w:val="21"/>
              </w:rPr>
              <w:t>电子投标文件和纸质投标文件的内容、格式、水印码、签章应一致。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1504"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投标文件的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7577"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电子投标文件：按招标文件要求加盖投标人电子印章和法人电子印章。</w:t>
            </w:r>
          </w:p>
          <w:p>
            <w:pPr>
              <w:autoSpaceDE w:val="0"/>
              <w:autoSpaceDN w:val="0"/>
              <w:adjustRightInd w:val="0"/>
              <w:spacing w:line="420" w:lineRule="exact"/>
              <w:rPr>
                <w:rFonts w:cs="仿宋_GB2312" w:asciiTheme="minorEastAsia" w:hAnsiTheme="minorEastAsia"/>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纸质投标文件：投标文件封面加盖投标人公章（投标文件是指投标人电子投标文件制作完成后生成的后缀名为</w:t>
            </w:r>
            <w:r>
              <w:rPr>
                <w:rFonts w:hint="eastAsia" w:hAnsi="宋体"/>
                <w:szCs w:val="21"/>
              </w:rPr>
              <w:t>“.PDF”的文件</w:t>
            </w:r>
            <w:r>
              <w:rPr>
                <w:rFonts w:hint="eastAsia" w:ascii="新宋体" w:hAnsi="新宋体" w:eastAsia="新宋体"/>
                <w:szCs w:val="21"/>
              </w:rPr>
              <w:t>打印的纸质投标文件）。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1504"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评标委员会组建</w:t>
            </w:r>
          </w:p>
        </w:tc>
        <w:tc>
          <w:tcPr>
            <w:tcW w:w="7577"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由采购人代表和评审专家组成，其中评审专家的人数不少于评标委员会成员总数的三分之二。评审专家从政府采购评审专家库中随机抽取。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21</w:t>
            </w:r>
          </w:p>
        </w:tc>
        <w:tc>
          <w:tcPr>
            <w:tcW w:w="1504"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仿宋_GB2312" w:asciiTheme="minorEastAsia" w:hAnsiTheme="minorEastAsia"/>
                <w:szCs w:val="21"/>
              </w:rPr>
              <w:t>评标方法</w:t>
            </w:r>
          </w:p>
        </w:tc>
        <w:tc>
          <w:tcPr>
            <w:tcW w:w="7577" w:type="dxa"/>
            <w:vAlign w:val="center"/>
          </w:tcPr>
          <w:p>
            <w:pPr>
              <w:autoSpaceDE w:val="0"/>
              <w:autoSpaceDN w:val="0"/>
              <w:adjustRightInd w:val="0"/>
              <w:spacing w:line="360" w:lineRule="auto"/>
              <w:rPr>
                <w:rFonts w:cs="宋体" w:asciiTheme="minorEastAsia" w:hAnsiTheme="minorEastAsia"/>
                <w:bCs/>
                <w:szCs w:val="21"/>
                <w:lang w:val="zh-CN"/>
              </w:rPr>
            </w:pPr>
            <w:r>
              <w:rPr>
                <w:rFonts w:cs="宋体" w:asciiTheme="minorEastAsia" w:hAnsiTheme="minorEastAsia"/>
                <w:b/>
                <w:kern w:val="0"/>
                <w:szCs w:val="21"/>
                <w:lang w:val="zh-CN"/>
              </w:rPr>
              <w:fldChar w:fldCharType="begin"/>
            </w:r>
            <w:r>
              <w:rPr>
                <w:rFonts w:hint="eastAsia" w:cs="宋体" w:asciiTheme="minorEastAsia" w:hAnsiTheme="minorEastAsia"/>
                <w:b/>
                <w:kern w:val="0"/>
                <w:szCs w:val="21"/>
                <w:lang w:val="zh-CN"/>
              </w:rPr>
              <w:instrText xml:space="preserve">eq \o\ac(□,</w:instrText>
            </w:r>
            <w:r>
              <w:rPr>
                <w:rFonts w:hint="eastAsia" w:cs="宋体" w:asciiTheme="minorEastAsia" w:hAnsiTheme="minorEastAsia"/>
                <w:b/>
                <w:kern w:val="0"/>
                <w:position w:val="2"/>
                <w:szCs w:val="21"/>
                <w:lang w:val="zh-CN"/>
              </w:rPr>
              <w:instrText xml:space="preserve">√</w:instrText>
            </w:r>
            <w:r>
              <w:rPr>
                <w:rFonts w:hint="eastAsia" w:cs="宋体" w:asciiTheme="minorEastAsia" w:hAnsiTheme="minorEastAsia"/>
                <w:b/>
                <w:kern w:val="0"/>
                <w:szCs w:val="21"/>
                <w:lang w:val="zh-CN"/>
              </w:rPr>
              <w:instrText xml:space="preserve">)</w:instrText>
            </w:r>
            <w:r>
              <w:rPr>
                <w:rFonts w:cs="宋体" w:asciiTheme="minorEastAsia" w:hAnsiTheme="minorEastAsia"/>
                <w:b/>
                <w:kern w:val="0"/>
                <w:szCs w:val="21"/>
                <w:lang w:val="zh-CN"/>
              </w:rPr>
              <w:fldChar w:fldCharType="end"/>
            </w:r>
            <w:r>
              <w:rPr>
                <w:rFonts w:hint="eastAsia" w:cs="宋体" w:asciiTheme="minorEastAsia" w:hAnsiTheme="minorEastAsia"/>
                <w:bCs/>
                <w:szCs w:val="21"/>
                <w:lang w:val="zh-CN"/>
              </w:rPr>
              <w:t>综合评分法</w:t>
            </w:r>
            <w:r>
              <w:rPr>
                <w:rFonts w:hint="eastAsia" w:cs="宋体" w:asciiTheme="minorEastAsia" w:hAnsiTheme="minorEastAsia"/>
                <w:b/>
                <w:bCs/>
                <w:szCs w:val="21"/>
                <w:lang w:val="zh-CN"/>
              </w:rPr>
              <w:t>□</w:t>
            </w:r>
            <w:r>
              <w:rPr>
                <w:rFonts w:hint="eastAsia" w:cs="仿宋_GB2312" w:asciiTheme="minorEastAsia" w:hAnsiTheme="minorEastAsia"/>
                <w:szCs w:val="21"/>
                <w:lang w:val="zh-CN"/>
              </w:rPr>
              <w:t>最低评标价法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8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1504"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7577"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资格审查和评审委员会的，须向采购代理机构出具授权函。除授权代表外，采购单位委派纪检监察人员对评标过程实施监督的须进入许昌市公共资源交易中心五楼电子监督室，并向采购代理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1504"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7577" w:type="dxa"/>
            <w:vAlign w:val="center"/>
          </w:tcPr>
          <w:p>
            <w:pPr>
              <w:autoSpaceDE w:val="0"/>
              <w:autoSpaceDN w:val="0"/>
              <w:adjustRightInd w:val="0"/>
              <w:spacing w:line="360" w:lineRule="auto"/>
              <w:rPr>
                <w:rFonts w:cs="宋体" w:asciiTheme="minorEastAsia" w:hAnsiTheme="minorEastAsia"/>
                <w:kern w:val="0"/>
                <w:szCs w:val="21"/>
                <w:lang w:val="zh-CN"/>
              </w:rPr>
            </w:pPr>
            <w:r>
              <w:rPr>
                <w:rFonts w:cs="宋体" w:asciiTheme="minorEastAsia" w:hAnsiTheme="minorEastAsia"/>
                <w:b/>
                <w:kern w:val="0"/>
                <w:szCs w:val="21"/>
                <w:lang w:val="zh-CN"/>
              </w:rPr>
              <w:fldChar w:fldCharType="begin"/>
            </w:r>
            <w:r>
              <w:rPr>
                <w:rFonts w:hint="eastAsia" w:cs="宋体" w:asciiTheme="minorEastAsia" w:hAnsiTheme="minorEastAsia"/>
                <w:b/>
                <w:kern w:val="0"/>
                <w:szCs w:val="21"/>
                <w:lang w:val="zh-CN"/>
              </w:rPr>
              <w:instrText xml:space="preserve">eq \o\ac(□,</w:instrText>
            </w:r>
            <w:r>
              <w:rPr>
                <w:rFonts w:hint="eastAsia" w:cs="宋体" w:asciiTheme="minorEastAsia" w:hAnsiTheme="minorEastAsia"/>
                <w:b/>
                <w:kern w:val="0"/>
                <w:position w:val="2"/>
                <w:szCs w:val="21"/>
                <w:lang w:val="zh-CN"/>
              </w:rPr>
              <w:instrText xml:space="preserve">√</w:instrText>
            </w:r>
            <w:r>
              <w:rPr>
                <w:rFonts w:hint="eastAsia" w:cs="宋体" w:asciiTheme="minorEastAsia" w:hAnsiTheme="minorEastAsia"/>
                <w:b/>
                <w:kern w:val="0"/>
                <w:szCs w:val="21"/>
                <w:lang w:val="zh-CN"/>
              </w:rPr>
              <w:instrText xml:space="preserve">)</w:instrText>
            </w:r>
            <w:r>
              <w:rPr>
                <w:rFonts w:cs="宋体" w:asciiTheme="minorEastAsia" w:hAnsiTheme="minorEastAsia"/>
                <w:b/>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szCs w:val="21"/>
              </w:rPr>
              <w:t>要求提交。履约保证金的数额为合同金额的%。中标人以支票、汇票、本票或者金融机构、担保机构出具的保函等非现金形式向采购人提交。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1504"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7577" w:type="dxa"/>
            <w:vAlign w:val="center"/>
          </w:tcPr>
          <w:p>
            <w:pPr>
              <w:autoSpaceDE w:val="0"/>
              <w:autoSpaceDN w:val="0"/>
              <w:spacing w:line="360" w:lineRule="auto"/>
              <w:contextualSpacing/>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不收取</w:t>
            </w:r>
          </w:p>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kern w:val="0"/>
                <w:szCs w:val="21"/>
                <w:lang w:val="zh-CN"/>
              </w:rPr>
              <w:fldChar w:fldCharType="begin"/>
            </w:r>
            <w:r>
              <w:rPr>
                <w:rFonts w:hint="eastAsia" w:cs="宋体" w:asciiTheme="minorEastAsia" w:hAnsiTheme="minorEastAsia"/>
                <w:b/>
                <w:kern w:val="0"/>
                <w:szCs w:val="21"/>
                <w:lang w:val="zh-CN"/>
              </w:rPr>
              <w:instrText xml:space="preserve">eq \o\ac(□,</w:instrText>
            </w:r>
            <w:r>
              <w:rPr>
                <w:rFonts w:hint="eastAsia" w:cs="宋体" w:asciiTheme="minorEastAsia" w:hAnsiTheme="minorEastAsia"/>
                <w:b/>
                <w:kern w:val="0"/>
                <w:position w:val="2"/>
                <w:szCs w:val="21"/>
                <w:lang w:val="zh-CN"/>
              </w:rPr>
              <w:instrText xml:space="preserve">√</w:instrText>
            </w:r>
            <w:r>
              <w:rPr>
                <w:rFonts w:hint="eastAsia" w:cs="宋体" w:asciiTheme="minorEastAsia" w:hAnsiTheme="minorEastAsia"/>
                <w:b/>
                <w:kern w:val="0"/>
                <w:szCs w:val="21"/>
                <w:lang w:val="zh-CN"/>
              </w:rPr>
              <w:instrText xml:space="preserve">)</w:instrText>
            </w:r>
            <w:r>
              <w:rPr>
                <w:rFonts w:cs="宋体" w:asciiTheme="minorEastAsia" w:hAnsiTheme="minorEastAsia"/>
                <w:b/>
                <w:kern w:val="0"/>
                <w:szCs w:val="21"/>
                <w:lang w:val="zh-CN"/>
              </w:rPr>
              <w:fldChar w:fldCharType="end"/>
            </w:r>
            <w:r>
              <w:rPr>
                <w:rFonts w:hint="eastAsia" w:cs="宋体" w:asciiTheme="minorEastAsia" w:hAnsiTheme="minorEastAsia"/>
                <w:bCs/>
                <w:szCs w:val="21"/>
                <w:lang w:val="zh-CN"/>
              </w:rPr>
              <w:t>收取中标人。</w:t>
            </w:r>
            <w:r>
              <w:rPr>
                <w:rFonts w:hint="eastAsia" w:cs="宋体" w:asciiTheme="minorEastAsia" w:hAnsiTheme="minorEastAsia"/>
                <w:b/>
                <w:bCs/>
                <w:szCs w:val="21"/>
                <w:lang w:val="zh-CN"/>
              </w:rPr>
              <w:t>□</w:t>
            </w:r>
            <w:r>
              <w:rPr>
                <w:rFonts w:hint="eastAsia" w:cs="宋体" w:asciiTheme="minorEastAsia" w:hAnsiTheme="minorEastAsia"/>
                <w:bCs/>
                <w:szCs w:val="21"/>
                <w:lang w:val="zh-CN"/>
              </w:rPr>
              <w:t>收取采购人。</w:t>
            </w:r>
            <w:r>
              <w:rPr>
                <w:rFonts w:hint="eastAsia" w:cs="宋体" w:asciiTheme="minorEastAsia" w:hAnsiTheme="minorEastAsia"/>
                <w:szCs w:val="21"/>
              </w:rPr>
              <w:t>收取标准:中标合同金额的</w:t>
            </w:r>
            <w:r>
              <w:rPr>
                <w:rFonts w:hint="eastAsia" w:cs="宋体" w:asciiTheme="minorEastAsia" w:hAnsiTheme="minorEastAsia"/>
                <w:szCs w:val="21"/>
                <w:u w:val="single"/>
              </w:rPr>
              <w:t>1.5</w:t>
            </w:r>
            <w:r>
              <w:rPr>
                <w:rFonts w:hint="eastAsia" w:cs="宋体" w:asciiTheme="minorEastAsia" w:hAnsiTheme="minorEastAsia"/>
                <w:szCs w:val="21"/>
              </w:rPr>
              <w:t>%。一次性以银行划账、电汇、汇票或支票的形式支付。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1504"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中标人需提交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7577"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中标人在接到中标通知时，须向代理机构发送投标报价及分项报价一览表（包含主要中标标的的名称、规格型号、数量、单价、服务要求等）电子文档，并同时通知代理机构联系人。代理机构邮箱：</w:t>
            </w:r>
            <w:r>
              <w:rPr>
                <w:rFonts w:hint="eastAsia" w:cs="宋体" w:asciiTheme="minorEastAsia" w:hAnsiTheme="minorEastAsia"/>
                <w:bCs/>
                <w:szCs w:val="21"/>
                <w:lang w:val="en-US" w:eastAsia="zh-CN"/>
              </w:rPr>
              <w:t>zdgxzbcg@163.com</w:t>
            </w:r>
            <w:r>
              <w:rPr>
                <w:rFonts w:hint="eastAsia" w:cs="宋体" w:asciiTheme="minorEastAsia" w:hAnsiTheme="minorEastAsia"/>
                <w:bCs/>
                <w:szCs w:val="21"/>
                <w:lang w:val="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1504"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7577"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kern w:val="0"/>
                <w:szCs w:val="21"/>
                <w:lang w:val="zh-CN"/>
              </w:rPr>
              <w:fldChar w:fldCharType="begin"/>
            </w:r>
            <w:r>
              <w:rPr>
                <w:rFonts w:hint="eastAsia" w:cs="宋体" w:asciiTheme="minorEastAsia" w:hAnsiTheme="minorEastAsia"/>
                <w:b/>
                <w:kern w:val="0"/>
                <w:szCs w:val="21"/>
                <w:lang w:val="zh-CN"/>
              </w:rPr>
              <w:instrText xml:space="preserve">eq \o\ac(□,</w:instrText>
            </w:r>
            <w:r>
              <w:rPr>
                <w:rFonts w:hint="eastAsia" w:cs="宋体" w:asciiTheme="minorEastAsia" w:hAnsiTheme="minorEastAsia"/>
                <w:b/>
                <w:kern w:val="0"/>
                <w:position w:val="2"/>
                <w:szCs w:val="21"/>
                <w:lang w:val="zh-CN"/>
              </w:rPr>
              <w:instrText xml:space="preserve">√</w:instrText>
            </w:r>
            <w:r>
              <w:rPr>
                <w:rFonts w:hint="eastAsia" w:cs="宋体" w:asciiTheme="minorEastAsia" w:hAnsiTheme="minorEastAsia"/>
                <w:b/>
                <w:kern w:val="0"/>
                <w:szCs w:val="21"/>
                <w:lang w:val="zh-CN"/>
              </w:rPr>
              <w:instrText xml:space="preserve">)</w:instrText>
            </w:r>
            <w:r>
              <w:rPr>
                <w:rFonts w:cs="宋体" w:asciiTheme="minorEastAsia" w:hAnsiTheme="minorEastAsia"/>
                <w:b/>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投标人投标时须提供加密电子投标文件、备份文件（使用电子介质存储）、纸质投标文件。投标人资质、业绩、荣誉及相关人员证明材料等资料原件开标现场不再提供。</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□否。投标人投标时须提供纸质投标文件。投标人资质、业绩、荣誉及相关人员证明材料等资料原件根据招标文件要求提供。</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sectPr>
          <w:pgSz w:w="11906" w:h="16838"/>
          <w:pgMar w:top="2098" w:right="1474" w:bottom="1928" w:left="1588" w:header="851" w:footer="992" w:gutter="0"/>
          <w:cols w:space="425" w:num="1"/>
          <w:docGrid w:type="lines" w:linePitch="312" w:charSpace="0"/>
        </w:sect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投标人须知</w:t>
      </w: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39"/>
        <w:numPr>
          <w:ilvl w:val="0"/>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本招标文件仅适用于本次“投标邀请”中所述采购项目。</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本招标文件解释权属于“投标邀请”所述的采购人。</w:t>
      </w:r>
    </w:p>
    <w:p>
      <w:pPr>
        <w:pStyle w:val="39"/>
        <w:autoSpaceDE w:val="0"/>
        <w:autoSpaceDN w:val="0"/>
        <w:spacing w:line="360" w:lineRule="auto"/>
        <w:ind w:left="780" w:firstLine="0" w:firstLineChars="0"/>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39"/>
        <w:numPr>
          <w:ilvl w:val="0"/>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“采购项目”：“投标人须知前附表”中所述的采购项目。</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“招标人”：“投标人须知前附表”中所述的组织本次招标的代理机构和采购人。</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“采购人”：是指依法进行政府采购的国家机关、事业单位、团体组织。采购人名称、     地址、电话、联系人见“投标人须知前附表”。</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“代理机构”：接受采购人委托，代理采购项目的采购代理机构。代理机构名称、地址、 电话、联系人见“投标人须知前附表”。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采购代理机构及其分支机构不得在所代理的采购项目中投标或者代理投标，不得为所代理的采购项目的投标人参加本项目提供投标咨询。</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“潜在投标人”指符合《中华人民共和国政府采购法》及相关法律法规和本招标文件的各项规定，且按照本项目招标公告及招标文件规定的方式获取招标文件的法人、其他组织或者自然人。</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是指符合《中华人民共和国政府采购法》及相关法律法规和本招标文件的各项规定，响应招标、参加投标竞争，从招标人处按规定获取招标文件，并按照招标文件要求向招标人提交投标文件的法人、其他组织或者自然人。</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“节能产品”或者“环保产品”：财政部发布的《节能产品政府采购清单》或者《环境标志产品政府采购清单》的产品。</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pStyle w:val="39"/>
        <w:numPr>
          <w:ilvl w:val="1"/>
          <w:numId w:val="7"/>
        </w:numPr>
        <w:autoSpaceDE w:val="0"/>
        <w:autoSpaceDN w:val="0"/>
        <w:spacing w:line="360" w:lineRule="auto"/>
        <w:ind w:left="1327" w:hanging="907" w:firstLineChars="0"/>
        <w:contextualSpacing/>
        <w:rPr>
          <w:rFonts w:cs="宋体" w:asciiTheme="minorEastAsia" w:hAnsiTheme="minorEastAsia"/>
          <w:kern w:val="0"/>
          <w:szCs w:val="21"/>
        </w:rPr>
      </w:pPr>
      <w:r>
        <w:rPr>
          <w:rFonts w:cs="宋体" w:asciiTheme="minorEastAsia" w:hAnsiTheme="minorEastAsia"/>
          <w:kern w:val="0"/>
          <w:szCs w:val="21"/>
        </w:rPr>
        <w:t>招标文件列明不允许或未列明允许进口产品参加投标的，均视为拒绝进口产品参加投标。</w:t>
      </w:r>
    </w:p>
    <w:p>
      <w:pPr>
        <w:pStyle w:val="39"/>
        <w:numPr>
          <w:ilvl w:val="1"/>
          <w:numId w:val="8"/>
        </w:numPr>
        <w:autoSpaceDE w:val="0"/>
        <w:autoSpaceDN w:val="0"/>
        <w:spacing w:line="360" w:lineRule="auto"/>
        <w:ind w:left="1327" w:hanging="907" w:firstLineChars="0"/>
        <w:contextualSpacing/>
        <w:rPr>
          <w:rFonts w:cs="宋体" w:asciiTheme="minorEastAsia" w:hAnsiTheme="minorEastAsia"/>
          <w:kern w:val="0"/>
          <w:szCs w:val="21"/>
        </w:rPr>
      </w:pPr>
      <w:r>
        <w:rPr>
          <w:rFonts w:cs="宋体" w:asciiTheme="minorEastAsia" w:hAnsiTheme="minorEastAsia"/>
          <w:kern w:val="0"/>
          <w:szCs w:val="21"/>
        </w:rPr>
        <w:t>如</w:t>
      </w:r>
      <w:r>
        <w:rPr>
          <w:rFonts w:hint="eastAsia" w:cs="宋体" w:asciiTheme="minorEastAsia" w:hAnsiTheme="minorEastAsia"/>
          <w:kern w:val="0"/>
          <w:szCs w:val="21"/>
        </w:rPr>
        <w:t>招标</w:t>
      </w:r>
      <w:r>
        <w:rPr>
          <w:rFonts w:cs="宋体" w:asciiTheme="minorEastAsia" w:hAnsiTheme="minorEastAsia"/>
          <w:kern w:val="0"/>
          <w:szCs w:val="21"/>
        </w:rPr>
        <w:t>文件中已说明，经财政部门审核同意，允许部分或全部产品采购进口产品，投标人既可提供本国产品，也可以提供进口产品。</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招标文件中凡标有“★”的条款均系实质性要求条款。</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合格的投标人</w:t>
      </w:r>
    </w:p>
    <w:p>
      <w:pPr>
        <w:pStyle w:val="39"/>
        <w:numPr>
          <w:ilvl w:val="0"/>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在中华人民共和国境内注册，具有本项目生产、制造、供应或实施能力，符合、承认并承诺履行本招标文件各项规定的法人、其他组织或者自然人。</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符合本项目“投标邀请”和“投标人须知前附表”中规定的合格投标人所必须具备的条件。</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政府采购活动中查询及使用投标人信用记录的具体要求为：投标人未被列入失信被执行人、重大税收违法案件当事人名单、</w:t>
      </w:r>
      <w:r>
        <w:rPr>
          <w:rFonts w:cs="仿宋_GB2312" w:asciiTheme="minorEastAsia" w:hAnsiTheme="minorEastAsia"/>
          <w:szCs w:val="21"/>
          <w:shd w:val="clear" w:color="auto" w:fill="FFFFFF"/>
        </w:rPr>
        <w:t>政府采购严重违法失信名单</w:t>
      </w:r>
      <w:r>
        <w:rPr>
          <w:rFonts w:hint="eastAsia" w:cs="仿宋_GB2312" w:asciiTheme="minorEastAsia" w:hAnsiTheme="minorEastAsia"/>
          <w:szCs w:val="21"/>
          <w:shd w:val="clear" w:color="auto" w:fill="FFFFFF"/>
        </w:rPr>
        <w:t>、</w:t>
      </w:r>
      <w:r>
        <w:rPr>
          <w:rFonts w:hint="eastAsia" w:cs="宋体" w:asciiTheme="minorEastAsia" w:hAnsiTheme="minorEastAsia"/>
          <w:kern w:val="0"/>
          <w:szCs w:val="21"/>
        </w:rPr>
        <w:t>政府采购严重违法失信行为记录名单（联合体形式投标的，联合体成员存在不良信用记录，视同联合体存在不良信用记录）。</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单位负责人为同一人或者存在直接控股、管理关系的不同供应商，不得参加同一合同项下的政府采购活动；</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除单一来源采购项目外，为采购项目提供整体设计、规范编制或者项目管理、监理、检测等服务的供应商，不得再参加该采购项目的其他采购活动。</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“投标邀请”和“投标人须知前附表”规定接受联合体投标的，除应符合本章第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（1）在投标文件中向采购人提交联合体协议书，明确联合体各方承担的工作和义务；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（2）联合体中有同类资质的供应商按联合体分工承担相同工作的，应当按照资质等级较低的供应商确定资质等级；</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（3）招标人根据采购项目的特殊要求规定投标人特定条件的，联合体各方中至少应当有一方符合采购规定的特定条件。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（4）联合体各方不得再单独参加或者与其他供应商另外组成联合体参加同一合同项下的政府采购活动。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w:t>
      </w:r>
      <w:r>
        <w:rPr>
          <w:rFonts w:cs="宋体" w:asciiTheme="minorEastAsia" w:hAnsiTheme="minorEastAsia"/>
          <w:kern w:val="0"/>
          <w:szCs w:val="21"/>
        </w:rPr>
        <w:t>联合体各方应当共同与采购人签订采购合同，就采购合同约定的事项对采购人</w:t>
      </w:r>
      <w:r>
        <w:rPr>
          <w:rFonts w:cs="宋体" w:asciiTheme="minorEastAsia" w:hAnsiTheme="minorEastAsia"/>
          <w:kern w:val="0"/>
          <w:szCs w:val="21"/>
        </w:rPr>
        <w:fldChar w:fldCharType="begin"/>
      </w:r>
      <w:r>
        <w:rPr>
          <w:rFonts w:cs="宋体" w:asciiTheme="minorEastAsia" w:hAnsiTheme="minorEastAsia"/>
          <w:kern w:val="0"/>
          <w:szCs w:val="21"/>
        </w:rPr>
        <w:instrText xml:space="preserve"> HYPERLINK "https://baike.baidu.com/item/%E6%89%BF%E6%8B%85%E8%BF%9E%E5%B8%A6%E8%B4%A3%E4%BB%BB" \t "_blank" </w:instrText>
      </w:r>
      <w:r>
        <w:rPr>
          <w:rFonts w:cs="宋体" w:asciiTheme="minorEastAsia" w:hAnsiTheme="minorEastAsia"/>
          <w:kern w:val="0"/>
          <w:szCs w:val="21"/>
        </w:rP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39"/>
        <w:numPr>
          <w:ilvl w:val="0"/>
          <w:numId w:val="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提供的货物应当符合招标文件的要求，并且其质量完全符合国家标准、行业标准或地方标准，均有标准的以高（严格）者为准。没有国家标准、行业标准和企业标准的，按照通常标准或者符合采购目的的特定标准确定。</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投标人所提供的服务应当没有侵犯任何第三方的知识产权、技术秘密等合法权利。</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如采购人所采购产品为政府强制采购的节能产品，投标人所投产品的品牌及型号必须为《节能产品政府采购清单（投标截止时间前最新一期）》中的产品，并提供证明文件，否则其投标将被拒绝。</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投标人所投产品如被列入财政部与国家主管部门颁发的节能产品目录或环境标志产品目录，应提供相关证明，在评标时予以优先采购。</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如投标人所投产品被列入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投标人</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投标人</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不论投标的结果如何，投标人均应自行承担所有与投标有关的全部费用，招标人在任何情况下均无义务和责任承担这些费用。</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招标公告、招标文件澄清或修改公告、中标公告以及延长投标截止时间等与招标活动有关的通知，招标人均将通过在《中国政府采购网》、《河南省政府采购网》、《许昌市政府采购网》和《全国公共资源交易平台（河南省·许昌市）》公开发布。投标人在参与本采购项目招投标活动期间，请及时关注以上媒体上的相关信息，投标人因没有及时关注而未能如期获取相关信息，及因此所产生的一切后果和责任，由投标人自行承担，招标人在任何情况下均不对此承担任何责任。</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采购代理机构代理费用收取标准和方式</w:t>
      </w:r>
    </w:p>
    <w:p>
      <w:pPr>
        <w:pStyle w:val="39"/>
        <w:numPr>
          <w:ilvl w:val="0"/>
          <w:numId w:val="9"/>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收取标准:按照中标合同金额的比例收取。详见投标人须知前附表。</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收取方式：一次性以银行划账、电汇、汇票或支票的形式支付。</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本“投标人须知”的条款如与“投标邀请”、“项目需求”、“投标人须知前附表”和“资格审查与评标”就同一内容的表述不一致的，以“投标邀请”、“ 项目需求”、 “投标人须知前附表”和“资格审查与评标”中规定的内容为准。</w:t>
      </w:r>
    </w:p>
    <w:p>
      <w:pPr>
        <w:autoSpaceDE w:val="0"/>
        <w:autoSpaceDN w:val="0"/>
        <w:spacing w:line="360" w:lineRule="auto"/>
        <w:contextualSpacing/>
        <w:rPr>
          <w:rFonts w:cs="宋体" w:asciiTheme="minorEastAsia" w:hAnsiTheme="minorEastAsia"/>
          <w:kern w:val="0"/>
          <w:szCs w:val="21"/>
        </w:rPr>
      </w:pP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二、招标文件说明</w:t>
      </w: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招标文件构成</w:t>
      </w:r>
    </w:p>
    <w:p>
      <w:pPr>
        <w:pStyle w:val="39"/>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（1）投标邀请（招标公告）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（2）项目需求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（3）投标人须知前附表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（4）投标人须知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（6）资格审查与评标</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（7）合同条款及格式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（8）投标文件有关格式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（9）本项目招标文件的澄清、答复、修改、补充内容（如有的话）</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认真阅读、并充分理解招标文件的全部内容（包括所有的补充、修改内容、重要事项、格式、条款和技术规范、参数及要求等），按招标文件要求和规定编制投标文件，并保证所提供的全部资料的真实性，否则有可能导致投标被拒绝，其风险由投标人自行承担。</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认真了解本次招标的具体工作要求、工作范围以及职责，了解一切可能影响投标报价的资料。一经中标，不得以不完全了解项目要求、项目情况等为借口而提出额外补偿等要求，否则，由此引起的一切后果由中标人负责。</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现场考察、开标前答疑会</w:t>
      </w:r>
    </w:p>
    <w:p>
      <w:pPr>
        <w:pStyle w:val="39"/>
        <w:numPr>
          <w:ilvl w:val="0"/>
          <w:numId w:val="10"/>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招标人根据采购项目的具体情况，可以在招标文件公告期满后，组织已获取招标文件的潜在投标人现场考察或者召开开标前答疑会。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招标人组织现场考察或者召开开标前答疑会的，所有投标人应按“投标人须知前附表”规定的时间、地点前往参加现场考察或者开标前答疑会。投标人如不参加，其风险由投标人自行承担，招标人不承担任何责任。</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招标人组织现场考察或者召开答疑会的，应当在招标文件中载明，或者在招标文件公告期满后在财政部门指定的政府采购信息发布媒体和《全国公共资源交易平台（河南省·许昌市）》发布更正公告。</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在考察现场和开标前答疑会口头介绍的情况，除招标人事后形成书面记录、并以澄清或修改公告的形式发布、构成招标文件的组成部分以外，其他内容仅供投标人在编制投标文件时参考，招标人不对投标人据此作出的判断和决策负责。</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现场考察及参加开标前答疑会所发生的费用及一切责任由投标人自行承担。</w:t>
      </w:r>
    </w:p>
    <w:p>
      <w:pPr>
        <w:autoSpaceDE w:val="0"/>
        <w:autoSpaceDN w:val="0"/>
        <w:spacing w:line="360" w:lineRule="auto"/>
        <w:ind w:left="420"/>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招标文件的澄清或修改</w:t>
      </w:r>
    </w:p>
    <w:p>
      <w:pPr>
        <w:pStyle w:val="39"/>
        <w:numPr>
          <w:ilvl w:val="0"/>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在投标截止期前，无论出于何种原因，招标人可主动地或在解答潜在投标人提出的澄清问题时对招标文件进行修改。</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招标人可以对已发出的招标文件进行必要的澄清或者修改。澄清或者修改的内容可能影响投标文件编制的，招标人将在投标截止时间</w:t>
      </w:r>
      <w:r>
        <w:rPr>
          <w:rFonts w:cs="宋体" w:asciiTheme="minorEastAsia" w:hAnsiTheme="minorEastAsia"/>
          <w:kern w:val="0"/>
          <w:szCs w:val="21"/>
        </w:rPr>
        <w:t>15</w:t>
      </w:r>
      <w:r>
        <w:rPr>
          <w:rFonts w:hint="eastAsia" w:cs="宋体" w:asciiTheme="minorEastAsia" w:hAnsiTheme="minorEastAsia"/>
          <w:kern w:val="0"/>
          <w:szCs w:val="21"/>
        </w:rPr>
        <w:t>日前，在财政部门指定的政府采购信息发布媒体和《全国公共资源交易平台（河南省·许昌市）》发布更正公告。</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澄清或修改公告的内容为招标文件的组成部分，并对投标人具有约束力。当招标文件与澄清或修改公告就同一内容的表述不一致时，以最后发出的文件内容为准。</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如果澄清或者修改发出的时间距规定的投标截止时间不足15日，招标人将顺延提交投标文件的截止时间。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三、投标文件的编制</w:t>
      </w: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投标的语言及计量单位</w:t>
      </w:r>
    </w:p>
    <w:p>
      <w:pPr>
        <w:pStyle w:val="39"/>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投标人提交的投标文件以及投标人与招标人就有关投标事宜的所有来往书面文件均应使用中文。除签名、盖章、专用名称等特殊情形外，以中文以外的文字表述的投标文件视同未提供。</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投标计量单位，招标文件已有明确规定的，使用招标文件规定的计量单位；招标文件没有规定的，一律采用中华人民共和国法定计量单位。</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投标报价</w:t>
      </w:r>
    </w:p>
    <w:p>
      <w:pPr>
        <w:pStyle w:val="39"/>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本次招标项目的投标均以人民币为计算单位。</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采购人不得向投标人索要或者接受其给予的赠品、回扣或者与采购无关的其他商品、服务。</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投标人应对项目要求的全部内容进行报价，少报漏报将导致其投标为非实质性响应予以拒绝。</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按照国家相关规定，结合自身服务水平和承受能力进行报价。投标报价应是履行合同的最终价格，除“项目需求”中另有说明外，投标报价应当是投标人为提供本项目所要求的全部服务所发生的一切成本、税费和利润，包括人工（含工资、社会统筹保险金、加班工资、工作餐、相关福利、关于人员聘用的费用等）、设备、国家规定检测、外发包、材料（含辅材）、管理、税费及利润等。</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本项目所涉及的运输、施工、安装、集成、调试、验收、备品和工具等费用均包含在投标报价中。</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本次招标不接受可选择或可调整的投标方案和报价，任何有选择的或可调整的投标方案和报价将被视为非实质性响应投标而作无效投标处理。</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最高限价，且不低于成本价。本次招标实行“最高限价（项目控制金额上限）”,投标人的投标报价高于最高限价（项目控制金额上限）的，该投标人的投标文件将被视为非实质性响应予以拒绝。</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最低报价不能作为中标的保证。</w:t>
      </w:r>
    </w:p>
    <w:p>
      <w:pPr>
        <w:autoSpaceDE w:val="0"/>
        <w:autoSpaceDN w:val="0"/>
        <w:spacing w:line="360" w:lineRule="auto"/>
        <w:ind w:left="420"/>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投标有效期</w:t>
      </w:r>
    </w:p>
    <w:p>
      <w:pPr>
        <w:pStyle w:val="39"/>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有效期从提交投标文件的截止之日起算。本项目投标有效期详见投标人须知前附表。投标文件中承诺的投标有效期应当不少于“投标人须知前附表”载明的投标有效期。投标有效期比招标文件规定短的属于非实质性响应，将被认定为无效投标。</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投标有效期内投标人撤销投标文件的，招标人将不退还投标保证金。</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特殊情况下，在原投标有效期截止之前，招标人可要求投标人延长投标有效期。这种要求与答复均应以书面形式提交。投标人可拒绝招标人的这种要求，其投标保证金将不会被没收，但其投标在原投标有效期期满后将不再有效。同意延长投标有效期的投标人将不会被要求和允许修正其投标，而只会被要求相应地延长其投标保证金的有效期。在这种情况下，有关投标保证金的退还和没收的规定将在延长了的有效期内继续有效。同意延期的投标人在原投标有效期内应享之权利及应负之责任也相应延续。</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中标人的投标文件作为项目合同的附件，其有效期至中标人全部合同义务履行完毕为止。</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投标文件构成</w:t>
      </w:r>
    </w:p>
    <w:p>
      <w:pPr>
        <w:pStyle w:val="39"/>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投标文件的构成应符合法律法规及招标文件的要求。</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投标人应当按照招标文件的要求编制投标文件。投标文件应当对招标文件提出的要求和条件作出明确响应。</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投标文件由资格证明材料、符合性证明材料、其它材料等组成。</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投标人登录许昌公共资源交易系统下载“许昌投标文件制作系统SEARUN V1.0”，按招标文件要求根据所投标段制作电子投标文件。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”的文件用于电子投标使用，后缀名为“.PDF”的文件用于打印纸质投标文件，名称为“备份”的文件夹使用电子介质存储，供开标现场备用。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电子投标文件制作技术咨询：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投标文件格式</w:t>
      </w:r>
    </w:p>
    <w:p>
      <w:pPr>
        <w:pStyle w:val="39"/>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应参照招标文件第七部分（投标文件有关格式）的内容要求、编排顺序和格式要求，投标人应按照以上要求将投标文件编上唯一的连贯页码并以A4幅面装订成册，并在投标文件封面上注明：正本/副本、所投项目名称、项目编号、投标人名称、日期等字样。</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投标人应按招标文件提供的格式编写投标文件。招标文件未提供标准格式的投标人可自行拟定。</w:t>
      </w:r>
    </w:p>
    <w:p>
      <w:pPr>
        <w:autoSpaceDE w:val="0"/>
        <w:autoSpaceDN w:val="0"/>
        <w:spacing w:line="360" w:lineRule="auto"/>
        <w:ind w:left="420"/>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投标保证金</w:t>
      </w:r>
    </w:p>
    <w:p>
      <w:pPr>
        <w:pStyle w:val="39"/>
        <w:numPr>
          <w:ilvl w:val="0"/>
          <w:numId w:val="12"/>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投标保证金的缴纳</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（1）投标人应按“投标人须知前附表”规定时间及金额提交投标保证金，并作为其投标的一部分。未按要求提交投标保证金的投标文件为无效投标。</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（2）投标保证金用于避免和减少本次招标由于投标人的行为而给采购人带来的损失。</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（3） 投标保证金的递交方式：银行转帐、银行电汇（均需从投标人注册银行账户转出），不接受以现金方式缴纳的投标保证金。凡以现金方式缴纳投标保证金而影响其投标结果的，由投标人自行负责。 </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使用银行转帐形式的，于缴纳截止时间前通过投标人注册银行账户将款项一次足额递交、成功绑定，以收款人到账时间为准，在途资金无效，视为未按时交纳。同时投标人应承担节假日、异地、跨行等银行系统不能支付的风险。</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（5）投标保证金缴纳方式：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投标人网上下载招标文件后，登录</w:t>
      </w:r>
      <w:r>
        <w:rPr>
          <w:rFonts w:cs="宋体" w:asciiTheme="minorEastAsia" w:hAnsiTheme="minorEastAsia"/>
          <w:kern w:val="0"/>
          <w:szCs w:val="21"/>
        </w:rPr>
        <w:fldChar w:fldCharType="begin"/>
      </w:r>
      <w:r>
        <w:rPr>
          <w:rFonts w:cs="宋体" w:asciiTheme="minorEastAsia" w:hAnsiTheme="minorEastAsia"/>
          <w:kern w:val="0"/>
          <w:szCs w:val="21"/>
        </w:rPr>
        <w:instrText xml:space="preserve"> HYPERLINK "http://221.14.6.70:8088/ggzy" </w:instrText>
      </w:r>
      <w:r>
        <w:rPr>
          <w:rFonts w:cs="宋体" w:asciiTheme="minorEastAsia" w:hAnsiTheme="minorEastAsia"/>
          <w:kern w:val="0"/>
          <w:szCs w:val="21"/>
        </w:rPr>
        <w:fldChar w:fldCharType="separate"/>
      </w:r>
      <w:r>
        <w:rPr>
          <w:rFonts w:hint="eastAsia" w:cs="宋体" w:asciiTheme="minorEastAsia" w:hAnsiTheme="minorEastAsia"/>
          <w:kern w:val="0"/>
          <w:szCs w:val="21"/>
        </w:rPr>
        <w:t>http://221.14.6.70:8088/ggzy</w:t>
      </w:r>
      <w:r>
        <w:rPr>
          <w:rFonts w:cs="宋体" w:asciiTheme="minorEastAsia" w:hAnsiTheme="minorEastAsia"/>
          <w:kern w:val="0"/>
          <w:szCs w:val="21"/>
        </w:rPr>
        <w:fldChar w:fldCharType="end"/>
      </w:r>
      <w:r>
        <w:rPr>
          <w:rFonts w:hint="eastAsia" w:cs="宋体" w:asciiTheme="minorEastAsia" w:hAnsiTheme="minorEastAsia"/>
          <w:kern w:val="0"/>
          <w:szCs w:val="21"/>
        </w:rPr>
        <w:t>系统，依次点击“会员向导”→“参与投标”→“费用缴纳说明”→“保证金缴纳说明单”，获取缴费说明单，根据每个标段的缴纳说明单在缴纳截止时间前缴纳；</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成功缴纳后重新登录前述系统，依次点击“会员向导”→“参与投标”→“保证金绑定”→“绑定”进行投标保证金绑定。</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c. 《保证金缴纳绑定操作指南》获取方法：登录许昌公共资源交易系统-组件下载-《保证金缴纳绑定操作指南》。</w:t>
      </w:r>
    </w:p>
    <w:p>
      <w:pPr>
        <w:autoSpaceDE w:val="0"/>
        <w:autoSpaceDN w:val="0"/>
        <w:spacing w:line="360" w:lineRule="auto"/>
        <w:ind w:left="964"/>
        <w:contextualSpacing/>
        <w:rPr>
          <w:rFonts w:cs="仿宋_GB2312" w:asciiTheme="minorEastAsia" w:hAnsiTheme="minorEastAsia"/>
          <w:szCs w:val="21"/>
          <w:lang w:val="zh-CN"/>
        </w:rPr>
      </w:pPr>
      <w:r>
        <w:rPr>
          <w:rFonts w:hint="eastAsia" w:cs="宋体" w:asciiTheme="minorEastAsia" w:hAnsiTheme="minorEastAsia"/>
          <w:kern w:val="0"/>
          <w:szCs w:val="21"/>
        </w:rPr>
        <w:t>d. 投标人要严格按照“保证金缴纳说明单”内容缴纳、成功绑定投标保证金，未绑定标段的投标保证金，视为未按时交纳。并将缴纳凭证“许昌公共资源交易中心保证金缴纳回执”附于投标文件中，同时在开标现场提供一份“许昌公共资源交易中心保证金缴纳回执”以备查询。</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 每个投标人每个项目每个标段只有唯一缴纳账号，切勿重复缴纳或错误缴纳。</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 投标人所提交的投标保证金仅限当次投标项目（标段）有效，不得重复替代使用。一个招标项目有多个标段或者有多个项目同时招标的，投标人必须按项目、标段分别提交投标保证金。</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 不同投标人的投标保证金不得从同一单位或者个人的账户转出。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 未按上述规定操作引起的无效投标，由投标人自行负责。</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（10） 汇款凭证无需备注项目编号和项目名称。</w:t>
      </w:r>
    </w:p>
    <w:p>
      <w:pPr>
        <w:pStyle w:val="39"/>
        <w:numPr>
          <w:ilvl w:val="1"/>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投标保证金的退还</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退还投标保证金时，区别中标与否，按不同时序由银行按来款途径退还原账户。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自中标通知书发出之日起</w:t>
      </w:r>
      <w:r>
        <w:rPr>
          <w:rFonts w:cs="宋体" w:asciiTheme="minorEastAsia" w:hAnsiTheme="minorEastAsia"/>
          <w:kern w:val="0"/>
          <w:szCs w:val="21"/>
        </w:rPr>
        <w:t>5</w:t>
      </w:r>
      <w:r>
        <w:rPr>
          <w:rFonts w:hint="eastAsia" w:cs="宋体" w:asciiTheme="minorEastAsia" w:hAnsiTheme="minorEastAsia"/>
          <w:kern w:val="0"/>
          <w:szCs w:val="21"/>
        </w:rPr>
        <w:t>个工作日内退还未中标人的投标保证金。</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自采购合同签订之日起</w:t>
      </w:r>
      <w:r>
        <w:rPr>
          <w:rFonts w:cs="宋体" w:asciiTheme="minorEastAsia" w:hAnsiTheme="minorEastAsia"/>
          <w:kern w:val="0"/>
          <w:szCs w:val="21"/>
        </w:rPr>
        <w:t>5</w:t>
      </w:r>
      <w:r>
        <w:rPr>
          <w:rFonts w:hint="eastAsia" w:cs="宋体" w:asciiTheme="minorEastAsia" w:hAnsiTheme="minorEastAsia"/>
          <w:kern w:val="0"/>
          <w:szCs w:val="21"/>
        </w:rPr>
        <w:t>个工作日内退还中标人的投标保证金。</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c. 特殊情况处理：投标人投标过程中因账户开户银行、银行账号发生变化，不能按照来款途径原路返还投标保证金的，投标人须提供原账户开户银行相关证明及新开账户开户许可证，到许昌市公共资源交易中心五楼交易见证部办理退款手续（0374-2968027）。</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d. 因投标人自身原因无法及时退还投标保证金，滞留三年以上的，投标保证金上缴财政。</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有下列情形之一的，投标保证金不予退还</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投标有效期内投标人撤销投标文件的；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投标人在投标文件中提供虚假材料的；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c. 除因不可抗力或招标文件认可的情形以外，中标人不与采购人签订合同的；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d. 投标人与采购人、其他投标人或者采购代理机构恶意串通的；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e. 法律法规及招标文件规定的其他情形。</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凡投标人投标保证金交纳至同一标段相同子账号的，保证金暂不予退还，并依照《许昌市公共资源交易当事人不良行为管理暂行办法》（许公管委〔2017〕1号）规定，进行调查、认定、记录，并予以公示公告。对涉嫌串通投标，经调查核实后，记录不良行为，移交有关部门进行查处，不予退还的保证金上缴国库。</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投标文件的数量和签署盖章</w:t>
      </w:r>
    </w:p>
    <w:p>
      <w:pPr>
        <w:pStyle w:val="39"/>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投标人应提交投标文件份数见“投标人须知前附表”。</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在招标文件中已明示需盖章及签名之处，电子投标文件应按招标文件要求加盖投标人电子印章和法人电子印章或授权代表电子印章。</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纸质投标文件是指投标人电子投标文件制作完成后生成的后缀名为“.PDF”的文件打印的投标文件。纸质投标文件正本和副本封面上应清楚标明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字样；一旦正本和副本内容不一致时，以正本为准。纸质投标文件的正本及所有副本的封面均须由投标人加盖投标人公章。</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纸质投标文件副本可以是纸质投标文件的正本复印而成。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四、投标文件的递交</w:t>
      </w: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投标文件的密封</w:t>
      </w:r>
    </w:p>
    <w:p>
      <w:pPr>
        <w:pStyle w:val="39"/>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投标人应将纸质投标文件“正本”、“ 副本”密封包装。使用电子介质存储的投标文件单独密封包装，并随纸质投标文件一并提交。</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投标文件如果未按规定密封，招标人将拒绝接收。</w:t>
      </w:r>
    </w:p>
    <w:p>
      <w:pPr>
        <w:autoSpaceDE w:val="0"/>
        <w:autoSpaceDN w:val="0"/>
        <w:spacing w:line="360" w:lineRule="auto"/>
        <w:ind w:left="420"/>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投标截止时间</w:t>
      </w:r>
    </w:p>
    <w:p>
      <w:pPr>
        <w:pStyle w:val="39"/>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投标人必须在“投标邀请”和“投标人须知前附表”中规定的投标截止时间前，将所有投标文件送达招标文件指定的开标地点。</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招标人收到投标文件后，应当如实记载投标文件的送达时间和密封情况，签收保存，并向投标人出具签收回执。任何单位和个人不得在开标前开启投标文件。</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可以按本须知第10条规定，通过修改招标文件自行决定酌情延长投标截止期。在此情况下，招标人和投标人受投标截止期制约的所有权利和义务均应延长至新的截止日期和时间。投标人按招标人修改通知规定的时间递交投标文件。</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迟交的投标文件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投标截止时间之后送达/上传的投标文件，招标人将拒绝接收。</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投标文件的修改和撤回</w:t>
      </w:r>
    </w:p>
    <w:p>
      <w:pPr>
        <w:pStyle w:val="39"/>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投标人在投标截止时间前，对所递交的纸质投标文件进行补充、修改或者撤回的，须书面通知招标人。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投标人应当在投标截止时间前完成电子投标文件的提交，可以补充、修改或撤回。投标截止时间前未完成电子投标文件提交、取得“投标文件提交回执单”的，视为撤回投标文件。</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投标人补充、修改的内容并作为投标文件的组成部分。补充或修改应当按招标文件要求签署、盖章、密封、递交，并应注明“修改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投标人在递交纸质投标文件后，可以撤回其投标，但投标人必须在规定的投标截止时间前以书面形式告知招标人。</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投标人不得在投标有效期内撤销投标文件，否则招标人将不退还其投标保证金。</w:t>
      </w:r>
    </w:p>
    <w:p>
      <w:pPr>
        <w:autoSpaceDE w:val="0"/>
        <w:autoSpaceDN w:val="0"/>
        <w:spacing w:line="360" w:lineRule="auto"/>
        <w:ind w:left="420"/>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除投标人须知前附表另有规定外，投标人所提交的电子投标文件、纸质投标文件及电子介质存储的备份文件不予退还。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五、开标和评标</w:t>
      </w: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开标</w:t>
      </w:r>
    </w:p>
    <w:p>
      <w:pPr>
        <w:pStyle w:val="39"/>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招标人将按招标文件规定的时间和地点组织公开开标。开标由代理机构主持，邀请投标人参加。评标委员会成员不得参加开标活动。</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招标人应当对开标、评标现场活动进行全程录音录像。录音录像应当清晰可辨，音像资料作为采购文件一并存档。</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开标时，由投标人或者其推选的代表检查纸质投标文件和备份文件（使用电子介质存储）的密封情况；经确认无误后进行电子投标文件的解密。解密后宣布投标人名称、投标价格、修改和撤回投标的通知（如有的话）和招标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（1）电子投标文件的解密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全流程电子化交易项目电子投标文件采用双重加密。解密需分标段进行两次解密。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投标人解密：投标人使用本单位CA数字证书远程或现场进行解密。需开标现场使用一体机进行解密的，请在代理机构引导下进行。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代理机构解密：代理机构</w:t>
      </w:r>
      <w:r>
        <w:rPr>
          <w:rFonts w:cs="宋体" w:asciiTheme="minorEastAsia" w:hAnsiTheme="minorEastAsia"/>
          <w:kern w:val="0"/>
          <w:szCs w:val="21"/>
        </w:rPr>
        <w:t>按</w:t>
      </w:r>
      <w:r>
        <w:rPr>
          <w:rFonts w:hint="eastAsia" w:cs="宋体" w:asciiTheme="minorEastAsia" w:hAnsiTheme="minorEastAsia"/>
          <w:kern w:val="0"/>
          <w:szCs w:val="21"/>
        </w:rPr>
        <w:t>电子</w:t>
      </w:r>
      <w:r>
        <w:rPr>
          <w:rFonts w:cs="宋体" w:asciiTheme="minorEastAsia" w:hAnsiTheme="minorEastAsia"/>
          <w:kern w:val="0"/>
          <w:szCs w:val="21"/>
        </w:rPr>
        <w:t>投标</w:t>
      </w:r>
      <w:r>
        <w:rPr>
          <w:rFonts w:hint="eastAsia" w:cs="宋体" w:asciiTheme="minorEastAsia" w:hAnsiTheme="minorEastAsia"/>
          <w:kern w:val="0"/>
          <w:szCs w:val="21"/>
        </w:rPr>
        <w:t>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电子投标文件解密异常情况处理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因电子交易系统异常无法解密电子投标文件的，使用纸质投标文件以人工方式进行。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因投标人原因电子投标文件解密失败的，由系统技术人员协助投标人将备份文件（电子介质存储）导入系统。若备份文件（电子介质存储）无法导入系统或导入系统仍无法解密的，其投标将被拒绝。</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投标人不足3家的，不得开标。</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开标过程由采购代理机构负责记录，由参加开标的各投标人代表和相关工作人员签字确认后随采购文件一并存档。</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代表对开标过程和开标记录有疑义，以及认为采购人、采购代理机构相关工作人员有需要回避的情形的，应当场提出询问或者回避申请。采购人、采购代理机构对投标人代表提出的询问或者回避申请应当及时处理。</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投标人未参加开标的，视同认可开标结果。</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开标结束后，采购人依法对投标人的资格进行审查。合格投标人不足3家的，不得评标。</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评标委员会的组成</w:t>
      </w:r>
    </w:p>
    <w:p>
      <w:pPr>
        <w:pStyle w:val="39"/>
        <w:numPr>
          <w:ilvl w:val="0"/>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招标人将依法组建评标委员会，评标委员会由采购人代表和评审专家组成，成员人数应当为5人以上单数，其中评审专家的人数不少于评标委员会成员总数的三分之二。评审专家依法从政府采购评审专家库中随机抽取。</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采购项目符合下列情形之一的，评标委员会成员人数应当为7人以上单数：</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（1）采购预算金额在1000万元以上；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（2）技术复杂；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（3）社会影响较大。</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评审专家对本单位的采购项目只能作为采购人代表参与评标。采购代理机构工作人员不得参加由本机构代理的政府采购项目的评标。</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评审专家与投标人存在下列利害关系之一的,应当回避:</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（1）参加采购活动前三年内,与供应商存在劳动关系,或者担任过供应商的董事、监事,或者是供应商的控股股东或实际控制人；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（2）与供应商的法定代表人或者负责人有夫妻、直系血亲、三代以内旁系血亲或者近姻亲关系；</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（3）与供应商有其他可能影响政府采购活动公平、公正进行的关系。</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评审专家发现本人与参加采购活动的供应商有利害关系的,应当主动提出回避。采购人或者代理机构发现评审专家与参加采购活动的供应商有利害关系的,应当要求其回避。</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采购人不得担任评标小组长。</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采购人可以在评标前说明项目背景和采购需求，说明内容不得含有歧视性、倾向性意见，不得超出招标文件所述范围。说明应当提交书面材料，并随采购文件一并存档。</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评标委员会成员名单在评标结果公告前应当保密。</w:t>
      </w:r>
    </w:p>
    <w:p>
      <w:pPr>
        <w:autoSpaceDE w:val="0"/>
        <w:autoSpaceDN w:val="0"/>
        <w:spacing w:line="360" w:lineRule="auto"/>
        <w:ind w:left="420"/>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符合性审查</w:t>
      </w:r>
    </w:p>
    <w:p>
      <w:pPr>
        <w:pStyle w:val="39"/>
        <w:numPr>
          <w:ilvl w:val="0"/>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评标委员会依据有关法律法规和招标文件的规定，对符合资格的投标人的投标文件进行符合性审查，以确定其是否满足招标文件的实质性要求。</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审查、评价投标文件是否符合招标文件的商务、技术等实质性要求。</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可要求投标人对投标文件有关事项作出澄清或者说明。</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投标文件的澄清</w:t>
      </w:r>
    </w:p>
    <w:p>
      <w:pPr>
        <w:pStyle w:val="39"/>
        <w:numPr>
          <w:ilvl w:val="0"/>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对于投标文件中含义不明确、同类问题表述不一致或者有明显文字和计算错误的内容，评标委员会应当以书面形式要求投标人作出必要的澄清、说明或者补正。</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投标人的澄清、说明或者补正应当采用书面形式，并加盖公章，或者由法定代表人或其授权的代表签字。投标人的澄清、说明或者补正不得超出投标文件的范围或者改变投标文件的实质性内容。</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投标人的澄清文件是其投标文件的组成部分。</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投标文件报价出现前后不一致的修正</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（1）投标文件中开标一览表(报价表)内容与投标文件中相应内容不一致的，以开标一览表(报价表)为准；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（2）大写金额和小写金额不一致的，以大写金额为准；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单价金额小数点或者百分比有明显错位的，以开标一览表的总价为准，并修改单价；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 总价金额与按单价汇总金额不一致的，以单价金额计算结果为准。同时出现两种以上不一致的，按照前款规定的顺序修正。修正后的报价按照“投标人须知”28.2规定经投标人确认后产生约束力，投标人不确认的，其投标无效。</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投标无效情形</w:t>
      </w:r>
    </w:p>
    <w:p>
      <w:pPr>
        <w:pStyle w:val="39"/>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投标文件属下列情况之一的，按照无效投标处理：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（1）未按照招标文件的规定提交投标保证金的；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投标文件未按招标文件要求签署、盖章的；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不具备招标文件中规定的资格要求的；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 报价超过招标文件中规定的预算金额或者最高限价的；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（5） </w:t>
      </w:r>
      <w:r>
        <w:rPr>
          <w:rFonts w:cs="宋体" w:asciiTheme="minorEastAsia" w:hAnsiTheme="minorEastAsia"/>
          <w:kern w:val="0"/>
          <w:szCs w:val="21"/>
        </w:rPr>
        <w:t>投标文件含有采购人不能接受的附加条件的</w:t>
      </w:r>
      <w:r>
        <w:rPr>
          <w:rFonts w:hint="eastAsia" w:cs="宋体" w:asciiTheme="minorEastAsia" w:hAnsiTheme="minorEastAsia"/>
          <w:kern w:val="0"/>
          <w:szCs w:val="21"/>
        </w:rPr>
        <w:t>。</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有下列情形之一的，视为投标人串通投标，其投标无效：</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不同投标人的投标文件由同一单位或者个人编制；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不同投标人委托同一单位或者个人办理投标事宜；</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不同投标人的投标文件载明的项目管理成员或者联系人员为同一人；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 不同投标人的投标文件异常一致或者投标报价呈规律性差异；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 不同投标人的投标文件相互混装；</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 不同投标人的投标保证金从同一单位或者个人的账户转出。</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应当遵循公平竞争的原则，不得恶意串通，不得妨碍其他投标人的竞争行为，不得损害采购人或者其他投标人的合法权益。在评标过程中发现投标人有上述情形的，评标委员会应当认定其投标无效，并书面报告本级财政部门。</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法律、法规和招标文件规定的其他无效情形。</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相同品牌投标人的认定</w:t>
      </w:r>
    </w:p>
    <w:p>
      <w:pPr>
        <w:pStyle w:val="39"/>
        <w:numPr>
          <w:ilvl w:val="0"/>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投标文件的比较与评价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评标委员会按照招标文件中规定的评标方法和标准，对符合性审查合格的投标文件进行商务和技术评估，综合比较与评价。</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评标方法、评标标准</w:t>
      </w:r>
    </w:p>
    <w:p>
      <w:pPr>
        <w:pStyle w:val="39"/>
        <w:numPr>
          <w:ilvl w:val="0"/>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评标方法分为最低评标价法和综合评分法。</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最低评标价法</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最低评标价法，是指投标文件满足招标文件全部实质性要求，且投标报价最低的投标人为中标候选人的评标方法。</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采用最低评标价法评标时，除了算术修正和落实政府采购政策需进行的价格扣除外，不能对投标人的投标价格进行任何调整。</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综合评分法，是指投标文件满足招标文件全部实质性要求，且按照评审因素的量化指标评审得分最高的投标人为中标候选人的评标方法。</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价格分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价格分采用低价优先法计算，即满足招标文件要求且投标价格最低的投标报价为评标基准价，其价格分为满分。其他投标人的价格分统一按照下列公式计算：</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投标报价得分=(评标基准价/投标报价)×100</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评标总得分=F1×A1+F2×A2+……+Fn×An</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F1、F2……Fn分别为各项评审因素的得分;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A1、A2、……An 分别为各项评审因素所占的权重(A1+A2+……+An=1)。</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评标过程中，不得去掉报价中的最高报价和最低报价。</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因落实政府采购政策进行价格调整的，以调整后的价格计算评标基准价和投标报价。</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b/>
          <w:kern w:val="0"/>
          <w:szCs w:val="21"/>
        </w:rPr>
        <w:t>本次评标具体评标方法、评标标准见（第六章 资格审查与评标）</w:t>
      </w:r>
      <w:r>
        <w:rPr>
          <w:rFonts w:hint="eastAsia" w:cs="宋体" w:asciiTheme="minorEastAsia" w:hAnsiTheme="minorEastAsia"/>
          <w:kern w:val="0"/>
          <w:szCs w:val="21"/>
        </w:rPr>
        <w:t>。</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推荐中标候选人</w:t>
      </w:r>
    </w:p>
    <w:p>
      <w:pPr>
        <w:pStyle w:val="39"/>
        <w:numPr>
          <w:ilvl w:val="0"/>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采用最低评标价法的，评标结果按投标报价由低到高顺序排列。投标报价相同的并列。投标文件满足招标文件全部实质性要求且投标报价最低的投标人为排名第一的中标候选人。</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评审意见无效情形</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评标委员会及其成员有下列行为之一的，其评审意见无效：</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确定参与评标至评标结束前私自接触投标人；</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接受投标人提出的与投标文件不一致的澄清或者说明，《投标人须知》26条规定的情形除外；</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 违反评标纪律发表倾向性意见或者征询采购人的倾向性意见；</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 对需要专业判断的主观评审因素协商评分；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 在评标过程中擅离职守，影响评标程序正常进行的；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 记录、复制或者带走任何评标资料；</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 其他不遵守评标纪律的行为。</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保密</w:t>
      </w:r>
    </w:p>
    <w:p>
      <w:pPr>
        <w:pStyle w:val="39"/>
        <w:numPr>
          <w:ilvl w:val="0"/>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评审专家应当遵守评审工作纪律，不得泄露评审文件、评审情况和评审中获悉的商业秘密。</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采购人、采购代理机构应当采取必要措施，保证评标在严格保密的情况下进行。有关人员对评标情况以及在评标过程中获悉的国家秘密、商业秘密负有保密责任。</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六、定标和授予合同</w:t>
      </w: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确定中标人</w:t>
      </w:r>
    </w:p>
    <w:p>
      <w:pPr>
        <w:pStyle w:val="39"/>
        <w:numPr>
          <w:ilvl w:val="0"/>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采购人应当自收到评标报告之日起5个工作日内，在评标报告确定的中标候选人名单中按顺序确定中标人。中标候选人并列的，由采购人采取随机抽取的方式确定。</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采购人在收到评标报告5个工作日内未按评标报告推荐的中标候选人顺序确定中标人，又不能说明合法理由的，视同按评标报告推荐的顺序确定排名第一的中标候选人为中标人。</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中标公告、发出中标通知书</w:t>
      </w:r>
    </w:p>
    <w:p>
      <w:pPr>
        <w:pStyle w:val="39"/>
        <w:numPr>
          <w:ilvl w:val="0"/>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采购人确认中标人后，招标人在公告中标结果的同时，向中标人发出中标通知书。</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中标通知书发出后，采购人不得违法改变中标结果，中标人无正当理由不得放弃中标。</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中标人在接到中标通知时，须向代理机构发送投标报价及分项报价一览表（包含主要中标标的的名称、规格型号、数量、单价、服务要求等）电子文档，并同时通知代理机构联系人。</w:t>
      </w:r>
    </w:p>
    <w:p>
      <w:pPr>
        <w:pStyle w:val="39"/>
        <w:autoSpaceDE w:val="0"/>
        <w:autoSpaceDN w:val="0"/>
        <w:spacing w:line="360" w:lineRule="auto"/>
        <w:ind w:left="964" w:firstLine="0" w:firstLineChars="0"/>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39"/>
        <w:numPr>
          <w:ilvl w:val="0"/>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供应商认为采购文件、采购过程和中标结果使自己的权益受到损害的，可以依法向采购人、采购代理机构提出质疑。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 对采购文件提出质疑的，</w:t>
      </w:r>
      <w:r>
        <w:rPr>
          <w:rFonts w:cs="宋体" w:asciiTheme="minorEastAsia" w:hAnsiTheme="minorEastAsia"/>
          <w:kern w:val="0"/>
          <w:szCs w:val="21"/>
        </w:rPr>
        <w:t>潜在</w:t>
      </w:r>
      <w:r>
        <w:rPr>
          <w:rFonts w:hint="eastAsia" w:cs="宋体" w:asciiTheme="minorEastAsia" w:hAnsiTheme="minorEastAsia"/>
          <w:kern w:val="0"/>
          <w:szCs w:val="21"/>
        </w:rPr>
        <w:t>投标人应</w:t>
      </w:r>
      <w:r>
        <w:rPr>
          <w:rFonts w:cs="宋体" w:asciiTheme="minorEastAsia" w:hAnsiTheme="minorEastAsia"/>
          <w:kern w:val="0"/>
          <w:szCs w:val="21"/>
        </w:rPr>
        <w:t>已依法获取采购文件</w:t>
      </w:r>
      <w:r>
        <w:rPr>
          <w:rFonts w:hint="eastAsia" w:cs="宋体" w:asciiTheme="minorEastAsia" w:hAnsiTheme="minorEastAsia"/>
          <w:kern w:val="0"/>
          <w:szCs w:val="21"/>
        </w:rPr>
        <w:t>，且应当在</w:t>
      </w:r>
      <w:r>
        <w:rPr>
          <w:rFonts w:cs="宋体" w:asciiTheme="minorEastAsia" w:hAnsiTheme="minorEastAsia"/>
          <w:kern w:val="0"/>
          <w:szCs w:val="21"/>
        </w:rPr>
        <w:t>获取采购文件或者采购文件公告期限届满之日起7个工作日内</w:t>
      </w:r>
      <w:r>
        <w:rPr>
          <w:rFonts w:hint="eastAsia" w:cs="宋体" w:asciiTheme="minorEastAsia" w:hAnsiTheme="minorEastAsia"/>
          <w:kern w:val="0"/>
          <w:szCs w:val="21"/>
        </w:rPr>
        <w:t>通过《全国公共资源交易平台（河南省·许昌市）》一次性提出，如未提出视为全面接受；</w:t>
      </w:r>
      <w:r>
        <w:rPr>
          <w:rFonts w:hint="eastAsia" w:cs="宋体" w:asciiTheme="minorEastAsia" w:hAnsiTheme="minorEastAsia"/>
          <w:kern w:val="0"/>
          <w:szCs w:val="21"/>
        </w:rPr>
        <w:br w:type="textWrapping"/>
      </w:r>
      <w:r>
        <w:rPr>
          <w:rFonts w:hint="eastAsia" w:cs="宋体" w:asciiTheme="minorEastAsia" w:hAnsiTheme="minorEastAsia"/>
          <w:kern w:val="0"/>
          <w:szCs w:val="21"/>
        </w:rPr>
        <w:t>（2） 对采购过程提出质疑的，为各采购程序环节结束之日起七个工作日内，以书面形式向采购人和采购代理机构一次性提出；</w:t>
      </w:r>
      <w:r>
        <w:rPr>
          <w:rFonts w:hint="eastAsia" w:cs="宋体" w:asciiTheme="minorEastAsia" w:hAnsiTheme="minorEastAsia"/>
          <w:kern w:val="0"/>
          <w:szCs w:val="21"/>
        </w:rPr>
        <w:br w:type="textWrapping"/>
      </w:r>
      <w:r>
        <w:rPr>
          <w:rFonts w:hint="eastAsia" w:cs="宋体" w:asciiTheme="minorEastAsia" w:hAnsiTheme="minorEastAsia"/>
          <w:kern w:val="0"/>
          <w:szCs w:val="21"/>
        </w:rPr>
        <w:t>（3） 对中标结果提出质疑的，为中标结果公告期限届满之日起七个工作日内，以书面形式向采购人和采购代理机构一次性提出。</w:t>
      </w:r>
    </w:p>
    <w:p>
      <w:pPr>
        <w:pStyle w:val="39"/>
        <w:numPr>
          <w:ilvl w:val="1"/>
          <w:numId w:val="5"/>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采购人、采购代理机构认为供应商质疑不成立，或者成立但未对中标结果构成影响的，继续开展采购活动；认为供应商质疑成立且影响或者可能影响中标结果的，按照下列情况处理：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（1） </w:t>
      </w:r>
      <w:r>
        <w:rPr>
          <w:rFonts w:cs="宋体" w:asciiTheme="minorEastAsia" w:hAnsiTheme="minorEastAsia"/>
          <w:kern w:val="0"/>
          <w:szCs w:val="21"/>
        </w:rPr>
        <w:t>对采购文件提出的质疑，依法通过澄清或者修改可以继续开展采购活动的，澄清或者修改采购文件后继续开展采购活动；否则应当修改采购文件后重新开展采购活动。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 xml:space="preserve">（2） </w:t>
      </w:r>
      <w:r>
        <w:rPr>
          <w:rFonts w:cs="宋体" w:asciiTheme="minorEastAsia" w:hAnsiTheme="minorEastAsia"/>
          <w:kern w:val="0"/>
          <w:szCs w:val="21"/>
        </w:rPr>
        <w:t>对采购过程、中标结果提出的质疑，合格供应商符合法定数量时，可以从合格的中标</w:t>
      </w:r>
      <w:r>
        <w:rPr>
          <w:rFonts w:hint="eastAsia" w:cs="宋体" w:asciiTheme="minorEastAsia" w:hAnsiTheme="minorEastAsia"/>
          <w:kern w:val="0"/>
          <w:szCs w:val="21"/>
        </w:rPr>
        <w:t>候选人</w:t>
      </w:r>
      <w:r>
        <w:rPr>
          <w:rFonts w:cs="宋体" w:asciiTheme="minorEastAsia" w:hAnsiTheme="minorEastAsia"/>
          <w:kern w:val="0"/>
          <w:szCs w:val="21"/>
        </w:rPr>
        <w:t>中另行确定中标供应商的，应当依法另行确定中标供应商；否则应当重新开展采购活动。</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采购人应当自中标通知书发出之日起30日内，按照招标文件和中标人投标文件的规定，与中标人签订书面合同。所签订的合同不得对招标文件确定的事项和中标人投标文件作实质性修改。</w:t>
      </w:r>
    </w:p>
    <w:p>
      <w:pPr>
        <w:autoSpaceDE w:val="0"/>
        <w:autoSpaceDN w:val="0"/>
        <w:spacing w:line="360" w:lineRule="auto"/>
        <w:ind w:left="964"/>
        <w:contextualSpacing/>
        <w:rPr>
          <w:rFonts w:cs="宋体" w:asciiTheme="minorEastAsia" w:hAnsiTheme="minorEastAsia"/>
          <w:kern w:val="0"/>
          <w:szCs w:val="21"/>
        </w:rPr>
      </w:pPr>
    </w:p>
    <w:p>
      <w:pPr>
        <w:pStyle w:val="39"/>
        <w:numPr>
          <w:ilvl w:val="0"/>
          <w:numId w:val="5"/>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“投标人须知前附表”中规定中标人提交履约保证金的，中标人应当以支票、汇票、本票或者金融机构、担保机构出具的保函等非现金形式向采购人提交。履约保证金的数额不得超过政府采购合同金额的10%。</w:t>
      </w:r>
      <w:r>
        <w:rPr>
          <w:rFonts w:hint="eastAsia" w:ascii="宋体" w:hAnsi="宋体" w:eastAsia="宋体" w:cs="宋体"/>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第五章 政府采购政策功能</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节约能源、保护环境、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一、节能能源、保护环境</w:t>
      </w:r>
    </w:p>
    <w:p>
      <w:pPr>
        <w:pStyle w:val="13"/>
        <w:spacing w:line="360" w:lineRule="auto"/>
        <w:ind w:firstLine="420" w:firstLineChars="200"/>
        <w:contextualSpacing/>
        <w:rPr>
          <w:rFonts w:cs="仿宋_GB2312" w:asciiTheme="minorEastAsia" w:hAnsiTheme="minorEastAsia" w:eastAsiaTheme="minorEastAsia"/>
          <w:sz w:val="21"/>
          <w:szCs w:val="21"/>
        </w:rPr>
      </w:pPr>
      <w:r>
        <w:rPr>
          <w:rFonts w:hint="eastAsia" w:cs="仿宋_GB2312" w:asciiTheme="minorEastAsia" w:hAnsiTheme="minorEastAsia" w:eastAsiaTheme="minorEastAsia"/>
          <w:sz w:val="21"/>
          <w:szCs w:val="21"/>
          <w:lang w:val="zh-CN"/>
        </w:rPr>
        <w:t>1、按照《国务院办公厅关于建立政府强制采购节能产品制度的通知》（国办发[2007]51号）和财政部、发展改革委发布的《节能产品政府采购实施意见》（财库[2004]185号）以及《财政部、发展改革委关于调整公布节能产品政府采购清单的通知》最新一期的规定，《节能产品政府采购清单》所列产品包括政府强制采购和优先采购的节能产品</w:t>
      </w:r>
      <w:r>
        <w:rPr>
          <w:rFonts w:hint="eastAsia" w:cs="仿宋_GB2312" w:asciiTheme="minorEastAsia" w:hAnsiTheme="minorEastAsia" w:eastAsiaTheme="minorEastAsia"/>
          <w:sz w:val="21"/>
          <w:szCs w:val="21"/>
        </w:rPr>
        <w:t>。其中，台式计算机，便携式计算机，平板式微型计算机，激光打印机，针式打印机，液晶显示器，制冷压缩机，空调机组，专用制冷、空调设备，镇流器，空调机，电热水器，普通照明用自镇流荧光灯，普通照明用双端荧光灯，电视设备，视频设备，便器，水嘴等品目为政府强制采购的节能产品。其他品目为政府优先采购的节能产品。</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本次采购货物中属于强制采购的节能产品，投标人所投产品必须是《节能产品政府采购清单》内产品，投标文件中应提供最新一期《节能产品政府采购清单》中产品所在页</w:t>
      </w:r>
      <w:r>
        <w:rPr>
          <w:rFonts w:hint="eastAsia" w:cs="仿宋_GB2312" w:asciiTheme="minorEastAsia" w:hAnsiTheme="minorEastAsia" w:eastAsiaTheme="minorEastAsia"/>
          <w:sz w:val="21"/>
          <w:szCs w:val="21"/>
        </w:rPr>
        <w:t>并加盖投标人公章的原件扫描件（或图片）</w:t>
      </w:r>
      <w:r>
        <w:rPr>
          <w:rFonts w:hint="eastAsia" w:cs="仿宋_GB2312" w:asciiTheme="minorEastAsia" w:hAnsiTheme="minorEastAsia" w:eastAsiaTheme="minorEastAsia"/>
          <w:sz w:val="21"/>
          <w:szCs w:val="21"/>
          <w:lang w:val="zh-CN"/>
        </w:rPr>
        <w:t>。投标人所投其他产品若属于“节能产品政府采购清单”优先采购产品，在同等条件下，优先采购清单中的产品。</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采购人拟采购的产品属于政府强制采购节能产品范围，但本期节能清单中无对应细化分类或节能清单中的产品无法满足工作需要的，可在节能清单之外采购。</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按照财政部、国家环保总局发布的《环境标志产品政府采购实施的意见》（财库[2006]90号）和《财政部、环保部关于调整公布环境标志产品政府采购清单的通知》最新一期的规定，投标人所投产品若属于“环境标志产品政府采购清单”内产品，在同等条件下，优先采购清单中的产品。</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3、对于同时列入环保清单和节能产品政府采购清单的产品，应当优先于只列入其中一个清单的产品。</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4、上述“节能产品政府采购清单”、“环境标志产品政府采购清单”，在采购公告发布前已经过期的以及尚在公示期的均不得作为评标时的依据。</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二、促进中小企业发展</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投标人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w:t>
      </w:r>
      <w:bookmarkStart w:id="0" w:name="OLE_LINK6"/>
      <w:r>
        <w:rPr>
          <w:rFonts w:hint="eastAsia" w:cs="仿宋_GB2312" w:asciiTheme="minorEastAsia" w:hAnsiTheme="minorEastAsia"/>
          <w:szCs w:val="21"/>
          <w:lang w:val="zh-CN"/>
        </w:rPr>
        <w:t>财库[2014]68号</w:t>
      </w:r>
      <w:bookmarkEnd w:id="0"/>
      <w:r>
        <w:rPr>
          <w:rFonts w:hint="eastAsia" w:cs="仿宋_GB2312" w:asciiTheme="minorEastAsia" w:hAnsiTheme="minorEastAsia"/>
          <w:szCs w:val="21"/>
          <w:lang w:val="zh-CN"/>
        </w:rPr>
        <w:t>）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四、促进残疾人就业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3、中标人为残疾人福利性单位的，招标人应当随中标结果同时公告其《残疾人福利性单位声明函》，接受社会监督。</w:t>
      </w:r>
    </w:p>
    <w:p>
      <w:pPr>
        <w:tabs>
          <w:tab w:val="left" w:pos="1260"/>
        </w:tabs>
        <w:autoSpaceDE w:val="0"/>
        <w:autoSpaceDN w:val="0"/>
        <w:adjustRightInd w:val="0"/>
        <w:spacing w:line="360" w:lineRule="auto"/>
        <w:contextualSpacing/>
        <w:jc w:val="center"/>
        <w:rPr>
          <w:rFonts w:cs="仿宋_GB2312" w:asciiTheme="minorEastAsia" w:hAnsiTheme="minorEastAsia"/>
          <w:lang w:val="zh-CN"/>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eastAsiaTheme="minorEastAsia"/>
          <w:b/>
          <w:sz w:val="21"/>
          <w:szCs w:val="21"/>
          <w:lang w:val="zh-CN"/>
        </w:rPr>
      </w:pPr>
      <w:r>
        <w:rPr>
          <w:rFonts w:cs="仿宋_GB2312" w:asciiTheme="minorEastAsia" w:hAnsiTheme="minorEastAsia" w:eastAsiaTheme="minorEastAsia"/>
          <w:b/>
          <w:sz w:val="21"/>
          <w:szCs w:val="21"/>
          <w:lang w:val="zh-CN"/>
        </w:rPr>
        <w:t>一、资格审查</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（一）</w:t>
      </w:r>
      <w:r>
        <w:rPr>
          <w:rFonts w:cs="仿宋_GB2312" w:asciiTheme="minorEastAsia" w:hAnsiTheme="minorEastAsia" w:eastAsiaTheme="minorEastAsia"/>
          <w:sz w:val="21"/>
          <w:szCs w:val="21"/>
          <w:lang w:val="zh-CN"/>
        </w:rPr>
        <w:t>开标结束后，</w:t>
      </w:r>
      <w:r>
        <w:rPr>
          <w:rFonts w:hint="eastAsia" w:cs="仿宋_GB2312" w:asciiTheme="minorEastAsia" w:hAnsiTheme="minorEastAsia" w:eastAsiaTheme="minorEastAsia"/>
          <w:sz w:val="21"/>
          <w:szCs w:val="21"/>
          <w:lang w:val="zh-CN"/>
        </w:rPr>
        <w:t>采购人依法对投标人资格进行审查</w:t>
      </w:r>
      <w:r>
        <w:rPr>
          <w:rFonts w:cs="仿宋_GB2312" w:asciiTheme="minorEastAsia" w:hAnsiTheme="minorEastAsia" w:eastAsiaTheme="minorEastAsia"/>
          <w:sz w:val="21"/>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6"/>
        <w:tblW w:w="90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79"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79" w:type="dxa"/>
            <w:vAlign w:val="center"/>
          </w:tcPr>
          <w:p>
            <w:pPr>
              <w:spacing w:line="360" w:lineRule="auto"/>
              <w:jc w:val="left"/>
              <w:rPr>
                <w:rFonts w:asciiTheme="minorEastAsia" w:hAnsiTheme="minorEastAsia"/>
                <w:b/>
                <w:szCs w:val="21"/>
              </w:rPr>
            </w:pPr>
            <w:r>
              <w:rPr>
                <w:rFonts w:hint="eastAsia" w:asciiTheme="minorEastAsia" w:hAnsiTheme="minorEastAsia"/>
                <w:b/>
                <w:szCs w:val="21"/>
              </w:rPr>
              <w:t>1、投标函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Cs/>
                <w:szCs w:val="21"/>
              </w:rPr>
            </w:pPr>
            <w:r>
              <w:rPr>
                <w:rFonts w:hint="eastAsia" w:asciiTheme="minorEastAsia" w:hAnsiTheme="minorEastAsia"/>
                <w:b/>
                <w:bCs/>
                <w:szCs w:val="21"/>
              </w:rPr>
              <w:t>2、法人或者其他组织的营业执照等证明文件，自然人的身份证明</w:t>
            </w:r>
          </w:p>
          <w:p>
            <w:pPr>
              <w:spacing w:line="360" w:lineRule="auto"/>
              <w:rPr>
                <w:rFonts w:asciiTheme="minorEastAsia" w:hAnsiTheme="minorEastAsia"/>
                <w:bCs/>
                <w:szCs w:val="21"/>
              </w:rPr>
            </w:pPr>
            <w:r>
              <w:rPr>
                <w:rFonts w:hint="eastAsia" w:asciiTheme="minorEastAsia" w:hAnsiTheme="minorEastAsia"/>
                <w:bCs/>
                <w:szCs w:val="21"/>
              </w:rPr>
              <w:t>（1）企业法人营业执照或营业执照。（企业投标提供）</w:t>
            </w:r>
          </w:p>
          <w:p>
            <w:pPr>
              <w:spacing w:line="360" w:lineRule="auto"/>
              <w:rPr>
                <w:rFonts w:asciiTheme="minorEastAsia" w:hAnsiTheme="minorEastAsia"/>
                <w:bCs/>
                <w:szCs w:val="21"/>
              </w:rPr>
            </w:pPr>
            <w:r>
              <w:rPr>
                <w:rFonts w:hint="eastAsia" w:asciiTheme="minorEastAsia" w:hAnsiTheme="minorEastAsia"/>
                <w:bCs/>
                <w:szCs w:val="21"/>
              </w:rPr>
              <w:t>（2）事业单位法人证书。（事业单位投标提供）</w:t>
            </w:r>
          </w:p>
          <w:p>
            <w:pPr>
              <w:spacing w:line="360" w:lineRule="auto"/>
              <w:rPr>
                <w:rFonts w:asciiTheme="minorEastAsia" w:hAnsiTheme="minorEastAsia"/>
                <w:bCs/>
                <w:szCs w:val="21"/>
              </w:rPr>
            </w:pPr>
            <w:r>
              <w:rPr>
                <w:rFonts w:hint="eastAsia" w:asciiTheme="minorEastAsia" w:hAnsiTheme="minorEastAsia"/>
                <w:bCs/>
                <w:szCs w:val="21"/>
              </w:rPr>
              <w:t>（3）执业许可证。（非专业服务机构投标提供）</w:t>
            </w:r>
          </w:p>
          <w:p>
            <w:pPr>
              <w:spacing w:line="360" w:lineRule="auto"/>
              <w:rPr>
                <w:rFonts w:asciiTheme="minorEastAsia" w:hAnsiTheme="minorEastAsia"/>
                <w:bCs/>
                <w:szCs w:val="21"/>
              </w:rPr>
            </w:pPr>
            <w:r>
              <w:rPr>
                <w:rFonts w:hint="eastAsia" w:asciiTheme="minorEastAsia" w:hAnsiTheme="minorEastAsia"/>
                <w:bCs/>
                <w:szCs w:val="21"/>
              </w:rPr>
              <w:t>（4）个体工商户营业执照。（个体工商户投标提供）</w:t>
            </w:r>
          </w:p>
          <w:p>
            <w:pPr>
              <w:spacing w:line="360" w:lineRule="auto"/>
              <w:rPr>
                <w:rFonts w:asciiTheme="minorEastAsia" w:hAnsiTheme="minorEastAsia"/>
                <w:b/>
                <w:szCs w:val="21"/>
              </w:rPr>
            </w:pPr>
            <w:r>
              <w:rPr>
                <w:rFonts w:hint="eastAsia" w:asciiTheme="minorEastAsia" w:hAnsiTheme="minorEastAsia"/>
                <w:bCs/>
                <w:szCs w:val="21"/>
              </w:rPr>
              <w:t>（5）自然人身份证明。（自然人投标提供）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Cs/>
                <w:szCs w:val="21"/>
              </w:rPr>
            </w:pPr>
            <w:r>
              <w:rPr>
                <w:rFonts w:hint="eastAsia" w:asciiTheme="minorEastAsia" w:hAnsiTheme="minorEastAsia"/>
                <w:b/>
                <w:bCs/>
                <w:szCs w:val="21"/>
              </w:rPr>
              <w:t>3、财务状况报告相关材料</w:t>
            </w:r>
          </w:p>
          <w:p>
            <w:pPr>
              <w:spacing w:line="360" w:lineRule="auto"/>
              <w:rPr>
                <w:rFonts w:asciiTheme="minorEastAsia" w:hAnsiTheme="minorEastAsia"/>
                <w:b/>
                <w:szCs w:val="21"/>
              </w:rPr>
            </w:pPr>
            <w:r>
              <w:rPr>
                <w:rFonts w:hint="eastAsia" w:asciiTheme="minorEastAsia" w:hAnsiTheme="minorEastAsia"/>
                <w:bCs/>
                <w:szCs w:val="21"/>
              </w:rPr>
              <w:t>（1）2017年度经审计的财务报告，包括资产负债表、利润表、现金流量表、所有者权益变动表及其附注；或基本开户银行出具的资信证明；或财政部门认可的政府采购专业担保机构的证明文件和担保机构出具的投标担保函。（法人投标提供。法人包括企业法人、机关法人、事业单位法人和社会团体法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Cs/>
                <w:szCs w:val="21"/>
              </w:rPr>
            </w:pPr>
            <w:r>
              <w:rPr>
                <w:rFonts w:hint="eastAsia" w:asciiTheme="minorEastAsia" w:hAnsiTheme="minorEastAsia"/>
                <w:b/>
                <w:bCs/>
                <w:szCs w:val="21"/>
              </w:rPr>
              <w:t>4、依法缴纳税收相关材料</w:t>
            </w:r>
          </w:p>
          <w:p>
            <w:pPr>
              <w:spacing w:line="360" w:lineRule="auto"/>
              <w:rPr>
                <w:rFonts w:asciiTheme="minorEastAsia" w:hAnsiTheme="minorEastAsia"/>
                <w:b/>
                <w:szCs w:val="21"/>
              </w:rPr>
            </w:pPr>
            <w:r>
              <w:rPr>
                <w:rFonts w:hint="eastAsia" w:asciiTheme="minorEastAsia" w:hAnsiTheme="minorEastAsia"/>
                <w:bCs/>
                <w:szCs w:val="21"/>
              </w:rPr>
              <w:t>投标截止时间前三个月内任意一个月缴纳税收凭据。（依法免税的投标人，应提供相应文件证明依法免税）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Cs/>
                <w:szCs w:val="21"/>
              </w:rPr>
            </w:pPr>
            <w:r>
              <w:rPr>
                <w:rFonts w:hint="eastAsia" w:asciiTheme="minorEastAsia" w:hAnsiTheme="minorEastAsia"/>
                <w:b/>
                <w:bCs/>
                <w:szCs w:val="21"/>
              </w:rPr>
              <w:t>5、依法缴纳社会保障资金的证明材料</w:t>
            </w:r>
          </w:p>
          <w:p>
            <w:pPr>
              <w:spacing w:line="360" w:lineRule="auto"/>
              <w:rPr>
                <w:rFonts w:asciiTheme="minorEastAsia" w:hAnsiTheme="minorEastAsia"/>
                <w:bCs/>
                <w:szCs w:val="21"/>
              </w:rPr>
            </w:pPr>
            <w:r>
              <w:rPr>
                <w:rFonts w:hint="eastAsia" w:asciiTheme="minorEastAsia" w:hAnsiTheme="minorEastAsia"/>
                <w:bCs/>
                <w:szCs w:val="21"/>
              </w:rPr>
              <w:t>投标截止时间前三个月内任意一个月缴纳社会保险凭据。（依法不需要缴纳社会保障资金的投标人，应提供相应文件证明依法不需要缴纳社会保障资金）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
                <w:bCs/>
                <w:szCs w:val="21"/>
              </w:rPr>
            </w:pPr>
            <w:r>
              <w:rPr>
                <w:rFonts w:hint="eastAsia" w:asciiTheme="minorEastAsia" w:hAnsiTheme="minorEastAsia"/>
                <w:b/>
                <w:bCs/>
                <w:szCs w:val="21"/>
              </w:rPr>
              <w:t>6、履行合同所必须的设备和专业技术能力的证明材料</w:t>
            </w:r>
          </w:p>
          <w:p>
            <w:pPr>
              <w:spacing w:line="360" w:lineRule="auto"/>
              <w:rPr>
                <w:rFonts w:asciiTheme="minorEastAsia" w:hAnsiTheme="minorEastAsia"/>
                <w:b/>
                <w:szCs w:val="21"/>
              </w:rPr>
            </w:pPr>
            <w:r>
              <w:rPr>
                <w:rFonts w:hint="eastAsia" w:asciiTheme="minorEastAsia" w:hAnsiTheme="minorEastAsia"/>
                <w:bCs/>
                <w:szCs w:val="21"/>
              </w:rPr>
              <w:t>相关设备的购置发票、专业技术人员职称证书等或者投标人相关承诺函或声明。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
                <w:bCs/>
                <w:szCs w:val="21"/>
              </w:rPr>
            </w:pPr>
            <w:r>
              <w:rPr>
                <w:rFonts w:hint="eastAsia" w:asciiTheme="minorEastAsia" w:hAnsiTheme="minorEastAsia"/>
                <w:b/>
                <w:bCs/>
                <w:szCs w:val="21"/>
              </w:rPr>
              <w:t>7、参加政府采购活动前3年内在经营活动中没有重大违法记录的声明</w:t>
            </w:r>
          </w:p>
          <w:p>
            <w:pPr>
              <w:spacing w:line="360" w:lineRule="auto"/>
              <w:rPr>
                <w:rFonts w:asciiTheme="minorEastAsia" w:hAnsiTheme="minorEastAsia"/>
                <w:bCs/>
                <w:szCs w:val="21"/>
              </w:rPr>
            </w:pPr>
            <w:r>
              <w:rPr>
                <w:rFonts w:hint="eastAsia" w:asciiTheme="minorEastAsia" w:hAnsiTheme="minorEastAsia"/>
                <w:bCs/>
                <w:szCs w:val="21"/>
              </w:rPr>
              <w:t>投标人“参加政府采购活动前3年内在经营活动中没有重大违法记录的书面声明”。 重大违法记录，是指投标人因违法经营受到刑事处罚或者责令停产停业、吊销许可证或者执照、较大数额罚款等行政处罚。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79" w:type="dxa"/>
            <w:vAlign w:val="center"/>
          </w:tcPr>
          <w:p>
            <w:pPr>
              <w:spacing w:line="360" w:lineRule="auto"/>
              <w:rPr>
                <w:rFonts w:asciiTheme="minorEastAsia" w:hAnsiTheme="minorEastAsia"/>
                <w:b/>
                <w:bCs/>
                <w:szCs w:val="21"/>
              </w:rPr>
            </w:pPr>
            <w:r>
              <w:rPr>
                <w:rFonts w:hint="eastAsia" w:asciiTheme="minorEastAsia" w:hAnsiTheme="minorEastAsia"/>
                <w:b/>
                <w:bCs/>
                <w:szCs w:val="21"/>
              </w:rPr>
              <w:t>8、</w:t>
            </w:r>
            <w:r>
              <w:rPr>
                <w:rFonts w:cs="仿宋_GB2312" w:asciiTheme="minorEastAsia" w:hAnsiTheme="minorEastAsia"/>
                <w:b/>
                <w:szCs w:val="21"/>
                <w:shd w:val="clear" w:color="auto" w:fill="FFFFFF"/>
              </w:rPr>
              <w:t>未被列入“信用中国”网站(www.creditchina.gov.cn)失信被执行人、重大税收违法案件当事人名单、政府采购严重违法失信名单的投标人；</w:t>
            </w:r>
            <w:r>
              <w:rPr>
                <w:rFonts w:hint="eastAsia" w:cs="仿宋_GB2312" w:asciiTheme="minorEastAsia" w:hAnsiTheme="minorEastAsia"/>
                <w:b/>
                <w:szCs w:val="21"/>
                <w:shd w:val="clear" w:color="auto" w:fill="FFFFFF"/>
              </w:rPr>
              <w:t>“</w:t>
            </w:r>
            <w:r>
              <w:rPr>
                <w:rFonts w:cs="仿宋_GB2312" w:asciiTheme="minorEastAsia" w:hAnsiTheme="minorEastAsia"/>
                <w:b/>
                <w:szCs w:val="21"/>
                <w:shd w:val="clear" w:color="auto" w:fill="FFFFFF"/>
              </w:rPr>
              <w:t>中国政府采购网</w:t>
            </w:r>
            <w:r>
              <w:rPr>
                <w:rFonts w:hint="eastAsia" w:cs="仿宋_GB2312" w:asciiTheme="minorEastAsia" w:hAnsiTheme="minorEastAsia"/>
                <w:b/>
                <w:szCs w:val="21"/>
                <w:shd w:val="clear" w:color="auto" w:fill="FFFFFF"/>
              </w:rPr>
              <w:t>”</w:t>
            </w:r>
            <w:r>
              <w:rPr>
                <w:rFonts w:cs="仿宋_GB2312" w:asciiTheme="minorEastAsia" w:hAnsiTheme="minorEastAsia"/>
                <w:b/>
                <w:szCs w:val="21"/>
                <w:shd w:val="clear" w:color="auto" w:fill="FFFFFF"/>
              </w:rPr>
              <w:t xml:space="preserve"> (www.ccgp.gov.cn)政府采购严重违法失信行为记录名单的投标人</w:t>
            </w:r>
            <w:r>
              <w:rPr>
                <w:rFonts w:hint="eastAsia" w:asciiTheme="minorEastAsia" w:hAnsiTheme="minorEastAsia"/>
                <w:b/>
                <w:bCs/>
                <w:szCs w:val="21"/>
              </w:rPr>
              <w:t>。</w:t>
            </w:r>
          </w:p>
          <w:p>
            <w:pPr>
              <w:spacing w:line="360" w:lineRule="auto"/>
              <w:rPr>
                <w:rFonts w:asciiTheme="minorEastAsia" w:hAnsiTheme="minorEastAsia"/>
                <w:bCs/>
                <w:szCs w:val="21"/>
              </w:rPr>
            </w:pPr>
            <w:r>
              <w:rPr>
                <w:rFonts w:hint="eastAsia" w:asciiTheme="minorEastAsia" w:hAnsiTheme="minorEastAsia"/>
                <w:bCs/>
                <w:szCs w:val="21"/>
              </w:rPr>
              <w:t>注：政府采购活动中查询及使用投标人信用记录的具体要求为：投标人未被列入失信被执行人、重大税收违法案件当事人名单、</w:t>
            </w:r>
            <w:r>
              <w:rPr>
                <w:rFonts w:asciiTheme="minorEastAsia" w:hAnsiTheme="minorEastAsia"/>
                <w:bCs/>
                <w:szCs w:val="21"/>
              </w:rPr>
              <w:t>政府采购严重违法失信名单</w:t>
            </w:r>
            <w:r>
              <w:rPr>
                <w:rFonts w:hint="eastAsia" w:asciiTheme="minorEastAsia" w:hAnsiTheme="minorEastAsia"/>
                <w:bCs/>
                <w:szCs w:val="21"/>
              </w:rPr>
              <w:t>、政府采购严重违法失信行为记录名单（联合体形式投标的，联合体成员存在不良信用记录，视同联合体存在不良信用记录）。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（1）查询渠道：“信用中国”网站（www.creditchina.gov.cn）和“中国政府采购网”（www.ccgp.gov.cn）；</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（3）信用信息查询记录和证据留存具体方式：经采购人确认的查询结果网页截图作为查询记录和证据，与其他采购文件一并保存；</w:t>
            </w:r>
          </w:p>
          <w:p>
            <w:pPr>
              <w:spacing w:line="360" w:lineRule="auto"/>
              <w:rPr>
                <w:rFonts w:asciiTheme="minorEastAsia" w:hAnsiTheme="minorEastAsia"/>
                <w:bCs/>
                <w:szCs w:val="21"/>
              </w:rPr>
            </w:pPr>
            <w:r>
              <w:rPr>
                <w:rFonts w:hint="eastAsia" w:asciiTheme="minorEastAsia" w:hAnsiTheme="minorEastAsia"/>
                <w:bCs/>
                <w:szCs w:val="21"/>
              </w:rPr>
              <w:t>（4）信用信息的使用原则：经采购人认定的被列入失信被执行人、重大税收违法案件当事人名单、政府采购严重违法失信行为记录名单的投标人，将拒绝其参与政府采购活动。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9079" w:type="dxa"/>
            <w:vAlign w:val="center"/>
          </w:tcPr>
          <w:p>
            <w:pPr>
              <w:spacing w:line="360" w:lineRule="auto"/>
              <w:rPr>
                <w:rFonts w:cs="仿宋_GB2312" w:asciiTheme="minorEastAsia" w:hAnsiTheme="minorEastAsia"/>
                <w:b/>
                <w:szCs w:val="21"/>
                <w:lang w:val="zh-CN"/>
              </w:rPr>
            </w:pPr>
            <w:r>
              <w:rPr>
                <w:rFonts w:hint="eastAsia" w:asciiTheme="minorEastAsia" w:hAnsiTheme="minorEastAsia"/>
                <w:b/>
                <w:bCs/>
                <w:szCs w:val="21"/>
              </w:rPr>
              <w:t>9、</w:t>
            </w:r>
            <w:r>
              <w:rPr>
                <w:rFonts w:hint="eastAsia" w:cs="仿宋_GB2312" w:asciiTheme="minorEastAsia" w:hAnsiTheme="minorEastAsia"/>
                <w:b/>
                <w:szCs w:val="21"/>
                <w:lang w:val="zh-CN"/>
              </w:rPr>
              <w:t>报价</w:t>
            </w:r>
          </w:p>
          <w:p>
            <w:pPr>
              <w:spacing w:line="360" w:lineRule="auto"/>
              <w:rPr>
                <w:rFonts w:asciiTheme="minorEastAsia" w:hAnsiTheme="minorEastAsia"/>
                <w:b/>
                <w:bCs/>
                <w:szCs w:val="21"/>
              </w:rPr>
            </w:pPr>
            <w:r>
              <w:rPr>
                <w:rFonts w:hint="eastAsia" w:cs="仿宋_GB2312" w:asciiTheme="minorEastAsia" w:hAnsiTheme="minorEastAsia"/>
                <w:szCs w:val="21"/>
                <w:lang w:val="zh-CN"/>
              </w:rPr>
              <w:t>是否超出招标文件中规定的预算金额，超出预算金额的投标无效。如投标人须知前附表规定最高限价，则</w:t>
            </w:r>
            <w:r>
              <w:rPr>
                <w:rFonts w:hint="eastAsia" w:cs="宋体" w:asciiTheme="minorEastAsia" w:hAnsiTheme="minorEastAsia"/>
                <w:bCs/>
                <w:szCs w:val="21"/>
                <w:lang w:val="zh-CN"/>
              </w:rPr>
              <w:t>超出预算金额和最高限价的投标无效。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9079" w:type="dxa"/>
            <w:vAlign w:val="center"/>
          </w:tcPr>
          <w:p>
            <w:pPr>
              <w:spacing w:line="360" w:lineRule="auto"/>
              <w:rPr>
                <w:rFonts w:asciiTheme="minorEastAsia" w:hAnsiTheme="minorEastAsia"/>
                <w:b/>
                <w:bCs/>
                <w:szCs w:val="21"/>
              </w:rPr>
            </w:pPr>
            <w:r>
              <w:rPr>
                <w:rFonts w:hint="eastAsia" w:asciiTheme="minorEastAsia" w:hAnsiTheme="minorEastAsia"/>
                <w:b/>
                <w:bCs/>
                <w:szCs w:val="21"/>
              </w:rPr>
              <w:t>10、联合体协议</w:t>
            </w:r>
          </w:p>
          <w:p>
            <w:pPr>
              <w:spacing w:line="360" w:lineRule="auto"/>
              <w:rPr>
                <w:rFonts w:asciiTheme="minorEastAsia" w:hAnsiTheme="minorEastAsia"/>
                <w:b/>
                <w:bCs/>
                <w:szCs w:val="21"/>
              </w:rPr>
            </w:pPr>
            <w:r>
              <w:rPr>
                <w:rFonts w:hint="eastAsia" w:asciiTheme="minorEastAsia" w:hAnsiTheme="minorEastAsia"/>
                <w:bCs/>
                <w:szCs w:val="21"/>
              </w:rPr>
              <w:t>招标文件接受联合体投标且投标人为联合体的，投标人应提供本协议；否则无须提供。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9079" w:type="dxa"/>
            <w:vAlign w:val="center"/>
          </w:tcPr>
          <w:p>
            <w:pPr>
              <w:spacing w:line="360" w:lineRule="auto"/>
              <w:rPr>
                <w:rFonts w:asciiTheme="minorEastAsia" w:hAnsiTheme="minorEastAsia"/>
                <w:b/>
                <w:szCs w:val="21"/>
              </w:rPr>
            </w:pPr>
            <w:r>
              <w:rPr>
                <w:rFonts w:hint="eastAsia" w:asciiTheme="minorEastAsia" w:hAnsiTheme="minorEastAsia"/>
                <w:b/>
                <w:szCs w:val="21"/>
              </w:rPr>
              <w:t>11、投标保证金</w:t>
            </w:r>
          </w:p>
          <w:p>
            <w:pPr>
              <w:spacing w:line="360" w:lineRule="auto"/>
              <w:rPr>
                <w:rFonts w:asciiTheme="minorEastAsia" w:hAnsiTheme="minorEastAsia"/>
                <w:szCs w:val="21"/>
              </w:rPr>
            </w:pPr>
            <w:r>
              <w:rPr>
                <w:rFonts w:hint="eastAsia" w:asciiTheme="minorEastAsia" w:hAnsiTheme="minorEastAsia"/>
                <w:szCs w:val="21"/>
              </w:rPr>
              <w:t>是否按投标人须知前附表规定成功交纳。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079" w:type="dxa"/>
            <w:vAlign w:val="center"/>
          </w:tcPr>
          <w:p>
            <w:pPr>
              <w:spacing w:line="360" w:lineRule="auto"/>
              <w:contextualSpacing/>
              <w:rPr>
                <w:rFonts w:asciiTheme="minorEastAsia" w:hAnsiTheme="minorEastAsia"/>
                <w:b/>
                <w:szCs w:val="21"/>
              </w:rPr>
            </w:pPr>
            <w:r>
              <w:rPr>
                <w:rFonts w:hint="eastAsia" w:asciiTheme="minorEastAsia" w:hAnsiTheme="minorEastAsia"/>
                <w:b/>
                <w:szCs w:val="21"/>
              </w:rPr>
              <w:t>12、法定代表人身份证明或提供法定代表人授权委托书及被授权人身份证明。</w:t>
            </w: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二、评标</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（一）评标方法</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本项目采用综合评分法。总分为100分。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w:t>
      </w:r>
      <w:r>
        <w:rPr>
          <w:rFonts w:cs="仿宋_GB2312" w:asciiTheme="minorEastAsia" w:hAnsiTheme="minorEastAsia" w:eastAsiaTheme="minorEastAsia"/>
          <w:b/>
          <w:sz w:val="21"/>
          <w:szCs w:val="21"/>
          <w:lang w:val="zh-CN"/>
        </w:rPr>
        <w:t>评标委员会负责具体评标事务，并独立履行下列职责</w:t>
      </w:r>
    </w:p>
    <w:p>
      <w:pPr>
        <w:pStyle w:val="13"/>
        <w:spacing w:line="360" w:lineRule="auto"/>
        <w:ind w:firstLine="422" w:firstLineChars="200"/>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审查、评价投标文件是否符合招标文件的商务、技术等实质性要求；</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评标委员会对符合资格的投标人的投标文件进行符合性审查，以确定其是否满足招标文件的商务、技术等实质性要求。</w:t>
      </w:r>
    </w:p>
    <w:p>
      <w:pPr>
        <w:pStyle w:val="13"/>
        <w:spacing w:line="360" w:lineRule="auto"/>
        <w:ind w:firstLine="420" w:firstLineChars="200"/>
        <w:contextualSpacing/>
        <w:jc w:val="left"/>
        <w:rPr>
          <w:rFonts w:cs="仿宋_GB2312" w:asciiTheme="minorEastAsia" w:hAnsiTheme="minorEastAsia"/>
          <w:sz w:val="21"/>
          <w:szCs w:val="21"/>
          <w:lang w:val="zh-CN"/>
        </w:rPr>
      </w:pPr>
      <w:r>
        <w:rPr>
          <w:rFonts w:hint="eastAsia" w:cs="仿宋_GB2312" w:asciiTheme="minorEastAsia" w:hAnsiTheme="minorEastAsia"/>
          <w:sz w:val="21"/>
          <w:szCs w:val="21"/>
          <w:lang w:val="zh-CN"/>
        </w:rPr>
        <w:t>注：符合性审查中所涉及到的证书及材料，均应在电子投标文件中提供原件扫描件（或图片）。</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2、</w:t>
      </w:r>
      <w:r>
        <w:rPr>
          <w:rFonts w:cs="仿宋_GB2312" w:asciiTheme="minorEastAsia" w:hAnsiTheme="minorEastAsia" w:eastAsiaTheme="minorEastAsia"/>
          <w:b/>
          <w:sz w:val="21"/>
          <w:szCs w:val="21"/>
          <w:lang w:val="zh-CN"/>
        </w:rPr>
        <w:t>要求投标人对投标文件有关事项作出澄清或者说明；</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对于投标文件中含义不明确、同类问题表述不一致或者有明显文字和计算错误的内容，评标委员会应当以书面形式要求投标人作出必要的澄清、说明或者补正。</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投标人的澄清、说明或者补正应当采用书面形式，并加盖公章，或者由法定代表人或其授权的代表签字。投标人的澄清、说明或者补正不得超出投标文件的范围或者改变投标文件的实质性内容。</w:t>
      </w:r>
    </w:p>
    <w:p>
      <w:pPr>
        <w:pStyle w:val="13"/>
        <w:spacing w:line="360" w:lineRule="auto"/>
        <w:ind w:firstLine="465"/>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3、</w:t>
      </w:r>
      <w:r>
        <w:rPr>
          <w:rFonts w:cs="仿宋_GB2312" w:asciiTheme="minorEastAsia" w:hAnsiTheme="minorEastAsia" w:eastAsiaTheme="minorEastAsia"/>
          <w:b/>
          <w:sz w:val="21"/>
          <w:szCs w:val="21"/>
          <w:lang w:val="zh-CN"/>
        </w:rPr>
        <w:t>对投标文件进行比较和评价；</w:t>
      </w:r>
    </w:p>
    <w:p>
      <w:pPr>
        <w:pStyle w:val="13"/>
        <w:spacing w:line="360" w:lineRule="auto"/>
        <w:ind w:firstLine="420" w:firstLineChars="200"/>
        <w:contextualSpacing/>
        <w:rPr>
          <w:rFonts w:cs="仿宋_GB2312" w:asciiTheme="minorEastAsia" w:hAnsiTheme="minorEastAsia"/>
          <w:sz w:val="21"/>
          <w:szCs w:val="21"/>
          <w:lang w:val="zh-CN"/>
        </w:rPr>
      </w:pPr>
      <w:r>
        <w:rPr>
          <w:rFonts w:hint="eastAsia" w:cs="仿宋_GB2312" w:asciiTheme="minorEastAsia" w:hAnsiTheme="minorEastAsia" w:eastAsiaTheme="minorEastAsia"/>
          <w:sz w:val="21"/>
          <w:szCs w:val="21"/>
          <w:lang w:val="zh-CN"/>
        </w:rPr>
        <w:t>评标委员会按照招标文件中规定的评标方法和标准，对符合性审查合格的投标文件进行商务和技术评估，综合比较与评价。评标时，评标委员会各成员应当独立对每个投标人的投标文件进行评价，并汇总每个投标人的得分。</w:t>
      </w:r>
      <w:r>
        <w:rPr>
          <w:rFonts w:hint="eastAsia" w:cs="仿宋_GB2312" w:asciiTheme="minorEastAsia" w:hAnsiTheme="minorEastAsia"/>
          <w:sz w:val="21"/>
          <w:szCs w:val="21"/>
          <w:lang w:val="zh-CN"/>
        </w:rPr>
        <w:t>评标过程中，不得去掉报价中的最高报价和最低报价。</w:t>
      </w:r>
    </w:p>
    <w:p>
      <w:pPr>
        <w:pStyle w:val="13"/>
        <w:spacing w:line="360" w:lineRule="auto"/>
        <w:ind w:firstLine="420" w:firstLineChars="200"/>
        <w:contextualSpacing/>
        <w:rPr>
          <w:rFonts w:cs="仿宋_GB2312" w:asciiTheme="minorEastAsia" w:hAnsiTheme="minorEastAsia"/>
          <w:sz w:val="21"/>
          <w:szCs w:val="21"/>
          <w:lang w:val="zh-CN"/>
        </w:rPr>
      </w:pPr>
      <w:r>
        <w:rPr>
          <w:rFonts w:hint="eastAsia" w:cs="仿宋_GB2312" w:asciiTheme="minorEastAsia" w:hAnsiTheme="minorEastAsia"/>
          <w:sz w:val="21"/>
          <w:szCs w:val="21"/>
          <w:lang w:val="zh-CN"/>
        </w:rPr>
        <w:t>注：评标标准中所涉及到的证书及材料，均应在电子投标文件中提供原件扫描件（或图片）。</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（1）价格分计算</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价格分采用低价优先法计算，即满足招标文件要求且投标价格最低的投标报价为评标基准价，其价格分为满分。因落实政府采购政策进行价格调整的，以调整后的价格计算评标基准价和投标报价。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投标人的投标价格给予6%的扣除，用扣除后的价格参与评审。如果本项目非专门面向中小企业采购且接受联合体投标，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投标应提供《中小企业声明函》，如为联合投标的，联合体各方需分别填写《中小企业声明函》。</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sz w:val="21"/>
          <w:szCs w:val="21"/>
        </w:rPr>
        <w:t>残疾人福利性单位属于小型、微型企业的，不重复享受政策。</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sz w:val="21"/>
          <w:szCs w:val="21"/>
        </w:rPr>
        <w:t>（2）强制采购节能产品和优先采购节能产品、优先采购环保产品</w:t>
      </w:r>
    </w:p>
    <w:p>
      <w:pPr>
        <w:pStyle w:val="13"/>
        <w:spacing w:line="360" w:lineRule="auto"/>
        <w:ind w:firstLine="465"/>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1）对《节能产品政府采购清单》所列的政府强制采购节能产品</w:t>
      </w:r>
      <w:r>
        <w:rPr>
          <w:rFonts w:hint="eastAsia" w:cs="仿宋_GB2312" w:asciiTheme="minorEastAsia" w:hAnsiTheme="minorEastAsia" w:eastAsiaTheme="minorEastAsia"/>
          <w:sz w:val="21"/>
          <w:szCs w:val="21"/>
        </w:rPr>
        <w:t>，</w:t>
      </w:r>
      <w:r>
        <w:rPr>
          <w:rFonts w:hint="eastAsia" w:cs="仿宋_GB2312" w:asciiTheme="minorEastAsia" w:hAnsiTheme="minorEastAsia" w:eastAsiaTheme="minorEastAsia"/>
          <w:sz w:val="21"/>
          <w:szCs w:val="21"/>
          <w:lang w:val="zh-CN"/>
        </w:rPr>
        <w:t>投标人投标文件中应提供最新一期《节能产品政府采购清单》中所投产品所在页并加盖投标人公章的原件扫描件（或图片），否则将承担其投标被视为非实质性响应投标的风险。采购人拟采购的产品属于政府强制采购节能产品范围，但本期节能清单中无对应细化分类或节能清单中的产品无法满足工作需要的，可在节能清单之外采购。</w:t>
      </w:r>
    </w:p>
    <w:p>
      <w:pPr>
        <w:pStyle w:val="13"/>
        <w:spacing w:line="360" w:lineRule="auto"/>
        <w:ind w:firstLine="465"/>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投标人所投其他产品若属于“节能产品政府采购清单”优先采购产品，</w:t>
      </w:r>
      <w:r>
        <w:rPr>
          <w:rFonts w:hint="eastAsia" w:cs="仿宋_GB2312" w:asciiTheme="minorEastAsia" w:hAnsiTheme="minorEastAsia"/>
          <w:sz w:val="21"/>
          <w:szCs w:val="21"/>
          <w:lang w:val="zh-CN"/>
        </w:rPr>
        <w:t>投标文件中须提供最新一期《节能产品政府采购清单》中产品所在页并加盖投标人公章的原件扫描件（或图片），评标委员会根据本项目评标标准予以判定并赋分。</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w:t>
      </w:r>
      <w:r>
        <w:rPr>
          <w:rFonts w:hint="eastAsia" w:cs="仿宋_GB2312" w:asciiTheme="minorEastAsia" w:hAnsiTheme="minorEastAsia"/>
          <w:sz w:val="21"/>
          <w:szCs w:val="21"/>
          <w:lang w:val="zh-CN"/>
        </w:rPr>
        <w:t>投标人所投产品若属于“环境标志产品政府采购清单”内产品，投标文件中须提供最新一期《环境标志产品政府采购清单》中产品所在页并加盖投标人公章的原件扫描件（或图片），</w:t>
      </w:r>
      <w:r>
        <w:rPr>
          <w:rFonts w:hint="eastAsia" w:cs="仿宋_GB2312" w:asciiTheme="minorEastAsia" w:hAnsiTheme="minorEastAsia" w:eastAsiaTheme="minorEastAsia"/>
          <w:sz w:val="21"/>
          <w:szCs w:val="21"/>
          <w:lang w:val="zh-CN"/>
        </w:rPr>
        <w:t>评标委员会根据本项目评标标准予以判定并赋分。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（3）</w:t>
      </w:r>
      <w:r>
        <w:rPr>
          <w:rFonts w:cs="仿宋_GB2312" w:asciiTheme="minorEastAsia" w:hAnsiTheme="minorEastAsia" w:eastAsiaTheme="minorEastAsia"/>
          <w:b/>
          <w:sz w:val="21"/>
          <w:szCs w:val="21"/>
          <w:lang w:val="zh-CN"/>
        </w:rPr>
        <w:t>关于相同品牌产品</w:t>
      </w:r>
    </w:p>
    <w:p>
      <w:pPr>
        <w:pStyle w:val="13"/>
        <w:spacing w:line="360" w:lineRule="auto"/>
        <w:ind w:firstLine="465"/>
        <w:contextualSpacing/>
        <w:jc w:val="left"/>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采用最低评标价法的，提供相同品牌产品的不同投标人参加同一合同项下投标的，以其中通过资格审查、符合性审查且报价最低的参加评标；报价相同的，由采购人或者采购人委托评标委员会</w:t>
      </w:r>
      <w:r>
        <w:rPr>
          <w:rFonts w:hint="eastAsia" w:cs="仿宋_GB2312" w:asciiTheme="minorEastAsia" w:hAnsiTheme="minorEastAsia" w:eastAsiaTheme="minorEastAsia"/>
          <w:sz w:val="21"/>
          <w:szCs w:val="21"/>
          <w:lang w:val="zh-CN"/>
        </w:rPr>
        <w:t>采取随机抽取</w:t>
      </w:r>
      <w:r>
        <w:rPr>
          <w:rFonts w:cs="仿宋_GB2312" w:asciiTheme="minorEastAsia" w:hAnsiTheme="minorEastAsia" w:eastAsiaTheme="minorEastAsia"/>
          <w:sz w:val="21"/>
          <w:szCs w:val="21"/>
          <w:lang w:val="zh-CN"/>
        </w:rPr>
        <w:t>方式确定一个参加评标的投标人，其他投标无效。</w:t>
      </w:r>
    </w:p>
    <w:p>
      <w:pPr>
        <w:pStyle w:val="13"/>
        <w:spacing w:line="360" w:lineRule="auto"/>
        <w:ind w:firstLine="465"/>
        <w:contextualSpacing/>
        <w:jc w:val="left"/>
        <w:rPr>
          <w:rFonts w:cs="仿宋_GB2312" w:asciiTheme="minorEastAsia" w:hAnsiTheme="minorEastAsia" w:eastAsiaTheme="minorEastAsia"/>
          <w:sz w:val="21"/>
          <w:szCs w:val="21"/>
          <w:lang w:val="zh-CN"/>
        </w:rPr>
      </w:pPr>
      <w:r>
        <w:rPr>
          <w:rFonts w:cs="仿宋_GB2312" w:asciiTheme="minorEastAsia" w:hAnsiTheme="minorEastAsia" w:eastAsiaTheme="minorEastAsia"/>
          <w:sz w:val="21"/>
          <w:szCs w:val="21"/>
          <w:lang w:val="zh-CN"/>
        </w:rPr>
        <w:t>采用综合评分法的，提供相同品牌产品</w:t>
      </w:r>
      <w:r>
        <w:rPr>
          <w:rFonts w:hint="eastAsia" w:cs="仿宋_GB2312" w:asciiTheme="minorEastAsia" w:hAnsiTheme="minorEastAsia" w:eastAsiaTheme="minorEastAsia"/>
          <w:sz w:val="21"/>
          <w:szCs w:val="21"/>
          <w:lang w:val="zh-CN"/>
        </w:rPr>
        <w:t>（</w:t>
      </w:r>
      <w:r>
        <w:rPr>
          <w:rFonts w:cs="仿宋_GB2312" w:asciiTheme="minorEastAsia" w:hAnsiTheme="minorEastAsia" w:eastAsiaTheme="minorEastAsia"/>
          <w:sz w:val="21"/>
          <w:szCs w:val="21"/>
          <w:lang w:val="zh-CN"/>
        </w:rPr>
        <w:t>非单一产品采购项目，多家投标人提供的核心产品品牌相同</w:t>
      </w:r>
      <w:r>
        <w:rPr>
          <w:rFonts w:hint="eastAsia" w:cs="仿宋_GB2312" w:asciiTheme="minorEastAsia" w:hAnsiTheme="minorEastAsia" w:eastAsiaTheme="minorEastAsia"/>
          <w:sz w:val="21"/>
          <w:szCs w:val="21"/>
          <w:lang w:val="zh-CN"/>
        </w:rPr>
        <w:t>）</w:t>
      </w:r>
      <w:r>
        <w:rPr>
          <w:rFonts w:cs="仿宋_GB2312" w:asciiTheme="minorEastAsia" w:hAnsiTheme="minorEastAsia" w:eastAsiaTheme="minorEastAsia"/>
          <w:sz w:val="21"/>
          <w:szCs w:val="21"/>
          <w:lang w:val="zh-CN"/>
        </w:rPr>
        <w:t>且通过资格审查、符合性审查的不同投标人参加同一合同项下投标的，按一家投标人计算，评审后得分最高的同品牌投标人作为中标候选人推荐；评审得分相同的，</w:t>
      </w:r>
      <w:r>
        <w:rPr>
          <w:rFonts w:hint="eastAsia" w:cs="仿宋_GB2312" w:asciiTheme="minorEastAsia" w:hAnsiTheme="minorEastAsia" w:eastAsiaTheme="minorEastAsia"/>
          <w:sz w:val="21"/>
          <w:szCs w:val="21"/>
          <w:lang w:val="zh-CN"/>
        </w:rPr>
        <w:t>由采购人或者采购人委托评标委员会</w:t>
      </w:r>
      <w:r>
        <w:rPr>
          <w:rFonts w:cs="仿宋_GB2312" w:asciiTheme="minorEastAsia" w:hAnsiTheme="minorEastAsia" w:eastAsiaTheme="minorEastAsia"/>
          <w:sz w:val="21"/>
          <w:szCs w:val="21"/>
          <w:lang w:val="zh-CN"/>
        </w:rPr>
        <w:t>采取随机抽取方式确定</w:t>
      </w:r>
      <w:r>
        <w:rPr>
          <w:rFonts w:hint="eastAsia" w:cs="仿宋_GB2312" w:asciiTheme="minorEastAsia" w:hAnsiTheme="minorEastAsia" w:eastAsiaTheme="minorEastAsia"/>
          <w:sz w:val="21"/>
          <w:szCs w:val="21"/>
          <w:lang w:val="zh-CN"/>
        </w:rPr>
        <w:t>一个投标人获得中标人推荐资格</w:t>
      </w:r>
      <w:r>
        <w:rPr>
          <w:rFonts w:cs="仿宋_GB2312" w:asciiTheme="minorEastAsia" w:hAnsiTheme="minorEastAsia" w:eastAsiaTheme="minorEastAsia"/>
          <w:sz w:val="21"/>
          <w:szCs w:val="21"/>
          <w:lang w:val="zh-CN"/>
        </w:rPr>
        <w:t>，其他同品牌投标人不作为中标候选人。</w:t>
      </w:r>
    </w:p>
    <w:p>
      <w:pPr>
        <w:pStyle w:val="13"/>
        <w:spacing w:line="360" w:lineRule="auto"/>
        <w:ind w:firstLine="465"/>
        <w:contextualSpacing/>
        <w:jc w:val="left"/>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（4）关于强制性产品认证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1）如投标人所投产品属于“中国强制性产品认证”（3C认证）范围内,则必须承诺采用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并在有效期内的产品，应在投标文件中提供“所投产品符合国家强制性要求承诺函”并加盖投标人公章，否则将承担其投标被视为非实质性响应投标的风险。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2)投标人所投产品如被列入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则投标文件中应根据本项目招标文件“第二章 项目需求”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）产品查询结果截图并加盖投标人公章或中国信息安全认证中心</w:t>
      </w:r>
      <w:r>
        <w:rPr>
          <w:rFonts w:hint="eastAsia" w:cs="仿宋_GB2312" w:asciiTheme="minorEastAsia" w:hAnsiTheme="minorEastAsia"/>
          <w:szCs w:val="21"/>
          <w:lang w:val="zh-CN"/>
        </w:rPr>
        <w:t>颁发的《中国国家信息安全产品认证证书》加盖投标人公章的原件扫描件（或图片）。</w:t>
      </w:r>
    </w:p>
    <w:p>
      <w:pPr>
        <w:tabs>
          <w:tab w:val="left" w:pos="1260"/>
        </w:tabs>
        <w:autoSpaceDE w:val="0"/>
        <w:autoSpaceDN w:val="0"/>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（5）投标无效情形</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1）投标人应当遵循公平竞争的原则，不得恶意串通，不得妨碍其他投标人的竞争行为，不得损害采购人或者其他投标人的合法权益。在评标过程中发现投标人有上述情形的，评标委员会应当认定其投标无效。</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2）符合性审查资料未按招标文件要求签署、盖章的；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3）有下列情形之一的，视为投标人串通投标，其投标无效：</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a.不同投标人的投标文件由同一单位或者个人编制；</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b.不同投标人委托同一单位或者个人办理投标事宜；</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c.不同投标人的投标文件载明的项目管理成员或者联系人员为同一人；</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d.不同投标人的投标文件异常一致或者投标报价呈规律性差异；</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e.不同投标人的投标文件相互混装；</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5）</w:t>
      </w:r>
      <w:r>
        <w:rPr>
          <w:rFonts w:cs="仿宋_GB2312" w:asciiTheme="minorEastAsia" w:hAnsiTheme="minorEastAsia"/>
          <w:szCs w:val="21"/>
          <w:lang w:val="zh-CN"/>
        </w:rPr>
        <w:t>法律、法规和招标文件规定的其他无效情形。</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（6）评标标准</w:t>
      </w:r>
    </w:p>
    <w:tbl>
      <w:tblPr>
        <w:tblStyle w:val="26"/>
        <w:tblW w:w="896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2"/>
        <w:gridCol w:w="6237"/>
        <w:gridCol w:w="9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0" w:hRule="atLeast"/>
          <w:jc w:val="center"/>
        </w:trPr>
        <w:tc>
          <w:tcPr>
            <w:tcW w:w="1762" w:type="dxa"/>
            <w:vAlign w:val="center"/>
          </w:tcPr>
          <w:p>
            <w:pPr>
              <w:spacing w:line="360" w:lineRule="auto"/>
              <w:jc w:val="center"/>
              <w:rPr>
                <w:rFonts w:ascii="宋体" w:hAnsi="宋体" w:eastAsia="宋体"/>
                <w:sz w:val="24"/>
                <w:szCs w:val="24"/>
              </w:rPr>
            </w:pPr>
            <w:r>
              <w:rPr>
                <w:rFonts w:hint="eastAsia" w:ascii="宋体" w:hAnsi="宋体" w:eastAsia="宋体"/>
                <w:sz w:val="24"/>
                <w:szCs w:val="24"/>
              </w:rPr>
              <w:t>分值构成</w:t>
            </w:r>
          </w:p>
          <w:p>
            <w:pPr>
              <w:spacing w:line="360" w:lineRule="auto"/>
              <w:jc w:val="center"/>
              <w:rPr>
                <w:rFonts w:ascii="宋体" w:hAnsi="宋体" w:eastAsia="宋体"/>
                <w:sz w:val="24"/>
                <w:szCs w:val="24"/>
              </w:rPr>
            </w:pPr>
            <w:r>
              <w:rPr>
                <w:rFonts w:hint="eastAsia" w:ascii="宋体" w:hAnsi="宋体" w:eastAsia="宋体"/>
                <w:sz w:val="24"/>
                <w:szCs w:val="24"/>
              </w:rPr>
              <w:t>(总分100分)</w:t>
            </w:r>
          </w:p>
        </w:tc>
        <w:tc>
          <w:tcPr>
            <w:tcW w:w="7204" w:type="dxa"/>
            <w:gridSpan w:val="2"/>
            <w:vAlign w:val="center"/>
          </w:tcPr>
          <w:p>
            <w:pPr>
              <w:spacing w:line="360" w:lineRule="auto"/>
              <w:ind w:firstLine="480" w:firstLineChars="200"/>
              <w:rPr>
                <w:rFonts w:ascii="宋体" w:hAnsi="宋体" w:eastAsia="宋体"/>
                <w:sz w:val="24"/>
                <w:szCs w:val="24"/>
              </w:rPr>
            </w:pPr>
            <w:r>
              <w:rPr>
                <w:rFonts w:hint="eastAsia" w:ascii="宋体" w:hAnsi="宋体" w:eastAsia="宋体"/>
                <w:sz w:val="24"/>
                <w:szCs w:val="24"/>
              </w:rPr>
              <w:t>价格分值：</w:t>
            </w:r>
            <w:r>
              <w:rPr>
                <w:rFonts w:hint="eastAsia" w:ascii="宋体" w:hAnsi="宋体" w:eastAsia="宋体"/>
                <w:sz w:val="24"/>
                <w:szCs w:val="24"/>
                <w:u w:val="single"/>
              </w:rPr>
              <w:t>30</w:t>
            </w:r>
            <w:r>
              <w:rPr>
                <w:rFonts w:hint="eastAsia" w:ascii="宋体" w:hAnsi="宋体" w:eastAsia="宋体"/>
                <w:sz w:val="24"/>
                <w:szCs w:val="24"/>
              </w:rPr>
              <w:t>分</w:t>
            </w:r>
          </w:p>
          <w:p>
            <w:pPr>
              <w:spacing w:line="360" w:lineRule="auto"/>
              <w:ind w:firstLine="480" w:firstLineChars="200"/>
              <w:rPr>
                <w:rFonts w:ascii="宋体" w:hAnsi="宋体" w:eastAsia="宋体"/>
                <w:sz w:val="24"/>
                <w:szCs w:val="24"/>
              </w:rPr>
            </w:pPr>
            <w:r>
              <w:rPr>
                <w:rFonts w:hint="eastAsia" w:ascii="宋体" w:hAnsi="宋体" w:eastAsia="宋体"/>
                <w:sz w:val="24"/>
                <w:szCs w:val="24"/>
              </w:rPr>
              <w:t>商务部分：35分</w:t>
            </w:r>
          </w:p>
          <w:p>
            <w:pPr>
              <w:spacing w:line="360" w:lineRule="auto"/>
              <w:ind w:firstLine="480" w:firstLineChars="200"/>
              <w:rPr>
                <w:rFonts w:ascii="宋体" w:hAnsi="宋体" w:eastAsia="宋体"/>
                <w:sz w:val="24"/>
                <w:szCs w:val="24"/>
              </w:rPr>
            </w:pPr>
            <w:r>
              <w:rPr>
                <w:rFonts w:hint="eastAsia" w:ascii="宋体" w:hAnsi="宋体" w:eastAsia="宋体"/>
                <w:sz w:val="24"/>
                <w:szCs w:val="24"/>
              </w:rPr>
              <w:t>技术部分：</w:t>
            </w:r>
            <w:r>
              <w:rPr>
                <w:rFonts w:hint="eastAsia" w:ascii="宋体" w:hAnsi="宋体" w:eastAsia="宋体"/>
                <w:sz w:val="24"/>
                <w:szCs w:val="24"/>
                <w:u w:val="single"/>
              </w:rPr>
              <w:t>35</w:t>
            </w:r>
            <w:r>
              <w:rPr>
                <w:rFonts w:hint="eastAsia" w:ascii="宋体" w:hAnsi="宋体" w:eastAsia="宋体"/>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966" w:type="dxa"/>
            <w:gridSpan w:val="3"/>
            <w:tcBorders>
              <w:bottom w:val="single" w:color="auto" w:sz="4" w:space="0"/>
            </w:tcBorders>
            <w:vAlign w:val="center"/>
          </w:tcPr>
          <w:p>
            <w:pPr>
              <w:jc w:val="center"/>
              <w:rPr>
                <w:rFonts w:ascii="宋体" w:hAnsi="宋体" w:eastAsia="宋体"/>
                <w:b/>
                <w:sz w:val="24"/>
                <w:szCs w:val="24"/>
              </w:rPr>
            </w:pPr>
            <w:r>
              <w:rPr>
                <w:rFonts w:hint="eastAsia" w:ascii="宋体" w:hAnsi="宋体" w:eastAsia="宋体"/>
                <w:b/>
                <w:bCs/>
                <w:sz w:val="24"/>
                <w:szCs w:val="24"/>
              </w:rPr>
              <w:t>价格部分（满分30分）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762" w:type="dxa"/>
            <w:tcBorders>
              <w:top w:val="single" w:color="auto" w:sz="4" w:space="0"/>
            </w:tcBorders>
            <w:vAlign w:val="center"/>
          </w:tcPr>
          <w:p>
            <w:pPr>
              <w:jc w:val="center"/>
              <w:rPr>
                <w:rFonts w:ascii="宋体" w:hAnsi="宋体" w:eastAsia="宋体"/>
                <w:b/>
                <w:sz w:val="24"/>
                <w:szCs w:val="24"/>
              </w:rPr>
            </w:pPr>
            <w:r>
              <w:rPr>
                <w:rFonts w:hint="eastAsia" w:ascii="宋体" w:hAnsi="宋体" w:eastAsia="宋体"/>
                <w:b/>
                <w:sz w:val="24"/>
                <w:szCs w:val="24"/>
              </w:rPr>
              <w:t>评分因素</w:t>
            </w:r>
          </w:p>
        </w:tc>
        <w:tc>
          <w:tcPr>
            <w:tcW w:w="6237" w:type="dxa"/>
            <w:tcBorders>
              <w:top w:val="single" w:color="auto" w:sz="4" w:space="0"/>
            </w:tcBorders>
            <w:vAlign w:val="center"/>
          </w:tcPr>
          <w:p>
            <w:pPr>
              <w:jc w:val="center"/>
              <w:rPr>
                <w:rFonts w:ascii="宋体" w:hAnsi="宋体" w:eastAsia="宋体"/>
                <w:b/>
                <w:sz w:val="24"/>
                <w:szCs w:val="24"/>
              </w:rPr>
            </w:pPr>
            <w:r>
              <w:rPr>
                <w:rFonts w:hint="eastAsia" w:ascii="宋体" w:hAnsi="宋体" w:eastAsia="宋体"/>
                <w:b/>
                <w:sz w:val="24"/>
                <w:szCs w:val="24"/>
              </w:rPr>
              <w:t>评标标准</w:t>
            </w:r>
          </w:p>
        </w:tc>
        <w:tc>
          <w:tcPr>
            <w:tcW w:w="967" w:type="dxa"/>
            <w:tcBorders>
              <w:top w:val="single" w:color="auto" w:sz="4" w:space="0"/>
            </w:tcBorders>
            <w:vAlign w:val="center"/>
          </w:tcPr>
          <w:p>
            <w:pPr>
              <w:jc w:val="center"/>
              <w:rPr>
                <w:rFonts w:ascii="宋体" w:hAnsi="宋体" w:eastAsia="宋体"/>
                <w:b/>
                <w:sz w:val="24"/>
                <w:szCs w:val="24"/>
              </w:rPr>
            </w:pPr>
            <w:r>
              <w:rPr>
                <w:rFonts w:hint="eastAsia" w:ascii="宋体" w:hAnsi="宋体" w:eastAsia="宋体"/>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7" w:hRule="atLeast"/>
          <w:jc w:val="center"/>
        </w:trPr>
        <w:tc>
          <w:tcPr>
            <w:tcW w:w="1762" w:type="dxa"/>
            <w:tcBorders>
              <w:top w:val="single" w:color="auto" w:sz="4" w:space="0"/>
            </w:tcBorders>
            <w:vAlign w:val="center"/>
          </w:tcPr>
          <w:p>
            <w:pPr>
              <w:spacing w:line="360" w:lineRule="auto"/>
              <w:jc w:val="center"/>
              <w:rPr>
                <w:rFonts w:ascii="宋体" w:hAnsi="宋体" w:eastAsia="宋体"/>
                <w:sz w:val="24"/>
                <w:szCs w:val="24"/>
              </w:rPr>
            </w:pPr>
            <w:r>
              <w:rPr>
                <w:rFonts w:hint="eastAsia" w:ascii="宋体" w:hAnsi="宋体" w:eastAsia="宋体"/>
                <w:sz w:val="24"/>
                <w:szCs w:val="24"/>
              </w:rPr>
              <w:t>投标报价</w:t>
            </w:r>
          </w:p>
          <w:p>
            <w:pPr>
              <w:spacing w:line="360" w:lineRule="auto"/>
              <w:jc w:val="center"/>
              <w:rPr>
                <w:rFonts w:ascii="宋体" w:hAnsi="宋体" w:eastAsia="宋体"/>
                <w:sz w:val="24"/>
                <w:szCs w:val="24"/>
              </w:rPr>
            </w:pPr>
            <w:r>
              <w:rPr>
                <w:rFonts w:hint="eastAsia" w:ascii="宋体" w:hAnsi="宋体" w:eastAsia="宋体"/>
                <w:sz w:val="24"/>
                <w:szCs w:val="24"/>
              </w:rPr>
              <w:t>评分标准</w:t>
            </w:r>
          </w:p>
        </w:tc>
        <w:tc>
          <w:tcPr>
            <w:tcW w:w="6237" w:type="dxa"/>
            <w:tcBorders>
              <w:top w:val="single" w:color="auto" w:sz="4" w:space="0"/>
            </w:tcBorders>
            <w:vAlign w:val="center"/>
          </w:tcPr>
          <w:p>
            <w:pPr>
              <w:rPr>
                <w:rFonts w:ascii="宋体" w:hAnsi="宋体" w:eastAsia="宋体"/>
                <w:sz w:val="24"/>
                <w:szCs w:val="24"/>
              </w:rPr>
            </w:pPr>
            <w:r>
              <w:rPr>
                <w:rFonts w:hint="eastAsia" w:ascii="宋体" w:hAnsi="宋体" w:eastAsia="宋体"/>
                <w:sz w:val="24"/>
                <w:szCs w:val="24"/>
              </w:rPr>
              <w:t>评标基准价：满足招标文件要求的有效投标报价中，最低的投标报价为评标基准价。</w:t>
            </w:r>
          </w:p>
          <w:p>
            <w:pPr>
              <w:rPr>
                <w:rFonts w:ascii="宋体" w:hAnsi="宋体" w:eastAsia="宋体"/>
                <w:sz w:val="24"/>
                <w:szCs w:val="24"/>
              </w:rPr>
            </w:pPr>
            <w:r>
              <w:rPr>
                <w:rFonts w:hint="eastAsia" w:ascii="宋体" w:hAnsi="宋体" w:eastAsia="宋体"/>
                <w:sz w:val="24"/>
                <w:szCs w:val="24"/>
              </w:rPr>
              <w:t>投标报价得分=（评标基准价/投标报价）×30</w:t>
            </w:r>
          </w:p>
        </w:tc>
        <w:tc>
          <w:tcPr>
            <w:tcW w:w="967" w:type="dxa"/>
            <w:tcBorders>
              <w:top w:val="single" w:color="auto" w:sz="4" w:space="0"/>
            </w:tcBorders>
            <w:vAlign w:val="center"/>
          </w:tcPr>
          <w:p>
            <w:pPr>
              <w:jc w:val="center"/>
              <w:rPr>
                <w:rFonts w:ascii="宋体" w:hAnsi="宋体" w:eastAsia="宋体"/>
                <w:sz w:val="24"/>
                <w:szCs w:val="24"/>
              </w:rPr>
            </w:pPr>
            <w:r>
              <w:rPr>
                <w:rFonts w:hint="eastAsia" w:ascii="宋体" w:hAnsi="宋体" w:eastAsia="宋体"/>
                <w:sz w:val="24"/>
                <w:szCs w:val="24"/>
              </w:rPr>
              <w:t>30分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8966" w:type="dxa"/>
            <w:gridSpan w:val="3"/>
            <w:vAlign w:val="center"/>
          </w:tcPr>
          <w:p>
            <w:pPr>
              <w:jc w:val="center"/>
              <w:rPr>
                <w:rFonts w:ascii="宋体" w:hAnsi="宋体" w:eastAsia="宋体"/>
                <w:b/>
                <w:sz w:val="24"/>
                <w:szCs w:val="24"/>
              </w:rPr>
            </w:pPr>
            <w:r>
              <w:rPr>
                <w:rFonts w:hint="eastAsia" w:ascii="宋体" w:hAnsi="宋体" w:eastAsia="宋体"/>
                <w:b/>
                <w:sz w:val="24"/>
                <w:szCs w:val="24"/>
              </w:rPr>
              <w:t>商务部分（满分35分）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762" w:type="dxa"/>
            <w:tcBorders>
              <w:bottom w:val="single" w:color="auto" w:sz="4" w:space="0"/>
            </w:tcBorders>
            <w:vAlign w:val="center"/>
          </w:tcPr>
          <w:p>
            <w:pPr>
              <w:jc w:val="center"/>
              <w:rPr>
                <w:rFonts w:ascii="宋体" w:hAnsi="宋体" w:eastAsia="宋体"/>
                <w:b/>
                <w:sz w:val="24"/>
                <w:szCs w:val="24"/>
              </w:rPr>
            </w:pPr>
            <w:r>
              <w:rPr>
                <w:rFonts w:hint="eastAsia" w:ascii="宋体" w:hAnsi="宋体" w:eastAsia="宋体"/>
                <w:b/>
                <w:sz w:val="24"/>
                <w:szCs w:val="24"/>
              </w:rPr>
              <w:t>评分因素</w:t>
            </w:r>
          </w:p>
        </w:tc>
        <w:tc>
          <w:tcPr>
            <w:tcW w:w="6237" w:type="dxa"/>
            <w:vAlign w:val="center"/>
          </w:tcPr>
          <w:p>
            <w:pPr>
              <w:jc w:val="center"/>
              <w:rPr>
                <w:rFonts w:ascii="宋体" w:hAnsi="宋体" w:eastAsia="宋体"/>
                <w:b/>
                <w:sz w:val="24"/>
                <w:szCs w:val="24"/>
              </w:rPr>
            </w:pPr>
            <w:r>
              <w:rPr>
                <w:rFonts w:hint="eastAsia" w:ascii="宋体" w:hAnsi="宋体" w:eastAsia="宋体"/>
                <w:b/>
                <w:sz w:val="24"/>
                <w:szCs w:val="24"/>
              </w:rPr>
              <w:t>评标标准</w:t>
            </w:r>
          </w:p>
        </w:tc>
        <w:tc>
          <w:tcPr>
            <w:tcW w:w="967" w:type="dxa"/>
            <w:vAlign w:val="center"/>
          </w:tcPr>
          <w:p>
            <w:pPr>
              <w:jc w:val="center"/>
              <w:rPr>
                <w:rFonts w:ascii="宋体" w:hAnsi="宋体" w:eastAsia="宋体"/>
                <w:b/>
                <w:sz w:val="24"/>
                <w:szCs w:val="24"/>
              </w:rPr>
            </w:pPr>
            <w:r>
              <w:rPr>
                <w:rFonts w:hint="eastAsia" w:ascii="宋体" w:hAnsi="宋体" w:eastAsia="宋体"/>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5" w:hRule="atLeast"/>
          <w:jc w:val="center"/>
        </w:trPr>
        <w:tc>
          <w:tcPr>
            <w:tcW w:w="1762" w:type="dxa"/>
            <w:vAlign w:val="center"/>
          </w:tcPr>
          <w:p>
            <w:pPr>
              <w:spacing w:line="360" w:lineRule="auto"/>
              <w:jc w:val="center"/>
              <w:rPr>
                <w:rFonts w:ascii="宋体" w:hAnsi="宋体" w:eastAsia="宋体"/>
                <w:sz w:val="24"/>
                <w:szCs w:val="24"/>
              </w:rPr>
            </w:pPr>
            <w:r>
              <w:rPr>
                <w:rFonts w:hint="eastAsia" w:ascii="宋体" w:hAnsi="宋体" w:eastAsia="宋体"/>
                <w:sz w:val="24"/>
                <w:szCs w:val="24"/>
              </w:rPr>
              <w:t>企业综</w:t>
            </w:r>
          </w:p>
          <w:p>
            <w:pPr>
              <w:spacing w:line="360" w:lineRule="exact"/>
              <w:jc w:val="center"/>
              <w:rPr>
                <w:rFonts w:ascii="宋体" w:hAnsi="宋体" w:eastAsia="宋体"/>
                <w:sz w:val="24"/>
                <w:szCs w:val="24"/>
              </w:rPr>
            </w:pPr>
            <w:r>
              <w:rPr>
                <w:rFonts w:hint="eastAsia" w:ascii="宋体" w:hAnsi="宋体" w:eastAsia="宋体"/>
                <w:sz w:val="24"/>
                <w:szCs w:val="24"/>
              </w:rPr>
              <w:t>合实力</w:t>
            </w:r>
          </w:p>
        </w:tc>
        <w:tc>
          <w:tcPr>
            <w:tcW w:w="6237" w:type="dxa"/>
            <w:vAlign w:val="center"/>
          </w:tcPr>
          <w:p>
            <w:pPr>
              <w:spacing w:line="0" w:lineRule="atLeast"/>
              <w:jc w:val="left"/>
              <w:rPr>
                <w:rFonts w:ascii="宋体" w:hAnsi="宋体" w:eastAsia="宋体"/>
                <w:sz w:val="24"/>
                <w:szCs w:val="24"/>
              </w:rPr>
            </w:pPr>
            <w:r>
              <w:rPr>
                <w:rFonts w:hint="eastAsia" w:ascii="宋体" w:hAnsi="宋体" w:eastAsia="宋体"/>
                <w:sz w:val="24"/>
                <w:szCs w:val="24"/>
              </w:rPr>
              <w:t>获得国家级环保科学学会会员的得5分、环保产业学会会员的得5分，没有不得分。</w:t>
            </w:r>
          </w:p>
          <w:p>
            <w:pPr>
              <w:spacing w:line="0" w:lineRule="atLeast"/>
              <w:jc w:val="left"/>
              <w:rPr>
                <w:rFonts w:ascii="宋体" w:hAnsi="宋体" w:eastAsia="宋体"/>
                <w:sz w:val="24"/>
                <w:szCs w:val="24"/>
              </w:rPr>
            </w:pPr>
            <w:r>
              <w:rPr>
                <w:rFonts w:hint="eastAsia" w:ascii="宋体" w:hAnsi="宋体" w:eastAsia="宋体"/>
                <w:sz w:val="24"/>
                <w:szCs w:val="24"/>
              </w:rPr>
              <w:t>获得环保企业信用资质AAA级评价的得5分，没有不得分。</w:t>
            </w:r>
          </w:p>
          <w:p>
            <w:pPr>
              <w:spacing w:line="0" w:lineRule="atLeast"/>
              <w:jc w:val="left"/>
              <w:rPr>
                <w:rFonts w:ascii="宋体" w:hAnsi="宋体" w:eastAsia="宋体"/>
                <w:sz w:val="24"/>
                <w:szCs w:val="24"/>
              </w:rPr>
            </w:pPr>
            <w:r>
              <w:rPr>
                <w:rFonts w:hint="eastAsia" w:ascii="宋体" w:hAnsi="宋体" w:eastAsia="宋体"/>
                <w:sz w:val="24"/>
                <w:szCs w:val="24"/>
              </w:rPr>
              <w:t>获得AAA级资信等级证书的得5分，没有不得分。</w:t>
            </w:r>
          </w:p>
          <w:p>
            <w:pPr>
              <w:spacing w:line="0" w:lineRule="atLeast"/>
              <w:jc w:val="left"/>
              <w:rPr>
                <w:rFonts w:ascii="宋体" w:hAnsi="宋体" w:eastAsia="宋体"/>
                <w:sz w:val="24"/>
                <w:szCs w:val="24"/>
              </w:rPr>
            </w:pPr>
            <w:r>
              <w:rPr>
                <w:rFonts w:hint="eastAsia" w:ascii="宋体" w:hAnsi="宋体" w:eastAsia="宋体"/>
                <w:sz w:val="24"/>
                <w:szCs w:val="24"/>
              </w:rPr>
              <w:t>获得中国知名品牌的得5分，没有不得分。</w:t>
            </w:r>
          </w:p>
        </w:tc>
        <w:tc>
          <w:tcPr>
            <w:tcW w:w="967" w:type="dxa"/>
            <w:vAlign w:val="center"/>
          </w:tcPr>
          <w:p>
            <w:pPr>
              <w:jc w:val="center"/>
              <w:rPr>
                <w:rFonts w:ascii="宋体" w:hAnsi="宋体" w:eastAsia="宋体"/>
                <w:sz w:val="24"/>
                <w:szCs w:val="24"/>
              </w:rPr>
            </w:pPr>
            <w:r>
              <w:rPr>
                <w:rFonts w:hint="eastAsia" w:ascii="宋体" w:hAnsi="宋体" w:eastAsia="宋体"/>
                <w:sz w:val="24"/>
                <w:szCs w:val="24"/>
              </w:rPr>
              <w:t>25分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762" w:type="dxa"/>
            <w:vAlign w:val="center"/>
          </w:tcPr>
          <w:p>
            <w:pPr>
              <w:spacing w:line="360" w:lineRule="auto"/>
              <w:jc w:val="center"/>
              <w:rPr>
                <w:rFonts w:ascii="宋体" w:hAnsi="宋体" w:eastAsia="宋体"/>
                <w:sz w:val="24"/>
                <w:szCs w:val="24"/>
              </w:rPr>
            </w:pPr>
            <w:r>
              <w:rPr>
                <w:rFonts w:hint="eastAsia" w:ascii="宋体" w:hAnsi="宋体" w:eastAsia="宋体"/>
                <w:sz w:val="24"/>
                <w:szCs w:val="24"/>
              </w:rPr>
              <w:t>业绩</w:t>
            </w:r>
          </w:p>
        </w:tc>
        <w:tc>
          <w:tcPr>
            <w:tcW w:w="6237" w:type="dxa"/>
            <w:vAlign w:val="center"/>
          </w:tcPr>
          <w:p>
            <w:pPr>
              <w:jc w:val="left"/>
              <w:rPr>
                <w:rFonts w:ascii="宋体" w:hAnsi="宋体" w:eastAsia="宋体"/>
                <w:sz w:val="24"/>
                <w:szCs w:val="24"/>
              </w:rPr>
            </w:pPr>
            <w:r>
              <w:rPr>
                <w:rFonts w:hint="eastAsia" w:ascii="宋体" w:hAnsi="宋体" w:eastAsia="宋体"/>
                <w:sz w:val="24"/>
                <w:szCs w:val="24"/>
              </w:rPr>
              <w:t>2015年1月1日以来（以合同签订日期为准），每提供一份合同金额不少于本次招标金额的类似项目业绩得5分，满分5分。</w:t>
            </w:r>
          </w:p>
        </w:tc>
        <w:tc>
          <w:tcPr>
            <w:tcW w:w="967" w:type="dxa"/>
            <w:vAlign w:val="center"/>
          </w:tcPr>
          <w:p>
            <w:pPr>
              <w:jc w:val="center"/>
              <w:rPr>
                <w:rFonts w:ascii="宋体" w:hAnsi="宋体" w:eastAsia="宋体"/>
                <w:sz w:val="24"/>
                <w:szCs w:val="24"/>
              </w:rPr>
            </w:pPr>
            <w:r>
              <w:rPr>
                <w:rFonts w:hint="eastAsia" w:ascii="宋体" w:hAnsi="宋体" w:eastAsia="宋体"/>
                <w:sz w:val="24"/>
                <w:szCs w:val="24"/>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762" w:type="dxa"/>
            <w:vAlign w:val="center"/>
          </w:tcPr>
          <w:p>
            <w:pPr>
              <w:spacing w:line="360" w:lineRule="auto"/>
              <w:jc w:val="center"/>
              <w:rPr>
                <w:rFonts w:ascii="宋体" w:hAnsi="宋体" w:eastAsia="宋体"/>
                <w:sz w:val="24"/>
                <w:szCs w:val="24"/>
              </w:rPr>
            </w:pPr>
            <w:r>
              <w:rPr>
                <w:rFonts w:hint="eastAsia" w:ascii="宋体" w:hAnsi="宋体" w:eastAsia="宋体"/>
                <w:sz w:val="24"/>
                <w:szCs w:val="24"/>
              </w:rPr>
              <w:t>投标文件的规范程度</w:t>
            </w:r>
          </w:p>
        </w:tc>
        <w:tc>
          <w:tcPr>
            <w:tcW w:w="6237" w:type="dxa"/>
            <w:vAlign w:val="center"/>
          </w:tcPr>
          <w:p>
            <w:pPr>
              <w:jc w:val="left"/>
              <w:rPr>
                <w:rFonts w:ascii="宋体" w:hAnsi="宋体" w:eastAsia="宋体"/>
                <w:sz w:val="24"/>
                <w:szCs w:val="24"/>
              </w:rPr>
            </w:pPr>
            <w:r>
              <w:rPr>
                <w:rFonts w:hint="eastAsia" w:ascii="宋体" w:hAnsi="宋体" w:eastAsia="宋体"/>
                <w:sz w:val="24"/>
                <w:szCs w:val="24"/>
              </w:rPr>
              <w:t>1、投标文件的编制符合招标文件的规定，装订整齐规范的，得2分；不满足不得分。</w:t>
            </w:r>
          </w:p>
          <w:p>
            <w:pPr>
              <w:jc w:val="left"/>
              <w:rPr>
                <w:rFonts w:ascii="宋体" w:hAnsi="宋体" w:eastAsia="宋体"/>
                <w:sz w:val="24"/>
                <w:szCs w:val="24"/>
              </w:rPr>
            </w:pPr>
            <w:r>
              <w:rPr>
                <w:rFonts w:hint="eastAsia" w:ascii="宋体" w:hAnsi="宋体" w:eastAsia="宋体"/>
                <w:sz w:val="24"/>
                <w:szCs w:val="24"/>
              </w:rPr>
              <w:t>2、投标人编制投标文件逻辑严紧、描述规范、无文字错误的，得3分；不满足不得分。</w:t>
            </w:r>
          </w:p>
        </w:tc>
        <w:tc>
          <w:tcPr>
            <w:tcW w:w="967" w:type="dxa"/>
            <w:vAlign w:val="center"/>
          </w:tcPr>
          <w:p>
            <w:pPr>
              <w:jc w:val="center"/>
              <w:rPr>
                <w:rFonts w:ascii="宋体" w:hAnsi="宋体" w:eastAsia="宋体"/>
                <w:sz w:val="24"/>
                <w:szCs w:val="24"/>
              </w:rPr>
            </w:pPr>
            <w:r>
              <w:rPr>
                <w:rFonts w:hint="eastAsia" w:ascii="宋体" w:hAnsi="宋体" w:eastAsia="宋体"/>
                <w:sz w:val="24"/>
                <w:szCs w:val="24"/>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jc w:val="center"/>
        </w:trPr>
        <w:tc>
          <w:tcPr>
            <w:tcW w:w="8966" w:type="dxa"/>
            <w:gridSpan w:val="3"/>
            <w:vAlign w:val="center"/>
          </w:tcPr>
          <w:p>
            <w:pPr>
              <w:jc w:val="center"/>
              <w:rPr>
                <w:rFonts w:ascii="宋体" w:hAnsi="宋体" w:eastAsia="宋体"/>
                <w:b/>
                <w:sz w:val="24"/>
                <w:szCs w:val="24"/>
              </w:rPr>
            </w:pPr>
            <w:r>
              <w:rPr>
                <w:rFonts w:hint="eastAsia" w:ascii="宋体" w:hAnsi="宋体" w:eastAsia="宋体"/>
                <w:b/>
                <w:sz w:val="24"/>
                <w:szCs w:val="24"/>
              </w:rPr>
              <w:t>技术部分（满分35分）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762" w:type="dxa"/>
            <w:vAlign w:val="center"/>
          </w:tcPr>
          <w:p>
            <w:pPr>
              <w:jc w:val="center"/>
              <w:rPr>
                <w:rFonts w:ascii="宋体" w:hAnsi="宋体" w:eastAsia="宋体"/>
                <w:b/>
                <w:sz w:val="24"/>
                <w:szCs w:val="24"/>
              </w:rPr>
            </w:pPr>
            <w:r>
              <w:rPr>
                <w:rFonts w:hint="eastAsia" w:ascii="宋体" w:hAnsi="宋体" w:eastAsia="宋体"/>
                <w:b/>
                <w:sz w:val="24"/>
                <w:szCs w:val="24"/>
              </w:rPr>
              <w:t>评分因素</w:t>
            </w:r>
          </w:p>
        </w:tc>
        <w:tc>
          <w:tcPr>
            <w:tcW w:w="6237" w:type="dxa"/>
            <w:vAlign w:val="center"/>
          </w:tcPr>
          <w:p>
            <w:pPr>
              <w:jc w:val="center"/>
              <w:rPr>
                <w:rFonts w:ascii="宋体" w:hAnsi="宋体" w:eastAsia="宋体"/>
                <w:b/>
                <w:sz w:val="24"/>
                <w:szCs w:val="24"/>
              </w:rPr>
            </w:pPr>
            <w:r>
              <w:rPr>
                <w:rFonts w:hint="eastAsia" w:ascii="宋体" w:hAnsi="宋体" w:eastAsia="宋体"/>
                <w:b/>
                <w:sz w:val="24"/>
                <w:szCs w:val="24"/>
              </w:rPr>
              <w:t>评标标准</w:t>
            </w:r>
          </w:p>
        </w:tc>
        <w:tc>
          <w:tcPr>
            <w:tcW w:w="967" w:type="dxa"/>
            <w:vAlign w:val="center"/>
          </w:tcPr>
          <w:p>
            <w:pPr>
              <w:jc w:val="center"/>
              <w:rPr>
                <w:rFonts w:ascii="宋体" w:hAnsi="宋体" w:eastAsia="宋体"/>
                <w:b/>
                <w:sz w:val="24"/>
                <w:szCs w:val="24"/>
              </w:rPr>
            </w:pPr>
            <w:r>
              <w:rPr>
                <w:rFonts w:hint="eastAsia" w:ascii="宋体" w:hAnsi="宋体" w:eastAsia="宋体"/>
                <w:b/>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762" w:type="dxa"/>
            <w:vMerge w:val="restart"/>
            <w:vAlign w:val="center"/>
          </w:tcPr>
          <w:p>
            <w:pPr>
              <w:spacing w:line="360" w:lineRule="auto"/>
              <w:jc w:val="center"/>
              <w:rPr>
                <w:rFonts w:ascii="宋体" w:hAnsi="宋体" w:eastAsia="宋体"/>
                <w:sz w:val="24"/>
                <w:szCs w:val="24"/>
              </w:rPr>
            </w:pPr>
            <w:r>
              <w:rPr>
                <w:rFonts w:hint="eastAsia" w:ascii="宋体" w:hAnsi="宋体" w:eastAsia="宋体"/>
                <w:sz w:val="24"/>
                <w:szCs w:val="24"/>
              </w:rPr>
              <w:t>实施方案</w:t>
            </w:r>
          </w:p>
        </w:tc>
        <w:tc>
          <w:tcPr>
            <w:tcW w:w="6237" w:type="dxa"/>
            <w:vAlign w:val="center"/>
          </w:tcPr>
          <w:p>
            <w:pPr>
              <w:spacing w:line="360" w:lineRule="auto"/>
              <w:jc w:val="left"/>
              <w:rPr>
                <w:rFonts w:ascii="宋体" w:hAnsi="宋体" w:eastAsia="宋体"/>
                <w:sz w:val="24"/>
                <w:szCs w:val="24"/>
              </w:rPr>
            </w:pPr>
            <w:r>
              <w:rPr>
                <w:rFonts w:hint="eastAsia" w:ascii="宋体" w:hAnsi="宋体" w:eastAsia="宋体"/>
                <w:sz w:val="24"/>
                <w:szCs w:val="24"/>
              </w:rPr>
              <w:t>对项目整体有深刻认识，工作方案内容针对项目特点完整规范、具体可行和整体性。科学，方案合理15分；较好可行8分；一般4分；没有得0分。</w:t>
            </w:r>
          </w:p>
        </w:tc>
        <w:tc>
          <w:tcPr>
            <w:tcW w:w="967" w:type="dxa"/>
            <w:vAlign w:val="center"/>
          </w:tcPr>
          <w:p>
            <w:pPr>
              <w:spacing w:line="360" w:lineRule="auto"/>
              <w:jc w:val="center"/>
              <w:rPr>
                <w:rFonts w:ascii="宋体" w:hAnsi="宋体" w:eastAsia="宋体"/>
                <w:sz w:val="24"/>
                <w:szCs w:val="24"/>
              </w:rPr>
            </w:pPr>
            <w:r>
              <w:rPr>
                <w:rFonts w:hint="eastAsia" w:ascii="宋体" w:hAnsi="宋体" w:eastAsia="宋体"/>
                <w:sz w:val="24"/>
                <w:szCs w:val="24"/>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762" w:type="dxa"/>
            <w:vMerge w:val="continue"/>
            <w:vAlign w:val="center"/>
          </w:tcPr>
          <w:p>
            <w:pPr>
              <w:spacing w:line="360" w:lineRule="auto"/>
              <w:jc w:val="center"/>
              <w:rPr>
                <w:rFonts w:ascii="宋体" w:hAnsi="宋体" w:eastAsia="宋体"/>
                <w:sz w:val="24"/>
                <w:szCs w:val="24"/>
              </w:rPr>
            </w:pPr>
          </w:p>
        </w:tc>
        <w:tc>
          <w:tcPr>
            <w:tcW w:w="6237" w:type="dxa"/>
            <w:vAlign w:val="center"/>
          </w:tcPr>
          <w:p>
            <w:pPr>
              <w:spacing w:line="0" w:lineRule="atLeast"/>
              <w:jc w:val="left"/>
              <w:rPr>
                <w:rFonts w:ascii="宋体" w:hAnsi="宋体" w:eastAsia="宋体"/>
                <w:sz w:val="24"/>
                <w:szCs w:val="24"/>
              </w:rPr>
            </w:pPr>
            <w:r>
              <w:rPr>
                <w:rFonts w:hint="eastAsia" w:ascii="宋体" w:hAnsi="宋体" w:eastAsia="宋体"/>
                <w:sz w:val="24"/>
                <w:szCs w:val="24"/>
              </w:rPr>
              <w:t>根据投标人的人员、设备配备计划在0-10分综合打分。</w:t>
            </w:r>
          </w:p>
        </w:tc>
        <w:tc>
          <w:tcPr>
            <w:tcW w:w="967" w:type="dxa"/>
            <w:vAlign w:val="center"/>
          </w:tcPr>
          <w:p>
            <w:pPr>
              <w:spacing w:line="360" w:lineRule="auto"/>
              <w:jc w:val="center"/>
              <w:rPr>
                <w:rFonts w:ascii="宋体" w:hAnsi="宋体" w:eastAsia="宋体"/>
                <w:sz w:val="24"/>
                <w:szCs w:val="24"/>
              </w:rPr>
            </w:pPr>
            <w:r>
              <w:rPr>
                <w:rFonts w:hint="eastAsia" w:ascii="宋体" w:hAnsi="宋体" w:eastAsia="宋体"/>
                <w:sz w:val="24"/>
                <w:szCs w:val="24"/>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1762" w:type="dxa"/>
            <w:vAlign w:val="center"/>
          </w:tcPr>
          <w:p>
            <w:pPr>
              <w:spacing w:line="360" w:lineRule="auto"/>
              <w:jc w:val="center"/>
              <w:rPr>
                <w:rFonts w:ascii="宋体" w:hAnsi="宋体" w:eastAsia="宋体"/>
                <w:sz w:val="24"/>
                <w:szCs w:val="24"/>
              </w:rPr>
            </w:pPr>
            <w:r>
              <w:rPr>
                <w:rFonts w:hint="eastAsia" w:ascii="宋体" w:hAnsi="宋体" w:eastAsia="宋体"/>
                <w:sz w:val="24"/>
                <w:szCs w:val="24"/>
              </w:rPr>
              <w:t>售后服务承诺</w:t>
            </w:r>
          </w:p>
        </w:tc>
        <w:tc>
          <w:tcPr>
            <w:tcW w:w="6237" w:type="dxa"/>
            <w:vAlign w:val="center"/>
          </w:tcPr>
          <w:p>
            <w:pPr>
              <w:spacing w:line="0" w:lineRule="atLeast"/>
              <w:jc w:val="left"/>
              <w:rPr>
                <w:rFonts w:ascii="宋体" w:hAnsi="宋体" w:eastAsia="宋体"/>
                <w:sz w:val="24"/>
                <w:szCs w:val="24"/>
              </w:rPr>
            </w:pPr>
            <w:r>
              <w:rPr>
                <w:rFonts w:hint="eastAsia" w:ascii="宋体" w:hAnsi="宋体" w:eastAsia="宋体"/>
                <w:sz w:val="24"/>
                <w:szCs w:val="24"/>
              </w:rPr>
              <w:t>除满足本招标文件内所有实质性要求之外还有其他服务承诺的得10分，仅进行了简单概况的得5分，没有不得分。</w:t>
            </w:r>
          </w:p>
        </w:tc>
        <w:tc>
          <w:tcPr>
            <w:tcW w:w="967" w:type="dxa"/>
            <w:vAlign w:val="center"/>
          </w:tcPr>
          <w:p>
            <w:pPr>
              <w:spacing w:line="360" w:lineRule="auto"/>
              <w:jc w:val="center"/>
              <w:rPr>
                <w:rFonts w:ascii="宋体" w:hAnsi="宋体" w:eastAsia="宋体"/>
                <w:sz w:val="24"/>
                <w:szCs w:val="24"/>
              </w:rPr>
            </w:pPr>
            <w:r>
              <w:rPr>
                <w:rFonts w:hint="eastAsia" w:ascii="宋体" w:hAnsi="宋体" w:eastAsia="宋体"/>
                <w:sz w:val="24"/>
                <w:szCs w:val="24"/>
              </w:rPr>
              <w:t>10</w:t>
            </w:r>
          </w:p>
        </w:tc>
      </w:tr>
    </w:tbl>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其中：价格分计算（落实政府采购政策价格调整部分）</w:t>
      </w:r>
    </w:p>
    <w:tbl>
      <w:tblPr>
        <w:tblStyle w:val="26"/>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szCs w:val="21"/>
                <w:lang w:val="en-GB"/>
              </w:rPr>
            </w:pPr>
            <w:r>
              <w:rPr>
                <w:rFonts w:hint="eastAsia" w:ascii="宋体" w:hAnsi="宋体"/>
                <w:b/>
                <w:szCs w:val="21"/>
                <w:lang w:val="en-GB"/>
              </w:rPr>
              <w:t>序号</w:t>
            </w:r>
          </w:p>
        </w:tc>
        <w:tc>
          <w:tcPr>
            <w:tcW w:w="2823" w:type="dxa"/>
            <w:vAlign w:val="center"/>
          </w:tcPr>
          <w:p>
            <w:pPr>
              <w:jc w:val="center"/>
              <w:rPr>
                <w:rFonts w:ascii="宋体" w:hAnsi="宋体"/>
                <w:b/>
                <w:szCs w:val="21"/>
                <w:lang w:val="en-GB"/>
              </w:rPr>
            </w:pPr>
            <w:r>
              <w:rPr>
                <w:rFonts w:hint="eastAsia" w:ascii="宋体" w:hAnsi="宋体"/>
                <w:b/>
                <w:szCs w:val="21"/>
                <w:lang w:val="en-GB"/>
              </w:rPr>
              <w:t>情形</w:t>
            </w:r>
          </w:p>
        </w:tc>
        <w:tc>
          <w:tcPr>
            <w:tcW w:w="2552" w:type="dxa"/>
            <w:vAlign w:val="center"/>
          </w:tcPr>
          <w:p>
            <w:pPr>
              <w:jc w:val="center"/>
              <w:rPr>
                <w:rFonts w:ascii="宋体" w:hAnsi="宋体"/>
                <w:b/>
                <w:szCs w:val="21"/>
                <w:lang w:val="en-GB"/>
              </w:rPr>
            </w:pPr>
            <w:r>
              <w:rPr>
                <w:rFonts w:hint="eastAsia" w:ascii="宋体" w:hAnsi="宋体"/>
                <w:b/>
                <w:szCs w:val="21"/>
              </w:rPr>
              <w:t>价格扣除</w:t>
            </w:r>
            <w:r>
              <w:rPr>
                <w:rFonts w:hint="eastAsia" w:ascii="宋体" w:hAnsi="宋体"/>
                <w:b/>
                <w:szCs w:val="21"/>
                <w:lang w:val="en-GB"/>
              </w:rPr>
              <w:t>比例</w:t>
            </w:r>
          </w:p>
        </w:tc>
        <w:tc>
          <w:tcPr>
            <w:tcW w:w="2835" w:type="dxa"/>
            <w:vAlign w:val="center"/>
          </w:tcPr>
          <w:p>
            <w:pPr>
              <w:jc w:val="center"/>
              <w:rPr>
                <w:rFonts w:ascii="宋体" w:hAnsi="宋体"/>
                <w:b/>
                <w:szCs w:val="21"/>
                <w:lang w:val="en-GB"/>
              </w:rPr>
            </w:pPr>
            <w:r>
              <w:rPr>
                <w:rFonts w:hint="eastAsia" w:ascii="宋体" w:hAnsi="宋体"/>
                <w:b/>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szCs w:val="21"/>
                <w:lang w:val="en-GB"/>
              </w:rPr>
            </w:pPr>
            <w:r>
              <w:rPr>
                <w:rFonts w:hint="eastAsia" w:ascii="宋体" w:hAnsi="宋体"/>
                <w:b/>
                <w:szCs w:val="21"/>
                <w:lang w:val="en-GB"/>
              </w:rPr>
              <w:t>1</w:t>
            </w:r>
          </w:p>
        </w:tc>
        <w:tc>
          <w:tcPr>
            <w:tcW w:w="2823" w:type="dxa"/>
            <w:vAlign w:val="center"/>
          </w:tcPr>
          <w:p>
            <w:pPr>
              <w:jc w:val="center"/>
              <w:rPr>
                <w:rFonts w:ascii="宋体" w:hAnsi="宋体"/>
                <w:szCs w:val="21"/>
                <w:lang w:val="en-GB"/>
              </w:rPr>
            </w:pPr>
            <w:r>
              <w:rPr>
                <w:rFonts w:hint="eastAsia" w:ascii="宋体" w:hAnsi="宋体"/>
                <w:szCs w:val="21"/>
                <w:lang w:val="en-GB"/>
              </w:rPr>
              <w:t>非联合体投标人</w:t>
            </w:r>
          </w:p>
          <w:p>
            <w:pPr>
              <w:jc w:val="center"/>
              <w:rPr>
                <w:rFonts w:ascii="宋体" w:hAnsi="宋体"/>
                <w:b/>
                <w:szCs w:val="21"/>
                <w:lang w:val="en-GB"/>
              </w:rPr>
            </w:pPr>
            <w:r>
              <w:rPr>
                <w:rFonts w:hint="eastAsia" w:ascii="宋体" w:hAnsi="宋体"/>
                <w:szCs w:val="21"/>
                <w:lang w:val="en-GB"/>
              </w:rPr>
              <w:t>（投标人须为中小企业）</w:t>
            </w:r>
          </w:p>
        </w:tc>
        <w:tc>
          <w:tcPr>
            <w:tcW w:w="2552" w:type="dxa"/>
            <w:vAlign w:val="center"/>
          </w:tcPr>
          <w:p>
            <w:pPr>
              <w:jc w:val="center"/>
              <w:rPr>
                <w:rFonts w:ascii="宋体" w:hAnsi="宋体"/>
                <w:b/>
                <w:szCs w:val="21"/>
                <w:lang w:val="en-GB"/>
              </w:rPr>
            </w:pPr>
            <w:r>
              <w:rPr>
                <w:rFonts w:hint="eastAsia" w:ascii="宋体" w:hAnsi="宋体"/>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szCs w:val="21"/>
                <w:lang w:val="en-GB"/>
              </w:rPr>
            </w:pPr>
            <w:r>
              <w:rPr>
                <w:rFonts w:hint="eastAsia"/>
                <w:szCs w:val="21"/>
                <w:lang w:val="en-GB"/>
              </w:rPr>
              <w:t>评标价格＝投标报价—</w:t>
            </w:r>
            <w:r>
              <w:rPr>
                <w:rFonts w:hint="eastAsia"/>
                <w:szCs w:val="21"/>
              </w:rPr>
              <w:t>小型和微型企业产品的价格</w:t>
            </w:r>
            <w:r>
              <w:rPr>
                <w:rFonts w:hint="eastAsia" w:ascii="宋体" w:hAnsi="宋体"/>
                <w:szCs w:val="21"/>
                <w:lang w:val="en-GB"/>
              </w:rPr>
              <w:t>×</w:t>
            </w:r>
            <w:r>
              <w:rPr>
                <w:rFonts w:hint="eastAsia"/>
                <w:szCs w:val="21"/>
                <w:lang w:val="en-GB"/>
              </w:rPr>
              <w:t>6%</w:t>
            </w:r>
          </w:p>
          <w:p>
            <w:pPr>
              <w:jc w:val="center"/>
              <w:rPr>
                <w:rFonts w:ascii="宋体" w:hAnsi="宋体"/>
                <w:b/>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szCs w:val="21"/>
                <w:lang w:val="en-GB"/>
              </w:rPr>
            </w:pPr>
            <w:r>
              <w:rPr>
                <w:rFonts w:hint="eastAsia" w:ascii="宋体" w:hAnsi="宋体"/>
                <w:b/>
                <w:szCs w:val="21"/>
                <w:lang w:val="en-GB"/>
              </w:rPr>
              <w:t>2</w:t>
            </w:r>
          </w:p>
        </w:tc>
        <w:tc>
          <w:tcPr>
            <w:tcW w:w="2823" w:type="dxa"/>
            <w:vAlign w:val="center"/>
          </w:tcPr>
          <w:p>
            <w:pPr>
              <w:jc w:val="center"/>
              <w:rPr>
                <w:rFonts w:ascii="宋体" w:hAnsi="宋体"/>
                <w:b/>
                <w:szCs w:val="21"/>
              </w:rPr>
            </w:pPr>
            <w:r>
              <w:rPr>
                <w:rFonts w:hint="eastAsia" w:ascii="宋体" w:hAnsi="宋体"/>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szCs w:val="21"/>
                <w:lang w:val="en-GB"/>
              </w:rPr>
            </w:pPr>
            <w:r>
              <w:rPr>
                <w:rFonts w:hint="eastAsia" w:ascii="宋体" w:hAnsi="宋体"/>
                <w:b/>
                <w:szCs w:val="21"/>
                <w:lang w:val="en-GB"/>
              </w:rPr>
              <w:t>3</w:t>
            </w:r>
          </w:p>
        </w:tc>
        <w:tc>
          <w:tcPr>
            <w:tcW w:w="2823" w:type="dxa"/>
            <w:vAlign w:val="center"/>
          </w:tcPr>
          <w:p>
            <w:pPr>
              <w:jc w:val="center"/>
              <w:rPr>
                <w:rFonts w:ascii="宋体" w:hAnsi="宋体"/>
                <w:b/>
                <w:szCs w:val="21"/>
                <w:lang w:val="en-GB"/>
              </w:rPr>
            </w:pPr>
            <w:r>
              <w:rPr>
                <w:rFonts w:hint="eastAsia" w:ascii="宋体" w:hAnsi="宋体"/>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szCs w:val="21"/>
                <w:lang w:val="en-GB"/>
              </w:rPr>
            </w:pPr>
            <w:r>
              <w:rPr>
                <w:rFonts w:hint="eastAsia" w:ascii="宋体" w:hAnsi="宋体"/>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szCs w:val="21"/>
                <w:u w:val="single"/>
              </w:rPr>
            </w:pPr>
            <w:r>
              <w:rPr>
                <w:rFonts w:hint="eastAsia" w:ascii="宋体" w:hAnsi="宋体"/>
                <w:szCs w:val="21"/>
                <w:lang w:val="en-GB"/>
              </w:rPr>
              <w:t>评标价格＝投标报价×</w:t>
            </w:r>
            <w:r>
              <w:rPr>
                <w:rFonts w:hint="eastAsia" w:ascii="宋体" w:hAnsi="宋体"/>
                <w:szCs w:val="21"/>
              </w:rPr>
              <w:t>(1-</w:t>
            </w:r>
            <w:r>
              <w:rPr>
                <w:rFonts w:ascii="宋体" w:hAnsi="宋体"/>
                <w:szCs w:val="21"/>
                <w:u w:val="single"/>
              </w:rPr>
              <w:t>2</w:t>
            </w:r>
            <w:r>
              <w:rPr>
                <w:rFonts w:hint="eastAsia" w:ascii="宋体" w:hAnsi="宋体"/>
                <w:szCs w:val="21"/>
                <w:u w:val="single"/>
              </w:rPr>
              <w:t>%)</w:t>
            </w:r>
          </w:p>
          <w:p>
            <w:pPr>
              <w:jc w:val="center"/>
              <w:rPr>
                <w:rFonts w:ascii="宋体" w:hAnsi="宋体"/>
                <w:b/>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szCs w:val="21"/>
                <w:lang w:val="en-GB"/>
              </w:rPr>
            </w:pPr>
            <w:r>
              <w:rPr>
                <w:rFonts w:hint="eastAsia" w:ascii="宋体" w:hAnsi="宋体"/>
                <w:b/>
                <w:szCs w:val="21"/>
                <w:lang w:val="en-GB"/>
              </w:rPr>
              <w:t>4</w:t>
            </w:r>
          </w:p>
        </w:tc>
        <w:tc>
          <w:tcPr>
            <w:tcW w:w="2823" w:type="dxa"/>
            <w:vAlign w:val="center"/>
          </w:tcPr>
          <w:p>
            <w:pPr>
              <w:jc w:val="center"/>
              <w:rPr>
                <w:rFonts w:ascii="宋体" w:hAnsi="宋体"/>
                <w:szCs w:val="21"/>
                <w:lang w:val="en-GB"/>
              </w:rPr>
            </w:pPr>
            <w:r>
              <w:rPr>
                <w:rFonts w:hint="eastAsia" w:ascii="宋体" w:hAnsi="宋体"/>
                <w:szCs w:val="21"/>
                <w:lang w:val="en-GB"/>
              </w:rPr>
              <w:t>监狱企业</w:t>
            </w:r>
          </w:p>
        </w:tc>
        <w:tc>
          <w:tcPr>
            <w:tcW w:w="2552" w:type="dxa"/>
            <w:vAlign w:val="center"/>
          </w:tcPr>
          <w:p>
            <w:pPr>
              <w:jc w:val="center"/>
              <w:rPr>
                <w:rFonts w:ascii="宋体" w:hAnsi="宋体"/>
                <w:szCs w:val="21"/>
                <w:lang w:val="en-GB"/>
              </w:rPr>
            </w:pPr>
            <w:r>
              <w:rPr>
                <w:rFonts w:hint="eastAsia" w:ascii="宋体" w:hAnsi="宋体"/>
                <w:szCs w:val="21"/>
                <w:lang w:val="en-GB"/>
              </w:rPr>
              <w:t>视同小型、微型企业</w:t>
            </w:r>
          </w:p>
          <w:p>
            <w:pPr>
              <w:jc w:val="center"/>
              <w:rPr>
                <w:rFonts w:ascii="宋体" w:hAnsi="宋体"/>
                <w:szCs w:val="21"/>
                <w:lang w:val="en-GB"/>
              </w:rPr>
            </w:pPr>
            <w:r>
              <w:rPr>
                <w:rFonts w:hint="eastAsia" w:ascii="宋体" w:hAnsi="宋体"/>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szCs w:val="21"/>
                <w:lang w:val="en-GB"/>
              </w:rPr>
            </w:pPr>
            <w:r>
              <w:rPr>
                <w:rFonts w:hint="eastAsia"/>
                <w:szCs w:val="21"/>
                <w:lang w:val="en-GB"/>
              </w:rPr>
              <w:t>评标价格＝投标报价—</w:t>
            </w:r>
            <w:r>
              <w:rPr>
                <w:rFonts w:hint="eastAsia"/>
                <w:szCs w:val="21"/>
              </w:rPr>
              <w:t>监狱企业产品的价格</w:t>
            </w:r>
            <w:r>
              <w:rPr>
                <w:rFonts w:hint="eastAsia" w:ascii="宋体" w:hAnsi="宋体"/>
                <w:szCs w:val="21"/>
                <w:lang w:val="en-GB"/>
              </w:rPr>
              <w:t>×</w:t>
            </w:r>
            <w:r>
              <w:rPr>
                <w:rFonts w:hint="eastAsia"/>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szCs w:val="21"/>
                <w:lang w:val="en-GB"/>
              </w:rPr>
            </w:pPr>
            <w:r>
              <w:rPr>
                <w:rFonts w:hint="eastAsia" w:ascii="宋体" w:hAnsi="宋体"/>
                <w:b/>
                <w:szCs w:val="21"/>
                <w:lang w:val="en-GB"/>
              </w:rPr>
              <w:t>5</w:t>
            </w:r>
          </w:p>
        </w:tc>
        <w:tc>
          <w:tcPr>
            <w:tcW w:w="2823" w:type="dxa"/>
            <w:vAlign w:val="center"/>
          </w:tcPr>
          <w:p>
            <w:pPr>
              <w:jc w:val="center"/>
              <w:rPr>
                <w:rFonts w:ascii="宋体" w:hAnsi="宋体"/>
                <w:szCs w:val="21"/>
                <w:lang w:val="en-GB"/>
              </w:rPr>
            </w:pPr>
            <w:r>
              <w:rPr>
                <w:rFonts w:hint="eastAsia" w:ascii="宋体" w:hAnsi="宋体"/>
                <w:szCs w:val="21"/>
                <w:lang w:val="en-GB"/>
              </w:rPr>
              <w:t>残疾人福利性单位</w:t>
            </w:r>
          </w:p>
        </w:tc>
        <w:tc>
          <w:tcPr>
            <w:tcW w:w="2552" w:type="dxa"/>
            <w:vAlign w:val="center"/>
          </w:tcPr>
          <w:p>
            <w:pPr>
              <w:jc w:val="center"/>
              <w:rPr>
                <w:rFonts w:ascii="宋体" w:hAnsi="宋体"/>
                <w:szCs w:val="21"/>
                <w:lang w:val="en-GB"/>
              </w:rPr>
            </w:pPr>
            <w:r>
              <w:rPr>
                <w:rFonts w:hint="eastAsia" w:ascii="宋体" w:hAnsi="宋体"/>
                <w:szCs w:val="21"/>
                <w:lang w:val="en-GB"/>
              </w:rPr>
              <w:t>视同小型、微型企业</w:t>
            </w:r>
          </w:p>
          <w:p>
            <w:pPr>
              <w:jc w:val="center"/>
              <w:rPr>
                <w:rFonts w:ascii="宋体" w:hAnsi="宋体"/>
                <w:szCs w:val="21"/>
                <w:lang w:val="en-GB"/>
              </w:rPr>
            </w:pPr>
            <w:r>
              <w:rPr>
                <w:rFonts w:hint="eastAsia" w:ascii="宋体" w:hAnsi="宋体"/>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szCs w:val="21"/>
                <w:lang w:val="en-GB"/>
              </w:rPr>
            </w:pPr>
            <w:r>
              <w:rPr>
                <w:rFonts w:hint="eastAsia"/>
                <w:szCs w:val="21"/>
                <w:lang w:val="en-GB"/>
              </w:rPr>
              <w:t>评标价格＝投标报价—</w:t>
            </w:r>
            <w:r>
              <w:rPr>
                <w:rFonts w:hint="eastAsia"/>
                <w:szCs w:val="21"/>
              </w:rPr>
              <w:t>残疾人福利性单位产品的价格</w:t>
            </w:r>
            <w:r>
              <w:rPr>
                <w:rFonts w:hint="eastAsia" w:ascii="宋体" w:hAnsi="宋体"/>
                <w:szCs w:val="21"/>
                <w:lang w:val="en-GB"/>
              </w:rPr>
              <w:t>×</w:t>
            </w:r>
            <w:r>
              <w:rPr>
                <w:rFonts w:hint="eastAsia"/>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3"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投标文件提供《中小企业声明函》。监狱企业应当在投标文件中提供由省级以上监狱管理局、戒毒管理局(含新疆生产建设兵团)出具的属于监狱企业的证明文件。残疾人福利性单位应当在投标文件中提供《残疾人福利性单位声明函》。</w:t>
            </w:r>
          </w:p>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经评标委员会</w:t>
            </w:r>
            <w:r>
              <w:rPr>
                <w:rFonts w:hint="eastAsia" w:cs="仿宋_GB2312" w:asciiTheme="minorEastAsia" w:hAnsiTheme="minorEastAsia"/>
                <w:szCs w:val="21"/>
                <w:lang w:val="zh-CN"/>
              </w:rPr>
              <w:t>审查、评价</w:t>
            </w:r>
            <w:r>
              <w:rPr>
                <w:rFonts w:cs="仿宋_GB2312" w:asciiTheme="minorEastAsia" w:hAnsiTheme="minorEastAsia"/>
                <w:szCs w:val="21"/>
                <w:lang w:val="zh-CN"/>
              </w:rPr>
              <w:t>，</w:t>
            </w:r>
            <w:r>
              <w:rPr>
                <w:rFonts w:hint="eastAsia" w:cs="仿宋_GB2312" w:asciiTheme="minorEastAsia" w:hAnsiTheme="minorEastAsia"/>
                <w:szCs w:val="21"/>
                <w:lang w:val="zh-CN"/>
              </w:rPr>
              <w:t>投标文件符合</w:t>
            </w:r>
            <w:r>
              <w:rPr>
                <w:rFonts w:cs="仿宋_GB2312" w:asciiTheme="minorEastAsia" w:hAnsiTheme="minorEastAsia"/>
                <w:szCs w:val="21"/>
                <w:lang w:val="zh-CN"/>
              </w:rPr>
              <w:t>招标文件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评标价格的</w:t>
            </w:r>
            <w:r>
              <w:rPr>
                <w:rFonts w:cs="仿宋_GB2312" w:asciiTheme="minorEastAsia" w:hAnsiTheme="minorEastAsia"/>
                <w:szCs w:val="21"/>
                <w:lang w:val="zh-CN"/>
              </w:rPr>
              <w:t>最低价者定为评标基准价，其价格分为满分。其他投标人的价格分统一按下列公式</w:t>
            </w:r>
            <w:r>
              <w:rPr>
                <w:rFonts w:hint="eastAsia" w:cs="仿宋_GB2312" w:asciiTheme="minorEastAsia" w:hAnsiTheme="minorEastAsia"/>
                <w:szCs w:val="21"/>
                <w:lang w:val="zh-CN"/>
              </w:rPr>
              <w:t>计算</w:t>
            </w:r>
            <w:r>
              <w:rPr>
                <w:rFonts w:cs="仿宋_GB2312" w:asciiTheme="minorEastAsia" w:hAnsiTheme="minorEastAsia"/>
                <w:szCs w:val="21"/>
                <w:lang w:val="zh-CN"/>
              </w:rPr>
              <w:t>。即：</w:t>
            </w:r>
          </w:p>
          <w:p>
            <w:pPr>
              <w:widowControl/>
              <w:adjustRightInd w:val="0"/>
              <w:spacing w:line="360" w:lineRule="auto"/>
              <w:ind w:left="-88" w:leftChars="-42" w:firstLine="449" w:firstLineChars="214"/>
              <w:jc w:val="left"/>
              <w:rPr>
                <w:rFonts w:cs="仿宋_GB2312" w:asciiTheme="minorEastAsia" w:hAnsiTheme="minorEastAsia"/>
                <w:szCs w:val="21"/>
                <w:lang w:val="zh-CN"/>
              </w:rPr>
            </w:pPr>
            <w:r>
              <w:rPr>
                <w:rFonts w:cs="仿宋_GB2312" w:asciiTheme="minorEastAsia" w:hAnsiTheme="minorEastAsia"/>
                <w:szCs w:val="21"/>
                <w:lang w:val="zh-CN"/>
              </w:rPr>
              <w:t>评标基准价</w:t>
            </w:r>
            <w:r>
              <w:rPr>
                <w:rFonts w:hint="eastAsia" w:cs="仿宋_GB2312" w:asciiTheme="minorEastAsia" w:hAnsiTheme="minorEastAsia"/>
                <w:szCs w:val="21"/>
                <w:lang w:val="zh-CN"/>
              </w:rPr>
              <w:t>=评标价格的最低价</w:t>
            </w:r>
          </w:p>
          <w:p>
            <w:pPr>
              <w:adjustRightInd w:val="0"/>
              <w:spacing w:line="360" w:lineRule="auto"/>
              <w:ind w:left="-88" w:leftChars="-42" w:firstLine="449" w:firstLineChars="214"/>
              <w:jc w:val="left"/>
              <w:rPr>
                <w:rFonts w:cs="仿宋_GB2312" w:asciiTheme="minorEastAsia" w:hAnsiTheme="minorEastAsia"/>
                <w:szCs w:val="21"/>
                <w:lang w:val="zh-CN"/>
              </w:rPr>
            </w:pPr>
            <w:r>
              <w:rPr>
                <w:rFonts w:cs="仿宋_GB2312" w:asciiTheme="minorEastAsia" w:hAnsiTheme="minorEastAsia"/>
                <w:szCs w:val="21"/>
                <w:lang w:val="zh-CN"/>
              </w:rPr>
              <w:t>其他投标报价得分</w:t>
            </w:r>
            <w:r>
              <w:rPr>
                <w:rFonts w:hint="eastAsia" w:cs="仿宋_GB2312" w:asciiTheme="minorEastAsia" w:hAnsiTheme="minorEastAsia"/>
                <w:szCs w:val="21"/>
                <w:lang w:val="zh-CN"/>
              </w:rPr>
              <w:t>=（</w:t>
            </w:r>
            <w:r>
              <w:rPr>
                <w:rFonts w:cs="仿宋_GB2312" w:asciiTheme="minorEastAsia" w:hAnsiTheme="minorEastAsia"/>
                <w:szCs w:val="21"/>
                <w:lang w:val="zh-CN"/>
              </w:rPr>
              <w:t>评标基准价</w:t>
            </w:r>
            <w:r>
              <w:rPr>
                <w:rFonts w:hint="eastAsia" w:cs="仿宋_GB2312" w:asciiTheme="minorEastAsia" w:hAnsiTheme="minorEastAsia"/>
                <w:szCs w:val="21"/>
                <w:lang w:val="zh-CN"/>
              </w:rPr>
              <w:t>/评标价格）</w:t>
            </w:r>
            <w:r>
              <w:rPr>
                <w:rFonts w:cs="仿宋_GB2312" w:asciiTheme="minorEastAsia" w:hAnsiTheme="minorEastAsia"/>
                <w:szCs w:val="21"/>
                <w:lang w:val="zh-CN"/>
              </w:rPr>
              <w:t>×</w:t>
            </w:r>
            <w:r>
              <w:rPr>
                <w:rFonts w:hint="eastAsia" w:cs="仿宋_GB2312" w:asciiTheme="minorEastAsia" w:hAnsiTheme="minorEastAsia"/>
                <w:szCs w:val="21"/>
                <w:lang w:val="zh-CN"/>
              </w:rPr>
              <w:t>评标标准中价格分值</w:t>
            </w:r>
          </w:p>
        </w:tc>
      </w:tr>
    </w:tbl>
    <w:p>
      <w:pPr>
        <w:spacing w:line="360" w:lineRule="auto"/>
        <w:rPr>
          <w:rFonts w:ascii="宋体" w:hAnsi="宋体"/>
          <w:bCs/>
          <w:szCs w:val="21"/>
          <w:lang w:val="en-GB"/>
        </w:rPr>
      </w:pPr>
      <w:r>
        <w:rPr>
          <w:rFonts w:hint="eastAsia" w:ascii="宋体" w:hAnsi="宋体"/>
          <w:bCs/>
          <w:szCs w:val="21"/>
          <w:lang w:val="en-GB"/>
        </w:rPr>
        <w:t>备注：</w:t>
      </w:r>
    </w:p>
    <w:p>
      <w:pPr>
        <w:spacing w:line="360" w:lineRule="auto"/>
        <w:ind w:firstLine="420" w:firstLineChars="200"/>
        <w:rPr>
          <w:rFonts w:ascii="宋体" w:hAnsi="宋体"/>
          <w:bCs/>
          <w:szCs w:val="21"/>
          <w:lang w:val="en-GB"/>
        </w:rPr>
      </w:pPr>
      <w:r>
        <w:rPr>
          <w:rFonts w:hint="eastAsia" w:ascii="宋体" w:hAnsi="宋体"/>
          <w:bCs/>
          <w:szCs w:val="21"/>
          <w:lang w:val="en-GB"/>
        </w:rPr>
        <w:t>a、不接受联合体投标的项目，本表中第2项、第3项情形不适用。</w:t>
      </w:r>
    </w:p>
    <w:p>
      <w:pPr>
        <w:spacing w:line="360" w:lineRule="auto"/>
        <w:ind w:firstLine="420" w:firstLineChars="200"/>
        <w:rPr>
          <w:rFonts w:ascii="宋体" w:hAnsi="宋体"/>
          <w:bCs/>
          <w:szCs w:val="21"/>
          <w:lang w:val="en-GB"/>
        </w:rPr>
      </w:pPr>
      <w:r>
        <w:rPr>
          <w:rFonts w:hint="eastAsia" w:ascii="宋体" w:hAnsi="宋体"/>
          <w:bCs/>
          <w:szCs w:val="21"/>
          <w:lang w:val="en-GB"/>
        </w:rPr>
        <w:t>b、小型和微型企业产品包括货物及其提供的服务与工程。</w:t>
      </w:r>
    </w:p>
    <w:p>
      <w:pPr>
        <w:spacing w:line="360" w:lineRule="auto"/>
        <w:ind w:firstLine="420" w:firstLineChars="200"/>
        <w:rPr>
          <w:rFonts w:ascii="宋体" w:hAnsi="宋体"/>
          <w:bCs/>
          <w:szCs w:val="21"/>
          <w:lang w:val="en-GB"/>
        </w:rPr>
      </w:pPr>
      <w:r>
        <w:rPr>
          <w:rFonts w:hint="eastAsia" w:ascii="宋体" w:hAnsi="宋体"/>
          <w:bCs/>
          <w:szCs w:val="21"/>
          <w:lang w:val="en-GB"/>
        </w:rPr>
        <w:t>c、中小企业、残疾人福利性单位提供其他企业制造的货物的，则该货物的制造商也必须为上述企业，否则不能享受价格优惠。</w:t>
      </w:r>
    </w:p>
    <w:p>
      <w:pPr>
        <w:spacing w:line="360" w:lineRule="auto"/>
        <w:ind w:firstLine="420" w:firstLineChars="200"/>
        <w:rPr>
          <w:rFonts w:ascii="宋体" w:hAnsi="宋体"/>
          <w:bCs/>
          <w:szCs w:val="21"/>
          <w:lang w:val="en-GB"/>
        </w:rPr>
      </w:pPr>
      <w:r>
        <w:rPr>
          <w:rFonts w:hint="eastAsia" w:ascii="宋体" w:hAnsi="宋体"/>
          <w:bCs/>
          <w:szCs w:val="21"/>
          <w:lang w:val="en-GB"/>
        </w:rPr>
        <w:t>d、残疾人福利性单位属于小型、微型企业的，不重复享受政策。</w:t>
      </w:r>
    </w:p>
    <w:p>
      <w:pPr>
        <w:pStyle w:val="13"/>
        <w:spacing w:line="360" w:lineRule="auto"/>
        <w:ind w:firstLine="422"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b/>
          <w:sz w:val="21"/>
          <w:szCs w:val="21"/>
          <w:lang w:val="zh-CN"/>
        </w:rPr>
        <w:t>（7）</w:t>
      </w:r>
      <w:r>
        <w:rPr>
          <w:rFonts w:cs="仿宋_GB2312" w:asciiTheme="minorEastAsia" w:hAnsiTheme="minorEastAsia" w:eastAsiaTheme="minorEastAsia"/>
          <w:b/>
          <w:sz w:val="21"/>
          <w:szCs w:val="21"/>
          <w:lang w:val="zh-CN"/>
        </w:rPr>
        <w:t>评标结果汇总完成后，除下列情形外，任何人不得修改评标结果：</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1） </w:t>
      </w:r>
      <w:r>
        <w:rPr>
          <w:rFonts w:cs="仿宋_GB2312" w:asciiTheme="minorEastAsia" w:hAnsiTheme="minorEastAsia"/>
          <w:szCs w:val="21"/>
          <w:lang w:val="zh-CN"/>
        </w:rPr>
        <w:t>分值汇总计算错误的；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2） </w:t>
      </w:r>
      <w:r>
        <w:rPr>
          <w:rFonts w:cs="仿宋_GB2312" w:asciiTheme="minorEastAsia" w:hAnsiTheme="minorEastAsia"/>
          <w:szCs w:val="21"/>
          <w:lang w:val="zh-CN"/>
        </w:rPr>
        <w:t>分项评分超出评分标准范围的；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3） </w:t>
      </w:r>
      <w:r>
        <w:rPr>
          <w:rFonts w:cs="仿宋_GB2312" w:asciiTheme="minorEastAsia" w:hAnsiTheme="minorEastAsia"/>
          <w:szCs w:val="21"/>
          <w:lang w:val="zh-CN"/>
        </w:rPr>
        <w:t>评标委员会成员对客观评审因素评分不一致的；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 xml:space="preserve">4） </w:t>
      </w:r>
      <w:r>
        <w:rPr>
          <w:rFonts w:cs="仿宋_GB2312" w:asciiTheme="minorEastAsia" w:hAnsiTheme="minorEastAsia"/>
          <w:szCs w:val="21"/>
          <w:lang w:val="zh-CN"/>
        </w:rPr>
        <w:t>经评标委员会认定评分畸高、畸低的。</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评标报告签署前，经复核发现存在以上情形之一的，评标委员会应当当场修改评标结果，并在评标报告中记载；评标报告签署后，采购人或者采购代理机构发现存在以上情形之一的，应当组织原评标委员会进行重新评审，重新评审改变评标结果的，书面报告本级财政部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投标人对本条第一款情形提出质疑的，采购人或者采购代理机构可以组织原评标委员会进行重新评审，重新评审改变评标结果的，应当书面报告本级财政部门。</w:t>
      </w:r>
    </w:p>
    <w:p>
      <w:pPr>
        <w:tabs>
          <w:tab w:val="left" w:pos="1260"/>
        </w:tabs>
        <w:autoSpaceDE w:val="0"/>
        <w:autoSpaceDN w:val="0"/>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（8）</w:t>
      </w:r>
      <w:r>
        <w:rPr>
          <w:rFonts w:cs="仿宋_GB2312" w:asciiTheme="minorEastAsia" w:hAnsiTheme="minorEastAsia"/>
          <w:b/>
          <w:szCs w:val="21"/>
          <w:lang w:val="zh-CN"/>
        </w:rPr>
        <w:t>评标委员会</w:t>
      </w:r>
      <w:r>
        <w:rPr>
          <w:rFonts w:hint="eastAsia" w:cs="仿宋_GB2312" w:asciiTheme="minorEastAsia" w:hAnsiTheme="minorEastAsia"/>
          <w:b/>
          <w:szCs w:val="21"/>
          <w:lang w:val="zh-CN"/>
        </w:rPr>
        <w:t>争议处理</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cs="仿宋_GB2312" w:asciiTheme="minorEastAsia" w:hAnsiTheme="minorEastAsia"/>
          <w:szCs w:val="21"/>
          <w:lang w:val="zh-CN"/>
        </w:rPr>
        <w:t>评标委员会成员对需要共同认定的事项存在争议的，应当按照少数服从多数的原则作出结论。持不同意见的评标委员会成员应当在评标报告上签署不同意见及理由，否则视为同意评标报告。</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4、</w:t>
      </w:r>
      <w:r>
        <w:rPr>
          <w:rFonts w:cs="仿宋_GB2312" w:asciiTheme="minorEastAsia" w:hAnsiTheme="minorEastAsia"/>
          <w:b/>
          <w:szCs w:val="21"/>
          <w:lang w:val="zh-CN"/>
        </w:rPr>
        <w:t>确定中标候选人名单，以及根据采购人委托直接确定中标人</w:t>
      </w:r>
      <w:r>
        <w:rPr>
          <w:rFonts w:hint="eastAsia" w:cs="仿宋_GB2312" w:asciiTheme="minorEastAsia" w:hAnsiTheme="minorEastAsia"/>
          <w:b/>
          <w:szCs w:val="21"/>
          <w:lang w:val="zh-CN"/>
        </w:rPr>
        <w:t>。</w:t>
      </w: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spacing w:line="360" w:lineRule="auto"/>
        <w:ind w:firstLine="480" w:firstLineChars="200"/>
        <w:rPr>
          <w:rFonts w:ascii="宋体" w:hAnsi="宋体"/>
          <w:sz w:val="24"/>
        </w:rPr>
      </w:pPr>
      <w:r>
        <w:rPr>
          <w:rFonts w:hint="eastAsia" w:ascii="宋体" w:hAnsi="宋体"/>
          <w:sz w:val="24"/>
        </w:rPr>
        <w:t>1. 定义</w:t>
      </w:r>
    </w:p>
    <w:p>
      <w:pPr>
        <w:spacing w:line="360" w:lineRule="auto"/>
        <w:ind w:firstLine="480" w:firstLineChars="200"/>
        <w:rPr>
          <w:rFonts w:ascii="宋体" w:hAnsi="宋体"/>
          <w:sz w:val="24"/>
        </w:rPr>
      </w:pPr>
      <w:r>
        <w:rPr>
          <w:rFonts w:hint="eastAsia" w:ascii="宋体" w:hAnsi="宋体"/>
          <w:sz w:val="24"/>
        </w:rPr>
        <w:t>1.1“合同”系指甲方和乙方 （简称合同双方）已达成的协议，即由双方签订的合同格式中的文件，包括所有的附件和组成合同部分的所有其他文件。</w:t>
      </w:r>
    </w:p>
    <w:p>
      <w:pPr>
        <w:spacing w:line="360" w:lineRule="auto"/>
        <w:ind w:firstLine="480" w:firstLineChars="200"/>
        <w:rPr>
          <w:rFonts w:ascii="宋体" w:hAnsi="宋体"/>
          <w:sz w:val="24"/>
        </w:rPr>
      </w:pPr>
      <w:r>
        <w:rPr>
          <w:rFonts w:hint="eastAsia" w:ascii="宋体" w:hAnsi="宋体"/>
          <w:sz w:val="24"/>
        </w:rPr>
        <w:t xml:space="preserve">1.2“合同价格”系指根据合同规定，在乙方全面正确地履行合同义务时应支付给乙方的款项。 </w:t>
      </w:r>
    </w:p>
    <w:p>
      <w:pPr>
        <w:spacing w:line="360" w:lineRule="auto"/>
        <w:ind w:firstLine="480" w:firstLineChars="200"/>
        <w:rPr>
          <w:rFonts w:ascii="宋体" w:hAnsi="宋体"/>
          <w:sz w:val="24"/>
        </w:rPr>
      </w:pPr>
      <w:r>
        <w:rPr>
          <w:rFonts w:hint="eastAsia" w:ascii="宋体" w:hAnsi="宋体"/>
          <w:sz w:val="24"/>
        </w:rPr>
        <w:t>1.3“甲方”系指通过招标方式，接受合同服务的采购人</w:t>
      </w:r>
    </w:p>
    <w:p>
      <w:pPr>
        <w:spacing w:line="360" w:lineRule="auto"/>
        <w:ind w:firstLine="480" w:firstLineChars="200"/>
        <w:rPr>
          <w:rFonts w:ascii="宋体" w:hAnsi="宋体"/>
          <w:sz w:val="24"/>
        </w:rPr>
      </w:pPr>
      <w:r>
        <w:rPr>
          <w:rFonts w:hint="eastAsia" w:ascii="宋体" w:hAnsi="宋体"/>
          <w:sz w:val="24"/>
        </w:rPr>
        <w:t>1.4“乙方”系指中标后提供合同服务的</w:t>
      </w:r>
      <w:r>
        <w:rPr>
          <w:rFonts w:hint="eastAsia" w:ascii="宋体" w:hAnsi="宋体"/>
          <w:bCs/>
          <w:sz w:val="24"/>
        </w:rPr>
        <w:t>中标方</w:t>
      </w:r>
      <w:r>
        <w:rPr>
          <w:rFonts w:hint="eastAsia" w:ascii="宋体" w:hAnsi="宋体"/>
          <w:sz w:val="24"/>
        </w:rPr>
        <w:t>或供应商。</w:t>
      </w:r>
    </w:p>
    <w:p>
      <w:pPr>
        <w:spacing w:line="360" w:lineRule="auto"/>
        <w:ind w:firstLine="480" w:firstLineChars="200"/>
        <w:rPr>
          <w:rFonts w:ascii="宋体" w:hAnsi="宋体"/>
          <w:sz w:val="24"/>
        </w:rPr>
      </w:pPr>
      <w:r>
        <w:rPr>
          <w:rFonts w:hint="eastAsia" w:ascii="宋体" w:hAnsi="宋体"/>
          <w:sz w:val="24"/>
        </w:rPr>
        <w:t>2.适用范围</w:t>
      </w:r>
    </w:p>
    <w:p>
      <w:pPr>
        <w:spacing w:line="360" w:lineRule="auto"/>
        <w:ind w:firstLine="480" w:firstLineChars="200"/>
        <w:rPr>
          <w:rFonts w:ascii="宋体" w:hAnsi="宋体"/>
          <w:sz w:val="24"/>
        </w:rPr>
      </w:pPr>
      <w:r>
        <w:rPr>
          <w:rFonts w:hint="eastAsia" w:ascii="宋体" w:hAnsi="宋体"/>
          <w:sz w:val="24"/>
        </w:rPr>
        <w:t>本合同条款仅适用于本次招标活动。</w:t>
      </w:r>
    </w:p>
    <w:p>
      <w:pPr>
        <w:spacing w:line="360" w:lineRule="auto"/>
        <w:ind w:firstLine="480" w:firstLineChars="200"/>
        <w:rPr>
          <w:rFonts w:ascii="宋体" w:hAnsi="宋体"/>
          <w:sz w:val="24"/>
        </w:rPr>
      </w:pPr>
      <w:r>
        <w:rPr>
          <w:rFonts w:hint="eastAsia" w:ascii="宋体" w:hAnsi="宋体"/>
          <w:sz w:val="24"/>
        </w:rPr>
        <w:t>3.技术规格和标准</w:t>
      </w:r>
    </w:p>
    <w:p>
      <w:pPr>
        <w:pStyle w:val="15"/>
        <w:spacing w:line="360" w:lineRule="auto"/>
        <w:ind w:firstLine="480"/>
        <w:rPr>
          <w:rFonts w:ascii="宋体" w:hAnsi="宋体" w:eastAsia="宋体"/>
          <w:sz w:val="24"/>
        </w:rPr>
      </w:pPr>
      <w:r>
        <w:rPr>
          <w:rFonts w:hint="eastAsia" w:ascii="宋体" w:hAnsi="宋体" w:eastAsia="宋体"/>
          <w:sz w:val="24"/>
        </w:rPr>
        <w:t>本合同项下所提供服务的技术规格标准应与本招标文件技术规格规定的标准相一致。</w:t>
      </w:r>
    </w:p>
    <w:p>
      <w:pPr>
        <w:spacing w:line="360" w:lineRule="auto"/>
        <w:ind w:firstLine="480" w:firstLineChars="200"/>
        <w:rPr>
          <w:rFonts w:ascii="宋体" w:hAnsi="宋体"/>
          <w:sz w:val="24"/>
        </w:rPr>
      </w:pPr>
      <w:r>
        <w:rPr>
          <w:rFonts w:hint="eastAsia" w:ascii="宋体" w:hAnsi="宋体"/>
          <w:sz w:val="24"/>
        </w:rPr>
        <w:t>4.合同期限</w:t>
      </w:r>
    </w:p>
    <w:p>
      <w:pPr>
        <w:spacing w:line="360" w:lineRule="auto"/>
        <w:ind w:firstLine="480" w:firstLineChars="200"/>
        <w:rPr>
          <w:rFonts w:ascii="宋体" w:hAnsi="宋体"/>
          <w:sz w:val="24"/>
        </w:rPr>
      </w:pPr>
      <w:r>
        <w:rPr>
          <w:rFonts w:hint="eastAsia" w:ascii="宋体" w:hAnsi="宋体"/>
          <w:sz w:val="24"/>
        </w:rPr>
        <w:t>即自</w:t>
      </w:r>
      <w:r>
        <w:rPr>
          <w:rFonts w:hint="eastAsia" w:ascii="宋体" w:hAnsi="宋体"/>
          <w:sz w:val="24"/>
        </w:rPr>
        <w:tab/>
      </w:r>
      <w:r>
        <w:rPr>
          <w:rFonts w:hint="eastAsia" w:ascii="宋体" w:hAnsi="宋体"/>
          <w:sz w:val="24"/>
        </w:rPr>
        <w:t>年</w:t>
      </w:r>
      <w:r>
        <w:rPr>
          <w:rFonts w:hint="eastAsia" w:ascii="宋体" w:hAnsi="宋体"/>
          <w:sz w:val="24"/>
        </w:rPr>
        <w:tab/>
      </w:r>
      <w:r>
        <w:rPr>
          <w:rFonts w:hint="eastAsia" w:ascii="宋体" w:hAnsi="宋体"/>
          <w:sz w:val="24"/>
        </w:rPr>
        <w:t>月</w:t>
      </w:r>
      <w:r>
        <w:rPr>
          <w:rFonts w:hint="eastAsia" w:ascii="宋体" w:hAnsi="宋体"/>
          <w:sz w:val="24"/>
        </w:rPr>
        <w:tab/>
      </w:r>
      <w:r>
        <w:rPr>
          <w:rFonts w:hint="eastAsia" w:ascii="宋体" w:hAnsi="宋体"/>
          <w:sz w:val="24"/>
        </w:rPr>
        <w:t>日起至</w:t>
      </w:r>
      <w:r>
        <w:rPr>
          <w:rFonts w:hint="eastAsia" w:ascii="宋体" w:hAnsi="宋体"/>
          <w:sz w:val="24"/>
        </w:rPr>
        <w:tab/>
      </w:r>
      <w:r>
        <w:rPr>
          <w:rFonts w:hint="eastAsia" w:ascii="宋体" w:hAnsi="宋体"/>
          <w:sz w:val="24"/>
        </w:rPr>
        <w:t>年</w:t>
      </w:r>
      <w:r>
        <w:rPr>
          <w:rFonts w:hint="eastAsia" w:ascii="宋体" w:hAnsi="宋体"/>
          <w:sz w:val="24"/>
        </w:rPr>
        <w:tab/>
      </w:r>
      <w:r>
        <w:rPr>
          <w:rFonts w:hint="eastAsia" w:ascii="宋体" w:hAnsi="宋体"/>
          <w:sz w:val="24"/>
        </w:rPr>
        <w:t>月</w:t>
      </w:r>
      <w:r>
        <w:rPr>
          <w:rFonts w:hint="eastAsia" w:ascii="宋体" w:hAnsi="宋体"/>
          <w:sz w:val="24"/>
        </w:rPr>
        <w:tab/>
      </w:r>
      <w:r>
        <w:rPr>
          <w:rFonts w:hint="eastAsia" w:ascii="宋体" w:hAnsi="宋体"/>
          <w:sz w:val="24"/>
        </w:rPr>
        <w:t>日止。</w:t>
      </w:r>
    </w:p>
    <w:p>
      <w:pPr>
        <w:spacing w:line="360" w:lineRule="auto"/>
        <w:ind w:firstLine="480" w:firstLineChars="200"/>
        <w:rPr>
          <w:rFonts w:ascii="宋体" w:hAnsi="宋体"/>
          <w:sz w:val="24"/>
        </w:rPr>
      </w:pPr>
      <w:r>
        <w:rPr>
          <w:rFonts w:hint="eastAsia" w:ascii="宋体" w:hAnsi="宋体"/>
          <w:sz w:val="24"/>
        </w:rPr>
        <w:t>5.价格</w:t>
      </w:r>
    </w:p>
    <w:p>
      <w:pPr>
        <w:spacing w:line="360" w:lineRule="auto"/>
        <w:ind w:firstLine="480" w:firstLineChars="200"/>
        <w:rPr>
          <w:rFonts w:ascii="宋体" w:hAnsi="宋体"/>
          <w:sz w:val="24"/>
        </w:rPr>
      </w:pPr>
      <w:r>
        <w:rPr>
          <w:rFonts w:hint="eastAsia" w:ascii="宋体" w:hAnsi="宋体"/>
          <w:sz w:val="24"/>
        </w:rPr>
        <w:t>除非合同中另有规定，乙方为其所提供货物设备和服务而要求甲方支付的金额应与其投标报价一致。</w:t>
      </w:r>
    </w:p>
    <w:p>
      <w:pPr>
        <w:spacing w:line="360" w:lineRule="auto"/>
        <w:ind w:firstLine="480" w:firstLineChars="200"/>
        <w:rPr>
          <w:rFonts w:ascii="宋体" w:hAnsi="宋体"/>
          <w:sz w:val="24"/>
        </w:rPr>
      </w:pPr>
      <w:r>
        <w:rPr>
          <w:rFonts w:hint="eastAsia" w:ascii="宋体" w:hAnsi="宋体"/>
          <w:sz w:val="24"/>
        </w:rPr>
        <w:t>6.索赔</w:t>
      </w:r>
    </w:p>
    <w:p>
      <w:pPr>
        <w:spacing w:line="360" w:lineRule="auto"/>
        <w:ind w:firstLine="480" w:firstLineChars="200"/>
        <w:rPr>
          <w:rFonts w:ascii="宋体" w:hAnsi="宋体"/>
          <w:sz w:val="24"/>
        </w:rPr>
      </w:pPr>
      <w:r>
        <w:rPr>
          <w:rFonts w:hint="eastAsia" w:ascii="宋体" w:hAnsi="宋体"/>
          <w:sz w:val="24"/>
        </w:rPr>
        <w:t>6.1乙方对所提供服务与合同要求不符负有责任，并且甲方已于合同规定的期限内提出索赔，乙方应按甲方同意的下述一种或多种方法解决索赔事宜。</w:t>
      </w:r>
    </w:p>
    <w:p>
      <w:pPr>
        <w:spacing w:line="360" w:lineRule="auto"/>
        <w:ind w:firstLine="480" w:firstLineChars="200"/>
        <w:rPr>
          <w:rFonts w:ascii="宋体" w:hAnsi="宋体"/>
          <w:sz w:val="24"/>
        </w:rPr>
      </w:pPr>
      <w:r>
        <w:rPr>
          <w:rFonts w:hint="eastAsia" w:ascii="宋体" w:hAnsi="宋体"/>
          <w:sz w:val="24"/>
        </w:rPr>
        <w:t>6.1.1乙方同意甲方取消其不符合要求的服务项目，退还已经收取的款项。</w:t>
      </w:r>
    </w:p>
    <w:p>
      <w:pPr>
        <w:spacing w:line="360" w:lineRule="auto"/>
        <w:ind w:firstLine="480" w:firstLineChars="200"/>
        <w:rPr>
          <w:rFonts w:ascii="宋体" w:hAnsi="宋体"/>
          <w:sz w:val="24"/>
        </w:rPr>
      </w:pPr>
      <w:r>
        <w:rPr>
          <w:rFonts w:hint="eastAsia" w:ascii="宋体" w:hAnsi="宋体"/>
          <w:sz w:val="24"/>
        </w:rPr>
        <w:t>6.1.2对于情节严重、造成甲方损失金额巨大的，同意甲方终止全部项目合同，并赔偿甲方因此造成的损失。</w:t>
      </w:r>
    </w:p>
    <w:p>
      <w:pPr>
        <w:spacing w:line="360" w:lineRule="auto"/>
        <w:ind w:firstLine="480" w:firstLineChars="200"/>
        <w:rPr>
          <w:rFonts w:ascii="宋体" w:hAnsi="宋体"/>
          <w:sz w:val="24"/>
        </w:rPr>
      </w:pPr>
      <w:r>
        <w:rPr>
          <w:rFonts w:hint="eastAsia" w:ascii="宋体" w:hAnsi="宋体"/>
          <w:sz w:val="24"/>
        </w:rPr>
        <w:t>6.2如果甲方提出索赔通知后 30天内乙方未能予以签复，该索赔应视为已被乙方接受。若乙方未能在甲方提出索赔通知的 30天内或甲方同意的更长一些的时间内，按甲方同意的上述任何一种方式处理索赔事宜，甲方将乙方提供的履约保证金中扣回索赔金额，同时保留进一步要求赔偿的权利。</w:t>
      </w:r>
    </w:p>
    <w:p>
      <w:pPr>
        <w:spacing w:line="360" w:lineRule="auto"/>
        <w:ind w:firstLine="480" w:firstLineChars="200"/>
        <w:rPr>
          <w:rFonts w:ascii="宋体" w:hAnsi="宋体"/>
          <w:sz w:val="24"/>
        </w:rPr>
      </w:pPr>
      <w:r>
        <w:rPr>
          <w:rFonts w:hint="eastAsia" w:ascii="宋体" w:hAnsi="宋体"/>
          <w:sz w:val="24"/>
        </w:rPr>
        <w:t>7.不可抗力</w:t>
      </w:r>
    </w:p>
    <w:p>
      <w:pPr>
        <w:spacing w:line="360" w:lineRule="auto"/>
        <w:ind w:firstLine="480" w:firstLineChars="200"/>
        <w:rPr>
          <w:rFonts w:ascii="宋体" w:hAnsi="宋体"/>
          <w:sz w:val="24"/>
        </w:rPr>
      </w:pPr>
      <w:r>
        <w:rPr>
          <w:rFonts w:hint="eastAsia" w:ascii="宋体" w:hAnsi="宋体"/>
          <w:sz w:val="24"/>
        </w:rPr>
        <w:t>7.1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pPr>
        <w:spacing w:line="360" w:lineRule="auto"/>
        <w:ind w:firstLine="480" w:firstLineChars="200"/>
        <w:rPr>
          <w:rFonts w:ascii="宋体" w:hAnsi="宋体"/>
          <w:sz w:val="24"/>
        </w:rPr>
      </w:pPr>
      <w:r>
        <w:rPr>
          <w:rFonts w:hint="eastAsia" w:ascii="宋体" w:hAnsi="宋体"/>
          <w:sz w:val="24"/>
        </w:rPr>
        <w:t>7.2受损一方应在不可抗力事故发生后尽快用电报、传真或电传通知对方，并于事故发生后 14天内将有关部门出具的证明文件用特快专递或挂号信寄给对方审阅确认。</w:t>
      </w:r>
      <w:r>
        <w:rPr>
          <w:rFonts w:hint="eastAsia" w:ascii="宋体" w:hAnsi="宋体"/>
          <w:sz w:val="24"/>
          <w:u w:val="single"/>
        </w:rPr>
        <w:t>一旦不可抗力事故的影响持续 60天以上</w:t>
      </w:r>
      <w:r>
        <w:rPr>
          <w:rFonts w:hint="eastAsia" w:ascii="宋体" w:hAnsi="宋体"/>
          <w:sz w:val="24"/>
        </w:rPr>
        <w:t>，双方应通过友好协商，在合理的时间内达成进一步履行合同的协议。</w:t>
      </w:r>
    </w:p>
    <w:p>
      <w:pPr>
        <w:spacing w:line="360" w:lineRule="auto"/>
        <w:ind w:firstLine="480" w:firstLineChars="200"/>
        <w:rPr>
          <w:rFonts w:ascii="宋体" w:hAnsi="宋体"/>
          <w:sz w:val="24"/>
        </w:rPr>
      </w:pPr>
      <w:r>
        <w:rPr>
          <w:rFonts w:hint="eastAsia" w:ascii="宋体" w:hAnsi="宋体"/>
          <w:sz w:val="24"/>
        </w:rPr>
        <w:t>8.履约保证金</w:t>
      </w:r>
    </w:p>
    <w:p>
      <w:pPr>
        <w:spacing w:line="360" w:lineRule="auto"/>
        <w:ind w:firstLine="480" w:firstLineChars="200"/>
        <w:rPr>
          <w:rFonts w:ascii="宋体" w:hAnsi="宋体"/>
          <w:sz w:val="24"/>
        </w:rPr>
      </w:pPr>
      <w:r>
        <w:rPr>
          <w:rFonts w:hint="eastAsia" w:ascii="宋体" w:hAnsi="宋体"/>
          <w:sz w:val="24"/>
        </w:rPr>
        <w:t>8.1履约保证金的有效期至供货完毕且验收合格。</w:t>
      </w:r>
    </w:p>
    <w:p>
      <w:pPr>
        <w:spacing w:line="360" w:lineRule="auto"/>
        <w:ind w:firstLine="480" w:firstLineChars="200"/>
        <w:rPr>
          <w:rFonts w:ascii="宋体" w:hAnsi="宋体"/>
          <w:sz w:val="24"/>
        </w:rPr>
      </w:pPr>
      <w:r>
        <w:rPr>
          <w:rFonts w:hint="eastAsia" w:ascii="宋体" w:hAnsi="宋体"/>
          <w:sz w:val="24"/>
        </w:rPr>
        <w:t>8.2乙方提供的履约保证金按规定格式以现金、转帐支票、电汇的形式提供，与此有关的费用由乙方负担。</w:t>
      </w:r>
    </w:p>
    <w:p>
      <w:pPr>
        <w:spacing w:line="360" w:lineRule="auto"/>
        <w:ind w:firstLine="480" w:firstLineChars="200"/>
        <w:rPr>
          <w:rFonts w:ascii="宋体" w:hAnsi="宋体"/>
          <w:sz w:val="24"/>
        </w:rPr>
      </w:pPr>
      <w:r>
        <w:rPr>
          <w:rFonts w:hint="eastAsia" w:ascii="宋体" w:hAnsi="宋体"/>
          <w:sz w:val="24"/>
        </w:rPr>
        <w:t>8.3如果乙方未能按合同规定履行其义务，甲方有权从履约保证金取得补偿。</w:t>
      </w:r>
    </w:p>
    <w:p>
      <w:pPr>
        <w:spacing w:line="360" w:lineRule="auto"/>
        <w:ind w:firstLine="480" w:firstLineChars="200"/>
        <w:rPr>
          <w:rFonts w:ascii="宋体" w:hAnsi="宋体"/>
          <w:sz w:val="24"/>
        </w:rPr>
      </w:pPr>
      <w:r>
        <w:rPr>
          <w:rFonts w:hint="eastAsia" w:ascii="宋体" w:hAnsi="宋体"/>
          <w:sz w:val="24"/>
        </w:rPr>
        <w:t>9.争议的解决</w:t>
      </w:r>
    </w:p>
    <w:p>
      <w:pPr>
        <w:spacing w:line="360" w:lineRule="auto"/>
        <w:ind w:firstLine="480" w:firstLineChars="200"/>
        <w:rPr>
          <w:rFonts w:ascii="宋体" w:hAnsi="宋体"/>
          <w:sz w:val="24"/>
        </w:rPr>
      </w:pPr>
      <w:r>
        <w:rPr>
          <w:rFonts w:hint="eastAsia" w:ascii="宋体" w:hAnsi="宋体"/>
          <w:sz w:val="24"/>
        </w:rPr>
        <w:t>9.1在执行合同中发生的与本合同有关的争端，双方应通过友好协商解决，经协商在 60天内不能达成协议时，应提交仲裁。</w:t>
      </w:r>
    </w:p>
    <w:p>
      <w:pPr>
        <w:spacing w:line="360" w:lineRule="auto"/>
        <w:ind w:firstLine="480" w:firstLineChars="200"/>
        <w:rPr>
          <w:rFonts w:ascii="宋体" w:hAnsi="宋体"/>
          <w:sz w:val="24"/>
        </w:rPr>
      </w:pPr>
      <w:r>
        <w:rPr>
          <w:rFonts w:hint="eastAsia" w:ascii="宋体" w:hAnsi="宋体"/>
          <w:sz w:val="24"/>
        </w:rPr>
        <w:t>9.</w:t>
      </w:r>
      <w:r>
        <w:rPr>
          <w:rFonts w:ascii="宋体" w:hAnsi="宋体"/>
          <w:sz w:val="24"/>
        </w:rPr>
        <w:t>2</w:t>
      </w:r>
      <w:r>
        <w:rPr>
          <w:rFonts w:hint="eastAsia" w:ascii="宋体" w:hAnsi="宋体"/>
          <w:sz w:val="24"/>
        </w:rPr>
        <w:t>合同双方均为国内法人的，其争端的仲裁应由合同发生地许昌市仲裁委员会根据其仲裁程序进行。</w:t>
      </w:r>
    </w:p>
    <w:p>
      <w:pPr>
        <w:spacing w:line="360" w:lineRule="auto"/>
        <w:ind w:firstLine="480" w:firstLineChars="200"/>
        <w:rPr>
          <w:rFonts w:ascii="宋体" w:hAnsi="宋体"/>
          <w:sz w:val="24"/>
        </w:rPr>
      </w:pPr>
      <w:r>
        <w:rPr>
          <w:rFonts w:hint="eastAsia" w:ascii="宋体" w:hAnsi="宋体"/>
          <w:sz w:val="24"/>
        </w:rPr>
        <w:t>9.3 仲裁裁决应为最终决定，并对双方具有约束力。</w:t>
      </w:r>
    </w:p>
    <w:p>
      <w:pPr>
        <w:spacing w:line="360" w:lineRule="auto"/>
        <w:ind w:firstLine="480" w:firstLineChars="200"/>
        <w:rPr>
          <w:rFonts w:ascii="宋体" w:hAnsi="宋体"/>
          <w:sz w:val="24"/>
        </w:rPr>
      </w:pPr>
      <w:r>
        <w:rPr>
          <w:rFonts w:hint="eastAsia" w:ascii="宋体" w:hAnsi="宋体"/>
          <w:sz w:val="24"/>
        </w:rPr>
        <w:t>9.4 除另有裁决外，仲裁费应由败诉方负担。</w:t>
      </w:r>
    </w:p>
    <w:p>
      <w:pPr>
        <w:spacing w:line="360" w:lineRule="auto"/>
        <w:ind w:firstLine="480" w:firstLineChars="200"/>
        <w:rPr>
          <w:rFonts w:ascii="宋体" w:hAnsi="宋体"/>
          <w:sz w:val="24"/>
        </w:rPr>
      </w:pPr>
      <w:r>
        <w:rPr>
          <w:rFonts w:hint="eastAsia" w:ascii="宋体" w:hAnsi="宋体"/>
          <w:sz w:val="24"/>
        </w:rPr>
        <w:t>9.5 在仲裁期间，除正在进行的仲裁部分外，合同其他部分继续执行。</w:t>
      </w:r>
    </w:p>
    <w:p>
      <w:pPr>
        <w:spacing w:line="360" w:lineRule="auto"/>
        <w:ind w:firstLine="480" w:firstLineChars="200"/>
        <w:rPr>
          <w:rFonts w:ascii="宋体" w:hAnsi="宋体"/>
          <w:sz w:val="24"/>
        </w:rPr>
      </w:pPr>
      <w:r>
        <w:rPr>
          <w:rFonts w:hint="eastAsia" w:ascii="宋体" w:hAnsi="宋体"/>
          <w:sz w:val="24"/>
        </w:rPr>
        <w:t>10.合同终止</w:t>
      </w:r>
    </w:p>
    <w:p>
      <w:pPr>
        <w:spacing w:line="360" w:lineRule="auto"/>
        <w:ind w:firstLine="480" w:firstLineChars="200"/>
        <w:rPr>
          <w:rFonts w:ascii="宋体" w:hAnsi="宋体"/>
          <w:sz w:val="24"/>
        </w:rPr>
      </w:pPr>
      <w:r>
        <w:rPr>
          <w:rFonts w:hint="eastAsia" w:ascii="宋体" w:hAnsi="宋体"/>
          <w:sz w:val="24"/>
        </w:rPr>
        <w:t>10.1本合同期限为年。合同到期甲乙双方均未提出新的意向，合同自行终止。合同期内任何一方不得擅自停止协议，否则应负担所造成的一切损失。如一方因故需终止合同，必须提前三个月书面通知另一方，经双方达成一致意见后，方可终止。</w:t>
      </w:r>
    </w:p>
    <w:p>
      <w:pPr>
        <w:spacing w:line="360" w:lineRule="auto"/>
        <w:ind w:firstLine="480" w:firstLineChars="200"/>
        <w:rPr>
          <w:rFonts w:ascii="宋体" w:hAnsi="宋体"/>
          <w:sz w:val="24"/>
        </w:rPr>
      </w:pPr>
      <w:r>
        <w:rPr>
          <w:rFonts w:hint="eastAsia" w:ascii="宋体" w:hAnsi="宋体"/>
          <w:sz w:val="24"/>
        </w:rPr>
        <w:t>10.2 出现下列情况时合同自动终止：</w:t>
      </w:r>
    </w:p>
    <w:p>
      <w:pPr>
        <w:spacing w:line="360" w:lineRule="auto"/>
        <w:ind w:firstLine="480" w:firstLineChars="200"/>
        <w:rPr>
          <w:rFonts w:ascii="宋体" w:hAnsi="宋体"/>
          <w:sz w:val="24"/>
        </w:rPr>
      </w:pPr>
      <w:r>
        <w:rPr>
          <w:rFonts w:hint="eastAsia" w:ascii="宋体" w:hAnsi="宋体"/>
          <w:sz w:val="24"/>
        </w:rPr>
        <w:t>10.2.1发生不可抗力时。</w:t>
      </w:r>
    </w:p>
    <w:p>
      <w:pPr>
        <w:spacing w:line="360" w:lineRule="auto"/>
        <w:ind w:firstLine="480" w:firstLineChars="200"/>
        <w:rPr>
          <w:rFonts w:ascii="宋体" w:hAnsi="宋体"/>
          <w:sz w:val="24"/>
        </w:rPr>
      </w:pPr>
      <w:r>
        <w:rPr>
          <w:rFonts w:hint="eastAsia" w:ascii="宋体" w:hAnsi="宋体"/>
          <w:sz w:val="24"/>
        </w:rPr>
        <w:t>10.2.2一方不履行合同条款，造成另一方无法执行合同协议，协商又不能求得解决，合同终止，责任方赔偿损失。</w:t>
      </w:r>
    </w:p>
    <w:p>
      <w:pPr>
        <w:spacing w:line="360" w:lineRule="auto"/>
        <w:ind w:firstLine="480" w:firstLineChars="200"/>
        <w:rPr>
          <w:rFonts w:ascii="宋体" w:hAnsi="宋体"/>
          <w:sz w:val="24"/>
        </w:rPr>
      </w:pPr>
      <w:r>
        <w:rPr>
          <w:rFonts w:hint="eastAsia" w:ascii="宋体" w:hAnsi="宋体"/>
          <w:sz w:val="24"/>
        </w:rPr>
        <w:t>11.合同修改</w:t>
      </w:r>
    </w:p>
    <w:p>
      <w:pPr>
        <w:spacing w:line="360" w:lineRule="auto"/>
        <w:ind w:firstLine="480" w:firstLineChars="200"/>
        <w:rPr>
          <w:rFonts w:ascii="宋体" w:hAnsi="宋体"/>
          <w:sz w:val="24"/>
        </w:rPr>
      </w:pPr>
      <w:r>
        <w:rPr>
          <w:rFonts w:hint="eastAsia" w:ascii="宋体" w:hAnsi="宋体"/>
          <w:sz w:val="24"/>
        </w:rPr>
        <w:t>对于合同的未尽事宜，需进行修改、补充和完善的，甲乙双方必须就所修改的内容签订书面的合同修改书，作为合同的补充协议。</w:t>
      </w:r>
    </w:p>
    <w:p>
      <w:pPr>
        <w:spacing w:line="360" w:lineRule="auto"/>
        <w:ind w:firstLine="480" w:firstLineChars="200"/>
        <w:rPr>
          <w:rFonts w:ascii="宋体" w:hAnsi="宋体"/>
          <w:sz w:val="24"/>
        </w:rPr>
      </w:pPr>
      <w:r>
        <w:rPr>
          <w:rFonts w:hint="eastAsia" w:ascii="宋体" w:hAnsi="宋体"/>
          <w:sz w:val="24"/>
        </w:rPr>
        <w:t>12.适用法律</w:t>
      </w:r>
    </w:p>
    <w:p>
      <w:pPr>
        <w:spacing w:line="360" w:lineRule="auto"/>
        <w:ind w:firstLine="480" w:firstLineChars="200"/>
        <w:rPr>
          <w:rFonts w:ascii="宋体" w:hAnsi="宋体"/>
          <w:sz w:val="24"/>
        </w:rPr>
      </w:pPr>
      <w:r>
        <w:rPr>
          <w:rFonts w:hint="eastAsia" w:ascii="宋体" w:hAnsi="宋体"/>
          <w:sz w:val="24"/>
        </w:rPr>
        <w:t>本合同应按中华人民共和国的法律解释。</w:t>
      </w:r>
    </w:p>
    <w:p>
      <w:pPr>
        <w:spacing w:line="360" w:lineRule="auto"/>
        <w:ind w:firstLine="480" w:firstLineChars="200"/>
        <w:rPr>
          <w:rFonts w:ascii="宋体" w:hAnsi="宋体"/>
          <w:sz w:val="24"/>
        </w:rPr>
      </w:pPr>
      <w:r>
        <w:rPr>
          <w:rFonts w:hint="eastAsia" w:ascii="宋体" w:hAnsi="宋体"/>
          <w:sz w:val="24"/>
        </w:rPr>
        <w:t>13.主导语言与计量单位</w:t>
      </w:r>
    </w:p>
    <w:p>
      <w:pPr>
        <w:spacing w:line="360" w:lineRule="auto"/>
        <w:ind w:firstLine="480" w:firstLineChars="200"/>
        <w:rPr>
          <w:rFonts w:ascii="宋体" w:hAnsi="宋体"/>
          <w:sz w:val="24"/>
        </w:rPr>
      </w:pPr>
      <w:r>
        <w:rPr>
          <w:rFonts w:hint="eastAsia" w:ascii="宋体" w:hAnsi="宋体"/>
          <w:sz w:val="24"/>
        </w:rPr>
        <w:t>13.1 合同书写应用中文书写。合同五份，甲乙双方及采购代理机构和许昌市政府采购管理办公室及相关业务科室（备案）各执一份，具有同等法律效力。</w:t>
      </w:r>
    </w:p>
    <w:p>
      <w:pPr>
        <w:spacing w:line="360" w:lineRule="auto"/>
        <w:ind w:firstLine="480" w:firstLineChars="200"/>
        <w:rPr>
          <w:rFonts w:ascii="宋体" w:hAnsi="宋体"/>
          <w:sz w:val="24"/>
        </w:rPr>
      </w:pPr>
      <w:r>
        <w:rPr>
          <w:rFonts w:hint="eastAsia" w:ascii="宋体" w:hAnsi="宋体"/>
          <w:sz w:val="24"/>
        </w:rPr>
        <w:t>13.2 除技术规格另有规定外，计量单位均使用中华人民共和国法定计量单位。</w:t>
      </w:r>
    </w:p>
    <w:p>
      <w:pPr>
        <w:spacing w:line="360" w:lineRule="auto"/>
        <w:ind w:firstLine="480" w:firstLineChars="200"/>
        <w:rPr>
          <w:rFonts w:ascii="宋体" w:hAnsi="宋体"/>
          <w:sz w:val="24"/>
        </w:rPr>
      </w:pPr>
      <w:r>
        <w:rPr>
          <w:rFonts w:hint="eastAsia" w:ascii="宋体" w:hAnsi="宋体"/>
          <w:sz w:val="24"/>
        </w:rPr>
        <w:t>14.合同生效</w:t>
      </w:r>
    </w:p>
    <w:p>
      <w:pPr>
        <w:pStyle w:val="13"/>
        <w:spacing w:line="360" w:lineRule="auto"/>
        <w:contextualSpacing/>
        <w:jc w:val="left"/>
        <w:rPr>
          <w:rFonts w:ascii="宋体" w:hAnsi="宋体" w:cs="宋体"/>
          <w:b/>
          <w:kern w:val="0"/>
          <w:sz w:val="21"/>
          <w:szCs w:val="21"/>
        </w:rPr>
      </w:pPr>
      <w:r>
        <w:rPr>
          <w:rFonts w:hint="eastAsia" w:ascii="宋体" w:hAnsi="宋体"/>
        </w:rPr>
        <w:t>除非合同中另有说明，本合同经双方签字盖章，并在招标人收到乙方的履约保证金后，即开始生效。</w:t>
      </w: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br w:type="page"/>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第八章 投标文件有关格式</w:t>
      </w:r>
    </w:p>
    <w:p>
      <w:pPr>
        <w:pStyle w:val="50"/>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bookmarkStart w:id="1" w:name="_Toc184023138"/>
      <w:bookmarkStart w:id="2" w:name="_Toc174185203"/>
      <w:bookmarkStart w:id="3" w:name="_Toc186274126"/>
      <w:r>
        <w:rPr>
          <w:rFonts w:hint="eastAsia" w:cs="黑体" w:asciiTheme="minorEastAsia" w:hAnsiTheme="minorEastAsia" w:eastAsiaTheme="minorEastAsia"/>
          <w:color w:val="auto"/>
          <w:kern w:val="2"/>
          <w:sz w:val="28"/>
          <w:szCs w:val="28"/>
          <w:lang w:val="zh-CN"/>
        </w:rPr>
        <w:t>一、投标人应答索引表</w:t>
      </w:r>
      <w:bookmarkEnd w:id="1"/>
      <w:bookmarkEnd w:id="2"/>
      <w:bookmarkEnd w:id="3"/>
    </w:p>
    <w:tbl>
      <w:tblPr>
        <w:tblStyle w:val="26"/>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投标人应答索引表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开标一览表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774" w:type="dxa"/>
            <w:vMerge w:val="restart"/>
            <w:tcBorders>
              <w:right w:val="single" w:color="auto" w:sz="6" w:space="0"/>
            </w:tcBorders>
            <w:vAlign w:val="center"/>
          </w:tcPr>
          <w:p>
            <w:pPr>
              <w:pStyle w:val="13"/>
              <w:kinsoku w:val="0"/>
              <w:overflowPunct w:val="0"/>
              <w:autoSpaceDE w:val="0"/>
              <w:autoSpaceDN w:val="0"/>
              <w:spacing w:line="320" w:lineRule="exact"/>
              <w:jc w:val="center"/>
              <w:rPr>
                <w:rFonts w:hAnsi="宋体" w:cs="微软雅黑"/>
                <w:bCs/>
                <w:kern w:val="0"/>
                <w:sz w:val="21"/>
                <w:szCs w:val="21"/>
              </w:rPr>
            </w:pPr>
            <w:r>
              <w:rPr>
                <w:rFonts w:hint="eastAsia" w:hAnsi="宋体"/>
                <w:kern w:val="0"/>
                <w:sz w:val="21"/>
                <w:szCs w:val="21"/>
              </w:rPr>
              <w:t>纳税证明</w:t>
            </w: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税务登记证</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纳税凭据复印件</w:t>
            </w:r>
          </w:p>
        </w:tc>
        <w:tc>
          <w:tcPr>
            <w:tcW w:w="1559" w:type="dxa"/>
            <w:vAlign w:val="center"/>
          </w:tcPr>
          <w:p>
            <w:pPr>
              <w:pStyle w:val="13"/>
              <w:rPr>
                <w:rFonts w:ascii="宋体" w:hAnsi="宋体" w:cs="微软雅黑"/>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证明或承诺函</w:t>
            </w:r>
          </w:p>
        </w:tc>
        <w:tc>
          <w:tcPr>
            <w:tcW w:w="709" w:type="dxa"/>
            <w:gridSpan w:val="2"/>
            <w:vMerge w:val="restart"/>
            <w:tcBorders>
              <w:left w:val="single" w:color="auto" w:sz="6"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19"/>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投标人相关承诺函或声明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投标人须具备的特殊资质证书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投标保证金缴纳回执</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15</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16</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autoSpaceDE w:val="0"/>
        <w:autoSpaceDN w:val="0"/>
        <w:adjustRightInd w:val="0"/>
        <w:spacing w:line="700" w:lineRule="exact"/>
        <w:ind w:firstLine="551"/>
        <w:jc w:val="center"/>
        <w:rPr>
          <w:rFonts w:cs="黑体" w:asciiTheme="minorEastAsia" w:hAnsiTheme="minorEastAsia"/>
          <w:b/>
          <w:bCs/>
          <w:sz w:val="44"/>
          <w:szCs w:val="44"/>
          <w:lang w:val="zh-CN"/>
        </w:rPr>
      </w:pP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二、开标一览表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156" w:afterLines="50" w:line="360" w:lineRule="auto"/>
        <w:contextualSpacing/>
        <w:jc w:val="left"/>
        <w:rPr>
          <w:rFonts w:asciiTheme="minorEastAsia" w:hAnsiTheme="minorEastAsia"/>
          <w:szCs w:val="21"/>
        </w:rPr>
      </w:pPr>
      <w:r>
        <w:rPr>
          <w:rFonts w:hint="eastAsia" w:asciiTheme="minorEastAsia" w:hAnsiTheme="minorEastAsia"/>
          <w:szCs w:val="21"/>
        </w:rPr>
        <w:t>项目编号：</w:t>
      </w:r>
    </w:p>
    <w:p>
      <w:pPr>
        <w:spacing w:line="360" w:lineRule="auto"/>
        <w:contextualSpacing/>
        <w:rPr>
          <w:rFonts w:asciiTheme="minorEastAsia" w:hAnsiTheme="minorEastAsia"/>
          <w:szCs w:val="21"/>
        </w:rPr>
      </w:pPr>
      <w:r>
        <w:rPr>
          <w:rFonts w:hint="eastAsia" w:asciiTheme="minorEastAsia" w:hAnsiTheme="minorEastAsia"/>
          <w:szCs w:val="21"/>
        </w:rPr>
        <w:t xml:space="preserve">项目名称：                                                      </w:t>
      </w:r>
      <w:r>
        <w:rPr>
          <w:rFonts w:hint="eastAsia" w:cs="Arial" w:asciiTheme="minorEastAsia" w:hAnsiTheme="minorEastAsia"/>
          <w:szCs w:val="21"/>
        </w:rPr>
        <w:t>单位：元（人民币）</w:t>
      </w:r>
    </w:p>
    <w:tbl>
      <w:tblPr>
        <w:tblStyle w:val="26"/>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 w:val="24"/>
                <w:szCs w:val="24"/>
                <w:lang w:val="zh-CN"/>
              </w:rPr>
              <w:t xml:space="preserve">服务期 </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投标人法定代表人（或授权代表）签字：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日期：年月日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注：交付日期指完成该项目的最终时间（日历天）。</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_（项目名称、招标编号）采购的招标公告及投标邀请，_______（姓名和职务）被正式授权并代表投标人（投标人名称、地址）提交。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我方确认收到贵方提供的（项目名称、招标编号）招标文件的全部内容。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招标文件的所有内容，包括澄清、修改文件（如果有）和所有已提供的参考资料以及有关附件，我方完全明白并认为此招标文件没有倾向性，也不存在排斥潜在投标供应商的内容，我方同意招标文件的相关条款和</w:t>
      </w:r>
      <w:r>
        <w:rPr>
          <w:rFonts w:hint="eastAsia" w:asciiTheme="minorEastAsia" w:hAnsiTheme="minorEastAsia" w:eastAsiaTheme="minorEastAsia"/>
          <w:sz w:val="21"/>
          <w:szCs w:val="21"/>
        </w:rPr>
        <w:t>已完全理解并接受招标文件的各项规定和要求及资金支付规定，对招标文件的合理性、合法性不再有异议。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i/>
          <w:snapToGrid w:val="0"/>
          <w:kern w:val="0"/>
          <w:szCs w:val="21"/>
          <w:u w:val="single"/>
        </w:rPr>
        <w:t xml:space="preserve">(投标人名称)     </w:t>
      </w:r>
      <w:r>
        <w:rPr>
          <w:rFonts w:hint="eastAsia" w:asciiTheme="minorEastAsia" w:hAnsiTheme="minorEastAsia"/>
          <w:snapToGrid w:val="0"/>
          <w:kern w:val="0"/>
          <w:szCs w:val="21"/>
        </w:rPr>
        <w:t>作为投标人正式授权</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代表我方全权处理有关本投标的一切事宜。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在此提交的投标文件，正本一份，副本二份。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我方已完全明白招标文件的所有条款要求，并申明如下：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一、按招标文件提供的全部货物与相关服务的投标总价详见《开标一览表》。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投标文件的有效期为投标截止时间起天。如中标，有效期将延至供货终止日为止。在此提交的资格证明文件均至投标截止日有效，如有在投标有效期内失效的，我方承诺在中标后补齐一切手续，保证所有资格证明文件能在签订采购合同时直至采购合同终止日有效。</w:t>
      </w:r>
    </w:p>
    <w:p>
      <w:pPr>
        <w:pStyle w:val="21"/>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三、我方明白并同意，在规定的开标日之后，投标有效期之内撤销投标的，则贵方将不予退还投标保证金。</w:t>
      </w:r>
    </w:p>
    <w:p>
      <w:pPr>
        <w:pStyle w:val="21"/>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四、我方同意按照贵方可能提出的要求而提供与投标有关的任何其它数据、信息或资料。</w:t>
      </w:r>
    </w:p>
    <w:p>
      <w:pPr>
        <w:pStyle w:val="21"/>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五、我方理解贵方不一定接受最低投标价或任何贵方可能收到的投标。</w:t>
      </w:r>
    </w:p>
    <w:p>
      <w:pPr>
        <w:pStyle w:val="21"/>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六、我方如果中标，将保证履行招标文件及其澄清、修改文件（如果有）中的全部责任和义务，按质、按量、按期完成《项目需求》及《合同书》中的全部任务。</w:t>
      </w:r>
    </w:p>
    <w:p>
      <w:pPr>
        <w:pStyle w:val="21"/>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八、我方投标报价已包含应向知识产权所有权人支付的所有相关税费，并保证采购人在中国使用我方提供的货物时，如有第三方提出侵犯其知识产权主张的，责任由我方承担。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以上内容如有虚假或与事实不符的，评审委员会可将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我方对在本函及投标文件中所作的所有承诺承担法律责任。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所有与本招标有关的一切正式往来请寄：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投标人代表姓名：.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投标人法定代表人（或法定代表人授权代表）签字或盖章：</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投标人名称（盖章）：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sz w:val="24"/>
          <w:szCs w:val="24"/>
        </w:rPr>
      </w:pPr>
      <w:r>
        <w:rPr>
          <w:rFonts w:hint="eastAsia" w:asciiTheme="majorEastAsia" w:hAnsiTheme="majorEastAsia" w:eastAsiaTheme="majorEastAsia"/>
          <w:b/>
          <w:bCs/>
          <w:sz w:val="24"/>
          <w:szCs w:val="24"/>
        </w:rPr>
        <w:t>3.2 法定代表人</w:t>
      </w:r>
      <w:r>
        <w:rPr>
          <w:rFonts w:asciiTheme="majorEastAsia" w:hAnsiTheme="majorEastAsia" w:eastAsiaTheme="majorEastAsia"/>
          <w:b/>
          <w:bCs/>
          <w:sz w:val="24"/>
          <w:szCs w:val="24"/>
        </w:rPr>
        <w:t>资</w:t>
      </w:r>
      <w:r>
        <w:rPr>
          <w:rFonts w:hint="eastAsia" w:asciiTheme="majorEastAsia" w:hAnsiTheme="majorEastAsia" w:eastAsiaTheme="majorEastAsia"/>
          <w:b/>
          <w:bCs/>
          <w:sz w:val="24"/>
          <w:szCs w:val="24"/>
        </w:rPr>
        <w:t>格</w:t>
      </w:r>
      <w:r>
        <w:rPr>
          <w:rFonts w:asciiTheme="majorEastAsia" w:hAnsiTheme="majorEastAsia" w:eastAsiaTheme="majorEastAsia"/>
          <w:b/>
          <w:bCs/>
          <w:sz w:val="24"/>
          <w:szCs w:val="24"/>
        </w:rPr>
        <w:t>证</w:t>
      </w:r>
      <w:r>
        <w:rPr>
          <w:rFonts w:hint="eastAsia" w:asciiTheme="majorEastAsia" w:hAnsiTheme="majorEastAsia" w:eastAsiaTheme="majorEastAsia"/>
          <w:b/>
          <w:bCs/>
          <w:sz w:val="24"/>
          <w:szCs w:val="24"/>
        </w:rPr>
        <w:t>明</w:t>
      </w:r>
      <w:r>
        <w:rPr>
          <w:rFonts w:asciiTheme="majorEastAsia" w:hAnsiTheme="majorEastAsia" w:eastAsiaTheme="majorEastAsia"/>
          <w:b/>
          <w:bCs/>
          <w:sz w:val="24"/>
          <w:szCs w:val="24"/>
        </w:rPr>
        <w:t>书</w:t>
      </w:r>
    </w:p>
    <w:p>
      <w:pPr>
        <w:autoSpaceDE w:val="0"/>
        <w:autoSpaceDN w:val="0"/>
        <w:adjustRightInd w:val="0"/>
        <w:spacing w:line="480" w:lineRule="auto"/>
        <w:ind w:firstLine="616" w:firstLineChars="257"/>
        <w:rPr>
          <w:rFonts w:ascii="宋体" w:hAnsi="宋体"/>
          <w:sz w:val="24"/>
          <w:szCs w:val="24"/>
        </w:rPr>
      </w:pPr>
    </w:p>
    <w:p>
      <w:pPr>
        <w:pStyle w:val="41"/>
        <w:spacing w:line="480" w:lineRule="auto"/>
        <w:ind w:firstLine="472" w:firstLineChars="225"/>
        <w:jc w:val="left"/>
        <w:rPr>
          <w:rFonts w:asciiTheme="minorEastAsia" w:hAnsiTheme="minorEastAsia"/>
          <w:sz w:val="21"/>
          <w:szCs w:val="21"/>
        </w:rPr>
      </w:pPr>
      <w:r>
        <w:rPr>
          <w:rFonts w:asciiTheme="minorEastAsia" w:hAnsiTheme="minorEastAsia"/>
          <w:sz w:val="21"/>
          <w:szCs w:val="21"/>
        </w:rPr>
        <w:t>单</w:t>
      </w:r>
      <w:r>
        <w:rPr>
          <w:rFonts w:hint="eastAsia" w:asciiTheme="minorEastAsia" w:hAnsiTheme="minorEastAsia"/>
          <w:sz w:val="21"/>
          <w:szCs w:val="21"/>
        </w:rPr>
        <w:t>位名</w:t>
      </w:r>
      <w:r>
        <w:rPr>
          <w:rFonts w:asciiTheme="minorEastAsia" w:hAnsiTheme="minorEastAsia"/>
          <w:sz w:val="21"/>
          <w:szCs w:val="21"/>
        </w:rPr>
        <w:t>称</w:t>
      </w:r>
      <w:r>
        <w:rPr>
          <w:rFonts w:hint="eastAsia" w:asciiTheme="minorEastAsia" w:hAnsiTheme="minorEastAsia"/>
          <w:sz w:val="21"/>
          <w:szCs w:val="21"/>
        </w:rPr>
        <w:t>：</w:t>
      </w:r>
    </w:p>
    <w:p>
      <w:pPr>
        <w:pStyle w:val="41"/>
        <w:spacing w:line="480" w:lineRule="auto"/>
        <w:ind w:firstLine="472" w:firstLineChars="225"/>
        <w:jc w:val="left"/>
        <w:rPr>
          <w:rFonts w:asciiTheme="minorEastAsia" w:hAnsiTheme="minorEastAsia"/>
          <w:sz w:val="21"/>
          <w:szCs w:val="21"/>
        </w:rPr>
      </w:pPr>
      <w:r>
        <w:rPr>
          <w:rFonts w:hint="eastAsia" w:asciiTheme="minorEastAsia" w:hAnsiTheme="minorEastAsia"/>
          <w:sz w:val="21"/>
          <w:szCs w:val="21"/>
        </w:rPr>
        <w:t>地址：</w:t>
      </w:r>
    </w:p>
    <w:p>
      <w:pPr>
        <w:pStyle w:val="41"/>
        <w:spacing w:line="480" w:lineRule="auto"/>
        <w:ind w:firstLine="472" w:firstLineChars="225"/>
        <w:jc w:val="left"/>
        <w:rPr>
          <w:rFonts w:asciiTheme="minorEastAsia" w:hAnsiTheme="minorEastAsia"/>
          <w:sz w:val="21"/>
          <w:szCs w:val="21"/>
        </w:rPr>
      </w:pPr>
      <w:r>
        <w:rPr>
          <w:rFonts w:hint="eastAsia" w:asciiTheme="minorEastAsia" w:hAnsiTheme="minorEastAsia"/>
          <w:sz w:val="21"/>
          <w:szCs w:val="21"/>
        </w:rPr>
        <w:t>姓名：       性</w:t>
      </w:r>
      <w:r>
        <w:rPr>
          <w:rFonts w:asciiTheme="minorEastAsia" w:hAnsiTheme="minorEastAsia"/>
          <w:sz w:val="21"/>
          <w:szCs w:val="21"/>
        </w:rPr>
        <w:t>别</w:t>
      </w:r>
      <w:r>
        <w:rPr>
          <w:rFonts w:hint="eastAsia" w:asciiTheme="minorEastAsia" w:hAnsiTheme="minorEastAsia"/>
          <w:sz w:val="21"/>
          <w:szCs w:val="21"/>
        </w:rPr>
        <w:t>：     年</w:t>
      </w:r>
      <w:r>
        <w:rPr>
          <w:rFonts w:asciiTheme="minorEastAsia" w:hAnsiTheme="minorEastAsia"/>
          <w:sz w:val="21"/>
          <w:szCs w:val="21"/>
        </w:rPr>
        <w:t>龄</w:t>
      </w:r>
      <w:r>
        <w:rPr>
          <w:rFonts w:hint="eastAsia" w:asciiTheme="minorEastAsia" w:hAnsiTheme="minorEastAsia"/>
          <w:sz w:val="21"/>
          <w:szCs w:val="21"/>
        </w:rPr>
        <w:t>：</w:t>
      </w:r>
      <w:r>
        <w:rPr>
          <w:rFonts w:asciiTheme="minorEastAsia" w:hAnsiTheme="minorEastAsia"/>
          <w:sz w:val="21"/>
          <w:szCs w:val="21"/>
        </w:rPr>
        <w:t xml:space="preserve">     职务</w:t>
      </w:r>
      <w:r>
        <w:rPr>
          <w:rFonts w:hint="eastAsia" w:asciiTheme="minorEastAsia" w:hAnsiTheme="minorEastAsia"/>
          <w:sz w:val="21"/>
          <w:szCs w:val="21"/>
        </w:rPr>
        <w:t xml:space="preserve">：        </w:t>
      </w:r>
    </w:p>
    <w:p>
      <w:pPr>
        <w:pStyle w:val="41"/>
        <w:spacing w:line="480" w:lineRule="auto"/>
        <w:ind w:firstLine="472" w:firstLineChars="225"/>
        <w:jc w:val="left"/>
        <w:rPr>
          <w:rFonts w:asciiTheme="minorEastAsia" w:hAnsiTheme="minorEastAsia"/>
          <w:sz w:val="21"/>
          <w:szCs w:val="21"/>
        </w:rPr>
      </w:pPr>
      <w:r>
        <w:rPr>
          <w:rFonts w:hint="eastAsia" w:asciiTheme="minorEastAsia" w:hAnsiTheme="minorEastAsia"/>
          <w:sz w:val="21"/>
          <w:szCs w:val="21"/>
        </w:rPr>
        <w:t>本人系</w:t>
      </w:r>
      <w:r>
        <w:rPr>
          <w:rFonts w:hint="eastAsia" w:asciiTheme="minorEastAsia" w:hAnsiTheme="minorEastAsia"/>
          <w:i/>
          <w:snapToGrid w:val="0"/>
          <w:sz w:val="21"/>
          <w:szCs w:val="21"/>
          <w:u w:val="single"/>
        </w:rPr>
        <w:t>投</w:t>
      </w:r>
      <w:r>
        <w:rPr>
          <w:rFonts w:asciiTheme="minorEastAsia" w:hAnsiTheme="minorEastAsia"/>
          <w:i/>
          <w:snapToGrid w:val="0"/>
          <w:sz w:val="21"/>
          <w:szCs w:val="21"/>
          <w:u w:val="single"/>
        </w:rPr>
        <w:t>标</w:t>
      </w:r>
      <w:r>
        <w:rPr>
          <w:rFonts w:hint="eastAsia" w:asciiTheme="minorEastAsia" w:hAnsiTheme="minorEastAsia"/>
          <w:i/>
          <w:snapToGrid w:val="0"/>
          <w:sz w:val="21"/>
          <w:szCs w:val="21"/>
          <w:u w:val="single"/>
        </w:rPr>
        <w:t>人名</w:t>
      </w:r>
      <w:r>
        <w:rPr>
          <w:rFonts w:asciiTheme="minorEastAsia" w:hAnsiTheme="minorEastAsia"/>
          <w:i/>
          <w:snapToGrid w:val="0"/>
          <w:sz w:val="21"/>
          <w:szCs w:val="21"/>
          <w:u w:val="single"/>
        </w:rPr>
        <w:t>称</w:t>
      </w:r>
      <w:r>
        <w:rPr>
          <w:rFonts w:hint="eastAsia" w:asciiTheme="minorEastAsia" w:hAnsiTheme="minorEastAsia"/>
          <w:sz w:val="21"/>
          <w:szCs w:val="21"/>
        </w:rPr>
        <w:t>的法定代表人。就</w:t>
      </w:r>
      <w:r>
        <w:rPr>
          <w:rFonts w:asciiTheme="minorEastAsia" w:hAnsiTheme="minorEastAsia"/>
          <w:sz w:val="21"/>
          <w:szCs w:val="21"/>
        </w:rPr>
        <w:t>参</w:t>
      </w:r>
      <w:r>
        <w:rPr>
          <w:rFonts w:hint="eastAsia" w:asciiTheme="minorEastAsia" w:hAnsiTheme="minorEastAsia"/>
          <w:sz w:val="21"/>
          <w:szCs w:val="21"/>
        </w:rPr>
        <w:t>加贵方招</w:t>
      </w:r>
      <w:r>
        <w:rPr>
          <w:rFonts w:asciiTheme="minorEastAsia" w:hAnsiTheme="minorEastAsia"/>
          <w:sz w:val="21"/>
          <w:szCs w:val="21"/>
        </w:rPr>
        <w:t>标编号为</w:t>
      </w:r>
      <w:r>
        <w:rPr>
          <w:rFonts w:asciiTheme="minorEastAsia" w:hAnsiTheme="minorEastAsia"/>
          <w:i/>
          <w:sz w:val="21"/>
          <w:szCs w:val="21"/>
          <w:u w:val="single"/>
        </w:rPr>
        <w:t>项目编号</w:t>
      </w:r>
      <w:r>
        <w:rPr>
          <w:rFonts w:hint="eastAsia" w:asciiTheme="minorEastAsia" w:hAnsiTheme="minorEastAsia"/>
          <w:sz w:val="21"/>
          <w:szCs w:val="21"/>
        </w:rPr>
        <w:t>的</w:t>
      </w:r>
      <w:r>
        <w:rPr>
          <w:rFonts w:asciiTheme="minorEastAsia" w:hAnsiTheme="minorEastAsia"/>
          <w:i/>
          <w:sz w:val="21"/>
          <w:szCs w:val="21"/>
          <w:u w:val="single"/>
        </w:rPr>
        <w:t>项目</w:t>
      </w:r>
      <w:r>
        <w:rPr>
          <w:rFonts w:hint="eastAsia" w:asciiTheme="minorEastAsia" w:hAnsiTheme="minorEastAsia"/>
          <w:i/>
          <w:sz w:val="21"/>
          <w:szCs w:val="21"/>
          <w:u w:val="single"/>
        </w:rPr>
        <w:t>名</w:t>
      </w:r>
      <w:r>
        <w:rPr>
          <w:rFonts w:asciiTheme="minorEastAsia" w:hAnsiTheme="minorEastAsia"/>
          <w:i/>
          <w:sz w:val="21"/>
          <w:szCs w:val="21"/>
          <w:u w:val="single"/>
        </w:rPr>
        <w:t>称</w:t>
      </w:r>
      <w:r>
        <w:rPr>
          <w:rFonts w:hint="eastAsia" w:asciiTheme="minorEastAsia" w:hAnsiTheme="minorEastAsia"/>
          <w:sz w:val="21"/>
          <w:szCs w:val="21"/>
        </w:rPr>
        <w:t>公</w:t>
      </w:r>
      <w:r>
        <w:rPr>
          <w:rFonts w:asciiTheme="minorEastAsia" w:hAnsiTheme="minorEastAsia"/>
          <w:sz w:val="21"/>
          <w:szCs w:val="21"/>
        </w:rPr>
        <w:t>开</w:t>
      </w:r>
      <w:r>
        <w:rPr>
          <w:rFonts w:hint="eastAsia" w:asciiTheme="minorEastAsia" w:hAnsiTheme="minorEastAsia"/>
          <w:sz w:val="21"/>
          <w:szCs w:val="21"/>
        </w:rPr>
        <w:t>招</w:t>
      </w:r>
      <w:r>
        <w:rPr>
          <w:rFonts w:asciiTheme="minorEastAsia" w:hAnsiTheme="minorEastAsia"/>
          <w:sz w:val="21"/>
          <w:szCs w:val="21"/>
        </w:rPr>
        <w:t>标项目</w:t>
      </w:r>
      <w:r>
        <w:rPr>
          <w:rFonts w:hint="eastAsia" w:asciiTheme="minorEastAsia" w:hAnsiTheme="minorEastAsia"/>
          <w:sz w:val="21"/>
          <w:szCs w:val="21"/>
        </w:rPr>
        <w:t>的投</w:t>
      </w:r>
      <w:r>
        <w:rPr>
          <w:rFonts w:asciiTheme="minorEastAsia" w:hAnsiTheme="minorEastAsia"/>
          <w:sz w:val="21"/>
          <w:szCs w:val="21"/>
        </w:rPr>
        <w:t>标报价</w:t>
      </w:r>
      <w:r>
        <w:rPr>
          <w:rFonts w:hint="eastAsia" w:asciiTheme="minorEastAsia" w:hAnsiTheme="minorEastAsia"/>
          <w:sz w:val="21"/>
          <w:szCs w:val="21"/>
        </w:rPr>
        <w:t>，</w:t>
      </w:r>
      <w:r>
        <w:rPr>
          <w:rFonts w:asciiTheme="minorEastAsia" w:hAnsiTheme="minorEastAsia"/>
          <w:sz w:val="21"/>
          <w:szCs w:val="21"/>
        </w:rPr>
        <w:t>签</w:t>
      </w:r>
      <w:r>
        <w:rPr>
          <w:rFonts w:hint="eastAsia" w:asciiTheme="minorEastAsia" w:hAnsiTheme="minorEastAsia"/>
          <w:sz w:val="21"/>
          <w:szCs w:val="21"/>
        </w:rPr>
        <w:t>署上</w:t>
      </w:r>
      <w:r>
        <w:rPr>
          <w:rFonts w:asciiTheme="minorEastAsia" w:hAnsiTheme="minorEastAsia"/>
          <w:sz w:val="21"/>
          <w:szCs w:val="21"/>
        </w:rPr>
        <w:t>述项目</w:t>
      </w:r>
      <w:r>
        <w:rPr>
          <w:rFonts w:hint="eastAsia" w:asciiTheme="minorEastAsia" w:hAnsiTheme="minorEastAsia"/>
          <w:sz w:val="21"/>
          <w:szCs w:val="21"/>
        </w:rPr>
        <w:t>的投</w:t>
      </w:r>
      <w:r>
        <w:rPr>
          <w:rFonts w:asciiTheme="minorEastAsia" w:hAnsiTheme="minorEastAsia"/>
          <w:sz w:val="21"/>
          <w:szCs w:val="21"/>
        </w:rPr>
        <w:t>标</w:t>
      </w:r>
      <w:r>
        <w:rPr>
          <w:rFonts w:hint="eastAsia" w:asciiTheme="minorEastAsia" w:hAnsiTheme="minorEastAsia"/>
          <w:sz w:val="21"/>
          <w:szCs w:val="21"/>
        </w:rPr>
        <w:t>文件及合同的</w:t>
      </w:r>
      <w:r>
        <w:rPr>
          <w:rFonts w:asciiTheme="minorEastAsia" w:hAnsiTheme="minorEastAsia"/>
          <w:sz w:val="21"/>
          <w:szCs w:val="21"/>
        </w:rPr>
        <w:t>执</w:t>
      </w:r>
      <w:r>
        <w:rPr>
          <w:rFonts w:hint="eastAsia" w:asciiTheme="minorEastAsia" w:hAnsiTheme="minorEastAsia"/>
          <w:sz w:val="21"/>
          <w:szCs w:val="21"/>
        </w:rPr>
        <w:t>行、完成、服</w:t>
      </w:r>
      <w:r>
        <w:rPr>
          <w:rFonts w:asciiTheme="minorEastAsia" w:hAnsiTheme="minorEastAsia"/>
          <w:sz w:val="21"/>
          <w:szCs w:val="21"/>
        </w:rPr>
        <w:t>务</w:t>
      </w:r>
      <w:r>
        <w:rPr>
          <w:rFonts w:hint="eastAsia" w:asciiTheme="minorEastAsia" w:hAnsiTheme="minorEastAsia"/>
          <w:sz w:val="21"/>
          <w:szCs w:val="21"/>
        </w:rPr>
        <w:t>和保修，</w:t>
      </w:r>
      <w:r>
        <w:rPr>
          <w:rFonts w:asciiTheme="minorEastAsia" w:hAnsiTheme="minorEastAsia"/>
          <w:sz w:val="21"/>
          <w:szCs w:val="21"/>
        </w:rPr>
        <w:t>签</w:t>
      </w:r>
      <w:r>
        <w:rPr>
          <w:rFonts w:hint="eastAsia" w:asciiTheme="minorEastAsia" w:hAnsiTheme="minorEastAsia"/>
          <w:sz w:val="21"/>
          <w:szCs w:val="21"/>
        </w:rPr>
        <w:t>署合同和</w:t>
      </w:r>
      <w:r>
        <w:rPr>
          <w:rFonts w:asciiTheme="minorEastAsia" w:hAnsiTheme="minorEastAsia"/>
          <w:sz w:val="21"/>
          <w:szCs w:val="21"/>
        </w:rPr>
        <w:t>处</w:t>
      </w:r>
      <w:r>
        <w:rPr>
          <w:rFonts w:hint="eastAsia" w:asciiTheme="minorEastAsia" w:hAnsiTheme="minorEastAsia"/>
          <w:sz w:val="21"/>
          <w:szCs w:val="21"/>
        </w:rPr>
        <w:t>理与之有</w:t>
      </w:r>
      <w:r>
        <w:rPr>
          <w:rFonts w:asciiTheme="minorEastAsia" w:hAnsiTheme="minorEastAsia"/>
          <w:sz w:val="21"/>
          <w:szCs w:val="21"/>
        </w:rPr>
        <w:t>关的</w:t>
      </w:r>
      <w:r>
        <w:rPr>
          <w:rFonts w:hint="eastAsia" w:asciiTheme="minorEastAsia" w:hAnsiTheme="minorEastAsia"/>
          <w:sz w:val="21"/>
          <w:szCs w:val="21"/>
        </w:rPr>
        <w:t>一切事</w:t>
      </w:r>
      <w:r>
        <w:rPr>
          <w:rFonts w:asciiTheme="minorEastAsia" w:hAnsiTheme="minorEastAsia"/>
          <w:sz w:val="21"/>
          <w:szCs w:val="21"/>
        </w:rPr>
        <w:t>务</w:t>
      </w:r>
      <w:r>
        <w:rPr>
          <w:rFonts w:hint="eastAsia" w:asciiTheme="minorEastAsia" w:hAnsiTheme="minorEastAsia"/>
          <w:sz w:val="21"/>
          <w:szCs w:val="21"/>
        </w:rPr>
        <w:t>。</w:t>
      </w:r>
    </w:p>
    <w:p>
      <w:pPr>
        <w:pStyle w:val="41"/>
        <w:spacing w:line="480" w:lineRule="auto"/>
        <w:ind w:firstLine="472" w:firstLineChars="225"/>
        <w:jc w:val="left"/>
        <w:rPr>
          <w:rFonts w:asciiTheme="minorEastAsia" w:hAnsiTheme="minorEastAsia"/>
          <w:sz w:val="21"/>
          <w:szCs w:val="21"/>
        </w:rPr>
      </w:pPr>
      <w:r>
        <w:rPr>
          <w:rFonts w:hint="eastAsia" w:asciiTheme="minorEastAsia" w:hAnsiTheme="minorEastAsia"/>
          <w:sz w:val="21"/>
          <w:szCs w:val="21"/>
        </w:rPr>
        <w:t>特此</w:t>
      </w:r>
      <w:r>
        <w:rPr>
          <w:rFonts w:asciiTheme="minorEastAsia" w:hAnsiTheme="minorEastAsia"/>
          <w:sz w:val="21"/>
          <w:szCs w:val="21"/>
        </w:rPr>
        <w:t>证</w:t>
      </w:r>
      <w:r>
        <w:rPr>
          <w:rFonts w:hint="eastAsia" w:asciiTheme="minorEastAsia" w:hAnsiTheme="minorEastAsia"/>
          <w:sz w:val="21"/>
          <w:szCs w:val="21"/>
        </w:rPr>
        <w:t>明。</w:t>
      </w:r>
    </w:p>
    <w:p>
      <w:pPr>
        <w:pStyle w:val="41"/>
        <w:spacing w:line="480" w:lineRule="auto"/>
        <w:ind w:firstLine="472" w:firstLineChars="225"/>
        <w:jc w:val="left"/>
        <w:rPr>
          <w:rFonts w:asciiTheme="minorEastAsia" w:hAnsiTheme="minorEastAsia"/>
          <w:sz w:val="21"/>
          <w:szCs w:val="21"/>
        </w:rPr>
      </w:pPr>
    </w:p>
    <w:p>
      <w:pPr>
        <w:pStyle w:val="41"/>
        <w:spacing w:line="480" w:lineRule="auto"/>
        <w:ind w:firstLine="472" w:firstLineChars="225"/>
        <w:jc w:val="left"/>
        <w:rPr>
          <w:rFonts w:asciiTheme="minorEastAsia" w:hAnsiTheme="minorEastAsia"/>
          <w:sz w:val="21"/>
          <w:szCs w:val="21"/>
        </w:rPr>
      </w:pPr>
    </w:p>
    <w:p>
      <w:pPr>
        <w:pStyle w:val="41"/>
        <w:spacing w:line="480" w:lineRule="auto"/>
        <w:ind w:left="-538" w:leftChars="-256" w:firstLine="539" w:firstLineChars="257"/>
        <w:jc w:val="center"/>
        <w:rPr>
          <w:rFonts w:asciiTheme="minorEastAsia" w:hAnsiTheme="minorEastAsia"/>
          <w:bCs/>
          <w:sz w:val="21"/>
          <w:szCs w:val="21"/>
        </w:rPr>
      </w:pPr>
      <w:r>
        <w:rPr>
          <w:rFonts w:hint="eastAsia" w:asciiTheme="minorEastAsia" w:hAnsiTheme="minorEastAsia"/>
          <w:bCs/>
          <w:sz w:val="21"/>
          <w:szCs w:val="21"/>
        </w:rPr>
        <w:t>【此</w:t>
      </w:r>
      <w:r>
        <w:rPr>
          <w:rFonts w:asciiTheme="minorEastAsia" w:hAnsiTheme="minorEastAsia"/>
          <w:bCs/>
          <w:sz w:val="21"/>
          <w:szCs w:val="21"/>
        </w:rPr>
        <w:t>处请</w:t>
      </w:r>
      <w:r>
        <w:rPr>
          <w:rFonts w:hint="eastAsia" w:asciiTheme="minorEastAsia" w:hAnsiTheme="minorEastAsia"/>
          <w:bCs/>
          <w:sz w:val="21"/>
          <w:szCs w:val="21"/>
        </w:rPr>
        <w:t>粘</w:t>
      </w:r>
      <w:r>
        <w:rPr>
          <w:rFonts w:asciiTheme="minorEastAsia" w:hAnsiTheme="minorEastAsia"/>
          <w:bCs/>
          <w:sz w:val="21"/>
          <w:szCs w:val="21"/>
        </w:rPr>
        <w:t>贴</w:t>
      </w:r>
      <w:r>
        <w:rPr>
          <w:rFonts w:hint="eastAsia" w:asciiTheme="minorEastAsia" w:hAnsiTheme="minorEastAsia"/>
          <w:bCs/>
          <w:sz w:val="21"/>
          <w:szCs w:val="21"/>
        </w:rPr>
        <w:t>法定代表人身份</w:t>
      </w:r>
      <w:r>
        <w:rPr>
          <w:rFonts w:asciiTheme="minorEastAsia" w:hAnsiTheme="minorEastAsia"/>
          <w:bCs/>
          <w:sz w:val="21"/>
          <w:szCs w:val="21"/>
        </w:rPr>
        <w:t>证复</w:t>
      </w:r>
      <w:r>
        <w:rPr>
          <w:rFonts w:hint="eastAsia" w:asciiTheme="minorEastAsia" w:hAnsiTheme="minorEastAsia"/>
          <w:bCs/>
          <w:sz w:val="21"/>
          <w:szCs w:val="21"/>
        </w:rPr>
        <w:t>印件，需清晰反映身份证有效期限】</w:t>
      </w:r>
    </w:p>
    <w:p>
      <w:pPr>
        <w:pStyle w:val="41"/>
        <w:spacing w:line="480" w:lineRule="auto"/>
        <w:ind w:left="-538" w:leftChars="-256" w:firstLine="539" w:firstLineChars="257"/>
        <w:jc w:val="center"/>
        <w:rPr>
          <w:rFonts w:asciiTheme="minorEastAsia" w:hAnsiTheme="minorEastAsia"/>
          <w:bCs/>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szCs w:val="21"/>
          <w:u w:val="single"/>
        </w:rPr>
      </w:pPr>
      <w:r>
        <w:rPr>
          <w:rFonts w:hint="eastAsia" w:cs="Arial" w:asciiTheme="minorEastAsia" w:hAnsiTheme="minorEastAsia"/>
          <w:szCs w:val="21"/>
        </w:rPr>
        <w:t>投标人名称（并加盖公章）：</w:t>
      </w:r>
    </w:p>
    <w:p>
      <w:pPr>
        <w:pStyle w:val="44"/>
        <w:spacing w:before="60" w:line="480" w:lineRule="auto"/>
        <w:ind w:firstLine="3937" w:firstLineChars="1875"/>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签署日期：   年   月  日</w:t>
      </w:r>
    </w:p>
    <w:p>
      <w:pPr>
        <w:pStyle w:val="43"/>
        <w:spacing w:line="480" w:lineRule="auto"/>
        <w:rPr>
          <w:rFonts w:cs="Arial" w:asciiTheme="minorEastAsia" w:hAnsiTheme="minorEastAsia"/>
          <w:sz w:val="21"/>
          <w:szCs w:val="21"/>
        </w:rPr>
      </w:pPr>
    </w:p>
    <w:p>
      <w:pPr>
        <w:rPr>
          <w:szCs w:val="21"/>
        </w:rPr>
      </w:pPr>
    </w:p>
    <w:p>
      <w:pPr>
        <w:spacing w:line="320" w:lineRule="exact"/>
        <w:ind w:firstLine="420" w:firstLineChars="200"/>
        <w:rPr>
          <w:rFonts w:asciiTheme="minorEastAsia" w:hAnsiTheme="minorEastAsia"/>
          <w:bCs/>
          <w:kern w:val="12"/>
          <w:szCs w:val="21"/>
        </w:rPr>
      </w:pPr>
      <w:r>
        <w:rPr>
          <w:rFonts w:hint="eastAsia" w:asciiTheme="minorEastAsia" w:hAnsiTheme="minorEastAsia"/>
          <w:bCs/>
          <w:kern w:val="12"/>
          <w:szCs w:val="21"/>
        </w:rPr>
        <w:t>说明：法定代表人</w:t>
      </w:r>
      <w:r>
        <w:rPr>
          <w:rFonts w:asciiTheme="minorEastAsia" w:hAnsiTheme="minorEastAsia"/>
          <w:bCs/>
          <w:kern w:val="12"/>
          <w:szCs w:val="21"/>
        </w:rPr>
        <w:t>参</w:t>
      </w:r>
      <w:r>
        <w:rPr>
          <w:rFonts w:hint="eastAsia" w:asciiTheme="minorEastAsia" w:hAnsiTheme="minorEastAsia"/>
          <w:bCs/>
          <w:kern w:val="12"/>
          <w:szCs w:val="21"/>
        </w:rPr>
        <w:t>加本招</w:t>
      </w:r>
      <w:r>
        <w:rPr>
          <w:rFonts w:asciiTheme="minorEastAsia" w:hAnsiTheme="minorEastAsia"/>
          <w:bCs/>
          <w:kern w:val="12"/>
          <w:szCs w:val="21"/>
        </w:rPr>
        <w:t>标项目</w:t>
      </w:r>
      <w:r>
        <w:rPr>
          <w:rFonts w:hint="eastAsia" w:asciiTheme="minorEastAsia" w:hAnsiTheme="minorEastAsia"/>
          <w:bCs/>
          <w:kern w:val="12"/>
          <w:szCs w:val="21"/>
        </w:rPr>
        <w:t>投</w:t>
      </w:r>
      <w:r>
        <w:rPr>
          <w:rFonts w:asciiTheme="minorEastAsia" w:hAnsiTheme="minorEastAsia"/>
          <w:bCs/>
          <w:kern w:val="12"/>
          <w:szCs w:val="21"/>
        </w:rPr>
        <w:t>标</w:t>
      </w:r>
      <w:r>
        <w:rPr>
          <w:rFonts w:hint="eastAsia" w:asciiTheme="minorEastAsia" w:hAnsiTheme="minorEastAsia"/>
          <w:bCs/>
          <w:kern w:val="12"/>
          <w:szCs w:val="21"/>
        </w:rPr>
        <w:t>的，</w:t>
      </w:r>
      <w:r>
        <w:rPr>
          <w:rFonts w:asciiTheme="minorEastAsia" w:hAnsiTheme="minorEastAsia"/>
          <w:bCs/>
          <w:kern w:val="12"/>
          <w:szCs w:val="21"/>
        </w:rPr>
        <w:t>仅须</w:t>
      </w:r>
      <w:r>
        <w:rPr>
          <w:rFonts w:hint="eastAsia" w:asciiTheme="minorEastAsia" w:hAnsiTheme="minorEastAsia"/>
          <w:bCs/>
          <w:kern w:val="12"/>
          <w:szCs w:val="21"/>
        </w:rPr>
        <w:t>出具此</w:t>
      </w:r>
      <w:r>
        <w:rPr>
          <w:rFonts w:asciiTheme="minorEastAsia" w:hAnsiTheme="minorEastAsia"/>
          <w:bCs/>
          <w:kern w:val="12"/>
          <w:szCs w:val="21"/>
        </w:rPr>
        <w:t>证</w:t>
      </w:r>
      <w:r>
        <w:rPr>
          <w:rFonts w:hint="eastAsia" w:asciiTheme="minorEastAsia" w:hAnsiTheme="minorEastAsia"/>
          <w:bCs/>
          <w:kern w:val="12"/>
          <w:szCs w:val="21"/>
        </w:rPr>
        <w:t>明</w:t>
      </w:r>
      <w:r>
        <w:rPr>
          <w:rFonts w:asciiTheme="minorEastAsia" w:hAnsiTheme="minorEastAsia"/>
          <w:bCs/>
          <w:kern w:val="12"/>
          <w:szCs w:val="21"/>
        </w:rPr>
        <w:t>书</w:t>
      </w:r>
      <w:r>
        <w:rPr>
          <w:rFonts w:hint="eastAsia" w:asciiTheme="minorEastAsia" w:hAnsiTheme="minorEastAsia"/>
          <w:bCs/>
          <w:kern w:val="12"/>
          <w:szCs w:val="21"/>
        </w:rPr>
        <w:t>。</w:t>
      </w:r>
    </w:p>
    <w:p>
      <w:pPr>
        <w:spacing w:line="480" w:lineRule="exact"/>
        <w:jc w:val="center"/>
        <w:rPr>
          <w:rFonts w:ascii="宋体" w:hAnsi="宋体"/>
          <w:b/>
          <w:bCs/>
          <w:sz w:val="36"/>
          <w:szCs w:val="36"/>
        </w:rPr>
      </w:pPr>
    </w:p>
    <w:p>
      <w:pPr>
        <w:spacing w:line="480" w:lineRule="exact"/>
        <w:jc w:val="center"/>
        <w:rPr>
          <w:rFonts w:ascii="宋体" w:hAnsi="宋体"/>
          <w:b/>
          <w:bCs/>
          <w:sz w:val="24"/>
          <w:szCs w:val="24"/>
        </w:rPr>
      </w:pPr>
      <w:r>
        <w:rPr>
          <w:rFonts w:hint="eastAsia" w:ascii="宋体" w:hAnsi="宋体"/>
          <w:b/>
          <w:bCs/>
          <w:sz w:val="24"/>
          <w:szCs w:val="24"/>
        </w:rPr>
        <w:t>3.3 法定代表人授权书</w:t>
      </w:r>
    </w:p>
    <w:p>
      <w:pPr>
        <w:spacing w:line="480" w:lineRule="exact"/>
        <w:jc w:val="center"/>
        <w:rPr>
          <w:rFonts w:ascii="宋体" w:hAnsi="宋体"/>
          <w:b/>
          <w:bCs/>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投标人名称  </w:t>
      </w:r>
      <w:r>
        <w:rPr>
          <w:rFonts w:hint="eastAsia" w:cs="Arial" w:asciiTheme="minorEastAsia" w:hAnsiTheme="minorEastAsia"/>
          <w:szCs w:val="21"/>
        </w:rPr>
        <w:t>的法定代表人，现委托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以我方的名义参加贵方______________________项目的投标活动，并代表我方全权办理针对上述项目的投标、开标、投标文件澄清、签约等一切具体事务和签署相关文件。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投标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asciiTheme="minorEastAsia" w:hAnsiTheme="minorEastAsia"/>
          <w:szCs w:val="21"/>
        </w:rPr>
      </w:pPr>
      <w:r>
        <w:rPr>
          <w:rFonts w:hint="eastAsia" w:asciiTheme="minorEastAsia" w:hAnsiTheme="minorEastAsia"/>
          <w:szCs w:val="21"/>
        </w:rPr>
        <w:t>法定代表人：  （签字或加盖名章）</w:t>
      </w:r>
    </w:p>
    <w:p>
      <w:pPr>
        <w:spacing w:line="480" w:lineRule="auto"/>
        <w:ind w:firstLine="420" w:firstLineChars="200"/>
        <w:rPr>
          <w:rFonts w:asciiTheme="minorEastAsia" w:hAnsiTheme="minorEastAsia"/>
          <w:szCs w:val="21"/>
        </w:rPr>
      </w:pPr>
      <w:r>
        <w:rPr>
          <w:rFonts w:hint="eastAsia" w:asciiTheme="minorEastAsia" w:hAnsiTheme="minorEastAsia"/>
          <w:szCs w:val="21"/>
        </w:rPr>
        <w:t>法定代表人授权代表：  （签字或加盖名章）</w:t>
      </w:r>
    </w:p>
    <w:tbl>
      <w:tblPr>
        <w:tblStyle w:val="26"/>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bookmarkStart w:id="4" w:name="_资格证明文件"/>
            <w:bookmarkEnd w:id="4"/>
            <w:bookmarkStart w:id="5" w:name="_Toc364329026"/>
            <w:r>
              <w:rPr>
                <w:rFonts w:hint="eastAsia" w:asciiTheme="minorEastAsia" w:hAnsiTheme="minorEastAsia"/>
                <w:szCs w:val="21"/>
              </w:rPr>
              <w:t>法定代表人授权代表身份证（正面）</w:t>
            </w:r>
            <w:bookmarkEnd w:id="5"/>
          </w:p>
        </w:tc>
        <w:tc>
          <w:tcPr>
            <w:tcW w:w="4492" w:type="dxa"/>
            <w:gridSpan w:val="2"/>
            <w:vAlign w:val="center"/>
          </w:tcPr>
          <w:p>
            <w:pPr>
              <w:jc w:val="center"/>
              <w:rPr>
                <w:rFonts w:asciiTheme="minorEastAsia" w:hAnsiTheme="minorEastAsia"/>
                <w:szCs w:val="21"/>
              </w:rPr>
            </w:pPr>
            <w:bookmarkStart w:id="6" w:name="_Toc364329027"/>
            <w:r>
              <w:rPr>
                <w:rFonts w:hint="eastAsia" w:asciiTheme="minorEastAsia" w:hAnsiTheme="minorEastAsia"/>
                <w:szCs w:val="21"/>
              </w:rPr>
              <w:t>法定代表人授权代表身份证（反面）</w:t>
            </w:r>
            <w:bookmarkEnd w:id="6"/>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sz w:val="24"/>
          <w:szCs w:val="24"/>
        </w:rPr>
      </w:pPr>
      <w:r>
        <w:rPr>
          <w:rFonts w:hint="eastAsia" w:ascii="宋体" w:hAnsi="宋体"/>
          <w:b/>
          <w:bCs/>
          <w:sz w:val="24"/>
          <w:szCs w:val="24"/>
        </w:rPr>
        <w:t>3.4 没有重大违法记录的声明</w:t>
      </w:r>
    </w:p>
    <w:p>
      <w:pPr>
        <w:spacing w:before="156" w:beforeLines="50" w:after="156" w:afterLines="50"/>
        <w:jc w:val="center"/>
        <w:rPr>
          <w:rFonts w:ascii="宋体" w:hAnsi="宋体" w:cs="Arial"/>
          <w:kern w:val="0"/>
          <w:sz w:val="28"/>
          <w:szCs w:val="28"/>
        </w:rPr>
      </w:pPr>
      <w:r>
        <w:rPr>
          <w:rFonts w:hint="eastAsia" w:ascii="宋体" w:hAnsi="宋体" w:cs="Arial"/>
          <w:kern w:val="0"/>
          <w:sz w:val="28"/>
          <w:szCs w:val="28"/>
        </w:rPr>
        <w:t>声　   明</w:t>
      </w:r>
    </w:p>
    <w:p>
      <w:pPr>
        <w:spacing w:before="156" w:beforeLines="50" w:after="156"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156" w:beforeLines="50" w:after="156"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156" w:beforeLines="50" w:after="156"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156" w:beforeLines="50" w:after="156" w:afterLines="50" w:line="360" w:lineRule="auto"/>
        <w:ind w:firstLine="495" w:firstLineChars="236"/>
        <w:rPr>
          <w:rFonts w:cs="宋体" w:asciiTheme="minorEastAsia" w:hAnsiTheme="minorEastAsia"/>
          <w:szCs w:val="21"/>
          <w:lang w:val="zh-CN"/>
        </w:rPr>
      </w:pPr>
    </w:p>
    <w:p>
      <w:pPr>
        <w:spacing w:before="156" w:beforeLines="50" w:after="156"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156" w:beforeLines="50" w:after="156"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156" w:beforeLines="50" w:after="156" w:afterLines="50" w:line="360" w:lineRule="auto"/>
        <w:ind w:right="420" w:firstLine="5486" w:firstLineChars="2286"/>
        <w:rPr>
          <w:rFonts w:cs="宋体" w:asciiTheme="minorEastAsia" w:hAnsiTheme="minorEastAsia"/>
          <w:sz w:val="24"/>
          <w:szCs w:val="24"/>
          <w:lang w:val="zh-CN"/>
        </w:rPr>
      </w:pPr>
    </w:p>
    <w:p>
      <w:pPr>
        <w:spacing w:before="156" w:beforeLines="50" w:after="156" w:afterLines="50" w:line="360" w:lineRule="auto"/>
        <w:ind w:right="420" w:firstLine="5486" w:firstLineChars="2286"/>
        <w:rPr>
          <w:rFonts w:cs="宋体" w:asciiTheme="minorEastAsia" w:hAnsiTheme="minorEastAsia"/>
          <w:sz w:val="24"/>
          <w:szCs w:val="24"/>
          <w:lang w:val="zh-CN"/>
        </w:rPr>
      </w:pPr>
    </w:p>
    <w:p>
      <w:pPr>
        <w:autoSpaceDE w:val="0"/>
        <w:autoSpaceDN w:val="0"/>
        <w:adjustRightInd w:val="0"/>
        <w:spacing w:line="360" w:lineRule="auto"/>
        <w:jc w:val="center"/>
        <w:outlineLvl w:val="0"/>
        <w:rPr>
          <w:rFonts w:ascii="宋体" w:hAnsi="宋体"/>
          <w:b/>
          <w:bCs/>
          <w:sz w:val="24"/>
          <w:szCs w:val="24"/>
        </w:rPr>
      </w:pPr>
      <w:r>
        <w:rPr>
          <w:rFonts w:hint="eastAsia" w:ascii="宋体" w:hAnsi="宋体"/>
          <w:b/>
          <w:bCs/>
          <w:sz w:val="24"/>
          <w:szCs w:val="24"/>
        </w:rPr>
        <w:t>3.5 投标保证金</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许昌公共资源交易中心保证金缴纳回执</w:t>
      </w:r>
    </w:p>
    <w:p>
      <w:pPr>
        <w:autoSpaceDE w:val="0"/>
        <w:autoSpaceDN w:val="0"/>
        <w:adjustRightInd w:val="0"/>
        <w:spacing w:line="360" w:lineRule="auto"/>
        <w:jc w:val="center"/>
        <w:rPr>
          <w:rFonts w:ascii="宋体" w:cs="宋体"/>
          <w:szCs w:val="21"/>
          <w:lang w:val="zh-CN"/>
        </w:rPr>
      </w:pPr>
    </w:p>
    <w:p>
      <w:pPr>
        <w:autoSpaceDE w:val="0"/>
        <w:autoSpaceDN w:val="0"/>
        <w:adjustRightInd w:val="0"/>
        <w:spacing w:line="360" w:lineRule="auto"/>
        <w:jc w:val="center"/>
        <w:rPr>
          <w:rFonts w:ascii="宋体" w:cs="宋体"/>
          <w:szCs w:val="21"/>
          <w:lang w:val="zh-CN"/>
        </w:rPr>
      </w:pPr>
      <w:r>
        <w:rPr>
          <w:rFonts w:hint="eastAsia" w:ascii="宋体" w:cs="宋体"/>
          <w:szCs w:val="21"/>
          <w:lang w:val="zh-CN"/>
        </w:rPr>
        <w:t>（注：开标现场单独提供一份“许昌公共资源交易中心保证金缴纳回执”以备查询）</w:t>
      </w:r>
    </w:p>
    <w:p>
      <w:pPr>
        <w:autoSpaceDE w:val="0"/>
        <w:autoSpaceDN w:val="0"/>
        <w:adjustRightInd w:val="0"/>
        <w:spacing w:line="360" w:lineRule="auto"/>
        <w:ind w:right="-11"/>
        <w:rPr>
          <w:rFonts w:ascii="宋体" w:cs="宋体"/>
          <w:szCs w:val="21"/>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cs="宋体"/>
          <w:sz w:val="24"/>
          <w:lang w:val="zh-CN"/>
        </w:rPr>
      </w:pPr>
    </w:p>
    <w:p>
      <w:pPr>
        <w:autoSpaceDE w:val="0"/>
        <w:autoSpaceDN w:val="0"/>
        <w:adjustRightInd w:val="0"/>
        <w:spacing w:line="360" w:lineRule="auto"/>
        <w:jc w:val="center"/>
        <w:outlineLvl w:val="0"/>
        <w:rPr>
          <w:rFonts w:ascii="宋体" w:hAnsi="宋体"/>
          <w:b/>
          <w:bCs/>
          <w:sz w:val="24"/>
          <w:szCs w:val="24"/>
        </w:rPr>
      </w:pPr>
      <w:r>
        <w:rPr>
          <w:rFonts w:hint="eastAsia" w:ascii="宋体" w:hAnsi="宋体"/>
          <w:b/>
          <w:bCs/>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ascii="宋体" w:hAnsi="宋体"/>
          <w:b/>
          <w:bCs/>
          <w:sz w:val="24"/>
          <w:szCs w:val="24"/>
        </w:rPr>
      </w:pPr>
      <w:r>
        <w:rPr>
          <w:rFonts w:hint="eastAsia" w:ascii="宋体" w:hAnsi="宋体"/>
          <w:b/>
          <w:bCs/>
          <w:sz w:val="24"/>
          <w:szCs w:val="24"/>
        </w:rPr>
        <w:t>4.1 投标分项报价表</w:t>
      </w:r>
    </w:p>
    <w:p>
      <w:pPr>
        <w:spacing w:before="50" w:after="156" w:afterLines="50" w:line="360" w:lineRule="auto"/>
        <w:contextualSpacing/>
        <w:jc w:val="left"/>
        <w:rPr>
          <w:rFonts w:asciiTheme="minorEastAsia" w:hAnsiTheme="minorEastAsia"/>
          <w:szCs w:val="21"/>
        </w:rPr>
      </w:pPr>
      <w:r>
        <w:rPr>
          <w:rFonts w:hint="eastAsia" w:asciiTheme="minorEastAsia" w:hAnsiTheme="minorEastAsia"/>
          <w:szCs w:val="21"/>
        </w:rPr>
        <w:t>项目编号：</w:t>
      </w:r>
    </w:p>
    <w:p>
      <w:pPr>
        <w:autoSpaceDE w:val="0"/>
        <w:autoSpaceDN w:val="0"/>
        <w:adjustRightInd w:val="0"/>
        <w:spacing w:line="360" w:lineRule="auto"/>
        <w:outlineLvl w:val="0"/>
        <w:rPr>
          <w:rFonts w:hAnsi="宋体" w:eastAsia="宋体"/>
          <w:b/>
          <w:snapToGrid w:val="0"/>
          <w:kern w:val="0"/>
          <w:szCs w:val="21"/>
        </w:rPr>
      </w:pPr>
      <w:r>
        <w:rPr>
          <w:rFonts w:hint="eastAsia" w:asciiTheme="minorEastAsia" w:hAnsiTheme="minorEastAsia"/>
          <w:szCs w:val="21"/>
        </w:rPr>
        <w:t xml:space="preserve">项目名称：   </w:t>
      </w:r>
    </w:p>
    <w:tbl>
      <w:tblPr>
        <w:tblStyle w:val="26"/>
        <w:tblW w:w="9400" w:type="dxa"/>
        <w:tblInd w:w="0" w:type="dxa"/>
        <w:tblLayout w:type="fixed"/>
        <w:tblCellMar>
          <w:top w:w="0" w:type="dxa"/>
          <w:left w:w="108" w:type="dxa"/>
          <w:bottom w:w="0" w:type="dxa"/>
          <w:right w:w="108" w:type="dxa"/>
        </w:tblCellMar>
      </w:tblPr>
      <w:tblGrid>
        <w:gridCol w:w="534"/>
        <w:gridCol w:w="1134"/>
        <w:gridCol w:w="1500"/>
        <w:gridCol w:w="1260"/>
        <w:gridCol w:w="642"/>
        <w:gridCol w:w="992"/>
        <w:gridCol w:w="1066"/>
        <w:gridCol w:w="1080"/>
        <w:gridCol w:w="1192"/>
      </w:tblGrid>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280" w:lineRule="exact"/>
              <w:jc w:val="center"/>
              <w:rPr>
                <w:rFonts w:cs="宋体" w:asciiTheme="minorEastAsia" w:hAnsiTheme="minorEastAsia"/>
                <w:b/>
                <w:szCs w:val="21"/>
                <w:lang w:val="zh-CN"/>
              </w:rPr>
            </w:pPr>
            <w:r>
              <w:rPr>
                <w:rFonts w:hint="eastAsia" w:cs="宋体" w:asciiTheme="minorEastAsia" w:hAnsiTheme="minorEastAsia"/>
                <w:b/>
                <w:szCs w:val="21"/>
                <w:lang w:val="zh-CN"/>
              </w:rPr>
              <w:t>序号</w:t>
            </w:r>
          </w:p>
        </w:tc>
        <w:tc>
          <w:tcPr>
            <w:tcW w:w="11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名称</w:t>
            </w:r>
          </w:p>
        </w:tc>
        <w:tc>
          <w:tcPr>
            <w:tcW w:w="150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规格型号</w:t>
            </w:r>
          </w:p>
        </w:tc>
        <w:tc>
          <w:tcPr>
            <w:tcW w:w="12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技术</w:t>
            </w:r>
          </w:p>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参数</w:t>
            </w:r>
          </w:p>
        </w:tc>
        <w:tc>
          <w:tcPr>
            <w:tcW w:w="64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单位</w:t>
            </w:r>
          </w:p>
        </w:tc>
        <w:tc>
          <w:tcPr>
            <w:tcW w:w="9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数量</w:t>
            </w:r>
          </w:p>
        </w:tc>
        <w:tc>
          <w:tcPr>
            <w:tcW w:w="1066"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jc w:val="center"/>
              <w:rPr>
                <w:rFonts w:cs="宋体" w:asciiTheme="minorEastAsia" w:hAnsiTheme="minorEastAsia"/>
                <w:b/>
                <w:szCs w:val="21"/>
                <w:lang w:val="zh-CN"/>
              </w:rPr>
            </w:pPr>
            <w:r>
              <w:rPr>
                <w:rFonts w:hint="eastAsia" w:cs="宋体" w:asciiTheme="minorEastAsia" w:hAnsiTheme="minorEastAsia"/>
                <w:b/>
                <w:szCs w:val="21"/>
                <w:lang w:val="zh-CN"/>
              </w:rPr>
              <w:t>单价</w:t>
            </w:r>
          </w:p>
        </w:tc>
        <w:tc>
          <w:tcPr>
            <w:tcW w:w="108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firstLine="120"/>
              <w:rPr>
                <w:rFonts w:cs="宋体" w:asciiTheme="minorEastAsia" w:hAnsiTheme="minorEastAsia"/>
                <w:b/>
                <w:szCs w:val="21"/>
                <w:lang w:val="zh-CN"/>
              </w:rPr>
            </w:pPr>
            <w:r>
              <w:rPr>
                <w:rFonts w:hint="eastAsia" w:cs="宋体" w:asciiTheme="minorEastAsia" w:hAnsiTheme="minorEastAsia"/>
                <w:b/>
                <w:szCs w:val="21"/>
                <w:lang w:val="zh-CN"/>
              </w:rPr>
              <w:t>总价</w:t>
            </w:r>
          </w:p>
        </w:tc>
        <w:tc>
          <w:tcPr>
            <w:tcW w:w="1192"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360" w:lineRule="auto"/>
              <w:ind w:left="120" w:hanging="120"/>
              <w:jc w:val="center"/>
              <w:rPr>
                <w:rFonts w:cs="宋体" w:asciiTheme="minorEastAsia" w:hAnsiTheme="minorEastAsia"/>
                <w:b/>
                <w:szCs w:val="21"/>
                <w:lang w:val="zh-CN"/>
              </w:rPr>
            </w:pPr>
            <w:r>
              <w:rPr>
                <w:rFonts w:hint="eastAsia" w:cs="宋体" w:asciiTheme="minorEastAsia" w:hAnsiTheme="minorEastAsia"/>
                <w:b/>
                <w:szCs w:val="21"/>
                <w:lang w:val="zh-CN"/>
              </w:rPr>
              <w:t>产地及</w:t>
            </w:r>
          </w:p>
          <w:p>
            <w:pPr>
              <w:autoSpaceDE w:val="0"/>
              <w:autoSpaceDN w:val="0"/>
              <w:adjustRightInd w:val="0"/>
              <w:spacing w:line="360" w:lineRule="auto"/>
              <w:ind w:left="120" w:hanging="120"/>
              <w:jc w:val="center"/>
              <w:rPr>
                <w:rFonts w:cs="宋体" w:asciiTheme="minorEastAsia" w:hAnsiTheme="minorEastAsia"/>
                <w:b/>
                <w:szCs w:val="21"/>
                <w:lang w:val="zh-CN"/>
              </w:rPr>
            </w:pPr>
            <w:r>
              <w:rPr>
                <w:rFonts w:hint="eastAsia" w:cs="宋体" w:asciiTheme="minorEastAsia" w:hAnsiTheme="minorEastAsia"/>
                <w:b/>
                <w:szCs w:val="21"/>
                <w:lang w:val="zh-CN"/>
              </w:rPr>
              <w:t>厂家</w:t>
            </w: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1</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Layout w:type="fixed"/>
          <w:tblCellMar>
            <w:top w:w="0" w:type="dxa"/>
            <w:left w:w="108" w:type="dxa"/>
            <w:bottom w:w="0" w:type="dxa"/>
            <w:right w:w="108" w:type="dxa"/>
          </w:tblCellMar>
        </w:tblPrEx>
        <w:trPr>
          <w:trHeight w:val="851" w:hRule="atLeast"/>
        </w:trPr>
        <w:tc>
          <w:tcPr>
            <w:tcW w:w="534"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szCs w:val="21"/>
              </w:rPr>
            </w:pPr>
            <w:r>
              <w:rPr>
                <w:rFonts w:hint="eastAsia" w:asciiTheme="minorEastAsia" w:hAnsiTheme="minorEastAsia"/>
                <w:szCs w:val="21"/>
              </w:rPr>
              <w:t>…</w:t>
            </w: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5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64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9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6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Theme="minorEastAsia" w:hAnsiTheme="minorEastAsia"/>
                <w:szCs w:val="21"/>
              </w:rPr>
            </w:pPr>
          </w:p>
        </w:tc>
      </w:tr>
      <w:tr>
        <w:tblPrEx>
          <w:tblLayout w:type="fixed"/>
          <w:tblCellMar>
            <w:top w:w="0" w:type="dxa"/>
            <w:left w:w="108" w:type="dxa"/>
            <w:bottom w:w="0" w:type="dxa"/>
            <w:right w:w="108" w:type="dxa"/>
          </w:tblCellMar>
        </w:tblPrEx>
        <w:trPr>
          <w:trHeight w:val="851" w:hRule="atLeast"/>
        </w:trPr>
        <w:tc>
          <w:tcPr>
            <w:tcW w:w="1668"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Theme="minorEastAsia" w:hAnsiTheme="minorEastAsia"/>
                <w:szCs w:val="21"/>
              </w:rPr>
            </w:pPr>
            <w:r>
              <w:rPr>
                <w:rFonts w:hint="eastAsia" w:cs="宋体" w:asciiTheme="minorEastAsia" w:hAnsiTheme="minorEastAsia"/>
                <w:szCs w:val="21"/>
                <w:lang w:val="zh-CN"/>
              </w:rPr>
              <w:t>合计</w:t>
            </w:r>
          </w:p>
        </w:tc>
        <w:tc>
          <w:tcPr>
            <w:tcW w:w="7732" w:type="dxa"/>
            <w:gridSpan w:val="7"/>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05" w:firstLineChars="50"/>
              <w:rPr>
                <w:rFonts w:cs="宋体" w:asciiTheme="minorEastAsia" w:hAnsiTheme="minorEastAsia"/>
                <w:szCs w:val="21"/>
                <w:lang w:val="zh-CN"/>
              </w:rPr>
            </w:pPr>
            <w:r>
              <w:rPr>
                <w:rFonts w:hint="eastAsia" w:cs="宋体" w:asciiTheme="minorEastAsia" w:hAnsiTheme="minorEastAsia"/>
                <w:szCs w:val="21"/>
                <w:lang w:val="zh-CN"/>
              </w:rPr>
              <w:t>大写：　　　　　　小写：</w:t>
            </w: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投标人法定代表人（或授权代表）签字：</w:t>
      </w:r>
    </w:p>
    <w:p>
      <w:pPr>
        <w:spacing w:line="300" w:lineRule="exact"/>
        <w:rPr>
          <w:rFonts w:asciiTheme="minorEastAsia" w:hAnsiTheme="minorEastAsia"/>
          <w:sz w:val="24"/>
          <w:szCs w:val="24"/>
        </w:rPr>
      </w:pPr>
    </w:p>
    <w:p>
      <w:pPr>
        <w:autoSpaceDE w:val="0"/>
        <w:autoSpaceDN w:val="0"/>
        <w:adjustRightInd w:val="0"/>
        <w:spacing w:line="360" w:lineRule="auto"/>
        <w:jc w:val="center"/>
        <w:outlineLvl w:val="0"/>
        <w:rPr>
          <w:rFonts w:ascii="宋体" w:hAnsi="宋体"/>
          <w:b/>
          <w:bCs/>
          <w:sz w:val="24"/>
          <w:szCs w:val="24"/>
        </w:rPr>
      </w:pPr>
      <w:r>
        <w:rPr>
          <w:rFonts w:hint="eastAsia" w:ascii="宋体" w:hAnsi="宋体"/>
          <w:b/>
          <w:bCs/>
          <w:sz w:val="24"/>
          <w:szCs w:val="24"/>
        </w:rPr>
        <w:t>4.2 技术规格偏离表</w:t>
      </w:r>
    </w:p>
    <w:p>
      <w:pPr>
        <w:spacing w:before="50" w:after="156" w:afterLines="50" w:line="360" w:lineRule="auto"/>
        <w:contextualSpacing/>
        <w:jc w:val="left"/>
        <w:rPr>
          <w:rFonts w:asciiTheme="minorEastAsia" w:hAnsiTheme="minorEastAsia"/>
          <w:szCs w:val="21"/>
        </w:rPr>
      </w:pPr>
      <w:r>
        <w:rPr>
          <w:rFonts w:hint="eastAsia" w:asciiTheme="minorEastAsia" w:hAnsiTheme="minorEastAsia"/>
          <w:szCs w:val="21"/>
        </w:rPr>
        <w:t>项目编号：</w:t>
      </w:r>
    </w:p>
    <w:p>
      <w:pPr>
        <w:autoSpaceDE w:val="0"/>
        <w:autoSpaceDN w:val="0"/>
        <w:adjustRightInd w:val="0"/>
        <w:spacing w:line="360" w:lineRule="auto"/>
        <w:outlineLvl w:val="0"/>
        <w:rPr>
          <w:rFonts w:hAnsi="宋体" w:eastAsia="宋体"/>
          <w:b/>
          <w:snapToGrid w:val="0"/>
          <w:kern w:val="0"/>
          <w:szCs w:val="21"/>
        </w:rPr>
      </w:pPr>
      <w:r>
        <w:rPr>
          <w:rFonts w:hint="eastAsia" w:asciiTheme="minorEastAsia" w:hAnsiTheme="minorEastAsia"/>
          <w:szCs w:val="21"/>
        </w:rPr>
        <w:t xml:space="preserve">项目名称：   </w:t>
      </w:r>
    </w:p>
    <w:tbl>
      <w:tblPr>
        <w:tblStyle w:val="26"/>
        <w:tblW w:w="9322" w:type="dxa"/>
        <w:tblInd w:w="0" w:type="dxa"/>
        <w:tblLayout w:type="fixed"/>
        <w:tblCellMar>
          <w:top w:w="0" w:type="dxa"/>
          <w:left w:w="108" w:type="dxa"/>
          <w:bottom w:w="0" w:type="dxa"/>
          <w:right w:w="108" w:type="dxa"/>
        </w:tblCellMar>
      </w:tblPr>
      <w:tblGrid>
        <w:gridCol w:w="828"/>
        <w:gridCol w:w="1265"/>
        <w:gridCol w:w="1559"/>
        <w:gridCol w:w="1559"/>
        <w:gridCol w:w="1560"/>
        <w:gridCol w:w="1134"/>
        <w:gridCol w:w="1417"/>
      </w:tblGrid>
      <w:tr>
        <w:tblPrEx>
          <w:tblLayout w:type="fixed"/>
          <w:tblCellMar>
            <w:top w:w="0" w:type="dxa"/>
            <w:left w:w="108" w:type="dxa"/>
            <w:bottom w:w="0" w:type="dxa"/>
            <w:right w:w="108" w:type="dxa"/>
          </w:tblCellMar>
        </w:tblPrEx>
        <w:trPr>
          <w:trHeight w:val="851" w:hRule="atLeast"/>
        </w:trPr>
        <w:tc>
          <w:tcPr>
            <w:tcW w:w="828"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序号</w:t>
            </w:r>
          </w:p>
        </w:tc>
        <w:tc>
          <w:tcPr>
            <w:tcW w:w="126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货物服务</w:t>
            </w:r>
          </w:p>
          <w:p>
            <w:pPr>
              <w:pStyle w:val="9"/>
              <w:jc w:val="center"/>
              <w:rPr>
                <w:rFonts w:ascii="宋体" w:hAnsi="宋体" w:eastAsia="宋体" w:cs="宋体"/>
                <w:b/>
                <w:bCs/>
                <w:sz w:val="21"/>
                <w:szCs w:val="21"/>
              </w:rPr>
            </w:pPr>
            <w:r>
              <w:rPr>
                <w:rFonts w:hint="eastAsia" w:ascii="宋体" w:hAnsi="宋体" w:eastAsia="宋体" w:cs="宋体"/>
                <w:b/>
                <w:bCs/>
                <w:sz w:val="21"/>
                <w:szCs w:val="21"/>
              </w:rPr>
              <w:t>名称</w:t>
            </w:r>
          </w:p>
        </w:tc>
        <w:tc>
          <w:tcPr>
            <w:tcW w:w="15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规格型号</w:t>
            </w:r>
          </w:p>
        </w:tc>
        <w:tc>
          <w:tcPr>
            <w:tcW w:w="15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招标文件</w:t>
            </w:r>
          </w:p>
          <w:p>
            <w:pPr>
              <w:pStyle w:val="9"/>
              <w:jc w:val="center"/>
              <w:rPr>
                <w:rFonts w:ascii="宋体" w:hAnsi="宋体" w:eastAsia="宋体" w:cs="宋体"/>
                <w:b/>
                <w:bCs/>
                <w:sz w:val="21"/>
                <w:szCs w:val="21"/>
              </w:rPr>
            </w:pPr>
            <w:r>
              <w:rPr>
                <w:rFonts w:hint="eastAsia" w:ascii="宋体" w:hAnsi="宋体" w:eastAsia="宋体" w:cs="宋体"/>
                <w:b/>
                <w:bCs/>
                <w:sz w:val="21"/>
                <w:szCs w:val="21"/>
              </w:rPr>
              <w:t>技术参数</w:t>
            </w:r>
          </w:p>
        </w:tc>
        <w:tc>
          <w:tcPr>
            <w:tcW w:w="156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投标技术</w:t>
            </w:r>
          </w:p>
          <w:p>
            <w:pPr>
              <w:pStyle w:val="9"/>
              <w:jc w:val="center"/>
              <w:rPr>
                <w:rFonts w:ascii="宋体" w:hAnsi="宋体" w:eastAsia="宋体" w:cs="宋体"/>
                <w:b/>
                <w:bCs/>
                <w:sz w:val="21"/>
                <w:szCs w:val="21"/>
              </w:rPr>
            </w:pPr>
            <w:r>
              <w:rPr>
                <w:rFonts w:hint="eastAsia" w:ascii="宋体" w:hAnsi="宋体" w:eastAsia="宋体" w:cs="宋体"/>
                <w:b/>
                <w:bCs/>
                <w:sz w:val="21"/>
                <w:szCs w:val="21"/>
              </w:rPr>
              <w:t>参数</w:t>
            </w:r>
          </w:p>
        </w:tc>
        <w:tc>
          <w:tcPr>
            <w:tcW w:w="1134"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偏离</w:t>
            </w:r>
          </w:p>
        </w:tc>
        <w:tc>
          <w:tcPr>
            <w:tcW w:w="1417"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偏离情况说明</w:t>
            </w:r>
          </w:p>
        </w:tc>
      </w:tr>
      <w:tr>
        <w:tblPrEx>
          <w:tblLayout w:type="fixed"/>
          <w:tblCellMar>
            <w:top w:w="0" w:type="dxa"/>
            <w:left w:w="108" w:type="dxa"/>
            <w:bottom w:w="0" w:type="dxa"/>
            <w:right w:w="108" w:type="dxa"/>
          </w:tblCellMar>
        </w:tblPrEx>
        <w:trPr>
          <w:trHeight w:val="851" w:hRule="atLeast"/>
        </w:trPr>
        <w:tc>
          <w:tcPr>
            <w:tcW w:w="8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bCs/>
                <w:szCs w:val="21"/>
              </w:rPr>
              <w:t>1</w:t>
            </w:r>
          </w:p>
        </w:tc>
        <w:tc>
          <w:tcPr>
            <w:tcW w:w="126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r>
        <w:tblPrEx>
          <w:tblLayout w:type="fixed"/>
          <w:tblCellMar>
            <w:top w:w="0" w:type="dxa"/>
            <w:left w:w="108" w:type="dxa"/>
            <w:bottom w:w="0" w:type="dxa"/>
            <w:right w:w="108" w:type="dxa"/>
          </w:tblCellMar>
        </w:tblPrEx>
        <w:trPr>
          <w:trHeight w:val="851" w:hRule="atLeast"/>
        </w:trPr>
        <w:tc>
          <w:tcPr>
            <w:tcW w:w="8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Cs/>
                <w:szCs w:val="21"/>
              </w:rPr>
            </w:pPr>
            <w:r>
              <w:rPr>
                <w:rFonts w:hint="eastAsia" w:asciiTheme="minorEastAsia" w:hAnsiTheme="minorEastAsia"/>
                <w:szCs w:val="21"/>
              </w:rPr>
              <w:t>…</w:t>
            </w:r>
          </w:p>
        </w:tc>
        <w:tc>
          <w:tcPr>
            <w:tcW w:w="1265"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59"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5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134"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Theme="minorEastAsia" w:hAnsiTheme="minorEastAsia"/>
                <w:b/>
                <w:bCs/>
                <w:szCs w:val="21"/>
              </w:rPr>
            </w:pPr>
          </w:p>
        </w:tc>
        <w:tc>
          <w:tcPr>
            <w:tcW w:w="141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Theme="minorEastAsia" w:hAnsiTheme="minorEastAsia"/>
                <w:b/>
                <w:bCs/>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投标人法定代表人（或授权代表）签字：</w:t>
      </w:r>
    </w:p>
    <w:p>
      <w:pPr>
        <w:autoSpaceDE w:val="0"/>
        <w:autoSpaceDN w:val="0"/>
        <w:adjustRightInd w:val="0"/>
        <w:spacing w:line="360" w:lineRule="auto"/>
        <w:jc w:val="center"/>
        <w:outlineLvl w:val="0"/>
        <w:rPr>
          <w:rFonts w:ascii="宋体" w:hAnsi="宋体"/>
          <w:b/>
          <w:bCs/>
          <w:sz w:val="24"/>
          <w:szCs w:val="24"/>
        </w:rPr>
      </w:pPr>
      <w:r>
        <w:rPr>
          <w:rFonts w:hint="eastAsia" w:ascii="宋体" w:hAnsi="宋体"/>
          <w:b/>
          <w:bCs/>
          <w:sz w:val="24"/>
          <w:szCs w:val="24"/>
        </w:rPr>
        <w:br w:type="page"/>
      </w:r>
    </w:p>
    <w:p>
      <w:pPr>
        <w:autoSpaceDE w:val="0"/>
        <w:autoSpaceDN w:val="0"/>
        <w:adjustRightInd w:val="0"/>
        <w:spacing w:line="360" w:lineRule="auto"/>
        <w:jc w:val="center"/>
        <w:outlineLvl w:val="0"/>
        <w:rPr>
          <w:rFonts w:ascii="宋体" w:hAnsi="宋体"/>
          <w:b/>
          <w:bCs/>
          <w:sz w:val="24"/>
          <w:szCs w:val="24"/>
        </w:rPr>
      </w:pPr>
      <w:r>
        <w:rPr>
          <w:rFonts w:hint="eastAsia" w:ascii="宋体" w:hAnsi="宋体"/>
          <w:b/>
          <w:bCs/>
          <w:sz w:val="24"/>
          <w:szCs w:val="24"/>
        </w:rPr>
        <w:t>4.3 技术方案（实施方案）</w:t>
      </w: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（投标人根据招标文件要求自行编制，需提供项目配备服务人员情况表）</w:t>
      </w:r>
    </w:p>
    <w:tbl>
      <w:tblPr>
        <w:tblStyle w:val="26"/>
        <w:tblW w:w="85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83"/>
        <w:gridCol w:w="718"/>
        <w:gridCol w:w="716"/>
        <w:gridCol w:w="1076"/>
        <w:gridCol w:w="1434"/>
        <w:gridCol w:w="1389"/>
        <w:gridCol w:w="15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68" w:hRule="atLeast"/>
          <w:jc w:val="center"/>
        </w:trPr>
        <w:tc>
          <w:tcPr>
            <w:tcW w:w="1583" w:type="dxa"/>
            <w:vMerge w:val="restart"/>
            <w:vAlign w:val="center"/>
          </w:tcPr>
          <w:p>
            <w:pPr>
              <w:autoSpaceDE w:val="0"/>
              <w:autoSpaceDN w:val="0"/>
              <w:adjustRightInd w:val="0"/>
              <w:spacing w:line="360" w:lineRule="auto"/>
              <w:outlineLvl w:val="0"/>
              <w:rPr>
                <w:rFonts w:ascii="宋体" w:cs="宋体"/>
                <w:sz w:val="24"/>
                <w:lang w:val="zh-CN"/>
              </w:rPr>
            </w:pPr>
            <w:r>
              <w:rPr>
                <w:rFonts w:hint="eastAsia" w:ascii="宋体" w:cs="宋体"/>
                <w:sz w:val="24"/>
                <w:lang w:val="zh-CN"/>
              </w:rPr>
              <w:t>姓 名</w:t>
            </w:r>
          </w:p>
        </w:tc>
        <w:tc>
          <w:tcPr>
            <w:tcW w:w="718" w:type="dxa"/>
            <w:vMerge w:val="restart"/>
            <w:vAlign w:val="center"/>
          </w:tcPr>
          <w:p>
            <w:pPr>
              <w:autoSpaceDE w:val="0"/>
              <w:autoSpaceDN w:val="0"/>
              <w:adjustRightInd w:val="0"/>
              <w:spacing w:line="360" w:lineRule="auto"/>
              <w:outlineLvl w:val="0"/>
              <w:rPr>
                <w:rFonts w:ascii="宋体" w:cs="宋体"/>
                <w:sz w:val="24"/>
                <w:lang w:val="zh-CN"/>
              </w:rPr>
            </w:pPr>
            <w:r>
              <w:rPr>
                <w:rFonts w:hint="eastAsia" w:ascii="宋体" w:cs="宋体"/>
                <w:sz w:val="24"/>
                <w:lang w:val="zh-CN"/>
              </w:rPr>
              <w:t>性别</w:t>
            </w:r>
          </w:p>
        </w:tc>
        <w:tc>
          <w:tcPr>
            <w:tcW w:w="716" w:type="dxa"/>
            <w:vMerge w:val="restart"/>
            <w:vAlign w:val="center"/>
          </w:tcPr>
          <w:p>
            <w:pPr>
              <w:autoSpaceDE w:val="0"/>
              <w:autoSpaceDN w:val="0"/>
              <w:adjustRightInd w:val="0"/>
              <w:spacing w:line="360" w:lineRule="auto"/>
              <w:outlineLvl w:val="0"/>
              <w:rPr>
                <w:rFonts w:ascii="宋体" w:cs="宋体"/>
                <w:sz w:val="24"/>
                <w:lang w:val="zh-CN"/>
              </w:rPr>
            </w:pPr>
            <w:r>
              <w:rPr>
                <w:rFonts w:hint="eastAsia" w:ascii="宋体" w:cs="宋体"/>
                <w:sz w:val="24"/>
                <w:lang w:val="zh-CN"/>
              </w:rPr>
              <w:t>年龄</w:t>
            </w:r>
          </w:p>
        </w:tc>
        <w:tc>
          <w:tcPr>
            <w:tcW w:w="1076" w:type="dxa"/>
            <w:vMerge w:val="restart"/>
            <w:vAlign w:val="center"/>
          </w:tcPr>
          <w:p>
            <w:pPr>
              <w:autoSpaceDE w:val="0"/>
              <w:autoSpaceDN w:val="0"/>
              <w:adjustRightInd w:val="0"/>
              <w:spacing w:line="360" w:lineRule="auto"/>
              <w:outlineLvl w:val="0"/>
              <w:rPr>
                <w:rFonts w:ascii="宋体" w:cs="宋体"/>
                <w:sz w:val="24"/>
                <w:lang w:val="zh-CN"/>
              </w:rPr>
            </w:pPr>
            <w:r>
              <w:rPr>
                <w:rFonts w:hint="eastAsia" w:ascii="宋体" w:cs="宋体"/>
                <w:sz w:val="24"/>
                <w:lang w:val="zh-CN"/>
              </w:rPr>
              <w:t>学历</w:t>
            </w:r>
          </w:p>
        </w:tc>
        <w:tc>
          <w:tcPr>
            <w:tcW w:w="1434" w:type="dxa"/>
            <w:vMerge w:val="restart"/>
            <w:vAlign w:val="center"/>
          </w:tcPr>
          <w:p>
            <w:pPr>
              <w:autoSpaceDE w:val="0"/>
              <w:autoSpaceDN w:val="0"/>
              <w:adjustRightInd w:val="0"/>
              <w:spacing w:line="360" w:lineRule="auto"/>
              <w:outlineLvl w:val="0"/>
              <w:rPr>
                <w:rFonts w:ascii="宋体" w:cs="宋体"/>
                <w:sz w:val="24"/>
                <w:lang w:val="zh-CN"/>
              </w:rPr>
            </w:pPr>
            <w:r>
              <w:rPr>
                <w:rFonts w:hint="eastAsia" w:ascii="宋体" w:cs="宋体"/>
                <w:sz w:val="24"/>
                <w:lang w:val="zh-CN"/>
              </w:rPr>
              <w:t>从事</w:t>
            </w:r>
          </w:p>
          <w:p>
            <w:pPr>
              <w:autoSpaceDE w:val="0"/>
              <w:autoSpaceDN w:val="0"/>
              <w:adjustRightInd w:val="0"/>
              <w:spacing w:line="360" w:lineRule="auto"/>
              <w:outlineLvl w:val="0"/>
              <w:rPr>
                <w:rFonts w:ascii="宋体" w:cs="宋体"/>
                <w:sz w:val="24"/>
                <w:lang w:val="zh-CN"/>
              </w:rPr>
            </w:pPr>
            <w:r>
              <w:rPr>
                <w:rFonts w:hint="eastAsia" w:ascii="宋体" w:cs="宋体"/>
                <w:sz w:val="24"/>
                <w:lang w:val="zh-CN"/>
              </w:rPr>
              <w:t>专业</w:t>
            </w:r>
          </w:p>
        </w:tc>
        <w:tc>
          <w:tcPr>
            <w:tcW w:w="1389" w:type="dxa"/>
            <w:vMerge w:val="restart"/>
            <w:vAlign w:val="center"/>
          </w:tcPr>
          <w:p>
            <w:pPr>
              <w:autoSpaceDE w:val="0"/>
              <w:autoSpaceDN w:val="0"/>
              <w:adjustRightInd w:val="0"/>
              <w:spacing w:line="360" w:lineRule="auto"/>
              <w:outlineLvl w:val="0"/>
              <w:rPr>
                <w:rFonts w:ascii="宋体" w:cs="宋体"/>
                <w:sz w:val="24"/>
                <w:lang w:val="zh-CN"/>
              </w:rPr>
            </w:pPr>
            <w:r>
              <w:rPr>
                <w:rFonts w:hint="eastAsia" w:ascii="宋体" w:cs="宋体"/>
                <w:sz w:val="24"/>
                <w:lang w:val="zh-CN"/>
              </w:rPr>
              <w:t>何时从事</w:t>
            </w:r>
          </w:p>
          <w:p>
            <w:pPr>
              <w:autoSpaceDE w:val="0"/>
              <w:autoSpaceDN w:val="0"/>
              <w:adjustRightInd w:val="0"/>
              <w:spacing w:line="360" w:lineRule="auto"/>
              <w:outlineLvl w:val="0"/>
              <w:rPr>
                <w:rFonts w:ascii="宋体" w:cs="宋体"/>
                <w:sz w:val="24"/>
                <w:lang w:val="zh-CN"/>
              </w:rPr>
            </w:pPr>
            <w:r>
              <w:rPr>
                <w:rFonts w:hint="eastAsia" w:ascii="宋体" w:cs="宋体"/>
                <w:sz w:val="24"/>
                <w:lang w:val="zh-CN"/>
              </w:rPr>
              <w:t>工作</w:t>
            </w:r>
          </w:p>
        </w:tc>
        <w:tc>
          <w:tcPr>
            <w:tcW w:w="1584" w:type="dxa"/>
            <w:vMerge w:val="restart"/>
            <w:vAlign w:val="center"/>
          </w:tcPr>
          <w:p>
            <w:pPr>
              <w:autoSpaceDE w:val="0"/>
              <w:autoSpaceDN w:val="0"/>
              <w:adjustRightInd w:val="0"/>
              <w:spacing w:line="360" w:lineRule="auto"/>
              <w:outlineLvl w:val="0"/>
              <w:rPr>
                <w:rFonts w:ascii="宋体" w:cs="宋体"/>
                <w:sz w:val="24"/>
                <w:lang w:val="zh-CN"/>
              </w:rPr>
            </w:pPr>
            <w:r>
              <w:rPr>
                <w:rFonts w:hint="eastAsia" w:ascii="宋体" w:cs="宋体"/>
                <w:sz w:val="24"/>
                <w:lang w:val="zh-CN"/>
              </w:rPr>
              <w:t>岗位资格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66" w:hRule="atLeast"/>
          <w:jc w:val="center"/>
        </w:trPr>
        <w:tc>
          <w:tcPr>
            <w:tcW w:w="1583" w:type="dxa"/>
            <w:vMerge w:val="continue"/>
            <w:vAlign w:val="center"/>
          </w:tcPr>
          <w:p>
            <w:pPr>
              <w:autoSpaceDE w:val="0"/>
              <w:autoSpaceDN w:val="0"/>
              <w:adjustRightInd w:val="0"/>
              <w:spacing w:line="360" w:lineRule="auto"/>
              <w:outlineLvl w:val="0"/>
              <w:rPr>
                <w:rFonts w:ascii="宋体" w:cs="宋体"/>
                <w:sz w:val="24"/>
                <w:lang w:val="zh-CN"/>
              </w:rPr>
            </w:pPr>
          </w:p>
        </w:tc>
        <w:tc>
          <w:tcPr>
            <w:tcW w:w="718" w:type="dxa"/>
            <w:vMerge w:val="continue"/>
            <w:vAlign w:val="center"/>
          </w:tcPr>
          <w:p>
            <w:pPr>
              <w:autoSpaceDE w:val="0"/>
              <w:autoSpaceDN w:val="0"/>
              <w:adjustRightInd w:val="0"/>
              <w:spacing w:line="360" w:lineRule="auto"/>
              <w:outlineLvl w:val="0"/>
              <w:rPr>
                <w:rFonts w:ascii="宋体" w:cs="宋体"/>
                <w:sz w:val="24"/>
                <w:lang w:val="zh-CN"/>
              </w:rPr>
            </w:pPr>
          </w:p>
        </w:tc>
        <w:tc>
          <w:tcPr>
            <w:tcW w:w="716" w:type="dxa"/>
            <w:vMerge w:val="continue"/>
            <w:vAlign w:val="center"/>
          </w:tcPr>
          <w:p>
            <w:pPr>
              <w:autoSpaceDE w:val="0"/>
              <w:autoSpaceDN w:val="0"/>
              <w:adjustRightInd w:val="0"/>
              <w:spacing w:line="360" w:lineRule="auto"/>
              <w:outlineLvl w:val="0"/>
              <w:rPr>
                <w:rFonts w:ascii="宋体" w:cs="宋体"/>
                <w:sz w:val="24"/>
                <w:lang w:val="zh-CN"/>
              </w:rPr>
            </w:pPr>
          </w:p>
        </w:tc>
        <w:tc>
          <w:tcPr>
            <w:tcW w:w="1076" w:type="dxa"/>
            <w:vMerge w:val="continue"/>
            <w:vAlign w:val="center"/>
          </w:tcPr>
          <w:p>
            <w:pPr>
              <w:autoSpaceDE w:val="0"/>
              <w:autoSpaceDN w:val="0"/>
              <w:adjustRightInd w:val="0"/>
              <w:spacing w:line="360" w:lineRule="auto"/>
              <w:outlineLvl w:val="0"/>
              <w:rPr>
                <w:rFonts w:ascii="宋体" w:cs="宋体"/>
                <w:sz w:val="24"/>
                <w:lang w:val="zh-CN"/>
              </w:rPr>
            </w:pPr>
          </w:p>
        </w:tc>
        <w:tc>
          <w:tcPr>
            <w:tcW w:w="1434" w:type="dxa"/>
            <w:vMerge w:val="continue"/>
            <w:vAlign w:val="center"/>
          </w:tcPr>
          <w:p>
            <w:pPr>
              <w:autoSpaceDE w:val="0"/>
              <w:autoSpaceDN w:val="0"/>
              <w:adjustRightInd w:val="0"/>
              <w:spacing w:line="360" w:lineRule="auto"/>
              <w:outlineLvl w:val="0"/>
              <w:rPr>
                <w:rFonts w:ascii="宋体" w:cs="宋体"/>
                <w:sz w:val="24"/>
                <w:lang w:val="zh-CN"/>
              </w:rPr>
            </w:pPr>
          </w:p>
        </w:tc>
        <w:tc>
          <w:tcPr>
            <w:tcW w:w="1389" w:type="dxa"/>
            <w:vMerge w:val="continue"/>
            <w:vAlign w:val="center"/>
          </w:tcPr>
          <w:p>
            <w:pPr>
              <w:autoSpaceDE w:val="0"/>
              <w:autoSpaceDN w:val="0"/>
              <w:adjustRightInd w:val="0"/>
              <w:spacing w:line="360" w:lineRule="auto"/>
              <w:outlineLvl w:val="0"/>
              <w:rPr>
                <w:rFonts w:ascii="宋体" w:cs="宋体"/>
                <w:sz w:val="24"/>
                <w:lang w:val="zh-CN"/>
              </w:rPr>
            </w:pPr>
          </w:p>
        </w:tc>
        <w:tc>
          <w:tcPr>
            <w:tcW w:w="1584" w:type="dxa"/>
            <w:vMerge w:val="continue"/>
            <w:vAlign w:val="center"/>
          </w:tcPr>
          <w:p>
            <w:pPr>
              <w:autoSpaceDE w:val="0"/>
              <w:autoSpaceDN w:val="0"/>
              <w:adjustRightInd w:val="0"/>
              <w:spacing w:line="360" w:lineRule="auto"/>
              <w:outlineLvl w:val="0"/>
              <w:rPr>
                <w:rFonts w:ascii="宋体" w:cs="宋体"/>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7" w:hRule="atLeast"/>
          <w:jc w:val="center"/>
        </w:trPr>
        <w:tc>
          <w:tcPr>
            <w:tcW w:w="1583" w:type="dxa"/>
            <w:vAlign w:val="center"/>
          </w:tcPr>
          <w:p>
            <w:pPr>
              <w:autoSpaceDE w:val="0"/>
              <w:autoSpaceDN w:val="0"/>
              <w:adjustRightInd w:val="0"/>
              <w:spacing w:line="360" w:lineRule="auto"/>
              <w:outlineLvl w:val="0"/>
              <w:rPr>
                <w:rFonts w:ascii="宋体" w:cs="宋体"/>
                <w:sz w:val="24"/>
                <w:lang w:val="zh-CN"/>
              </w:rPr>
            </w:pPr>
          </w:p>
        </w:tc>
        <w:tc>
          <w:tcPr>
            <w:tcW w:w="718" w:type="dxa"/>
            <w:vAlign w:val="center"/>
          </w:tcPr>
          <w:p>
            <w:pPr>
              <w:autoSpaceDE w:val="0"/>
              <w:autoSpaceDN w:val="0"/>
              <w:adjustRightInd w:val="0"/>
              <w:spacing w:line="360" w:lineRule="auto"/>
              <w:outlineLvl w:val="0"/>
              <w:rPr>
                <w:rFonts w:ascii="宋体" w:cs="宋体"/>
                <w:sz w:val="24"/>
                <w:lang w:val="zh-CN"/>
              </w:rPr>
            </w:pPr>
          </w:p>
        </w:tc>
        <w:tc>
          <w:tcPr>
            <w:tcW w:w="716" w:type="dxa"/>
            <w:vAlign w:val="center"/>
          </w:tcPr>
          <w:p>
            <w:pPr>
              <w:autoSpaceDE w:val="0"/>
              <w:autoSpaceDN w:val="0"/>
              <w:adjustRightInd w:val="0"/>
              <w:spacing w:line="360" w:lineRule="auto"/>
              <w:outlineLvl w:val="0"/>
              <w:rPr>
                <w:rFonts w:ascii="宋体" w:cs="宋体"/>
                <w:sz w:val="24"/>
                <w:lang w:val="zh-CN"/>
              </w:rPr>
            </w:pPr>
          </w:p>
        </w:tc>
        <w:tc>
          <w:tcPr>
            <w:tcW w:w="1076" w:type="dxa"/>
            <w:vAlign w:val="center"/>
          </w:tcPr>
          <w:p>
            <w:pPr>
              <w:autoSpaceDE w:val="0"/>
              <w:autoSpaceDN w:val="0"/>
              <w:adjustRightInd w:val="0"/>
              <w:spacing w:line="360" w:lineRule="auto"/>
              <w:outlineLvl w:val="0"/>
              <w:rPr>
                <w:rFonts w:ascii="宋体" w:cs="宋体"/>
                <w:sz w:val="24"/>
                <w:lang w:val="zh-CN"/>
              </w:rPr>
            </w:pPr>
          </w:p>
        </w:tc>
        <w:tc>
          <w:tcPr>
            <w:tcW w:w="1434" w:type="dxa"/>
            <w:vAlign w:val="center"/>
          </w:tcPr>
          <w:p>
            <w:pPr>
              <w:autoSpaceDE w:val="0"/>
              <w:autoSpaceDN w:val="0"/>
              <w:adjustRightInd w:val="0"/>
              <w:spacing w:line="360" w:lineRule="auto"/>
              <w:outlineLvl w:val="0"/>
              <w:rPr>
                <w:rFonts w:ascii="宋体" w:cs="宋体"/>
                <w:sz w:val="24"/>
                <w:lang w:val="zh-CN"/>
              </w:rPr>
            </w:pPr>
          </w:p>
        </w:tc>
        <w:tc>
          <w:tcPr>
            <w:tcW w:w="1389" w:type="dxa"/>
            <w:vAlign w:val="center"/>
          </w:tcPr>
          <w:p>
            <w:pPr>
              <w:autoSpaceDE w:val="0"/>
              <w:autoSpaceDN w:val="0"/>
              <w:adjustRightInd w:val="0"/>
              <w:spacing w:line="360" w:lineRule="auto"/>
              <w:outlineLvl w:val="0"/>
              <w:rPr>
                <w:rFonts w:ascii="宋体" w:cs="宋体"/>
                <w:sz w:val="24"/>
                <w:lang w:val="zh-CN"/>
              </w:rPr>
            </w:pPr>
          </w:p>
        </w:tc>
        <w:tc>
          <w:tcPr>
            <w:tcW w:w="1584" w:type="dxa"/>
            <w:vAlign w:val="center"/>
          </w:tcPr>
          <w:p>
            <w:pPr>
              <w:autoSpaceDE w:val="0"/>
              <w:autoSpaceDN w:val="0"/>
              <w:adjustRightInd w:val="0"/>
              <w:spacing w:line="360" w:lineRule="auto"/>
              <w:outlineLvl w:val="0"/>
              <w:rPr>
                <w:rFonts w:ascii="宋体" w:cs="宋体"/>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7" w:hRule="atLeast"/>
          <w:jc w:val="center"/>
        </w:trPr>
        <w:tc>
          <w:tcPr>
            <w:tcW w:w="1583" w:type="dxa"/>
            <w:vAlign w:val="center"/>
          </w:tcPr>
          <w:p>
            <w:pPr>
              <w:autoSpaceDE w:val="0"/>
              <w:autoSpaceDN w:val="0"/>
              <w:adjustRightInd w:val="0"/>
              <w:spacing w:line="360" w:lineRule="auto"/>
              <w:outlineLvl w:val="0"/>
              <w:rPr>
                <w:rFonts w:ascii="宋体" w:cs="宋体"/>
                <w:sz w:val="24"/>
                <w:lang w:val="zh-CN"/>
              </w:rPr>
            </w:pPr>
          </w:p>
        </w:tc>
        <w:tc>
          <w:tcPr>
            <w:tcW w:w="718" w:type="dxa"/>
            <w:vAlign w:val="center"/>
          </w:tcPr>
          <w:p>
            <w:pPr>
              <w:autoSpaceDE w:val="0"/>
              <w:autoSpaceDN w:val="0"/>
              <w:adjustRightInd w:val="0"/>
              <w:spacing w:line="360" w:lineRule="auto"/>
              <w:outlineLvl w:val="0"/>
              <w:rPr>
                <w:rFonts w:ascii="宋体" w:cs="宋体"/>
                <w:sz w:val="24"/>
                <w:lang w:val="zh-CN"/>
              </w:rPr>
            </w:pPr>
          </w:p>
        </w:tc>
        <w:tc>
          <w:tcPr>
            <w:tcW w:w="716" w:type="dxa"/>
            <w:vAlign w:val="center"/>
          </w:tcPr>
          <w:p>
            <w:pPr>
              <w:autoSpaceDE w:val="0"/>
              <w:autoSpaceDN w:val="0"/>
              <w:adjustRightInd w:val="0"/>
              <w:spacing w:line="360" w:lineRule="auto"/>
              <w:outlineLvl w:val="0"/>
              <w:rPr>
                <w:rFonts w:ascii="宋体" w:cs="宋体"/>
                <w:sz w:val="24"/>
                <w:lang w:val="zh-CN"/>
              </w:rPr>
            </w:pPr>
          </w:p>
        </w:tc>
        <w:tc>
          <w:tcPr>
            <w:tcW w:w="1076" w:type="dxa"/>
            <w:vAlign w:val="center"/>
          </w:tcPr>
          <w:p>
            <w:pPr>
              <w:autoSpaceDE w:val="0"/>
              <w:autoSpaceDN w:val="0"/>
              <w:adjustRightInd w:val="0"/>
              <w:spacing w:line="360" w:lineRule="auto"/>
              <w:outlineLvl w:val="0"/>
              <w:rPr>
                <w:rFonts w:ascii="宋体" w:cs="宋体"/>
                <w:sz w:val="24"/>
                <w:lang w:val="zh-CN"/>
              </w:rPr>
            </w:pPr>
          </w:p>
        </w:tc>
        <w:tc>
          <w:tcPr>
            <w:tcW w:w="1434" w:type="dxa"/>
            <w:vAlign w:val="center"/>
          </w:tcPr>
          <w:p>
            <w:pPr>
              <w:autoSpaceDE w:val="0"/>
              <w:autoSpaceDN w:val="0"/>
              <w:adjustRightInd w:val="0"/>
              <w:spacing w:line="360" w:lineRule="auto"/>
              <w:outlineLvl w:val="0"/>
              <w:rPr>
                <w:rFonts w:ascii="宋体" w:cs="宋体"/>
                <w:sz w:val="24"/>
                <w:lang w:val="zh-CN"/>
              </w:rPr>
            </w:pPr>
          </w:p>
        </w:tc>
        <w:tc>
          <w:tcPr>
            <w:tcW w:w="1389" w:type="dxa"/>
            <w:vAlign w:val="center"/>
          </w:tcPr>
          <w:p>
            <w:pPr>
              <w:autoSpaceDE w:val="0"/>
              <w:autoSpaceDN w:val="0"/>
              <w:adjustRightInd w:val="0"/>
              <w:spacing w:line="360" w:lineRule="auto"/>
              <w:outlineLvl w:val="0"/>
              <w:rPr>
                <w:rFonts w:ascii="宋体" w:cs="宋体"/>
                <w:sz w:val="24"/>
                <w:lang w:val="zh-CN"/>
              </w:rPr>
            </w:pPr>
          </w:p>
        </w:tc>
        <w:tc>
          <w:tcPr>
            <w:tcW w:w="1584" w:type="dxa"/>
            <w:vAlign w:val="center"/>
          </w:tcPr>
          <w:p>
            <w:pPr>
              <w:autoSpaceDE w:val="0"/>
              <w:autoSpaceDN w:val="0"/>
              <w:adjustRightInd w:val="0"/>
              <w:spacing w:line="360" w:lineRule="auto"/>
              <w:outlineLvl w:val="0"/>
              <w:rPr>
                <w:rFonts w:ascii="宋体" w:cs="宋体"/>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7" w:hRule="atLeast"/>
          <w:jc w:val="center"/>
        </w:trPr>
        <w:tc>
          <w:tcPr>
            <w:tcW w:w="1583" w:type="dxa"/>
            <w:vAlign w:val="center"/>
          </w:tcPr>
          <w:p>
            <w:pPr>
              <w:autoSpaceDE w:val="0"/>
              <w:autoSpaceDN w:val="0"/>
              <w:adjustRightInd w:val="0"/>
              <w:spacing w:line="360" w:lineRule="auto"/>
              <w:outlineLvl w:val="0"/>
              <w:rPr>
                <w:rFonts w:ascii="宋体" w:cs="宋体"/>
                <w:sz w:val="24"/>
                <w:lang w:val="zh-CN"/>
              </w:rPr>
            </w:pPr>
          </w:p>
        </w:tc>
        <w:tc>
          <w:tcPr>
            <w:tcW w:w="718" w:type="dxa"/>
            <w:vAlign w:val="center"/>
          </w:tcPr>
          <w:p>
            <w:pPr>
              <w:autoSpaceDE w:val="0"/>
              <w:autoSpaceDN w:val="0"/>
              <w:adjustRightInd w:val="0"/>
              <w:spacing w:line="360" w:lineRule="auto"/>
              <w:outlineLvl w:val="0"/>
              <w:rPr>
                <w:rFonts w:ascii="宋体" w:cs="宋体"/>
                <w:sz w:val="24"/>
                <w:lang w:val="zh-CN"/>
              </w:rPr>
            </w:pPr>
          </w:p>
        </w:tc>
        <w:tc>
          <w:tcPr>
            <w:tcW w:w="716" w:type="dxa"/>
            <w:vAlign w:val="center"/>
          </w:tcPr>
          <w:p>
            <w:pPr>
              <w:autoSpaceDE w:val="0"/>
              <w:autoSpaceDN w:val="0"/>
              <w:adjustRightInd w:val="0"/>
              <w:spacing w:line="360" w:lineRule="auto"/>
              <w:outlineLvl w:val="0"/>
              <w:rPr>
                <w:rFonts w:ascii="宋体" w:cs="宋体"/>
                <w:sz w:val="24"/>
                <w:lang w:val="zh-CN"/>
              </w:rPr>
            </w:pPr>
          </w:p>
        </w:tc>
        <w:tc>
          <w:tcPr>
            <w:tcW w:w="1076" w:type="dxa"/>
            <w:vAlign w:val="center"/>
          </w:tcPr>
          <w:p>
            <w:pPr>
              <w:autoSpaceDE w:val="0"/>
              <w:autoSpaceDN w:val="0"/>
              <w:adjustRightInd w:val="0"/>
              <w:spacing w:line="360" w:lineRule="auto"/>
              <w:outlineLvl w:val="0"/>
              <w:rPr>
                <w:rFonts w:ascii="宋体" w:cs="宋体"/>
                <w:sz w:val="24"/>
                <w:lang w:val="zh-CN"/>
              </w:rPr>
            </w:pPr>
          </w:p>
        </w:tc>
        <w:tc>
          <w:tcPr>
            <w:tcW w:w="1434" w:type="dxa"/>
            <w:vAlign w:val="center"/>
          </w:tcPr>
          <w:p>
            <w:pPr>
              <w:autoSpaceDE w:val="0"/>
              <w:autoSpaceDN w:val="0"/>
              <w:adjustRightInd w:val="0"/>
              <w:spacing w:line="360" w:lineRule="auto"/>
              <w:outlineLvl w:val="0"/>
              <w:rPr>
                <w:rFonts w:ascii="宋体" w:cs="宋体"/>
                <w:sz w:val="24"/>
                <w:lang w:val="zh-CN"/>
              </w:rPr>
            </w:pPr>
          </w:p>
        </w:tc>
        <w:tc>
          <w:tcPr>
            <w:tcW w:w="1389" w:type="dxa"/>
            <w:vAlign w:val="center"/>
          </w:tcPr>
          <w:p>
            <w:pPr>
              <w:autoSpaceDE w:val="0"/>
              <w:autoSpaceDN w:val="0"/>
              <w:adjustRightInd w:val="0"/>
              <w:spacing w:line="360" w:lineRule="auto"/>
              <w:outlineLvl w:val="0"/>
              <w:rPr>
                <w:rFonts w:ascii="宋体" w:cs="宋体"/>
                <w:sz w:val="24"/>
                <w:lang w:val="zh-CN"/>
              </w:rPr>
            </w:pPr>
          </w:p>
        </w:tc>
        <w:tc>
          <w:tcPr>
            <w:tcW w:w="1584" w:type="dxa"/>
            <w:vAlign w:val="center"/>
          </w:tcPr>
          <w:p>
            <w:pPr>
              <w:autoSpaceDE w:val="0"/>
              <w:autoSpaceDN w:val="0"/>
              <w:adjustRightInd w:val="0"/>
              <w:spacing w:line="360" w:lineRule="auto"/>
              <w:outlineLvl w:val="0"/>
              <w:rPr>
                <w:rFonts w:ascii="宋体" w:cs="宋体"/>
                <w:sz w:val="24"/>
                <w:lang w:val="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4" w:hRule="atLeast"/>
          <w:jc w:val="center"/>
        </w:trPr>
        <w:tc>
          <w:tcPr>
            <w:tcW w:w="1583" w:type="dxa"/>
            <w:vAlign w:val="center"/>
          </w:tcPr>
          <w:p>
            <w:pPr>
              <w:autoSpaceDE w:val="0"/>
              <w:autoSpaceDN w:val="0"/>
              <w:adjustRightInd w:val="0"/>
              <w:spacing w:line="360" w:lineRule="auto"/>
              <w:outlineLvl w:val="0"/>
              <w:rPr>
                <w:rFonts w:ascii="宋体" w:cs="宋体"/>
                <w:sz w:val="24"/>
                <w:lang w:val="zh-CN"/>
              </w:rPr>
            </w:pPr>
          </w:p>
        </w:tc>
        <w:tc>
          <w:tcPr>
            <w:tcW w:w="718" w:type="dxa"/>
            <w:vAlign w:val="center"/>
          </w:tcPr>
          <w:p>
            <w:pPr>
              <w:autoSpaceDE w:val="0"/>
              <w:autoSpaceDN w:val="0"/>
              <w:adjustRightInd w:val="0"/>
              <w:spacing w:line="360" w:lineRule="auto"/>
              <w:outlineLvl w:val="0"/>
              <w:rPr>
                <w:rFonts w:ascii="宋体" w:cs="宋体"/>
                <w:sz w:val="24"/>
                <w:lang w:val="zh-CN"/>
              </w:rPr>
            </w:pPr>
          </w:p>
        </w:tc>
        <w:tc>
          <w:tcPr>
            <w:tcW w:w="716" w:type="dxa"/>
            <w:vAlign w:val="center"/>
          </w:tcPr>
          <w:p>
            <w:pPr>
              <w:autoSpaceDE w:val="0"/>
              <w:autoSpaceDN w:val="0"/>
              <w:adjustRightInd w:val="0"/>
              <w:spacing w:line="360" w:lineRule="auto"/>
              <w:outlineLvl w:val="0"/>
              <w:rPr>
                <w:rFonts w:ascii="宋体" w:cs="宋体"/>
                <w:sz w:val="24"/>
                <w:lang w:val="zh-CN"/>
              </w:rPr>
            </w:pPr>
          </w:p>
        </w:tc>
        <w:tc>
          <w:tcPr>
            <w:tcW w:w="1076" w:type="dxa"/>
            <w:vAlign w:val="center"/>
          </w:tcPr>
          <w:p>
            <w:pPr>
              <w:autoSpaceDE w:val="0"/>
              <w:autoSpaceDN w:val="0"/>
              <w:adjustRightInd w:val="0"/>
              <w:spacing w:line="360" w:lineRule="auto"/>
              <w:outlineLvl w:val="0"/>
              <w:rPr>
                <w:rFonts w:ascii="宋体" w:cs="宋体"/>
                <w:sz w:val="24"/>
                <w:lang w:val="zh-CN"/>
              </w:rPr>
            </w:pPr>
          </w:p>
        </w:tc>
        <w:tc>
          <w:tcPr>
            <w:tcW w:w="1434" w:type="dxa"/>
            <w:vAlign w:val="center"/>
          </w:tcPr>
          <w:p>
            <w:pPr>
              <w:autoSpaceDE w:val="0"/>
              <w:autoSpaceDN w:val="0"/>
              <w:adjustRightInd w:val="0"/>
              <w:spacing w:line="360" w:lineRule="auto"/>
              <w:outlineLvl w:val="0"/>
              <w:rPr>
                <w:rFonts w:ascii="宋体" w:cs="宋体"/>
                <w:sz w:val="24"/>
                <w:lang w:val="zh-CN"/>
              </w:rPr>
            </w:pPr>
          </w:p>
        </w:tc>
        <w:tc>
          <w:tcPr>
            <w:tcW w:w="1389" w:type="dxa"/>
            <w:vAlign w:val="center"/>
          </w:tcPr>
          <w:p>
            <w:pPr>
              <w:autoSpaceDE w:val="0"/>
              <w:autoSpaceDN w:val="0"/>
              <w:adjustRightInd w:val="0"/>
              <w:spacing w:line="360" w:lineRule="auto"/>
              <w:outlineLvl w:val="0"/>
              <w:rPr>
                <w:rFonts w:ascii="宋体" w:cs="宋体"/>
                <w:sz w:val="24"/>
                <w:lang w:val="zh-CN"/>
              </w:rPr>
            </w:pPr>
          </w:p>
        </w:tc>
        <w:tc>
          <w:tcPr>
            <w:tcW w:w="1584" w:type="dxa"/>
            <w:vAlign w:val="center"/>
          </w:tcPr>
          <w:p>
            <w:pPr>
              <w:autoSpaceDE w:val="0"/>
              <w:autoSpaceDN w:val="0"/>
              <w:adjustRightInd w:val="0"/>
              <w:spacing w:line="360" w:lineRule="auto"/>
              <w:outlineLvl w:val="0"/>
              <w:rPr>
                <w:rFonts w:ascii="宋体" w:cs="宋体"/>
                <w:sz w:val="24"/>
                <w:lang w:val="zh-CN"/>
              </w:rPr>
            </w:pPr>
          </w:p>
        </w:tc>
      </w:tr>
    </w:tbl>
    <w:p>
      <w:pPr>
        <w:spacing w:after="156" w:afterLines="50" w:line="320" w:lineRule="exact"/>
        <w:rPr>
          <w:rFonts w:ascii="宋体" w:hAnsi="宋体" w:cs="Arial"/>
          <w:sz w:val="24"/>
          <w:szCs w:val="24"/>
          <w:u w:val="single"/>
        </w:rPr>
      </w:pPr>
      <w:r>
        <w:rPr>
          <w:rFonts w:hint="eastAsia" w:ascii="宋体" w:hAnsi="宋体" w:cs="Arial"/>
          <w:sz w:val="24"/>
          <w:szCs w:val="24"/>
        </w:rPr>
        <w:t>供应商名</w:t>
      </w:r>
      <w:r>
        <w:rPr>
          <w:rFonts w:ascii="宋体" w:hAnsi="宋体" w:cs="Arial"/>
          <w:sz w:val="24"/>
          <w:szCs w:val="24"/>
        </w:rPr>
        <w:t>称</w:t>
      </w:r>
      <w:r>
        <w:rPr>
          <w:rFonts w:hint="eastAsia" w:ascii="宋体" w:hAnsi="宋体" w:cs="Arial"/>
          <w:sz w:val="24"/>
          <w:szCs w:val="24"/>
        </w:rPr>
        <w:t>（并加</w:t>
      </w:r>
      <w:r>
        <w:rPr>
          <w:rFonts w:ascii="宋体" w:hAnsi="宋体" w:cs="Arial"/>
          <w:sz w:val="24"/>
          <w:szCs w:val="24"/>
        </w:rPr>
        <w:t>盖</w:t>
      </w:r>
      <w:r>
        <w:rPr>
          <w:rFonts w:hint="eastAsia" w:ascii="宋体" w:hAnsi="宋体" w:cs="Arial"/>
          <w:sz w:val="24"/>
          <w:szCs w:val="24"/>
        </w:rPr>
        <w:t>公章）：</w:t>
      </w:r>
    </w:p>
    <w:p>
      <w:pPr>
        <w:adjustRightInd w:val="0"/>
        <w:spacing w:before="60" w:after="156" w:afterLines="50" w:line="320" w:lineRule="exact"/>
        <w:jc w:val="left"/>
        <w:textAlignment w:val="baseline"/>
        <w:rPr>
          <w:rFonts w:ascii="宋体" w:hAnsi="宋体" w:cs="Arial"/>
          <w:kern w:val="0"/>
          <w:sz w:val="24"/>
          <w:szCs w:val="24"/>
        </w:rPr>
      </w:pPr>
      <w:r>
        <w:rPr>
          <w:rFonts w:hint="eastAsia" w:ascii="宋体" w:hAnsi="宋体" w:cs="Arial"/>
          <w:kern w:val="0"/>
          <w:sz w:val="24"/>
          <w:szCs w:val="24"/>
        </w:rPr>
        <w:t>法定代表人（代表人）或其授</w:t>
      </w:r>
      <w:r>
        <w:rPr>
          <w:rFonts w:ascii="宋体" w:hAnsi="宋体" w:cs="Arial"/>
          <w:kern w:val="0"/>
          <w:sz w:val="24"/>
          <w:szCs w:val="24"/>
        </w:rPr>
        <w:t>权</w:t>
      </w:r>
      <w:r>
        <w:rPr>
          <w:rFonts w:hint="eastAsia" w:ascii="宋体" w:hAnsi="宋体" w:cs="Arial"/>
          <w:kern w:val="0"/>
          <w:sz w:val="24"/>
          <w:szCs w:val="24"/>
        </w:rPr>
        <w:t>委托人：</w:t>
      </w:r>
      <w:r>
        <w:rPr>
          <w:rFonts w:hint="eastAsia" w:ascii="黑体" w:hAnsi="宋体" w:eastAsia="黑体" w:cs="Arial"/>
          <w:kern w:val="0"/>
          <w:szCs w:val="21"/>
          <w:u w:val="single"/>
        </w:rPr>
        <w:t>（法定代表人（代表人）可签字或加盖名章，授权委托人必须签字）</w:t>
      </w:r>
    </w:p>
    <w:p>
      <w:pPr>
        <w:snapToGrid w:val="0"/>
        <w:spacing w:line="360" w:lineRule="auto"/>
        <w:jc w:val="left"/>
        <w:rPr>
          <w:rFonts w:hAnsi="宋体" w:eastAsia="宋体"/>
          <w:bCs/>
          <w:snapToGrid w:val="0"/>
          <w:kern w:val="0"/>
          <w:sz w:val="36"/>
          <w:szCs w:val="36"/>
        </w:rPr>
      </w:pPr>
      <w:r>
        <w:rPr>
          <w:kern w:val="0"/>
          <w:sz w:val="24"/>
          <w:szCs w:val="20"/>
        </w:rPr>
        <w:t>签</w:t>
      </w:r>
      <w:r>
        <w:rPr>
          <w:rFonts w:hint="eastAsia"/>
          <w:kern w:val="0"/>
          <w:sz w:val="24"/>
          <w:szCs w:val="20"/>
        </w:rPr>
        <w:t>署日期：年月日</w:t>
      </w:r>
    </w:p>
    <w:p>
      <w:pPr>
        <w:autoSpaceDE w:val="0"/>
        <w:autoSpaceDN w:val="0"/>
        <w:adjustRightInd w:val="0"/>
        <w:spacing w:line="360" w:lineRule="auto"/>
        <w:jc w:val="center"/>
        <w:outlineLvl w:val="0"/>
        <w:rPr>
          <w:rFonts w:ascii="宋体" w:hAnsi="宋体"/>
          <w:b/>
          <w:bCs/>
          <w:sz w:val="24"/>
          <w:szCs w:val="24"/>
        </w:rPr>
      </w:pPr>
      <w:r>
        <w:rPr>
          <w:rFonts w:hint="eastAsia" w:ascii="宋体" w:hAnsi="宋体"/>
          <w:b/>
          <w:bCs/>
          <w:sz w:val="24"/>
          <w:szCs w:val="24"/>
        </w:rPr>
        <w:t>4.4 业绩情况表</w:t>
      </w:r>
    </w:p>
    <w:p>
      <w:pPr>
        <w:spacing w:before="50" w:after="156" w:afterLines="50" w:line="360" w:lineRule="auto"/>
        <w:contextualSpacing/>
        <w:jc w:val="left"/>
        <w:rPr>
          <w:rFonts w:asciiTheme="minorEastAsia" w:hAnsiTheme="minorEastAsia"/>
          <w:szCs w:val="21"/>
        </w:rPr>
      </w:pPr>
      <w:r>
        <w:rPr>
          <w:rFonts w:hint="eastAsia" w:asciiTheme="minorEastAsia" w:hAnsiTheme="minorEastAsia"/>
          <w:szCs w:val="21"/>
        </w:rPr>
        <w:t>项目编号：</w:t>
      </w:r>
    </w:p>
    <w:p>
      <w:pPr>
        <w:snapToGrid w:val="0"/>
        <w:spacing w:line="360" w:lineRule="auto"/>
        <w:rPr>
          <w:rFonts w:hAnsi="宋体" w:eastAsia="宋体"/>
          <w:b/>
          <w:snapToGrid w:val="0"/>
          <w:kern w:val="0"/>
          <w:szCs w:val="21"/>
        </w:rPr>
      </w:pPr>
      <w:r>
        <w:rPr>
          <w:rFonts w:hint="eastAsia" w:asciiTheme="minorEastAsia" w:hAnsiTheme="minorEastAsia"/>
          <w:szCs w:val="21"/>
        </w:rPr>
        <w:t xml:space="preserve">项目名称：   </w:t>
      </w:r>
    </w:p>
    <w:tbl>
      <w:tblPr>
        <w:tblStyle w:val="26"/>
        <w:tblW w:w="92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2"/>
        <w:gridCol w:w="1808"/>
        <w:gridCol w:w="3579"/>
        <w:gridCol w:w="1440"/>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7" w:hRule="atLeast"/>
        </w:trPr>
        <w:tc>
          <w:tcPr>
            <w:tcW w:w="712" w:type="dxa"/>
            <w:shd w:val="clear" w:color="auto" w:fill="F3F3F3"/>
            <w:vAlign w:val="center"/>
          </w:tcPr>
          <w:p>
            <w:pPr>
              <w:pStyle w:val="9"/>
              <w:jc w:val="center"/>
              <w:rPr>
                <w:rFonts w:ascii="宋体" w:hAnsi="宋体" w:eastAsia="宋体" w:cs="Times New Roman"/>
                <w:b/>
                <w:bCs/>
                <w:sz w:val="21"/>
                <w:szCs w:val="21"/>
              </w:rPr>
            </w:pPr>
            <w:r>
              <w:rPr>
                <w:rFonts w:hint="eastAsia" w:ascii="宋体" w:hAnsi="宋体" w:eastAsia="宋体" w:cs="宋体"/>
                <w:b/>
                <w:bCs/>
                <w:sz w:val="21"/>
                <w:szCs w:val="21"/>
              </w:rPr>
              <w:t>序号</w:t>
            </w:r>
          </w:p>
        </w:tc>
        <w:tc>
          <w:tcPr>
            <w:tcW w:w="1808" w:type="dxa"/>
            <w:shd w:val="clear" w:color="auto" w:fill="F3F3F3"/>
            <w:vAlign w:val="center"/>
          </w:tcPr>
          <w:p>
            <w:pPr>
              <w:pStyle w:val="9"/>
              <w:jc w:val="center"/>
              <w:rPr>
                <w:rFonts w:ascii="宋体" w:hAnsi="宋体" w:eastAsia="宋体" w:cs="Times New Roman"/>
                <w:b/>
                <w:bCs/>
                <w:sz w:val="21"/>
                <w:szCs w:val="21"/>
              </w:rPr>
            </w:pPr>
            <w:r>
              <w:rPr>
                <w:rFonts w:hint="eastAsia" w:ascii="宋体" w:hAnsi="宋体" w:eastAsia="宋体" w:cs="宋体"/>
                <w:b/>
                <w:bCs/>
                <w:sz w:val="21"/>
                <w:szCs w:val="21"/>
              </w:rPr>
              <w:t>客户单位名称</w:t>
            </w:r>
          </w:p>
        </w:tc>
        <w:tc>
          <w:tcPr>
            <w:tcW w:w="3579" w:type="dxa"/>
            <w:shd w:val="clear" w:color="auto" w:fill="F3F3F3"/>
            <w:vAlign w:val="center"/>
          </w:tcPr>
          <w:p>
            <w:pPr>
              <w:pStyle w:val="9"/>
              <w:jc w:val="center"/>
              <w:rPr>
                <w:rFonts w:ascii="宋体" w:hAnsi="宋体" w:eastAsia="宋体" w:cs="Times New Roman"/>
                <w:b/>
                <w:bCs/>
                <w:sz w:val="21"/>
                <w:szCs w:val="21"/>
              </w:rPr>
            </w:pPr>
            <w:r>
              <w:rPr>
                <w:rFonts w:hint="eastAsia" w:ascii="宋体" w:hAnsi="宋体" w:eastAsia="宋体" w:cs="宋体"/>
                <w:b/>
                <w:bCs/>
                <w:sz w:val="21"/>
                <w:szCs w:val="21"/>
              </w:rPr>
              <w:t>项目名称及主要内容</w:t>
            </w:r>
          </w:p>
        </w:tc>
        <w:tc>
          <w:tcPr>
            <w:tcW w:w="1440" w:type="dxa"/>
            <w:shd w:val="clear" w:color="auto" w:fill="F3F3F3"/>
            <w:vAlign w:val="center"/>
          </w:tcPr>
          <w:p>
            <w:pPr>
              <w:pStyle w:val="9"/>
              <w:jc w:val="center"/>
              <w:rPr>
                <w:rFonts w:ascii="宋体" w:hAnsi="宋体" w:eastAsia="宋体" w:cs="宋体"/>
                <w:b/>
                <w:bCs/>
                <w:sz w:val="21"/>
                <w:szCs w:val="21"/>
              </w:rPr>
            </w:pPr>
            <w:r>
              <w:rPr>
                <w:rFonts w:hint="eastAsia" w:ascii="宋体" w:hAnsi="宋体" w:eastAsia="宋体" w:cs="宋体"/>
                <w:b/>
                <w:bCs/>
                <w:sz w:val="21"/>
                <w:szCs w:val="21"/>
              </w:rPr>
              <w:t>合同金额</w:t>
            </w:r>
          </w:p>
          <w:p>
            <w:pPr>
              <w:pStyle w:val="9"/>
              <w:jc w:val="center"/>
              <w:rPr>
                <w:rFonts w:ascii="宋体" w:hAnsi="宋体" w:eastAsia="宋体" w:cs="Times New Roman"/>
                <w:b/>
                <w:bCs/>
                <w:sz w:val="21"/>
                <w:szCs w:val="21"/>
              </w:rPr>
            </w:pPr>
            <w:r>
              <w:rPr>
                <w:rFonts w:hint="eastAsia" w:ascii="宋体" w:hAnsi="宋体" w:eastAsia="宋体" w:cs="宋体"/>
                <w:b/>
                <w:bCs/>
                <w:sz w:val="21"/>
                <w:szCs w:val="21"/>
              </w:rPr>
              <w:t>（万元）</w:t>
            </w:r>
          </w:p>
        </w:tc>
        <w:tc>
          <w:tcPr>
            <w:tcW w:w="1706" w:type="dxa"/>
            <w:shd w:val="clear" w:color="auto" w:fill="F3F3F3"/>
            <w:vAlign w:val="center"/>
          </w:tcPr>
          <w:p>
            <w:pPr>
              <w:pStyle w:val="9"/>
              <w:jc w:val="center"/>
              <w:rPr>
                <w:rFonts w:ascii="宋体" w:hAnsi="宋体" w:eastAsia="宋体" w:cs="Times New Roman"/>
                <w:b/>
                <w:bCs/>
                <w:sz w:val="21"/>
                <w:szCs w:val="21"/>
              </w:rPr>
            </w:pPr>
            <w:r>
              <w:rPr>
                <w:rFonts w:hint="eastAsia" w:ascii="宋体" w:hAnsi="宋体" w:eastAsia="宋体" w:cs="宋体"/>
                <w:b/>
                <w:bCs/>
                <w:sz w:val="21"/>
                <w:szCs w:val="21"/>
              </w:rPr>
              <w:t>联系人及电话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宋体"/>
                <w:sz w:val="21"/>
                <w:szCs w:val="21"/>
              </w:rPr>
            </w:pPr>
            <w:r>
              <w:rPr>
                <w:rFonts w:ascii="宋体" w:hAnsi="宋体" w:eastAsia="宋体" w:cs="宋体"/>
                <w:sz w:val="21"/>
                <w:szCs w:val="21"/>
              </w:rPr>
              <w:t>1</w:t>
            </w:r>
          </w:p>
        </w:tc>
        <w:tc>
          <w:tcPr>
            <w:tcW w:w="1808" w:type="dxa"/>
            <w:vAlign w:val="center"/>
          </w:tcPr>
          <w:p>
            <w:pPr>
              <w:pStyle w:val="9"/>
              <w:spacing w:line="360" w:lineRule="auto"/>
              <w:rPr>
                <w:rFonts w:ascii="宋体" w:hAnsi="宋体" w:eastAsia="宋体" w:cs="Times New Roman"/>
                <w:sz w:val="21"/>
                <w:szCs w:val="21"/>
              </w:rPr>
            </w:pPr>
          </w:p>
        </w:tc>
        <w:tc>
          <w:tcPr>
            <w:tcW w:w="3579" w:type="dxa"/>
            <w:vAlign w:val="center"/>
          </w:tcPr>
          <w:p>
            <w:pPr>
              <w:pStyle w:val="9"/>
              <w:spacing w:line="360" w:lineRule="auto"/>
              <w:rPr>
                <w:rFonts w:ascii="宋体" w:hAnsi="宋体" w:eastAsia="宋体" w:cs="Times New Roman"/>
                <w:sz w:val="21"/>
                <w:szCs w:val="21"/>
              </w:rPr>
            </w:pPr>
          </w:p>
        </w:tc>
        <w:tc>
          <w:tcPr>
            <w:tcW w:w="1440" w:type="dxa"/>
            <w:vAlign w:val="center"/>
          </w:tcPr>
          <w:p>
            <w:pPr>
              <w:pStyle w:val="9"/>
              <w:spacing w:line="360" w:lineRule="auto"/>
              <w:rPr>
                <w:rFonts w:ascii="宋体" w:hAnsi="宋体" w:eastAsia="宋体" w:cs="Times New Roman"/>
                <w:sz w:val="21"/>
                <w:szCs w:val="21"/>
              </w:rPr>
            </w:pPr>
          </w:p>
        </w:tc>
        <w:tc>
          <w:tcPr>
            <w:tcW w:w="1706" w:type="dxa"/>
            <w:vAlign w:val="center"/>
          </w:tcPr>
          <w:p>
            <w:pPr>
              <w:pStyle w:val="9"/>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宋体"/>
                <w:sz w:val="21"/>
                <w:szCs w:val="21"/>
              </w:rPr>
            </w:pPr>
            <w:r>
              <w:rPr>
                <w:rFonts w:ascii="宋体" w:hAnsi="宋体" w:eastAsia="宋体" w:cs="宋体"/>
                <w:sz w:val="21"/>
                <w:szCs w:val="21"/>
              </w:rPr>
              <w:t>2</w:t>
            </w:r>
          </w:p>
        </w:tc>
        <w:tc>
          <w:tcPr>
            <w:tcW w:w="1808" w:type="dxa"/>
            <w:vAlign w:val="center"/>
          </w:tcPr>
          <w:p>
            <w:pPr>
              <w:pStyle w:val="9"/>
              <w:spacing w:line="360" w:lineRule="auto"/>
              <w:rPr>
                <w:rFonts w:ascii="宋体" w:hAnsi="宋体" w:eastAsia="宋体" w:cs="Times New Roman"/>
                <w:sz w:val="21"/>
                <w:szCs w:val="21"/>
              </w:rPr>
            </w:pPr>
          </w:p>
        </w:tc>
        <w:tc>
          <w:tcPr>
            <w:tcW w:w="3579" w:type="dxa"/>
            <w:vAlign w:val="center"/>
          </w:tcPr>
          <w:p>
            <w:pPr>
              <w:pStyle w:val="9"/>
              <w:spacing w:line="360" w:lineRule="auto"/>
              <w:rPr>
                <w:rFonts w:ascii="宋体" w:hAnsi="宋体" w:eastAsia="宋体" w:cs="Times New Roman"/>
                <w:sz w:val="21"/>
                <w:szCs w:val="21"/>
              </w:rPr>
            </w:pPr>
          </w:p>
        </w:tc>
        <w:tc>
          <w:tcPr>
            <w:tcW w:w="1440" w:type="dxa"/>
            <w:vAlign w:val="center"/>
          </w:tcPr>
          <w:p>
            <w:pPr>
              <w:pStyle w:val="9"/>
              <w:spacing w:line="360" w:lineRule="auto"/>
              <w:rPr>
                <w:rFonts w:ascii="宋体" w:hAnsi="宋体" w:eastAsia="宋体" w:cs="Times New Roman"/>
                <w:sz w:val="21"/>
                <w:szCs w:val="21"/>
              </w:rPr>
            </w:pPr>
          </w:p>
        </w:tc>
        <w:tc>
          <w:tcPr>
            <w:tcW w:w="1706" w:type="dxa"/>
            <w:vAlign w:val="center"/>
          </w:tcPr>
          <w:p>
            <w:pPr>
              <w:pStyle w:val="9"/>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宋体"/>
                <w:sz w:val="21"/>
                <w:szCs w:val="21"/>
              </w:rPr>
            </w:pPr>
            <w:r>
              <w:rPr>
                <w:rFonts w:ascii="宋体" w:hAnsi="宋体" w:eastAsia="宋体" w:cs="宋体"/>
                <w:sz w:val="21"/>
                <w:szCs w:val="21"/>
              </w:rPr>
              <w:t>3</w:t>
            </w:r>
          </w:p>
        </w:tc>
        <w:tc>
          <w:tcPr>
            <w:tcW w:w="1808" w:type="dxa"/>
            <w:vAlign w:val="center"/>
          </w:tcPr>
          <w:p>
            <w:pPr>
              <w:pStyle w:val="9"/>
              <w:spacing w:line="360" w:lineRule="auto"/>
              <w:rPr>
                <w:rFonts w:ascii="宋体" w:hAnsi="宋体" w:eastAsia="宋体" w:cs="Times New Roman"/>
                <w:sz w:val="21"/>
                <w:szCs w:val="21"/>
              </w:rPr>
            </w:pPr>
          </w:p>
        </w:tc>
        <w:tc>
          <w:tcPr>
            <w:tcW w:w="3579" w:type="dxa"/>
            <w:vAlign w:val="center"/>
          </w:tcPr>
          <w:p>
            <w:pPr>
              <w:pStyle w:val="9"/>
              <w:spacing w:line="360" w:lineRule="auto"/>
              <w:rPr>
                <w:rFonts w:ascii="宋体" w:hAnsi="宋体" w:eastAsia="宋体" w:cs="Times New Roman"/>
                <w:sz w:val="21"/>
                <w:szCs w:val="21"/>
              </w:rPr>
            </w:pPr>
          </w:p>
        </w:tc>
        <w:tc>
          <w:tcPr>
            <w:tcW w:w="1440" w:type="dxa"/>
            <w:vAlign w:val="center"/>
          </w:tcPr>
          <w:p>
            <w:pPr>
              <w:pStyle w:val="9"/>
              <w:spacing w:line="360" w:lineRule="auto"/>
              <w:rPr>
                <w:rFonts w:ascii="宋体" w:hAnsi="宋体" w:eastAsia="宋体" w:cs="Times New Roman"/>
                <w:sz w:val="21"/>
                <w:szCs w:val="21"/>
              </w:rPr>
            </w:pPr>
          </w:p>
        </w:tc>
        <w:tc>
          <w:tcPr>
            <w:tcW w:w="1706" w:type="dxa"/>
            <w:vAlign w:val="center"/>
          </w:tcPr>
          <w:p>
            <w:pPr>
              <w:pStyle w:val="9"/>
              <w:spacing w:line="360" w:lineRule="auto"/>
              <w:rPr>
                <w:rFonts w:ascii="宋体" w:hAnsi="宋体" w:eastAsia="宋体" w:cs="Times New Roman"/>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宋体"/>
                <w:sz w:val="21"/>
                <w:szCs w:val="21"/>
              </w:rPr>
            </w:pPr>
            <w:r>
              <w:rPr>
                <w:rFonts w:ascii="宋体" w:hAnsi="宋体" w:eastAsia="宋体" w:cs="宋体"/>
                <w:sz w:val="21"/>
                <w:szCs w:val="21"/>
              </w:rPr>
              <w:t>4</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712" w:type="dxa"/>
            <w:vAlign w:val="center"/>
          </w:tcPr>
          <w:p>
            <w:pPr>
              <w:pStyle w:val="9"/>
              <w:spacing w:line="360" w:lineRule="auto"/>
              <w:jc w:val="center"/>
              <w:rPr>
                <w:rFonts w:ascii="宋体" w:hAnsi="宋体" w:eastAsia="宋体" w:cs="Times New Roman"/>
                <w:sz w:val="21"/>
                <w:szCs w:val="21"/>
              </w:rPr>
            </w:pPr>
            <w:r>
              <w:rPr>
                <w:rFonts w:hint="eastAsia" w:ascii="宋体" w:hAnsi="宋体" w:eastAsia="宋体" w:cs="宋体"/>
                <w:sz w:val="21"/>
                <w:szCs w:val="21"/>
              </w:rPr>
              <w:t>……</w:t>
            </w:r>
          </w:p>
        </w:tc>
        <w:tc>
          <w:tcPr>
            <w:tcW w:w="1808" w:type="dxa"/>
            <w:vAlign w:val="center"/>
          </w:tcPr>
          <w:p>
            <w:pPr>
              <w:rPr>
                <w:rFonts w:ascii="宋体"/>
                <w:szCs w:val="21"/>
              </w:rPr>
            </w:pPr>
          </w:p>
        </w:tc>
        <w:tc>
          <w:tcPr>
            <w:tcW w:w="3579" w:type="dxa"/>
            <w:vAlign w:val="center"/>
          </w:tcPr>
          <w:p>
            <w:pPr>
              <w:rPr>
                <w:rFonts w:ascii="宋体"/>
                <w:szCs w:val="21"/>
              </w:rPr>
            </w:pPr>
          </w:p>
        </w:tc>
        <w:tc>
          <w:tcPr>
            <w:tcW w:w="1440" w:type="dxa"/>
            <w:vAlign w:val="center"/>
          </w:tcPr>
          <w:p>
            <w:pPr>
              <w:rPr>
                <w:rFonts w:ascii="宋体"/>
                <w:szCs w:val="21"/>
              </w:rPr>
            </w:pPr>
          </w:p>
        </w:tc>
        <w:tc>
          <w:tcPr>
            <w:tcW w:w="1706" w:type="dxa"/>
            <w:vAlign w:val="center"/>
          </w:tcPr>
          <w:p>
            <w:pPr>
              <w:rPr>
                <w:rFonts w:ascii="宋体"/>
                <w:szCs w:val="21"/>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投标人法定代表人（或授权代表）签字：</w:t>
      </w:r>
    </w:p>
    <w:p>
      <w:pPr>
        <w:autoSpaceDE w:val="0"/>
        <w:autoSpaceDN w:val="0"/>
        <w:adjustRightInd w:val="0"/>
        <w:spacing w:line="360" w:lineRule="auto"/>
        <w:jc w:val="center"/>
        <w:outlineLvl w:val="0"/>
        <w:rPr>
          <w:rFonts w:ascii="宋体" w:hAnsi="宋体"/>
          <w:b/>
          <w:bCs/>
          <w:sz w:val="24"/>
          <w:szCs w:val="24"/>
        </w:rPr>
      </w:pPr>
      <w:r>
        <w:rPr>
          <w:rFonts w:hint="eastAsia" w:ascii="宋体" w:hAnsi="宋体"/>
          <w:b/>
          <w:bCs/>
          <w:sz w:val="24"/>
          <w:szCs w:val="24"/>
        </w:rPr>
        <w:t>4.9 中小企业声明函</w:t>
      </w:r>
    </w:p>
    <w:p>
      <w:pPr>
        <w:spacing w:line="360" w:lineRule="auto"/>
        <w:jc w:val="center"/>
        <w:rPr>
          <w:rFonts w:ascii="宋体" w:hAnsi="宋体"/>
          <w:b/>
          <w:bCs/>
          <w:szCs w:val="21"/>
        </w:rPr>
      </w:pPr>
    </w:p>
    <w:p>
      <w:pPr>
        <w:widowControl/>
        <w:spacing w:before="100" w:beforeAutospacing="1" w:after="100" w:afterAutospacing="1" w:line="360" w:lineRule="auto"/>
        <w:ind w:firstLine="420"/>
        <w:contextualSpacing/>
        <w:jc w:val="left"/>
        <w:rPr>
          <w:rFonts w:ascii="宋体" w:hAnsi="宋体" w:cs="Arial"/>
          <w:kern w:val="0"/>
          <w:szCs w:val="21"/>
        </w:rPr>
      </w:pPr>
      <w:r>
        <w:rPr>
          <w:rFonts w:hint="eastAsia" w:ascii="宋体" w:hAnsi="宋体" w:cs="Arial"/>
          <w:kern w:val="0"/>
          <w:szCs w:val="21"/>
        </w:rPr>
        <w:t>本公司郑重声明，根据《政府采购促进中小企业发展暂行办法》（财库[2011]181号）的规定，本公司为______（请填写：中型、小型、微型）企业。即，本公司同时满足以下条件：</w:t>
      </w:r>
      <w:r>
        <w:rPr>
          <w:rFonts w:hint="eastAsia" w:ascii="宋体" w:hAnsi="宋体" w:cs="Arial"/>
          <w:kern w:val="0"/>
          <w:szCs w:val="21"/>
        </w:rPr>
        <w:br w:type="textWrapping"/>
      </w:r>
      <w:r>
        <w:rPr>
          <w:rFonts w:hint="eastAsia" w:ascii="宋体" w:hAnsi="宋体" w:cs="Arial"/>
          <w:kern w:val="0"/>
          <w:szCs w:val="21"/>
        </w:rPr>
        <w:t>　　根据《工业和信息化部、国家统计局、国家发展和改革委员会、财政部关于印发中小企业划型标准规定的通知》（工信部联企业[2011]300号）规定的划分标准，</w:t>
      </w:r>
      <w:r>
        <w:rPr>
          <w:rFonts w:hint="eastAsia"/>
          <w:szCs w:val="21"/>
        </w:rPr>
        <w:t>按照《国家统计局关于印发统计上大中小微型企业划分办法的通知》（国统字</w:t>
      </w:r>
      <w:r>
        <w:rPr>
          <w:szCs w:val="21"/>
        </w:rPr>
        <w:t>[2011] 75</w:t>
      </w:r>
      <w:r>
        <w:rPr>
          <w:rFonts w:hint="eastAsia"/>
          <w:szCs w:val="21"/>
        </w:rPr>
        <w:t>号）规定，本公司所属行业为</w:t>
      </w:r>
      <w:r>
        <w:rPr>
          <w:szCs w:val="21"/>
        </w:rPr>
        <w:t>______</w:t>
      </w:r>
      <w:r>
        <w:rPr>
          <w:rFonts w:hint="eastAsia"/>
          <w:szCs w:val="21"/>
        </w:rPr>
        <w:t>，截至上一财年末，公司资产总额</w:t>
      </w:r>
      <w:r>
        <w:rPr>
          <w:szCs w:val="21"/>
        </w:rPr>
        <w:t>______</w:t>
      </w:r>
      <w:r>
        <w:rPr>
          <w:rFonts w:hint="eastAsia"/>
          <w:szCs w:val="21"/>
        </w:rPr>
        <w:t>万元，营业收入</w:t>
      </w:r>
      <w:r>
        <w:rPr>
          <w:szCs w:val="21"/>
        </w:rPr>
        <w:t>______</w:t>
      </w:r>
      <w:r>
        <w:rPr>
          <w:rFonts w:hint="eastAsia"/>
          <w:szCs w:val="21"/>
        </w:rPr>
        <w:t>万元，从业人员</w:t>
      </w:r>
      <w:r>
        <w:rPr>
          <w:szCs w:val="21"/>
        </w:rPr>
        <w:t>______</w:t>
      </w:r>
      <w:r>
        <w:rPr>
          <w:rFonts w:hint="eastAsia"/>
          <w:szCs w:val="21"/>
        </w:rPr>
        <w:t>人，</w:t>
      </w:r>
      <w:r>
        <w:rPr>
          <w:rFonts w:hint="eastAsia" w:ascii="宋体" w:hAnsi="宋体" w:cs="Arial"/>
          <w:kern w:val="0"/>
          <w:szCs w:val="21"/>
        </w:rPr>
        <w:t>本公司为______（请填写：中型、小型、微型）企业。　　</w:t>
      </w:r>
    </w:p>
    <w:p>
      <w:pPr>
        <w:widowControl/>
        <w:spacing w:before="100" w:beforeAutospacing="1" w:after="100" w:afterAutospacing="1" w:line="360" w:lineRule="auto"/>
        <w:ind w:firstLine="420"/>
        <w:contextualSpacing/>
        <w:jc w:val="left"/>
        <w:rPr>
          <w:rFonts w:ascii="宋体" w:hAnsi="宋体" w:cs="Arial"/>
          <w:kern w:val="0"/>
          <w:szCs w:val="21"/>
        </w:rPr>
      </w:pPr>
      <w:r>
        <w:rPr>
          <w:rFonts w:hint="eastAsia" w:ascii="宋体" w:hAnsi="宋体" w:cs="Arial"/>
          <w:kern w:val="0"/>
          <w:szCs w:val="21"/>
        </w:rPr>
        <w:t>本公司对上述声明的真实性负责。如有虚假，将依法承担相应责任。</w:t>
      </w:r>
    </w:p>
    <w:p>
      <w:pPr>
        <w:widowControl/>
        <w:spacing w:before="100" w:beforeAutospacing="1" w:after="100" w:afterAutospacing="1" w:line="360" w:lineRule="auto"/>
        <w:ind w:left="3885" w:leftChars="1850"/>
        <w:jc w:val="left"/>
        <w:rPr>
          <w:rFonts w:ascii="宋体" w:hAnsi="宋体" w:cs="Arial"/>
          <w:kern w:val="0"/>
          <w:szCs w:val="21"/>
        </w:rPr>
      </w:pPr>
    </w:p>
    <w:p>
      <w:pPr>
        <w:widowControl/>
        <w:spacing w:before="100" w:beforeAutospacing="1" w:after="100" w:afterAutospacing="1" w:line="360" w:lineRule="auto"/>
        <w:ind w:left="3885" w:leftChars="1850"/>
        <w:jc w:val="left"/>
        <w:rPr>
          <w:rFonts w:ascii="宋体" w:hAnsi="宋体" w:cs="Arial"/>
          <w:kern w:val="0"/>
          <w:szCs w:val="21"/>
        </w:rPr>
      </w:pPr>
    </w:p>
    <w:p>
      <w:pPr>
        <w:widowControl/>
        <w:spacing w:before="100" w:beforeAutospacing="1" w:after="100" w:afterAutospacing="1" w:line="360" w:lineRule="auto"/>
        <w:ind w:left="3885" w:leftChars="1850"/>
        <w:jc w:val="left"/>
        <w:rPr>
          <w:rFonts w:ascii="宋体" w:hAnsi="宋体" w:cs="Arial"/>
          <w:kern w:val="0"/>
          <w:szCs w:val="21"/>
        </w:rPr>
      </w:pPr>
      <w:r>
        <w:rPr>
          <w:rFonts w:hint="eastAsia" w:ascii="宋体" w:hAnsi="宋体" w:cs="Arial"/>
          <w:kern w:val="0"/>
          <w:szCs w:val="21"/>
        </w:rPr>
        <w:t>企业名称（盖章）：　　　　　　　　　</w:t>
      </w:r>
      <w:r>
        <w:rPr>
          <w:rFonts w:hint="eastAsia" w:ascii="宋体" w:hAnsi="宋体" w:cs="Arial"/>
          <w:kern w:val="0"/>
          <w:szCs w:val="21"/>
        </w:rPr>
        <w:br w:type="textWrapping"/>
      </w:r>
      <w:r>
        <w:rPr>
          <w:rFonts w:hint="eastAsia" w:ascii="宋体" w:hAnsi="宋体" w:cs="Arial"/>
          <w:kern w:val="0"/>
          <w:szCs w:val="21"/>
        </w:rPr>
        <w:t xml:space="preserve">日　  期：      </w:t>
      </w:r>
      <w:r>
        <w:rPr>
          <w:rFonts w:hint="eastAsia" w:cs="宋体" w:asciiTheme="minorEastAsia" w:hAnsiTheme="minorEastAsia"/>
          <w:szCs w:val="21"/>
        </w:rPr>
        <w:t>年    月    日</w:t>
      </w:r>
    </w:p>
    <w:p>
      <w:pPr>
        <w:widowControl/>
        <w:spacing w:before="100" w:beforeAutospacing="1" w:after="100" w:afterAutospacing="1" w:line="360" w:lineRule="auto"/>
        <w:jc w:val="left"/>
        <w:rPr>
          <w:rFonts w:ascii="宋体" w:hAnsi="宋体"/>
          <w:szCs w:val="21"/>
        </w:rPr>
      </w:pPr>
    </w:p>
    <w:p>
      <w:pPr>
        <w:widowControl/>
        <w:spacing w:before="100" w:beforeAutospacing="1" w:after="100" w:afterAutospacing="1" w:line="360" w:lineRule="auto"/>
        <w:jc w:val="left"/>
        <w:rPr>
          <w:rFonts w:ascii="宋体" w:hAnsi="宋体"/>
          <w:szCs w:val="21"/>
        </w:rPr>
      </w:pPr>
    </w:p>
    <w:p>
      <w:pPr>
        <w:widowControl/>
        <w:spacing w:before="100" w:beforeAutospacing="1" w:after="100" w:afterAutospacing="1" w:line="360" w:lineRule="auto"/>
        <w:contextualSpacing/>
        <w:jc w:val="left"/>
        <w:rPr>
          <w:rFonts w:ascii="宋体" w:hAnsi="宋体"/>
          <w:szCs w:val="21"/>
        </w:rPr>
      </w:pPr>
      <w:r>
        <w:rPr>
          <w:rFonts w:hint="eastAsia" w:ascii="宋体" w:hAnsi="宋体"/>
          <w:szCs w:val="21"/>
        </w:rPr>
        <w:t>说明：</w:t>
      </w:r>
    </w:p>
    <w:p>
      <w:pPr>
        <w:widowControl/>
        <w:spacing w:before="100" w:beforeAutospacing="1" w:after="100" w:afterAutospacing="1" w:line="360" w:lineRule="auto"/>
        <w:contextualSpacing/>
        <w:jc w:val="left"/>
        <w:rPr>
          <w:rFonts w:ascii="宋体" w:hAnsi="宋体" w:cs="Arial"/>
          <w:kern w:val="0"/>
          <w:szCs w:val="21"/>
        </w:rPr>
      </w:pPr>
      <w:r>
        <w:rPr>
          <w:rFonts w:hint="eastAsia" w:ascii="宋体" w:hAnsi="宋体" w:cs="Arial"/>
          <w:kern w:val="0"/>
          <w:szCs w:val="21"/>
        </w:rPr>
        <w:t>1、不属于中小企业划型标准确定的中小企业，不得按《关于印发中小企业划型标准规定的通知》规定声明为中小微企业，也不适用《政府采购促进中小企业发展暂行办法》。</w:t>
      </w:r>
    </w:p>
    <w:p>
      <w:pPr>
        <w:widowControl/>
        <w:spacing w:before="100" w:beforeAutospacing="1" w:after="100" w:afterAutospacing="1" w:line="360" w:lineRule="auto"/>
        <w:contextualSpacing/>
        <w:jc w:val="left"/>
        <w:rPr>
          <w:rFonts w:ascii="宋体" w:hAnsi="宋体" w:cs="Arial"/>
          <w:kern w:val="0"/>
          <w:szCs w:val="21"/>
        </w:rPr>
      </w:pPr>
      <w:r>
        <w:rPr>
          <w:rFonts w:hint="eastAsia" w:ascii="宋体" w:hAnsi="宋体" w:cs="Arial"/>
          <w:kern w:val="0"/>
          <w:szCs w:val="21"/>
        </w:rPr>
        <w:t>2、如投标人为联合投标的，联合投标人需分别填写上述《中小企业声明函》。</w:t>
      </w:r>
    </w:p>
    <w:p>
      <w:pPr>
        <w:autoSpaceDE w:val="0"/>
        <w:autoSpaceDN w:val="0"/>
        <w:adjustRightInd w:val="0"/>
        <w:spacing w:line="360" w:lineRule="auto"/>
        <w:jc w:val="center"/>
        <w:outlineLvl w:val="0"/>
        <w:rPr>
          <w:rFonts w:ascii="宋体" w:hAnsi="宋体" w:cs="Arial"/>
          <w:kern w:val="0"/>
          <w:sz w:val="24"/>
          <w:szCs w:val="24"/>
        </w:rPr>
      </w:pPr>
    </w:p>
    <w:p>
      <w:pPr>
        <w:autoSpaceDE w:val="0"/>
        <w:autoSpaceDN w:val="0"/>
        <w:adjustRightInd w:val="0"/>
        <w:spacing w:line="360" w:lineRule="auto"/>
        <w:jc w:val="center"/>
        <w:outlineLvl w:val="0"/>
        <w:rPr>
          <w:rFonts w:ascii="宋体" w:hAnsi="宋体"/>
          <w:b/>
          <w:bCs/>
          <w:sz w:val="36"/>
          <w:szCs w:val="36"/>
        </w:rPr>
      </w:pPr>
    </w:p>
    <w:p>
      <w:pPr>
        <w:autoSpaceDE w:val="0"/>
        <w:autoSpaceDN w:val="0"/>
        <w:adjustRightInd w:val="0"/>
        <w:spacing w:line="360" w:lineRule="auto"/>
        <w:jc w:val="center"/>
        <w:outlineLvl w:val="0"/>
        <w:rPr>
          <w:rFonts w:ascii="宋体" w:hAnsi="宋体"/>
          <w:b/>
          <w:bCs/>
          <w:sz w:val="36"/>
          <w:szCs w:val="36"/>
        </w:rPr>
      </w:pPr>
    </w:p>
    <w:p>
      <w:pPr>
        <w:autoSpaceDE w:val="0"/>
        <w:autoSpaceDN w:val="0"/>
        <w:adjustRightInd w:val="0"/>
        <w:spacing w:line="360" w:lineRule="auto"/>
        <w:jc w:val="center"/>
        <w:outlineLvl w:val="0"/>
        <w:rPr>
          <w:rFonts w:ascii="宋体" w:hAnsi="宋体"/>
          <w:b/>
          <w:bCs/>
          <w:sz w:val="24"/>
          <w:szCs w:val="24"/>
        </w:rPr>
      </w:pPr>
      <w:bookmarkStart w:id="7" w:name="OLE_LINK13"/>
      <w:bookmarkStart w:id="8" w:name="OLE_LINK14"/>
      <w:r>
        <w:rPr>
          <w:rFonts w:hint="eastAsia" w:ascii="宋体" w:hAnsi="宋体"/>
          <w:b/>
          <w:bCs/>
          <w:sz w:val="24"/>
          <w:szCs w:val="24"/>
        </w:rPr>
        <w:t>4.10 残疾人福利性单位声明函</w:t>
      </w:r>
    </w:p>
    <w:bookmarkEnd w:id="7"/>
    <w:bookmarkEnd w:id="8"/>
    <w:p>
      <w:pPr>
        <w:spacing w:line="360" w:lineRule="auto"/>
        <w:rPr>
          <w:rFonts w:ascii="宋体" w:hAnsi="宋体"/>
          <w:szCs w:val="21"/>
        </w:rPr>
      </w:pPr>
    </w:p>
    <w:p>
      <w:pPr>
        <w:spacing w:line="360" w:lineRule="auto"/>
        <w:ind w:firstLine="420" w:firstLineChars="200"/>
        <w:rPr>
          <w:rFonts w:ascii="宋体" w:hAnsi="宋体"/>
          <w:szCs w:val="21"/>
        </w:rPr>
      </w:pPr>
      <w:r>
        <w:rPr>
          <w:rFonts w:hint="eastAsia" w:ascii="宋体" w:hAnsi="宋体"/>
          <w:szCs w:val="21"/>
        </w:rPr>
        <w:t>本单位郑重声明，根据《财政部 民政部 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ascii="宋体" w:hAnsi="宋体"/>
          <w:szCs w:val="21"/>
        </w:rPr>
      </w:pPr>
      <w:r>
        <w:rPr>
          <w:rFonts w:hint="eastAsia" w:ascii="宋体" w:hAnsi="宋体"/>
          <w:szCs w:val="21"/>
        </w:rPr>
        <w:t>本单位对上述声明的真实性负责。如有虚假，将依法承担相应责任。</w:t>
      </w:r>
    </w:p>
    <w:p>
      <w:pPr>
        <w:spacing w:line="360" w:lineRule="auto"/>
        <w:rPr>
          <w:rFonts w:ascii="宋体" w:hAnsi="宋体"/>
          <w:szCs w:val="21"/>
        </w:rPr>
      </w:pPr>
    </w:p>
    <w:p>
      <w:pPr>
        <w:spacing w:line="360" w:lineRule="auto"/>
        <w:rPr>
          <w:rFonts w:ascii="宋体" w:hAnsi="宋体"/>
          <w:szCs w:val="21"/>
        </w:rPr>
      </w:pPr>
    </w:p>
    <w:p>
      <w:pPr>
        <w:spacing w:line="360" w:lineRule="auto"/>
        <w:rPr>
          <w:rFonts w:ascii="宋体" w:hAnsi="宋体"/>
          <w:szCs w:val="21"/>
        </w:rPr>
      </w:pPr>
      <w:r>
        <w:rPr>
          <w:rFonts w:hint="eastAsia" w:ascii="宋体" w:hAnsi="宋体"/>
          <w:szCs w:val="21"/>
        </w:rPr>
        <w:t xml:space="preserve">                                    单位名称（盖章）：</w:t>
      </w:r>
    </w:p>
    <w:p>
      <w:pPr>
        <w:spacing w:line="360" w:lineRule="auto"/>
        <w:rPr>
          <w:rFonts w:ascii="宋体" w:hAnsi="宋体"/>
          <w:szCs w:val="21"/>
        </w:rPr>
      </w:pPr>
      <w:r>
        <w:rPr>
          <w:rFonts w:hint="eastAsia" w:ascii="宋体" w:hAnsi="宋体"/>
          <w:szCs w:val="21"/>
        </w:rPr>
        <w:t xml:space="preserve">                                    日    期：      </w:t>
      </w:r>
      <w:r>
        <w:rPr>
          <w:rFonts w:hint="eastAsia" w:cs="宋体" w:asciiTheme="minorEastAsia" w:hAnsiTheme="minorEastAsia"/>
          <w:szCs w:val="21"/>
        </w:rPr>
        <w:t>年    月    日</w:t>
      </w:r>
    </w:p>
    <w:p/>
    <w:p/>
    <w:p/>
    <w:p/>
    <w:p/>
    <w:p/>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sz w:val="28"/>
          <w:szCs w:val="28"/>
        </w:rPr>
      </w:pPr>
      <w:r>
        <w:rPr>
          <w:rFonts w:ascii="宋体" w:hAnsi="宋体"/>
          <w:b/>
          <w:bCs/>
          <w:sz w:val="28"/>
          <w:szCs w:val="28"/>
        </w:rPr>
        <w:t>除招标文件另有规定外，投标人认为需要提交的其他证明材料或资料加盖投标人的单位公章后应在此项下提交。</w:t>
      </w:r>
    </w:p>
    <w:p>
      <w:pPr>
        <w:spacing w:line="360" w:lineRule="auto"/>
        <w:jc w:val="center"/>
        <w:rPr>
          <w:rFonts w:ascii="宋体" w:hAnsi="宋体"/>
          <w:b/>
          <w:bCs/>
          <w:sz w:val="28"/>
          <w:szCs w:val="28"/>
        </w:rPr>
      </w:pPr>
      <w:r>
        <w:rPr>
          <w:rFonts w:ascii="宋体" w:hAnsi="宋体"/>
          <w:b/>
          <w:bCs/>
          <w:sz w:val="28"/>
          <w:szCs w:val="28"/>
        </w:rPr>
        <w:t> </w:t>
      </w:r>
    </w:p>
    <w:p/>
    <w:p/>
    <w:p/>
    <w:p/>
    <w:p/>
    <w:p/>
    <w:sectPr>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微软简隶书">
    <w:altName w:val="宋体"/>
    <w:panose1 w:val="00000000000000000000"/>
    <w:charset w:val="86"/>
    <w:family w:val="auto"/>
    <w:pitch w:val="default"/>
    <w:sig w:usb0="00000000" w:usb1="00000000" w:usb2="00000000" w:usb3="00000000" w:csb0="00000000" w:csb1="00000000"/>
  </w:font>
  <w:font w:name="MS Mincho">
    <w:altName w:val="Yu Gothic UI"/>
    <w:panose1 w:val="02020609040205080304"/>
    <w:charset w:val="80"/>
    <w:family w:val="modern"/>
    <w:pitch w:val="default"/>
    <w:sig w:usb0="00000000" w:usb1="00000000" w:usb2="00000012" w:usb3="00000000" w:csb0="4002009F" w:csb1="DFD7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CF3C52" w:usb2="00000016" w:usb3="00000000" w:csb0="0004001F" w:csb1="00000000"/>
  </w:font>
  <w:font w:name="TimesNewRomanPSMT">
    <w:altName w:val="宋体"/>
    <w:panose1 w:val="00000000000000000000"/>
    <w:charset w:val="00"/>
    <w:family w:val="roman"/>
    <w:pitch w:val="default"/>
    <w:sig w:usb0="00000000" w:usb1="00000000" w:usb2="00000000" w:usb3="00000000" w:csb0="00000001" w:csb1="00000000"/>
  </w:font>
  <w:font w:name="新宋体">
    <w:panose1 w:val="02010609030101010101"/>
    <w:charset w:val="86"/>
    <w:family w:val="modern"/>
    <w:pitch w:val="default"/>
    <w:sig w:usb0="00000003" w:usb1="288F0000" w:usb2="00000006" w:usb3="00000000" w:csb0="00040001" w:csb1="00000000"/>
  </w:font>
  <w:font w:name="Yu Gothic UI">
    <w:panose1 w:val="020B0500000000000000"/>
    <w:charset w:val="80"/>
    <w:family w:val="auto"/>
    <w:pitch w:val="default"/>
    <w:sig w:usb0="E00002FF" w:usb1="2AC7FDFF" w:usb2="00000016" w:usb3="00000000" w:csb0="200200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17"/>
                          </w:pPr>
                          <w:r>
                            <w:fldChar w:fldCharType="begin"/>
                          </w:r>
                          <w:r>
                            <w:instrText xml:space="preserve"> PAGE  \* MERGEFORMAT </w:instrText>
                          </w:r>
                          <w:r>
                            <w:fldChar w:fldCharType="separate"/>
                          </w:r>
                          <w:r>
                            <w:t>44</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721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M6pebnP&#10;AAAABQEAAA8AAAAAAAAAAQAgAAAAIgAAAGRycy9kb3ducmV2LnhtbFBLAQIUABQAAAAIAIdO4kAi&#10;B7s4twEAAFQDAAAOAAAAAAAAAAEAIAAAAB4BAABkcnMvZTJvRG9jLnhtbFBLBQYAAAAABgAGAFkB&#10;AABHBQAAAAA=&#10;">
              <v:fill on="f" focussize="0,0"/>
              <v:stroke on="f"/>
              <v:imagedata o:title=""/>
              <o:lock v:ext="edit" aspectratio="f"/>
              <v:textbox inset="0mm,0mm,0mm,0mm" style="mso-fit-shape-to-text:t;">
                <w:txbxContent>
                  <w:p>
                    <w:pPr>
                      <w:pStyle w:val="17"/>
                    </w:pPr>
                    <w:r>
                      <w:fldChar w:fldCharType="begin"/>
                    </w:r>
                    <w:r>
                      <w:instrText xml:space="preserve"> PAGE  \* MERGEFORMAT </w:instrText>
                    </w:r>
                    <w:r>
                      <w:fldChar w:fldCharType="separate"/>
                    </w:r>
                    <w:r>
                      <w:t>44</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00000006"/>
    <w:lvl w:ilvl="0" w:tentative="0">
      <w:start w:val="1"/>
      <w:numFmt w:val="chineseCountingThousand"/>
      <w:pStyle w:val="4"/>
      <w:suff w:val="nothing"/>
      <w:lvlText w:val="第%1部分"/>
      <w:lvlJc w:val="center"/>
      <w:pPr>
        <w:ind w:left="-288" w:firstLine="288"/>
      </w:pPr>
      <w:rPr>
        <w:rFonts w:hint="eastAsia"/>
        <w:sz w:val="28"/>
        <w:szCs w:val="28"/>
      </w:rPr>
    </w:lvl>
    <w:lvl w:ilvl="1" w:tentative="0">
      <w:start w:val="1"/>
      <w:numFmt w:val="chineseCountingThousand"/>
      <w:pStyle w:val="5"/>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7"/>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1">
    <w:nsid w:val="00000014"/>
    <w:multiLevelType w:val="multilevel"/>
    <w:tmpl w:val="00000014"/>
    <w:lvl w:ilvl="0" w:tentative="0">
      <w:start w:val="1"/>
      <w:numFmt w:val="decimal"/>
      <w:pStyle w:val="45"/>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2">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18EA743F"/>
    <w:multiLevelType w:val="multilevel"/>
    <w:tmpl w:val="18EA743F"/>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1C536185"/>
    <w:multiLevelType w:val="multilevel"/>
    <w:tmpl w:val="1C536185"/>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1D311DEE"/>
    <w:multiLevelType w:val="multilevel"/>
    <w:tmpl w:val="1D311DEE"/>
    <w:lvl w:ilvl="0" w:tentative="0">
      <w:start w:val="30"/>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8">
    <w:nsid w:val="35703775"/>
    <w:multiLevelType w:val="multilevel"/>
    <w:tmpl w:val="35703775"/>
    <w:lvl w:ilvl="0" w:tentative="0">
      <w:start w:val="7"/>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39A414E2"/>
    <w:multiLevelType w:val="multilevel"/>
    <w:tmpl w:val="39A414E2"/>
    <w:lvl w:ilvl="0" w:tentative="0">
      <w:start w:val="3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3F0A2C70"/>
    <w:multiLevelType w:val="multilevel"/>
    <w:tmpl w:val="3F0A2C70"/>
    <w:lvl w:ilvl="0" w:tentative="0">
      <w:start w:val="22"/>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1">
    <w:nsid w:val="46207351"/>
    <w:multiLevelType w:val="multilevel"/>
    <w:tmpl w:val="46207351"/>
    <w:lvl w:ilvl="0" w:tentative="0">
      <w:start w:val="2"/>
      <w:numFmt w:val="decimal"/>
      <w:lvlText w:val="%1."/>
      <w:lvlJc w:val="left"/>
      <w:pPr>
        <w:ind w:left="420" w:hanging="420"/>
      </w:pPr>
      <w:rPr>
        <w:rFonts w:hint="eastAsia"/>
      </w:rPr>
    </w:lvl>
    <w:lvl w:ilvl="1" w:tentative="0">
      <w:start w:val="2"/>
      <w:numFmt w:val="decimal"/>
      <w:lvlText w:val="%2.8.2 "/>
      <w:lvlJc w:val="left"/>
      <w:pPr>
        <w:ind w:left="964" w:hanging="544"/>
      </w:pPr>
      <w:rPr>
        <w:rFonts w:hint="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2">
    <w:nsid w:val="563B5F73"/>
    <w:multiLevelType w:val="multilevel"/>
    <w:tmpl w:val="563B5F73"/>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59F817C2"/>
    <w:multiLevelType w:val="singleLevel"/>
    <w:tmpl w:val="59F817C2"/>
    <w:lvl w:ilvl="0" w:tentative="0">
      <w:start w:val="2"/>
      <w:numFmt w:val="chineseCounting"/>
      <w:suff w:val="space"/>
      <w:lvlText w:val="第%1章"/>
      <w:lvlJc w:val="left"/>
    </w:lvl>
  </w:abstractNum>
  <w:abstractNum w:abstractNumId="14">
    <w:nsid w:val="59F817E8"/>
    <w:multiLevelType w:val="singleLevel"/>
    <w:tmpl w:val="59F817E8"/>
    <w:lvl w:ilvl="0" w:tentative="0">
      <w:start w:val="1"/>
      <w:numFmt w:val="chineseCounting"/>
      <w:pStyle w:val="50"/>
      <w:suff w:val="nothing"/>
      <w:lvlText w:val="%1、"/>
      <w:lvlJc w:val="left"/>
    </w:lvl>
  </w:abstractNum>
  <w:abstractNum w:abstractNumId="15">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6">
    <w:nsid w:val="707C01F4"/>
    <w:multiLevelType w:val="multilevel"/>
    <w:tmpl w:val="707C01F4"/>
    <w:lvl w:ilvl="0" w:tentative="0">
      <w:start w:val="2"/>
      <w:numFmt w:val="decimal"/>
      <w:lvlText w:val="%1."/>
      <w:lvlJc w:val="left"/>
      <w:pPr>
        <w:ind w:left="420" w:hanging="420"/>
      </w:pPr>
      <w:rPr>
        <w:rFonts w:hint="eastAsia"/>
      </w:rPr>
    </w:lvl>
    <w:lvl w:ilvl="1" w:tentative="0">
      <w:start w:val="2"/>
      <w:numFmt w:val="decimal"/>
      <w:lvlText w:val="%2.8.1 "/>
      <w:lvlJc w:val="left"/>
      <w:pPr>
        <w:ind w:left="964" w:hanging="544"/>
      </w:pPr>
      <w:rPr>
        <w:rFonts w:hint="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7">
    <w:nsid w:val="72C53A37"/>
    <w:multiLevelType w:val="multilevel"/>
    <w:tmpl w:val="72C53A37"/>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7B3910BC"/>
    <w:multiLevelType w:val="multilevel"/>
    <w:tmpl w:val="7B3910BC"/>
    <w:lvl w:ilvl="0" w:tentative="0">
      <w:start w:val="12"/>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14"/>
  </w:num>
  <w:num w:numId="4">
    <w:abstractNumId w:val="13"/>
  </w:num>
  <w:num w:numId="5">
    <w:abstractNumId w:val="7"/>
  </w:num>
  <w:num w:numId="6">
    <w:abstractNumId w:val="15"/>
  </w:num>
  <w:num w:numId="7">
    <w:abstractNumId w:val="16"/>
  </w:num>
  <w:num w:numId="8">
    <w:abstractNumId w:val="11"/>
  </w:num>
  <w:num w:numId="9">
    <w:abstractNumId w:val="8"/>
  </w:num>
  <w:num w:numId="10">
    <w:abstractNumId w:val="4"/>
  </w:num>
  <w:num w:numId="11">
    <w:abstractNumId w:val="5"/>
  </w:num>
  <w:num w:numId="12">
    <w:abstractNumId w:val="18"/>
  </w:num>
  <w:num w:numId="13">
    <w:abstractNumId w:val="10"/>
  </w:num>
  <w:num w:numId="14">
    <w:abstractNumId w:val="17"/>
  </w:num>
  <w:num w:numId="15">
    <w:abstractNumId w:val="3"/>
  </w:num>
  <w:num w:numId="16">
    <w:abstractNumId w:val="6"/>
  </w:num>
  <w:num w:numId="17">
    <w:abstractNumId w:val="12"/>
  </w:num>
  <w:num w:numId="18">
    <w:abstractNumId w:val="9"/>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7"/>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20A3"/>
    <w:rsid w:val="00000A27"/>
    <w:rsid w:val="000043E4"/>
    <w:rsid w:val="00012712"/>
    <w:rsid w:val="000178D4"/>
    <w:rsid w:val="00020353"/>
    <w:rsid w:val="00022000"/>
    <w:rsid w:val="00022021"/>
    <w:rsid w:val="000300B0"/>
    <w:rsid w:val="000318E9"/>
    <w:rsid w:val="0003238A"/>
    <w:rsid w:val="00033D27"/>
    <w:rsid w:val="00034324"/>
    <w:rsid w:val="000554D6"/>
    <w:rsid w:val="00061EBD"/>
    <w:rsid w:val="00066076"/>
    <w:rsid w:val="00074086"/>
    <w:rsid w:val="00086AFB"/>
    <w:rsid w:val="000938BE"/>
    <w:rsid w:val="000A7A0E"/>
    <w:rsid w:val="000B0281"/>
    <w:rsid w:val="000B0639"/>
    <w:rsid w:val="000B76FE"/>
    <w:rsid w:val="000C15AC"/>
    <w:rsid w:val="000C5472"/>
    <w:rsid w:val="000D0962"/>
    <w:rsid w:val="000D24B4"/>
    <w:rsid w:val="000D3714"/>
    <w:rsid w:val="000D4F8E"/>
    <w:rsid w:val="000D56C3"/>
    <w:rsid w:val="000E102E"/>
    <w:rsid w:val="000F3964"/>
    <w:rsid w:val="00113A6C"/>
    <w:rsid w:val="00114F7B"/>
    <w:rsid w:val="001309C7"/>
    <w:rsid w:val="0013622E"/>
    <w:rsid w:val="001413B0"/>
    <w:rsid w:val="0014292A"/>
    <w:rsid w:val="00144ABF"/>
    <w:rsid w:val="001453AC"/>
    <w:rsid w:val="00157BFD"/>
    <w:rsid w:val="001611DC"/>
    <w:rsid w:val="0016162A"/>
    <w:rsid w:val="00162961"/>
    <w:rsid w:val="001729F5"/>
    <w:rsid w:val="00175E00"/>
    <w:rsid w:val="001812E3"/>
    <w:rsid w:val="001A1B6C"/>
    <w:rsid w:val="001A3DE4"/>
    <w:rsid w:val="001B3201"/>
    <w:rsid w:val="001B3B1F"/>
    <w:rsid w:val="001B3FA7"/>
    <w:rsid w:val="001C128F"/>
    <w:rsid w:val="001D1F28"/>
    <w:rsid w:val="001D2862"/>
    <w:rsid w:val="001D6381"/>
    <w:rsid w:val="001D6D29"/>
    <w:rsid w:val="001E3E55"/>
    <w:rsid w:val="00204F49"/>
    <w:rsid w:val="00212A04"/>
    <w:rsid w:val="00220A8C"/>
    <w:rsid w:val="00234499"/>
    <w:rsid w:val="00235DB3"/>
    <w:rsid w:val="002373EF"/>
    <w:rsid w:val="002408D3"/>
    <w:rsid w:val="002447F3"/>
    <w:rsid w:val="00247D4B"/>
    <w:rsid w:val="00247EBC"/>
    <w:rsid w:val="00251DBD"/>
    <w:rsid w:val="0025438E"/>
    <w:rsid w:val="002557F6"/>
    <w:rsid w:val="00257170"/>
    <w:rsid w:val="00257C0C"/>
    <w:rsid w:val="00257C27"/>
    <w:rsid w:val="002644FB"/>
    <w:rsid w:val="00274792"/>
    <w:rsid w:val="00274F8B"/>
    <w:rsid w:val="00282D0F"/>
    <w:rsid w:val="002A4363"/>
    <w:rsid w:val="002A4A94"/>
    <w:rsid w:val="002A5218"/>
    <w:rsid w:val="002D5CAA"/>
    <w:rsid w:val="002E3710"/>
    <w:rsid w:val="002F56B1"/>
    <w:rsid w:val="002F68B9"/>
    <w:rsid w:val="00300379"/>
    <w:rsid w:val="00301814"/>
    <w:rsid w:val="00304216"/>
    <w:rsid w:val="00307037"/>
    <w:rsid w:val="003103B1"/>
    <w:rsid w:val="00313750"/>
    <w:rsid w:val="003149D4"/>
    <w:rsid w:val="00315BEB"/>
    <w:rsid w:val="003176AD"/>
    <w:rsid w:val="00322385"/>
    <w:rsid w:val="00323554"/>
    <w:rsid w:val="00323B0A"/>
    <w:rsid w:val="00325EC7"/>
    <w:rsid w:val="003315A3"/>
    <w:rsid w:val="00333DA4"/>
    <w:rsid w:val="0033593F"/>
    <w:rsid w:val="00336C58"/>
    <w:rsid w:val="00337220"/>
    <w:rsid w:val="00355A48"/>
    <w:rsid w:val="00361029"/>
    <w:rsid w:val="00361EF7"/>
    <w:rsid w:val="00365D02"/>
    <w:rsid w:val="0037403C"/>
    <w:rsid w:val="00380D7C"/>
    <w:rsid w:val="00383B76"/>
    <w:rsid w:val="003A1CDD"/>
    <w:rsid w:val="003B47AA"/>
    <w:rsid w:val="003B602C"/>
    <w:rsid w:val="003B6371"/>
    <w:rsid w:val="003D2B2F"/>
    <w:rsid w:val="003D3FB5"/>
    <w:rsid w:val="003E149A"/>
    <w:rsid w:val="003E2DBE"/>
    <w:rsid w:val="003E60D9"/>
    <w:rsid w:val="00403846"/>
    <w:rsid w:val="0041124B"/>
    <w:rsid w:val="00412829"/>
    <w:rsid w:val="00414486"/>
    <w:rsid w:val="00415A4E"/>
    <w:rsid w:val="00417373"/>
    <w:rsid w:val="004212CB"/>
    <w:rsid w:val="0042172E"/>
    <w:rsid w:val="004226E9"/>
    <w:rsid w:val="00425942"/>
    <w:rsid w:val="00436090"/>
    <w:rsid w:val="00445971"/>
    <w:rsid w:val="00447141"/>
    <w:rsid w:val="00453CFB"/>
    <w:rsid w:val="00471D9E"/>
    <w:rsid w:val="0048788B"/>
    <w:rsid w:val="004A3EBE"/>
    <w:rsid w:val="004B2239"/>
    <w:rsid w:val="004B22D3"/>
    <w:rsid w:val="004B6F46"/>
    <w:rsid w:val="004B7646"/>
    <w:rsid w:val="004C3729"/>
    <w:rsid w:val="004C488A"/>
    <w:rsid w:val="004D339F"/>
    <w:rsid w:val="004E2C91"/>
    <w:rsid w:val="004E5ED0"/>
    <w:rsid w:val="004E6481"/>
    <w:rsid w:val="004F1DBB"/>
    <w:rsid w:val="004F5BE4"/>
    <w:rsid w:val="005020CD"/>
    <w:rsid w:val="00512A12"/>
    <w:rsid w:val="00521E2C"/>
    <w:rsid w:val="00522091"/>
    <w:rsid w:val="00522697"/>
    <w:rsid w:val="0053759D"/>
    <w:rsid w:val="00544270"/>
    <w:rsid w:val="00547C51"/>
    <w:rsid w:val="005549F8"/>
    <w:rsid w:val="005615A7"/>
    <w:rsid w:val="00561C5B"/>
    <w:rsid w:val="00565552"/>
    <w:rsid w:val="00573D06"/>
    <w:rsid w:val="005768AB"/>
    <w:rsid w:val="00577061"/>
    <w:rsid w:val="0058043E"/>
    <w:rsid w:val="0058324E"/>
    <w:rsid w:val="005856E5"/>
    <w:rsid w:val="005A0399"/>
    <w:rsid w:val="005A0CBC"/>
    <w:rsid w:val="005A14CE"/>
    <w:rsid w:val="005A3071"/>
    <w:rsid w:val="005E3409"/>
    <w:rsid w:val="005E3F3F"/>
    <w:rsid w:val="005F0B1E"/>
    <w:rsid w:val="005F1DF2"/>
    <w:rsid w:val="0060569D"/>
    <w:rsid w:val="00614304"/>
    <w:rsid w:val="0061792B"/>
    <w:rsid w:val="00622B0B"/>
    <w:rsid w:val="00624843"/>
    <w:rsid w:val="006357B0"/>
    <w:rsid w:val="006369BE"/>
    <w:rsid w:val="00636AAD"/>
    <w:rsid w:val="0063754C"/>
    <w:rsid w:val="0065294F"/>
    <w:rsid w:val="00653D9B"/>
    <w:rsid w:val="00654B93"/>
    <w:rsid w:val="006626FF"/>
    <w:rsid w:val="0067408D"/>
    <w:rsid w:val="00674726"/>
    <w:rsid w:val="006906FE"/>
    <w:rsid w:val="00695567"/>
    <w:rsid w:val="006A7085"/>
    <w:rsid w:val="006B11BB"/>
    <w:rsid w:val="006B59F9"/>
    <w:rsid w:val="006C1ABC"/>
    <w:rsid w:val="006C4A8D"/>
    <w:rsid w:val="006D2F3B"/>
    <w:rsid w:val="006D5390"/>
    <w:rsid w:val="006E6EAB"/>
    <w:rsid w:val="006F0427"/>
    <w:rsid w:val="006F2C6A"/>
    <w:rsid w:val="006F63C9"/>
    <w:rsid w:val="006F68CC"/>
    <w:rsid w:val="0070010A"/>
    <w:rsid w:val="00701F64"/>
    <w:rsid w:val="00704BF9"/>
    <w:rsid w:val="00705BA9"/>
    <w:rsid w:val="00707A61"/>
    <w:rsid w:val="00716F27"/>
    <w:rsid w:val="00721226"/>
    <w:rsid w:val="00721711"/>
    <w:rsid w:val="007327FC"/>
    <w:rsid w:val="00737DB9"/>
    <w:rsid w:val="007401C3"/>
    <w:rsid w:val="00740E91"/>
    <w:rsid w:val="00746A32"/>
    <w:rsid w:val="007568C2"/>
    <w:rsid w:val="007570E2"/>
    <w:rsid w:val="00760543"/>
    <w:rsid w:val="007727E6"/>
    <w:rsid w:val="0077455F"/>
    <w:rsid w:val="00784774"/>
    <w:rsid w:val="0078780A"/>
    <w:rsid w:val="0079352C"/>
    <w:rsid w:val="00796672"/>
    <w:rsid w:val="007A31F4"/>
    <w:rsid w:val="007A34F1"/>
    <w:rsid w:val="007A449C"/>
    <w:rsid w:val="007A48E9"/>
    <w:rsid w:val="007B30DE"/>
    <w:rsid w:val="007B39C7"/>
    <w:rsid w:val="007C07ED"/>
    <w:rsid w:val="007C6705"/>
    <w:rsid w:val="007D2A0A"/>
    <w:rsid w:val="007D2B0C"/>
    <w:rsid w:val="007D3A74"/>
    <w:rsid w:val="007D4BAD"/>
    <w:rsid w:val="007D6D78"/>
    <w:rsid w:val="007E1FE9"/>
    <w:rsid w:val="007E5964"/>
    <w:rsid w:val="007E6183"/>
    <w:rsid w:val="007F0A64"/>
    <w:rsid w:val="007F6FB7"/>
    <w:rsid w:val="0080260F"/>
    <w:rsid w:val="008101FB"/>
    <w:rsid w:val="00811BB1"/>
    <w:rsid w:val="00832E87"/>
    <w:rsid w:val="00833C6A"/>
    <w:rsid w:val="0084302F"/>
    <w:rsid w:val="00847088"/>
    <w:rsid w:val="0085005A"/>
    <w:rsid w:val="0085213A"/>
    <w:rsid w:val="00855D0D"/>
    <w:rsid w:val="0086265C"/>
    <w:rsid w:val="008656DB"/>
    <w:rsid w:val="008734AD"/>
    <w:rsid w:val="008753FE"/>
    <w:rsid w:val="008768A2"/>
    <w:rsid w:val="00877C6C"/>
    <w:rsid w:val="008833DC"/>
    <w:rsid w:val="008834FE"/>
    <w:rsid w:val="00884D0F"/>
    <w:rsid w:val="00884F11"/>
    <w:rsid w:val="00887FE7"/>
    <w:rsid w:val="0089369E"/>
    <w:rsid w:val="00893B24"/>
    <w:rsid w:val="00896816"/>
    <w:rsid w:val="00897CCA"/>
    <w:rsid w:val="008A1EE5"/>
    <w:rsid w:val="008A4543"/>
    <w:rsid w:val="008A5850"/>
    <w:rsid w:val="008B57FF"/>
    <w:rsid w:val="008B5A12"/>
    <w:rsid w:val="008B7AF4"/>
    <w:rsid w:val="008C40A8"/>
    <w:rsid w:val="008C4BEA"/>
    <w:rsid w:val="008C53A7"/>
    <w:rsid w:val="008E62A2"/>
    <w:rsid w:val="008F0E43"/>
    <w:rsid w:val="008F3208"/>
    <w:rsid w:val="00902A7F"/>
    <w:rsid w:val="00903B04"/>
    <w:rsid w:val="00905A17"/>
    <w:rsid w:val="00920609"/>
    <w:rsid w:val="00920892"/>
    <w:rsid w:val="009209F7"/>
    <w:rsid w:val="0092409E"/>
    <w:rsid w:val="00930F65"/>
    <w:rsid w:val="00945983"/>
    <w:rsid w:val="00973D36"/>
    <w:rsid w:val="0097535A"/>
    <w:rsid w:val="00976128"/>
    <w:rsid w:val="00985EBA"/>
    <w:rsid w:val="0098622D"/>
    <w:rsid w:val="009A452D"/>
    <w:rsid w:val="009B15D1"/>
    <w:rsid w:val="009B2B36"/>
    <w:rsid w:val="009B5BC7"/>
    <w:rsid w:val="009B6EA8"/>
    <w:rsid w:val="009C12AB"/>
    <w:rsid w:val="009C5BE8"/>
    <w:rsid w:val="009C5BF0"/>
    <w:rsid w:val="009D1F9C"/>
    <w:rsid w:val="009D203C"/>
    <w:rsid w:val="009D20A3"/>
    <w:rsid w:val="009D3502"/>
    <w:rsid w:val="009E6699"/>
    <w:rsid w:val="00A045C1"/>
    <w:rsid w:val="00A0474D"/>
    <w:rsid w:val="00A159FC"/>
    <w:rsid w:val="00A15F7A"/>
    <w:rsid w:val="00A21DDF"/>
    <w:rsid w:val="00A23F1B"/>
    <w:rsid w:val="00A27AA9"/>
    <w:rsid w:val="00A339F0"/>
    <w:rsid w:val="00A36206"/>
    <w:rsid w:val="00A4096D"/>
    <w:rsid w:val="00A42751"/>
    <w:rsid w:val="00A44605"/>
    <w:rsid w:val="00A52737"/>
    <w:rsid w:val="00A54E5B"/>
    <w:rsid w:val="00A61AF6"/>
    <w:rsid w:val="00A63C44"/>
    <w:rsid w:val="00A678EF"/>
    <w:rsid w:val="00A75A79"/>
    <w:rsid w:val="00A910F1"/>
    <w:rsid w:val="00AA0F1B"/>
    <w:rsid w:val="00AA4CCD"/>
    <w:rsid w:val="00AA753F"/>
    <w:rsid w:val="00AB7536"/>
    <w:rsid w:val="00AC49CE"/>
    <w:rsid w:val="00AC4FD2"/>
    <w:rsid w:val="00AD6E73"/>
    <w:rsid w:val="00AE03A1"/>
    <w:rsid w:val="00AE3298"/>
    <w:rsid w:val="00B018CE"/>
    <w:rsid w:val="00B02024"/>
    <w:rsid w:val="00B05115"/>
    <w:rsid w:val="00B07980"/>
    <w:rsid w:val="00B12A55"/>
    <w:rsid w:val="00B15872"/>
    <w:rsid w:val="00B16E78"/>
    <w:rsid w:val="00B20FA0"/>
    <w:rsid w:val="00B24D17"/>
    <w:rsid w:val="00B277AA"/>
    <w:rsid w:val="00B30127"/>
    <w:rsid w:val="00B32542"/>
    <w:rsid w:val="00B32A03"/>
    <w:rsid w:val="00B4067A"/>
    <w:rsid w:val="00B41493"/>
    <w:rsid w:val="00B42330"/>
    <w:rsid w:val="00B42703"/>
    <w:rsid w:val="00B47396"/>
    <w:rsid w:val="00B5289C"/>
    <w:rsid w:val="00B53BAE"/>
    <w:rsid w:val="00B601A6"/>
    <w:rsid w:val="00B61615"/>
    <w:rsid w:val="00B616DF"/>
    <w:rsid w:val="00B775F1"/>
    <w:rsid w:val="00BA68F5"/>
    <w:rsid w:val="00BB1F82"/>
    <w:rsid w:val="00BB2ACA"/>
    <w:rsid w:val="00BB33D2"/>
    <w:rsid w:val="00BB33E6"/>
    <w:rsid w:val="00BB6706"/>
    <w:rsid w:val="00BC09E9"/>
    <w:rsid w:val="00BC30AC"/>
    <w:rsid w:val="00BC4761"/>
    <w:rsid w:val="00BC548C"/>
    <w:rsid w:val="00BD26E3"/>
    <w:rsid w:val="00BD46B3"/>
    <w:rsid w:val="00BD4844"/>
    <w:rsid w:val="00BD4F16"/>
    <w:rsid w:val="00BD62A9"/>
    <w:rsid w:val="00BD6B19"/>
    <w:rsid w:val="00BD7252"/>
    <w:rsid w:val="00BD77B4"/>
    <w:rsid w:val="00BE2907"/>
    <w:rsid w:val="00BF1566"/>
    <w:rsid w:val="00BF2BE8"/>
    <w:rsid w:val="00C214C3"/>
    <w:rsid w:val="00C21A0B"/>
    <w:rsid w:val="00C22847"/>
    <w:rsid w:val="00C23C88"/>
    <w:rsid w:val="00C3639D"/>
    <w:rsid w:val="00C41183"/>
    <w:rsid w:val="00C42020"/>
    <w:rsid w:val="00C42E82"/>
    <w:rsid w:val="00C44B22"/>
    <w:rsid w:val="00C46BF7"/>
    <w:rsid w:val="00C52340"/>
    <w:rsid w:val="00C57015"/>
    <w:rsid w:val="00C70AC1"/>
    <w:rsid w:val="00C70FB9"/>
    <w:rsid w:val="00C736B5"/>
    <w:rsid w:val="00C73B5B"/>
    <w:rsid w:val="00C75E17"/>
    <w:rsid w:val="00C821C3"/>
    <w:rsid w:val="00C967BD"/>
    <w:rsid w:val="00CA60C0"/>
    <w:rsid w:val="00CB5D80"/>
    <w:rsid w:val="00CB7BBD"/>
    <w:rsid w:val="00CC635B"/>
    <w:rsid w:val="00CD0DF3"/>
    <w:rsid w:val="00CD108B"/>
    <w:rsid w:val="00CD1688"/>
    <w:rsid w:val="00CD275D"/>
    <w:rsid w:val="00CE03F4"/>
    <w:rsid w:val="00CE0D24"/>
    <w:rsid w:val="00CE1F97"/>
    <w:rsid w:val="00CE3B68"/>
    <w:rsid w:val="00CE5C22"/>
    <w:rsid w:val="00D03251"/>
    <w:rsid w:val="00D13B7F"/>
    <w:rsid w:val="00D17952"/>
    <w:rsid w:val="00D22B67"/>
    <w:rsid w:val="00D255E5"/>
    <w:rsid w:val="00D273E8"/>
    <w:rsid w:val="00D276CD"/>
    <w:rsid w:val="00D301AB"/>
    <w:rsid w:val="00D306DE"/>
    <w:rsid w:val="00D37098"/>
    <w:rsid w:val="00D40911"/>
    <w:rsid w:val="00D42A85"/>
    <w:rsid w:val="00D50424"/>
    <w:rsid w:val="00D53F80"/>
    <w:rsid w:val="00D615B9"/>
    <w:rsid w:val="00D65B94"/>
    <w:rsid w:val="00D65D54"/>
    <w:rsid w:val="00D76F25"/>
    <w:rsid w:val="00D812C2"/>
    <w:rsid w:val="00DB0DE6"/>
    <w:rsid w:val="00DC21F0"/>
    <w:rsid w:val="00DC6509"/>
    <w:rsid w:val="00DE0BA3"/>
    <w:rsid w:val="00DE35F4"/>
    <w:rsid w:val="00DF1A9A"/>
    <w:rsid w:val="00DF2776"/>
    <w:rsid w:val="00DF323D"/>
    <w:rsid w:val="00E03D77"/>
    <w:rsid w:val="00E26814"/>
    <w:rsid w:val="00E301A5"/>
    <w:rsid w:val="00E31290"/>
    <w:rsid w:val="00E34343"/>
    <w:rsid w:val="00E4123F"/>
    <w:rsid w:val="00E533A3"/>
    <w:rsid w:val="00E53E54"/>
    <w:rsid w:val="00E554FC"/>
    <w:rsid w:val="00E57228"/>
    <w:rsid w:val="00E7089C"/>
    <w:rsid w:val="00E7246F"/>
    <w:rsid w:val="00E81BC8"/>
    <w:rsid w:val="00E970F5"/>
    <w:rsid w:val="00EA678F"/>
    <w:rsid w:val="00EB0809"/>
    <w:rsid w:val="00EB122F"/>
    <w:rsid w:val="00EC12C7"/>
    <w:rsid w:val="00EC52FD"/>
    <w:rsid w:val="00EC5F8C"/>
    <w:rsid w:val="00EC6291"/>
    <w:rsid w:val="00ED12B1"/>
    <w:rsid w:val="00ED4E2E"/>
    <w:rsid w:val="00ED57DC"/>
    <w:rsid w:val="00EE15D9"/>
    <w:rsid w:val="00EF1B01"/>
    <w:rsid w:val="00EF5261"/>
    <w:rsid w:val="00F001F0"/>
    <w:rsid w:val="00F028D6"/>
    <w:rsid w:val="00F04FC6"/>
    <w:rsid w:val="00F105D7"/>
    <w:rsid w:val="00F270AE"/>
    <w:rsid w:val="00F2739F"/>
    <w:rsid w:val="00F314E6"/>
    <w:rsid w:val="00F33712"/>
    <w:rsid w:val="00F36EAE"/>
    <w:rsid w:val="00F566F9"/>
    <w:rsid w:val="00F6323A"/>
    <w:rsid w:val="00F6614B"/>
    <w:rsid w:val="00F700DD"/>
    <w:rsid w:val="00F726CB"/>
    <w:rsid w:val="00F771F3"/>
    <w:rsid w:val="00F823FB"/>
    <w:rsid w:val="00F84F9D"/>
    <w:rsid w:val="00F94449"/>
    <w:rsid w:val="00F95117"/>
    <w:rsid w:val="00FA3464"/>
    <w:rsid w:val="00FA69A3"/>
    <w:rsid w:val="00FC1E9C"/>
    <w:rsid w:val="00FC5937"/>
    <w:rsid w:val="00FC7550"/>
    <w:rsid w:val="00FD2FE5"/>
    <w:rsid w:val="00FE0F7C"/>
    <w:rsid w:val="00FE5F6A"/>
    <w:rsid w:val="00FE6A83"/>
    <w:rsid w:val="00FF2E8B"/>
    <w:rsid w:val="00FF7E23"/>
    <w:rsid w:val="06BF1EA6"/>
    <w:rsid w:val="06D84C2B"/>
    <w:rsid w:val="070C11A2"/>
    <w:rsid w:val="072B4937"/>
    <w:rsid w:val="07405120"/>
    <w:rsid w:val="09CB7734"/>
    <w:rsid w:val="0B174CFF"/>
    <w:rsid w:val="0C6322DD"/>
    <w:rsid w:val="0E370BC9"/>
    <w:rsid w:val="0E920B1C"/>
    <w:rsid w:val="0FF24399"/>
    <w:rsid w:val="14464F15"/>
    <w:rsid w:val="159407BD"/>
    <w:rsid w:val="193256C8"/>
    <w:rsid w:val="1E231C31"/>
    <w:rsid w:val="1F5023DC"/>
    <w:rsid w:val="205A6931"/>
    <w:rsid w:val="20FE2263"/>
    <w:rsid w:val="232C34A4"/>
    <w:rsid w:val="2699369F"/>
    <w:rsid w:val="2BBA039F"/>
    <w:rsid w:val="2D9D3A14"/>
    <w:rsid w:val="2F952B22"/>
    <w:rsid w:val="31BD208A"/>
    <w:rsid w:val="34AB19F6"/>
    <w:rsid w:val="353676A3"/>
    <w:rsid w:val="38F96EAA"/>
    <w:rsid w:val="39656B66"/>
    <w:rsid w:val="3EE016B7"/>
    <w:rsid w:val="3F2C3390"/>
    <w:rsid w:val="3FFB3BAF"/>
    <w:rsid w:val="4199386E"/>
    <w:rsid w:val="42982FF7"/>
    <w:rsid w:val="43107F6B"/>
    <w:rsid w:val="45DC0799"/>
    <w:rsid w:val="47897C75"/>
    <w:rsid w:val="4F0F1C31"/>
    <w:rsid w:val="51C34EAB"/>
    <w:rsid w:val="54822946"/>
    <w:rsid w:val="55C9186A"/>
    <w:rsid w:val="56164523"/>
    <w:rsid w:val="58443E8B"/>
    <w:rsid w:val="5895333B"/>
    <w:rsid w:val="5A9138C7"/>
    <w:rsid w:val="5E8D3844"/>
    <w:rsid w:val="60B4658E"/>
    <w:rsid w:val="65456C34"/>
    <w:rsid w:val="661E7A63"/>
    <w:rsid w:val="67132BEA"/>
    <w:rsid w:val="68131D94"/>
    <w:rsid w:val="6A50263F"/>
    <w:rsid w:val="6C3A144F"/>
    <w:rsid w:val="713C0C8D"/>
    <w:rsid w:val="766462B9"/>
    <w:rsid w:val="78A53551"/>
    <w:rsid w:val="791848FA"/>
    <w:rsid w:val="7A001347"/>
    <w:rsid w:val="7A2F7FEF"/>
    <w:rsid w:val="7A3F43BD"/>
    <w:rsid w:val="7AB01D2F"/>
    <w:rsid w:val="7C7D2474"/>
    <w:rsid w:val="7CAE41C1"/>
    <w:rsid w:val="7E02066A"/>
    <w:rsid w:val="7F1C314B"/>
    <w:rsid w:val="7F52700A"/>
    <w:rsid w:val="7FCF477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qFormat="1"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28"/>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5">
    <w:name w:val="heading 2"/>
    <w:basedOn w:val="1"/>
    <w:next w:val="1"/>
    <w:link w:val="29"/>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6">
    <w:name w:val="heading 3"/>
    <w:basedOn w:val="1"/>
    <w:next w:val="1"/>
    <w:link w:val="30"/>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7">
    <w:name w:val="heading 4"/>
    <w:basedOn w:val="1"/>
    <w:next w:val="1"/>
    <w:link w:val="31"/>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2">
    <w:name w:val="Default Paragraph Font"/>
    <w:semiHidden/>
    <w:unhideWhenUsed/>
    <w:qFormat/>
    <w:uiPriority w:val="1"/>
  </w:style>
  <w:style w:type="table" w:default="1" w:styleId="26">
    <w:name w:val="Normal Table"/>
    <w:semiHidden/>
    <w:unhideWhenUsed/>
    <w:uiPriority w:val="99"/>
    <w:tblPr>
      <w:tblLayout w:type="fixed"/>
      <w:tblCellMar>
        <w:top w:w="0" w:type="dxa"/>
        <w:left w:w="108" w:type="dxa"/>
        <w:bottom w:w="0" w:type="dxa"/>
        <w:right w:w="108" w:type="dxa"/>
      </w:tblCellMar>
    </w:tblPr>
  </w:style>
  <w:style w:type="paragraph" w:styleId="2">
    <w:name w:val="Body Text First Indent"/>
    <w:basedOn w:val="3"/>
    <w:link w:val="52"/>
    <w:qFormat/>
    <w:uiPriority w:val="0"/>
    <w:pPr>
      <w:ind w:firstLine="420" w:firstLineChars="100"/>
    </w:pPr>
    <w:rPr>
      <w:rFonts w:ascii="宋体" w:hAnsi="Times New Roman" w:eastAsia="宋体" w:cs="Times New Roman"/>
      <w:kern w:val="0"/>
      <w:sz w:val="34"/>
      <w:szCs w:val="20"/>
    </w:rPr>
  </w:style>
  <w:style w:type="paragraph" w:styleId="3">
    <w:name w:val="Body Text"/>
    <w:basedOn w:val="1"/>
    <w:link w:val="51"/>
    <w:semiHidden/>
    <w:unhideWhenUsed/>
    <w:qFormat/>
    <w:uiPriority w:val="99"/>
    <w:pPr>
      <w:spacing w:after="120"/>
    </w:pPr>
  </w:style>
  <w:style w:type="paragraph" w:styleId="8">
    <w:name w:val="Normal Indent"/>
    <w:basedOn w:val="1"/>
    <w:qFormat/>
    <w:uiPriority w:val="0"/>
    <w:pPr>
      <w:ind w:firstLine="425"/>
    </w:pPr>
    <w:rPr>
      <w:rFonts w:ascii="Times New Roman" w:hAnsi="Times New Roman" w:eastAsia="宋体" w:cs="Times New Roman"/>
      <w:szCs w:val="20"/>
    </w:rPr>
  </w:style>
  <w:style w:type="paragraph" w:styleId="9">
    <w:name w:val="caption"/>
    <w:basedOn w:val="1"/>
    <w:next w:val="1"/>
    <w:qFormat/>
    <w:uiPriority w:val="0"/>
    <w:rPr>
      <w:rFonts w:ascii="Arial" w:hAnsi="Arial" w:eastAsia="黑体" w:cs="Arial"/>
      <w:sz w:val="20"/>
      <w:szCs w:val="20"/>
    </w:rPr>
  </w:style>
  <w:style w:type="paragraph" w:styleId="10">
    <w:name w:val="Body Text 3"/>
    <w:basedOn w:val="1"/>
    <w:link w:val="47"/>
    <w:qFormat/>
    <w:uiPriority w:val="0"/>
    <w:rPr>
      <w:rFonts w:ascii="Times New Roman" w:hAnsi="Times New Roman" w:eastAsia="宋体" w:cs="Times New Roman"/>
      <w:color w:val="FF0000"/>
      <w:sz w:val="24"/>
      <w:szCs w:val="24"/>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2"/>
    <w:qFormat/>
    <w:uiPriority w:val="0"/>
    <w:rPr>
      <w:rFonts w:eastAsia="宋体"/>
      <w:sz w:val="24"/>
    </w:rPr>
  </w:style>
  <w:style w:type="paragraph" w:styleId="14">
    <w:name w:val="Date"/>
    <w:basedOn w:val="1"/>
    <w:next w:val="1"/>
    <w:link w:val="33"/>
    <w:unhideWhenUsed/>
    <w:qFormat/>
    <w:uiPriority w:val="99"/>
    <w:pPr>
      <w:ind w:left="100" w:leftChars="2500"/>
    </w:pPr>
  </w:style>
  <w:style w:type="paragraph" w:styleId="15">
    <w:name w:val="Body Text Indent 2"/>
    <w:basedOn w:val="1"/>
    <w:semiHidden/>
    <w:unhideWhenUsed/>
    <w:qFormat/>
    <w:uiPriority w:val="99"/>
    <w:pPr>
      <w:spacing w:line="440" w:lineRule="exact"/>
      <w:ind w:firstLine="560" w:firstLineChars="200"/>
    </w:pPr>
    <w:rPr>
      <w:rFonts w:ascii="仿宋_GB2312" w:eastAsia="仿宋_GB2312"/>
      <w:sz w:val="28"/>
    </w:rPr>
  </w:style>
  <w:style w:type="paragraph" w:styleId="16">
    <w:name w:val="Balloon Text"/>
    <w:basedOn w:val="1"/>
    <w:link w:val="55"/>
    <w:semiHidden/>
    <w:unhideWhenUsed/>
    <w:qFormat/>
    <w:uiPriority w:val="99"/>
    <w:rPr>
      <w:sz w:val="18"/>
      <w:szCs w:val="18"/>
    </w:rPr>
  </w:style>
  <w:style w:type="paragraph" w:styleId="17">
    <w:name w:val="footer"/>
    <w:basedOn w:val="1"/>
    <w:link w:val="34"/>
    <w:unhideWhenUsed/>
    <w:qFormat/>
    <w:uiPriority w:val="99"/>
    <w:pPr>
      <w:tabs>
        <w:tab w:val="center" w:pos="4153"/>
        <w:tab w:val="right" w:pos="8306"/>
      </w:tabs>
      <w:snapToGrid w:val="0"/>
      <w:jc w:val="left"/>
    </w:pPr>
    <w:rPr>
      <w:sz w:val="18"/>
      <w:szCs w:val="18"/>
    </w:rPr>
  </w:style>
  <w:style w:type="paragraph" w:styleId="18">
    <w:name w:val="header"/>
    <w:basedOn w:val="1"/>
    <w:link w:val="35"/>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20">
    <w:name w:val="HTML Preformatted"/>
    <w:basedOn w:val="1"/>
    <w:link w:val="53"/>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1">
    <w:name w:val="Normal (Web)"/>
    <w:basedOn w:val="1"/>
    <w:qFormat/>
    <w:uiPriority w:val="99"/>
    <w:rPr>
      <w:rFonts w:ascii="Calibri" w:hAnsi="Calibri" w:eastAsia="宋体" w:cs="Times New Roman"/>
      <w:sz w:val="24"/>
      <w:szCs w:val="24"/>
    </w:rPr>
  </w:style>
  <w:style w:type="character" w:styleId="23">
    <w:name w:val="Strong"/>
    <w:basedOn w:val="22"/>
    <w:qFormat/>
    <w:uiPriority w:val="22"/>
    <w:rPr>
      <w:b/>
      <w:bCs/>
    </w:rPr>
  </w:style>
  <w:style w:type="character" w:styleId="24">
    <w:name w:val="FollowedHyperlink"/>
    <w:basedOn w:val="22"/>
    <w:semiHidden/>
    <w:unhideWhenUsed/>
    <w:qFormat/>
    <w:uiPriority w:val="99"/>
    <w:rPr>
      <w:color w:val="800080" w:themeColor="followedHyperlink"/>
      <w:u w:val="single"/>
      <w14:textFill>
        <w14:solidFill>
          <w14:schemeClr w14:val="folHlink"/>
        </w14:solidFill>
      </w14:textFill>
    </w:rPr>
  </w:style>
  <w:style w:type="character" w:styleId="25">
    <w:name w:val="Hyperlink"/>
    <w:basedOn w:val="22"/>
    <w:unhideWhenUsed/>
    <w:qFormat/>
    <w:uiPriority w:val="99"/>
    <w:rPr>
      <w:color w:val="0000FF"/>
      <w:u w:val="single"/>
    </w:rPr>
  </w:style>
  <w:style w:type="table" w:styleId="27">
    <w:name w:val="Table Grid"/>
    <w:basedOn w:val="2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8">
    <w:name w:val="标题 1 字符"/>
    <w:basedOn w:val="22"/>
    <w:link w:val="4"/>
    <w:qFormat/>
    <w:uiPriority w:val="0"/>
    <w:rPr>
      <w:rFonts w:ascii="Calibri" w:hAnsi="Calibri" w:eastAsia="宋体" w:cs="Times New Roman"/>
      <w:b/>
      <w:bCs/>
      <w:kern w:val="44"/>
      <w:sz w:val="44"/>
      <w:szCs w:val="44"/>
    </w:rPr>
  </w:style>
  <w:style w:type="character" w:customStyle="1" w:styleId="29">
    <w:name w:val="标题 2 字符"/>
    <w:basedOn w:val="22"/>
    <w:link w:val="5"/>
    <w:qFormat/>
    <w:uiPriority w:val="0"/>
    <w:rPr>
      <w:rFonts w:ascii="Arial" w:hAnsi="Arial" w:eastAsia="黑体" w:cs="Times New Roman"/>
      <w:b/>
      <w:bCs/>
      <w:kern w:val="0"/>
      <w:sz w:val="32"/>
      <w:szCs w:val="32"/>
    </w:rPr>
  </w:style>
  <w:style w:type="character" w:customStyle="1" w:styleId="30">
    <w:name w:val="标题 3 字符"/>
    <w:basedOn w:val="22"/>
    <w:link w:val="6"/>
    <w:qFormat/>
    <w:uiPriority w:val="0"/>
    <w:rPr>
      <w:rFonts w:ascii="宋体" w:hAnsi="宋体" w:eastAsia="宋体" w:cs="Times New Roman"/>
      <w:b/>
      <w:color w:val="000000"/>
      <w:kern w:val="0"/>
      <w:sz w:val="24"/>
      <w:szCs w:val="20"/>
      <w:lang w:val="en-GB"/>
    </w:rPr>
  </w:style>
  <w:style w:type="character" w:customStyle="1" w:styleId="31">
    <w:name w:val="标题 4 字符"/>
    <w:basedOn w:val="22"/>
    <w:link w:val="7"/>
    <w:qFormat/>
    <w:uiPriority w:val="0"/>
    <w:rPr>
      <w:rFonts w:ascii="Arial" w:hAnsi="Arial" w:eastAsia="黑体" w:cs="Times New Roman"/>
      <w:b/>
      <w:bCs/>
      <w:kern w:val="0"/>
      <w:sz w:val="28"/>
      <w:szCs w:val="28"/>
    </w:rPr>
  </w:style>
  <w:style w:type="character" w:customStyle="1" w:styleId="32">
    <w:name w:val="纯文本 字符"/>
    <w:basedOn w:val="22"/>
    <w:link w:val="13"/>
    <w:qFormat/>
    <w:uiPriority w:val="0"/>
    <w:rPr>
      <w:rFonts w:eastAsia="宋体"/>
      <w:sz w:val="24"/>
    </w:rPr>
  </w:style>
  <w:style w:type="character" w:customStyle="1" w:styleId="33">
    <w:name w:val="日期 字符"/>
    <w:basedOn w:val="22"/>
    <w:link w:val="14"/>
    <w:qFormat/>
    <w:uiPriority w:val="99"/>
  </w:style>
  <w:style w:type="character" w:customStyle="1" w:styleId="34">
    <w:name w:val="页脚 字符"/>
    <w:basedOn w:val="22"/>
    <w:link w:val="17"/>
    <w:qFormat/>
    <w:uiPriority w:val="99"/>
    <w:rPr>
      <w:sz w:val="18"/>
      <w:szCs w:val="18"/>
    </w:rPr>
  </w:style>
  <w:style w:type="character" w:customStyle="1" w:styleId="35">
    <w:name w:val="页眉 字符"/>
    <w:basedOn w:val="22"/>
    <w:link w:val="18"/>
    <w:qFormat/>
    <w:uiPriority w:val="99"/>
    <w:rPr>
      <w:sz w:val="18"/>
      <w:szCs w:val="18"/>
    </w:rPr>
  </w:style>
  <w:style w:type="character" w:customStyle="1" w:styleId="36">
    <w:name w:val="纯文本 Char1"/>
    <w:qFormat/>
    <w:uiPriority w:val="0"/>
    <w:rPr>
      <w:rFonts w:eastAsia="宋体"/>
      <w:sz w:val="24"/>
    </w:rPr>
  </w:style>
  <w:style w:type="paragraph" w:customStyle="1" w:styleId="37">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38">
    <w:name w:val="列出段落1"/>
    <w:basedOn w:val="1"/>
    <w:qFormat/>
    <w:uiPriority w:val="34"/>
    <w:pPr>
      <w:ind w:firstLine="420" w:firstLineChars="200"/>
    </w:pPr>
  </w:style>
  <w:style w:type="paragraph" w:styleId="39">
    <w:name w:val="List Paragraph"/>
    <w:basedOn w:val="1"/>
    <w:unhideWhenUsed/>
    <w:qFormat/>
    <w:uiPriority w:val="99"/>
    <w:pPr>
      <w:ind w:firstLine="420" w:firstLineChars="200"/>
    </w:pPr>
  </w:style>
  <w:style w:type="character" w:customStyle="1" w:styleId="40">
    <w:name w:val="正文文本缩进 Char Char"/>
    <w:link w:val="41"/>
    <w:qFormat/>
    <w:uiPriority w:val="0"/>
    <w:rPr>
      <w:rFonts w:ascii="宋体"/>
      <w:sz w:val="24"/>
    </w:rPr>
  </w:style>
  <w:style w:type="paragraph" w:customStyle="1" w:styleId="41">
    <w:name w:val="正文文本缩进1"/>
    <w:basedOn w:val="1"/>
    <w:link w:val="40"/>
    <w:qFormat/>
    <w:uiPriority w:val="0"/>
    <w:pPr>
      <w:spacing w:line="360" w:lineRule="auto"/>
      <w:ind w:firstLine="480" w:firstLineChars="200"/>
    </w:pPr>
    <w:rPr>
      <w:rFonts w:ascii="宋体"/>
      <w:sz w:val="24"/>
    </w:rPr>
  </w:style>
  <w:style w:type="character" w:customStyle="1" w:styleId="42">
    <w:name w:val="日期 Char Char"/>
    <w:link w:val="43"/>
    <w:qFormat/>
    <w:uiPriority w:val="0"/>
    <w:rPr>
      <w:sz w:val="24"/>
    </w:rPr>
  </w:style>
  <w:style w:type="paragraph" w:customStyle="1" w:styleId="43">
    <w:name w:val="日期1"/>
    <w:basedOn w:val="1"/>
    <w:next w:val="1"/>
    <w:link w:val="42"/>
    <w:qFormat/>
    <w:uiPriority w:val="0"/>
    <w:rPr>
      <w:sz w:val="24"/>
    </w:rPr>
  </w:style>
  <w:style w:type="paragraph" w:customStyle="1" w:styleId="44">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5">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46">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47">
    <w:name w:val="正文文本 3 字符"/>
    <w:basedOn w:val="22"/>
    <w:link w:val="10"/>
    <w:qFormat/>
    <w:uiPriority w:val="0"/>
    <w:rPr>
      <w:rFonts w:ascii="Times New Roman" w:hAnsi="Times New Roman" w:eastAsia="宋体" w:cs="Times New Roman"/>
      <w:color w:val="FF0000"/>
      <w:sz w:val="24"/>
      <w:szCs w:val="24"/>
    </w:rPr>
  </w:style>
  <w:style w:type="character" w:customStyle="1" w:styleId="48">
    <w:name w:val="edittexttarea"/>
    <w:basedOn w:val="22"/>
    <w:qFormat/>
    <w:uiPriority w:val="0"/>
  </w:style>
  <w:style w:type="paragraph" w:customStyle="1" w:styleId="49">
    <w:name w:val="样式 标题 1 + 四号 居中 段前: 12 磅 段后: 12 磅 行距: 单倍行距"/>
    <w:basedOn w:val="4"/>
    <w:qFormat/>
    <w:uiPriority w:val="0"/>
    <w:pPr>
      <w:spacing w:before="240" w:after="240" w:line="240" w:lineRule="auto"/>
      <w:ind w:left="-288"/>
      <w:jc w:val="center"/>
    </w:pPr>
    <w:rPr>
      <w:rFonts w:cs="宋体"/>
      <w:sz w:val="28"/>
      <w:szCs w:val="20"/>
    </w:rPr>
  </w:style>
  <w:style w:type="paragraph" w:customStyle="1" w:styleId="50">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1">
    <w:name w:val="正文文本 字符"/>
    <w:basedOn w:val="22"/>
    <w:link w:val="3"/>
    <w:semiHidden/>
    <w:qFormat/>
    <w:uiPriority w:val="99"/>
  </w:style>
  <w:style w:type="character" w:customStyle="1" w:styleId="52">
    <w:name w:val="正文文本首行缩进 字符"/>
    <w:basedOn w:val="51"/>
    <w:link w:val="2"/>
    <w:qFormat/>
    <w:uiPriority w:val="0"/>
    <w:rPr>
      <w:rFonts w:ascii="宋体" w:hAnsi="Times New Roman" w:eastAsia="宋体" w:cs="Times New Roman"/>
      <w:kern w:val="0"/>
      <w:sz w:val="34"/>
      <w:szCs w:val="20"/>
    </w:rPr>
  </w:style>
  <w:style w:type="character" w:customStyle="1" w:styleId="53">
    <w:name w:val="HTML 预设格式 字符"/>
    <w:basedOn w:val="22"/>
    <w:link w:val="20"/>
    <w:semiHidden/>
    <w:qFormat/>
    <w:uiPriority w:val="99"/>
    <w:rPr>
      <w:rFonts w:ascii="宋体" w:hAnsi="宋体" w:eastAsia="宋体" w:cs="宋体"/>
      <w:kern w:val="0"/>
      <w:sz w:val="24"/>
      <w:szCs w:val="24"/>
    </w:rPr>
  </w:style>
  <w:style w:type="paragraph" w:customStyle="1" w:styleId="54">
    <w:name w:val="列出段落"/>
    <w:basedOn w:val="1"/>
    <w:qFormat/>
    <w:uiPriority w:val="0"/>
    <w:pPr>
      <w:adjustRightInd w:val="0"/>
      <w:snapToGrid w:val="0"/>
      <w:spacing w:line="360" w:lineRule="auto"/>
      <w:ind w:firstLine="420" w:firstLineChars="200"/>
    </w:pPr>
    <w:rPr>
      <w:rFonts w:ascii="Times New Roman" w:hAnsi="Times New Roman" w:eastAsia="宋体" w:cs="Times New Roman"/>
      <w:color w:val="000000"/>
      <w:szCs w:val="21"/>
    </w:rPr>
  </w:style>
  <w:style w:type="character" w:customStyle="1" w:styleId="55">
    <w:name w:val="批注框文本 字符"/>
    <w:basedOn w:val="22"/>
    <w:link w:val="16"/>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E1B98A0-E170-4F7D-920B-5AE22E595653}">
  <ds:schemaRefs/>
</ds:datastoreItem>
</file>

<file path=docProps/app.xml><?xml version="1.0" encoding="utf-8"?>
<Properties xmlns="http://schemas.openxmlformats.org/officeDocument/2006/extended-properties" xmlns:vt="http://schemas.openxmlformats.org/officeDocument/2006/docPropsVTypes">
  <Template>Normal</Template>
  <Pages>58</Pages>
  <Words>5201</Words>
  <Characters>29648</Characters>
  <Lines>247</Lines>
  <Paragraphs>69</Paragraphs>
  <TotalTime>2</TotalTime>
  <ScaleCrop>false</ScaleCrop>
  <LinksUpToDate>false</LinksUpToDate>
  <CharactersWithSpaces>34780</CharactersWithSpaces>
  <Application>WPS Office_10.1.0.7521_F1E327BC-269C-435d-A152-05C5408002CA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2018-05-16T03:22:00Z</dcterms:created>
  <dc:creator>许昌市公共资源交易中心:孟莉</dc:creator>
  <cp:lastModifiedBy>‖红高粱、</cp:lastModifiedBy>
  <cp:lastPrinted>2018-10-10T06:56:00Z</cp:lastPrinted>
  <dcterms:modified xsi:type="dcterms:W3CDTF">2018-10-11T02:36:51Z</dcterms:modified>
  <cp:revision>492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