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9BF" w:rsidRPr="00774542" w:rsidRDefault="005309BF" w:rsidP="005309BF">
      <w:pPr>
        <w:pStyle w:val="1"/>
        <w:rPr>
          <w:lang w:val="zh-CN"/>
        </w:rPr>
      </w:pPr>
      <w:bookmarkStart w:id="0" w:name="_Toc528575805"/>
      <w:bookmarkStart w:id="1" w:name="_GoBack"/>
      <w:bookmarkEnd w:id="1"/>
      <w:r>
        <w:rPr>
          <w:rFonts w:hint="eastAsia"/>
          <w:lang w:val="zh-CN"/>
        </w:rPr>
        <w:t>最后总报价</w:t>
      </w:r>
      <w:r w:rsidRPr="00774542">
        <w:rPr>
          <w:rFonts w:hint="eastAsia"/>
          <w:lang w:val="zh-CN"/>
        </w:rPr>
        <w:t>一览表</w:t>
      </w:r>
      <w:bookmarkEnd w:id="0"/>
    </w:p>
    <w:p w:rsidR="005309BF" w:rsidRPr="00774542" w:rsidRDefault="005309BF" w:rsidP="005309BF">
      <w:pPr>
        <w:autoSpaceDE w:val="0"/>
        <w:autoSpaceDN w:val="0"/>
        <w:adjustRightInd w:val="0"/>
        <w:spacing w:line="140" w:lineRule="exact"/>
        <w:rPr>
          <w:rFonts w:ascii="宋体" w:cs="宋体"/>
          <w:b/>
          <w:bCs/>
          <w:lang w:val="zh-CN"/>
        </w:rPr>
      </w:pPr>
    </w:p>
    <w:tbl>
      <w:tblPr>
        <w:tblW w:w="9465" w:type="dxa"/>
        <w:tblLayout w:type="fixed"/>
        <w:tblLook w:val="0000" w:firstRow="0" w:lastRow="0" w:firstColumn="0" w:lastColumn="0" w:noHBand="0" w:noVBand="0"/>
      </w:tblPr>
      <w:tblGrid>
        <w:gridCol w:w="1081"/>
        <w:gridCol w:w="1952"/>
        <w:gridCol w:w="3780"/>
        <w:gridCol w:w="1749"/>
        <w:gridCol w:w="903"/>
      </w:tblGrid>
      <w:tr w:rsidR="005309BF" w:rsidRPr="00774542" w:rsidTr="00C12E55">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5309BF" w:rsidRPr="00774542" w:rsidRDefault="005309BF" w:rsidP="00C12E55">
            <w:pPr>
              <w:autoSpaceDE w:val="0"/>
              <w:autoSpaceDN w:val="0"/>
              <w:adjustRightInd w:val="0"/>
              <w:spacing w:line="480" w:lineRule="exact"/>
              <w:jc w:val="center"/>
              <w:rPr>
                <w:rFonts w:ascii="宋体" w:cs="宋体"/>
                <w:lang w:val="zh-CN"/>
              </w:rPr>
            </w:pPr>
            <w:r w:rsidRPr="00774542">
              <w:rPr>
                <w:rFonts w:ascii="宋体" w:cs="宋体" w:hint="eastAsia"/>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5309BF" w:rsidRPr="00774542" w:rsidRDefault="005309BF" w:rsidP="00C12E55">
            <w:pPr>
              <w:autoSpaceDE w:val="0"/>
              <w:autoSpaceDN w:val="0"/>
              <w:adjustRightInd w:val="0"/>
              <w:spacing w:line="480" w:lineRule="exact"/>
              <w:jc w:val="center"/>
              <w:rPr>
                <w:rFonts w:ascii="宋体" w:cs="宋体"/>
                <w:lang w:val="zh-CN"/>
              </w:rPr>
            </w:pPr>
            <w:r w:rsidRPr="00774542">
              <w:rPr>
                <w:rFonts w:ascii="宋体" w:cs="宋体" w:hint="eastAsia"/>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5309BF" w:rsidRPr="00774542" w:rsidRDefault="005309BF" w:rsidP="00C12E55">
            <w:pPr>
              <w:autoSpaceDE w:val="0"/>
              <w:autoSpaceDN w:val="0"/>
              <w:adjustRightInd w:val="0"/>
              <w:spacing w:line="480" w:lineRule="exact"/>
              <w:jc w:val="center"/>
              <w:rPr>
                <w:rFonts w:ascii="宋体" w:cs="宋体"/>
                <w:lang w:val="zh-CN"/>
              </w:rPr>
            </w:pPr>
            <w:r w:rsidRPr="00774542">
              <w:rPr>
                <w:rFonts w:ascii="宋体" w:cs="宋体" w:hint="eastAsia"/>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5309BF" w:rsidRPr="00774542" w:rsidRDefault="005309BF" w:rsidP="00C12E55">
            <w:pPr>
              <w:autoSpaceDE w:val="0"/>
              <w:autoSpaceDN w:val="0"/>
              <w:adjustRightInd w:val="0"/>
              <w:spacing w:line="480" w:lineRule="exact"/>
              <w:jc w:val="center"/>
              <w:rPr>
                <w:rFonts w:ascii="宋体" w:cs="宋体"/>
                <w:lang w:val="zh-CN"/>
              </w:rPr>
            </w:pPr>
            <w:r w:rsidRPr="00774542">
              <w:rPr>
                <w:rFonts w:ascii="宋体" w:cs="宋体" w:hint="eastAsia"/>
                <w:lang w:val="zh-CN"/>
              </w:rPr>
              <w:t>工期</w:t>
            </w:r>
          </w:p>
        </w:tc>
        <w:tc>
          <w:tcPr>
            <w:tcW w:w="903" w:type="dxa"/>
            <w:tcBorders>
              <w:top w:val="single" w:sz="6" w:space="0" w:color="auto"/>
              <w:left w:val="single" w:sz="6" w:space="0" w:color="auto"/>
              <w:bottom w:val="single" w:sz="6" w:space="0" w:color="auto"/>
              <w:right w:val="single" w:sz="6" w:space="0" w:color="auto"/>
            </w:tcBorders>
            <w:vAlign w:val="center"/>
          </w:tcPr>
          <w:p w:rsidR="005309BF" w:rsidRPr="00774542" w:rsidRDefault="005309BF" w:rsidP="00C12E55">
            <w:pPr>
              <w:autoSpaceDE w:val="0"/>
              <w:autoSpaceDN w:val="0"/>
              <w:adjustRightInd w:val="0"/>
              <w:spacing w:line="480" w:lineRule="exact"/>
              <w:jc w:val="center"/>
              <w:rPr>
                <w:rFonts w:ascii="宋体" w:cs="宋体"/>
                <w:lang w:val="zh-CN"/>
              </w:rPr>
            </w:pPr>
            <w:r w:rsidRPr="00774542">
              <w:rPr>
                <w:rFonts w:ascii="宋体" w:cs="宋体" w:hint="eastAsia"/>
                <w:lang w:val="zh-CN"/>
              </w:rPr>
              <w:t>备注</w:t>
            </w:r>
          </w:p>
        </w:tc>
      </w:tr>
      <w:tr w:rsidR="005309BF" w:rsidRPr="00774542" w:rsidTr="00C12E55">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5309BF" w:rsidRPr="004A191D" w:rsidRDefault="005309BF" w:rsidP="00C12E55">
            <w:pPr>
              <w:autoSpaceDE w:val="0"/>
              <w:autoSpaceDN w:val="0"/>
              <w:adjustRightInd w:val="0"/>
              <w:spacing w:line="480" w:lineRule="exact"/>
              <w:jc w:val="center"/>
              <w:rPr>
                <w:rFonts w:ascii="宋体" w:cs="宋体"/>
                <w:lang w:val="zh-CN"/>
              </w:rPr>
            </w:pPr>
            <w:r>
              <w:rPr>
                <w:rFonts w:ascii="宋体" w:cs="宋体" w:hint="eastAsia"/>
                <w:lang w:val="zh-CN"/>
              </w:rPr>
              <w:t>一标段</w:t>
            </w:r>
          </w:p>
        </w:tc>
        <w:tc>
          <w:tcPr>
            <w:tcW w:w="1952" w:type="dxa"/>
            <w:tcBorders>
              <w:top w:val="single" w:sz="6" w:space="0" w:color="auto"/>
              <w:left w:val="single" w:sz="6" w:space="0" w:color="auto"/>
              <w:bottom w:val="single" w:sz="6" w:space="0" w:color="auto"/>
              <w:right w:val="single" w:sz="6" w:space="0" w:color="auto"/>
            </w:tcBorders>
            <w:vAlign w:val="center"/>
          </w:tcPr>
          <w:p w:rsidR="005309BF" w:rsidRPr="004A191D" w:rsidRDefault="005309BF" w:rsidP="00C12E55">
            <w:pPr>
              <w:widowControl/>
              <w:shd w:val="clear" w:color="auto" w:fill="FFFFFF"/>
              <w:spacing w:line="360" w:lineRule="atLeast"/>
              <w:jc w:val="center"/>
              <w:rPr>
                <w:rFonts w:ascii="宋体" w:cs="宋体"/>
                <w:lang w:val="zh-CN"/>
              </w:rPr>
            </w:pPr>
            <w:r w:rsidRPr="004A191D">
              <w:rPr>
                <w:rFonts w:ascii="宋体" w:cs="宋体" w:hint="eastAsia"/>
                <w:lang w:val="zh-CN"/>
              </w:rPr>
              <w:t>国道311和省道227许昌城区段改建工程PPP项目咨询服务</w:t>
            </w:r>
          </w:p>
        </w:tc>
        <w:tc>
          <w:tcPr>
            <w:tcW w:w="3780" w:type="dxa"/>
            <w:tcBorders>
              <w:top w:val="single" w:sz="6" w:space="0" w:color="auto"/>
              <w:left w:val="single" w:sz="6" w:space="0" w:color="auto"/>
              <w:bottom w:val="single" w:sz="6" w:space="0" w:color="auto"/>
              <w:right w:val="single" w:sz="6" w:space="0" w:color="auto"/>
            </w:tcBorders>
            <w:vAlign w:val="center"/>
          </w:tcPr>
          <w:p w:rsidR="005309BF" w:rsidRPr="00F81B3E" w:rsidRDefault="005309BF" w:rsidP="00C12E55">
            <w:pPr>
              <w:autoSpaceDE w:val="0"/>
              <w:autoSpaceDN w:val="0"/>
              <w:adjustRightInd w:val="0"/>
              <w:spacing w:line="480" w:lineRule="exact"/>
              <w:jc w:val="center"/>
              <w:rPr>
                <w:rFonts w:ascii="宋体" w:cs="宋体"/>
                <w:lang w:val="zh-CN"/>
              </w:rPr>
            </w:pPr>
            <w:r w:rsidRPr="00F81B3E">
              <w:rPr>
                <w:rFonts w:ascii="宋体" w:cs="宋体" w:hint="eastAsia"/>
                <w:lang w:val="zh-CN"/>
              </w:rPr>
              <w:t>大写： 柒拾</w:t>
            </w:r>
            <w:r w:rsidRPr="005309BF">
              <w:rPr>
                <w:rFonts w:ascii="宋体" w:cs="宋体" w:hint="eastAsia"/>
                <w:lang w:val="zh-CN"/>
              </w:rPr>
              <w:t>柒</w:t>
            </w:r>
            <w:r w:rsidRPr="00F81B3E">
              <w:rPr>
                <w:rFonts w:ascii="宋体" w:cs="宋体" w:hint="eastAsia"/>
                <w:lang w:val="zh-CN"/>
              </w:rPr>
              <w:t>万</w:t>
            </w:r>
            <w:r>
              <w:rPr>
                <w:rFonts w:ascii="宋体" w:cs="宋体" w:hint="eastAsia"/>
                <w:lang w:val="zh-CN"/>
              </w:rPr>
              <w:t>陆</w:t>
            </w:r>
            <w:r w:rsidRPr="00F81B3E">
              <w:rPr>
                <w:rFonts w:ascii="宋体" w:cs="宋体" w:hint="eastAsia"/>
                <w:lang w:val="zh-CN"/>
              </w:rPr>
              <w:t xml:space="preserve">仟圆整 </w:t>
            </w:r>
          </w:p>
          <w:p w:rsidR="005309BF" w:rsidRPr="00774542" w:rsidRDefault="005309BF" w:rsidP="005309BF">
            <w:pPr>
              <w:autoSpaceDE w:val="0"/>
              <w:autoSpaceDN w:val="0"/>
              <w:adjustRightInd w:val="0"/>
              <w:spacing w:line="480" w:lineRule="exact"/>
              <w:jc w:val="center"/>
              <w:rPr>
                <w:rFonts w:ascii="宋体" w:cs="宋体"/>
                <w:lang w:val="zh-CN"/>
              </w:rPr>
            </w:pPr>
            <w:r w:rsidRPr="00F81B3E">
              <w:rPr>
                <w:rFonts w:ascii="宋体" w:cs="宋体" w:hint="eastAsia"/>
                <w:lang w:val="zh-CN"/>
              </w:rPr>
              <w:t>小写：7</w:t>
            </w:r>
            <w:r>
              <w:rPr>
                <w:rFonts w:ascii="宋体" w:cs="宋体"/>
                <w:lang w:val="zh-CN"/>
              </w:rPr>
              <w:t>76</w:t>
            </w:r>
            <w:r w:rsidRPr="00F81B3E">
              <w:rPr>
                <w:rFonts w:ascii="宋体" w:cs="宋体" w:hint="eastAsia"/>
                <w:lang w:val="zh-CN"/>
              </w:rPr>
              <w:t>,</w:t>
            </w:r>
            <w:r>
              <w:rPr>
                <w:rFonts w:ascii="宋体" w:cs="宋体"/>
                <w:lang w:val="zh-CN"/>
              </w:rPr>
              <w:t>0</w:t>
            </w:r>
            <w:r w:rsidRPr="00F81B3E">
              <w:rPr>
                <w:rFonts w:ascii="宋体" w:cs="宋体" w:hint="eastAsia"/>
                <w:lang w:val="zh-CN"/>
              </w:rPr>
              <w:t>00元</w:t>
            </w:r>
          </w:p>
        </w:tc>
        <w:tc>
          <w:tcPr>
            <w:tcW w:w="1749" w:type="dxa"/>
            <w:tcBorders>
              <w:top w:val="single" w:sz="6" w:space="0" w:color="auto"/>
              <w:left w:val="single" w:sz="6" w:space="0" w:color="auto"/>
              <w:bottom w:val="single" w:sz="6" w:space="0" w:color="auto"/>
              <w:right w:val="single" w:sz="6" w:space="0" w:color="auto"/>
            </w:tcBorders>
            <w:vAlign w:val="center"/>
          </w:tcPr>
          <w:p w:rsidR="005309BF" w:rsidRPr="00774542" w:rsidRDefault="005309BF" w:rsidP="00C12E55">
            <w:pPr>
              <w:autoSpaceDE w:val="0"/>
              <w:autoSpaceDN w:val="0"/>
              <w:adjustRightInd w:val="0"/>
              <w:spacing w:line="480" w:lineRule="exact"/>
              <w:jc w:val="center"/>
              <w:rPr>
                <w:rFonts w:ascii="宋体" w:cs="宋体"/>
                <w:lang w:val="zh-CN"/>
              </w:rPr>
            </w:pPr>
            <w:r w:rsidRPr="004A191D">
              <w:rPr>
                <w:rFonts w:ascii="宋体" w:cs="宋体" w:hint="eastAsia"/>
                <w:lang w:val="zh-CN"/>
              </w:rPr>
              <w:t>自合同签订之日起三年</w:t>
            </w:r>
          </w:p>
        </w:tc>
        <w:tc>
          <w:tcPr>
            <w:tcW w:w="903" w:type="dxa"/>
            <w:tcBorders>
              <w:top w:val="single" w:sz="6" w:space="0" w:color="auto"/>
              <w:left w:val="single" w:sz="6" w:space="0" w:color="auto"/>
              <w:bottom w:val="single" w:sz="6" w:space="0" w:color="auto"/>
              <w:right w:val="single" w:sz="6" w:space="0" w:color="auto"/>
            </w:tcBorders>
            <w:vAlign w:val="center"/>
          </w:tcPr>
          <w:p w:rsidR="005309BF" w:rsidRPr="00774542" w:rsidRDefault="005309BF" w:rsidP="00C12E55">
            <w:pPr>
              <w:autoSpaceDE w:val="0"/>
              <w:autoSpaceDN w:val="0"/>
              <w:adjustRightInd w:val="0"/>
              <w:spacing w:line="480" w:lineRule="exact"/>
              <w:ind w:firstLine="240"/>
              <w:jc w:val="center"/>
              <w:rPr>
                <w:rFonts w:ascii="宋体" w:cs="宋体"/>
                <w:lang w:val="zh-CN"/>
              </w:rPr>
            </w:pPr>
            <w:r>
              <w:rPr>
                <w:rFonts w:ascii="宋体" w:cs="宋体" w:hint="eastAsia"/>
                <w:lang w:val="zh-CN"/>
              </w:rPr>
              <w:t>/</w:t>
            </w:r>
          </w:p>
        </w:tc>
      </w:tr>
    </w:tbl>
    <w:p w:rsidR="005309BF" w:rsidRDefault="005309BF" w:rsidP="005309BF">
      <w:pPr>
        <w:autoSpaceDE w:val="0"/>
        <w:autoSpaceDN w:val="0"/>
        <w:adjustRightInd w:val="0"/>
        <w:spacing w:line="360" w:lineRule="auto"/>
        <w:rPr>
          <w:rFonts w:ascii="宋体" w:cs="宋体"/>
          <w:lang w:val="zh-CN"/>
        </w:rPr>
      </w:pPr>
    </w:p>
    <w:p w:rsidR="005309BF" w:rsidRDefault="005309BF" w:rsidP="005309BF">
      <w:pPr>
        <w:autoSpaceDE w:val="0"/>
        <w:autoSpaceDN w:val="0"/>
        <w:adjustRightInd w:val="0"/>
        <w:spacing w:line="360" w:lineRule="auto"/>
        <w:rPr>
          <w:rFonts w:ascii="宋体" w:cs="宋体"/>
          <w:lang w:val="zh-CN"/>
        </w:rPr>
      </w:pPr>
    </w:p>
    <w:p w:rsidR="005309BF" w:rsidRDefault="005309BF" w:rsidP="005309BF">
      <w:pPr>
        <w:autoSpaceDE w:val="0"/>
        <w:autoSpaceDN w:val="0"/>
        <w:adjustRightInd w:val="0"/>
        <w:spacing w:line="360" w:lineRule="auto"/>
        <w:rPr>
          <w:rFonts w:ascii="宋体" w:cs="宋体"/>
          <w:lang w:val="zh-CN"/>
        </w:rPr>
      </w:pPr>
      <w:r w:rsidRPr="00774542">
        <w:rPr>
          <w:rFonts w:ascii="宋体" w:cs="宋体" w:hint="eastAsia"/>
          <w:lang w:val="zh-CN"/>
        </w:rPr>
        <w:t>投标人（公章）：</w:t>
      </w:r>
      <w:r>
        <w:rPr>
          <w:rFonts w:ascii="宋体" w:cs="宋体" w:hint="eastAsia"/>
          <w:lang w:val="zh-CN"/>
        </w:rPr>
        <w:t>江苏现代资产投资管理顾问有限公司</w:t>
      </w:r>
      <w:r>
        <w:rPr>
          <w:rFonts w:ascii="宋体" w:cs="宋体" w:hint="eastAsia"/>
          <w:lang w:val="zh-CN"/>
        </w:rPr>
        <w:t xml:space="preserve"> </w:t>
      </w:r>
    </w:p>
    <w:p w:rsidR="005309BF" w:rsidRPr="00774542" w:rsidRDefault="005309BF" w:rsidP="005309BF">
      <w:pPr>
        <w:autoSpaceDE w:val="0"/>
        <w:autoSpaceDN w:val="0"/>
        <w:adjustRightInd w:val="0"/>
        <w:spacing w:line="360" w:lineRule="auto"/>
        <w:rPr>
          <w:rFonts w:ascii="宋体" w:cs="宋体"/>
          <w:lang w:val="zh-CN"/>
        </w:rPr>
      </w:pPr>
    </w:p>
    <w:p w:rsidR="005309BF" w:rsidRPr="00774542" w:rsidRDefault="005309BF" w:rsidP="005309BF">
      <w:pPr>
        <w:autoSpaceDE w:val="0"/>
        <w:autoSpaceDN w:val="0"/>
        <w:adjustRightInd w:val="0"/>
        <w:spacing w:line="360" w:lineRule="auto"/>
        <w:rPr>
          <w:rFonts w:ascii="宋体" w:cs="宋体"/>
          <w:lang w:val="zh-CN"/>
        </w:rPr>
      </w:pPr>
      <w:r w:rsidRPr="00774542">
        <w:rPr>
          <w:rFonts w:ascii="宋体" w:cs="宋体" w:hint="eastAsia"/>
          <w:lang w:val="zh-CN"/>
        </w:rPr>
        <w:t>投标人法定代表人</w:t>
      </w:r>
      <w:r w:rsidRPr="00774542">
        <w:rPr>
          <w:rFonts w:ascii="宋体" w:cs="宋体"/>
          <w:lang w:val="zh-CN"/>
        </w:rPr>
        <w:t xml:space="preserve"> </w:t>
      </w:r>
      <w:r w:rsidRPr="00774542">
        <w:rPr>
          <w:rFonts w:ascii="宋体" w:cs="宋体" w:hint="eastAsia"/>
          <w:lang w:val="zh-CN"/>
        </w:rPr>
        <w:t>（或代理人）签字：</w:t>
      </w:r>
    </w:p>
    <w:p w:rsidR="005309BF" w:rsidRDefault="005309BF" w:rsidP="005309BF">
      <w:pPr>
        <w:autoSpaceDE w:val="0"/>
        <w:autoSpaceDN w:val="0"/>
        <w:adjustRightInd w:val="0"/>
        <w:spacing w:line="360" w:lineRule="auto"/>
        <w:rPr>
          <w:rFonts w:ascii="宋体" w:cs="宋体"/>
          <w:lang w:val="zh-CN"/>
        </w:rPr>
      </w:pPr>
    </w:p>
    <w:p w:rsidR="005309BF" w:rsidRPr="00774542" w:rsidRDefault="005309BF" w:rsidP="005309BF">
      <w:pPr>
        <w:autoSpaceDE w:val="0"/>
        <w:autoSpaceDN w:val="0"/>
        <w:adjustRightInd w:val="0"/>
        <w:spacing w:line="360" w:lineRule="auto"/>
        <w:rPr>
          <w:rFonts w:ascii="宋体" w:cs="宋体"/>
          <w:lang w:val="zh-CN"/>
        </w:rPr>
      </w:pPr>
      <w:r w:rsidRPr="00774542">
        <w:rPr>
          <w:rFonts w:ascii="宋体" w:cs="宋体" w:hint="eastAsia"/>
          <w:lang w:val="zh-CN"/>
        </w:rPr>
        <w:t>日期：</w:t>
      </w:r>
      <w:r w:rsidRPr="00774542">
        <w:rPr>
          <w:rFonts w:ascii="宋体" w:cs="宋体"/>
          <w:lang w:val="zh-CN"/>
        </w:rPr>
        <w:t xml:space="preserve">  </w:t>
      </w:r>
      <w:r>
        <w:rPr>
          <w:rFonts w:ascii="宋体" w:cs="宋体" w:hint="eastAsia"/>
          <w:lang w:val="zh-CN"/>
        </w:rPr>
        <w:t>2018</w:t>
      </w:r>
      <w:r w:rsidRPr="00774542">
        <w:rPr>
          <w:rFonts w:ascii="宋体" w:cs="宋体"/>
          <w:lang w:val="zh-CN"/>
        </w:rPr>
        <w:t xml:space="preserve">  </w:t>
      </w:r>
      <w:r w:rsidRPr="00774542">
        <w:rPr>
          <w:rFonts w:ascii="宋体" w:cs="宋体" w:hint="eastAsia"/>
          <w:lang w:val="zh-CN"/>
        </w:rPr>
        <w:t>年</w:t>
      </w:r>
      <w:r w:rsidRPr="00774542">
        <w:rPr>
          <w:rFonts w:ascii="宋体" w:cs="宋体"/>
          <w:lang w:val="zh-CN"/>
        </w:rPr>
        <w:t xml:space="preserve">  </w:t>
      </w:r>
      <w:r>
        <w:rPr>
          <w:rFonts w:ascii="宋体" w:cs="宋体" w:hint="eastAsia"/>
          <w:lang w:val="zh-CN"/>
        </w:rPr>
        <w:t>10</w:t>
      </w:r>
      <w:r w:rsidRPr="00774542">
        <w:rPr>
          <w:rFonts w:ascii="宋体" w:cs="宋体"/>
          <w:lang w:val="zh-CN"/>
        </w:rPr>
        <w:t xml:space="preserve">  </w:t>
      </w:r>
      <w:r w:rsidRPr="00774542">
        <w:rPr>
          <w:rFonts w:ascii="宋体" w:cs="宋体" w:hint="eastAsia"/>
          <w:lang w:val="zh-CN"/>
        </w:rPr>
        <w:t>月</w:t>
      </w:r>
      <w:r w:rsidRPr="00774542">
        <w:rPr>
          <w:rFonts w:ascii="宋体" w:cs="宋体"/>
          <w:lang w:val="zh-CN"/>
        </w:rPr>
        <w:t xml:space="preserve">  </w:t>
      </w:r>
      <w:r>
        <w:rPr>
          <w:rFonts w:ascii="宋体" w:cs="宋体" w:hint="eastAsia"/>
          <w:lang w:val="zh-CN"/>
        </w:rPr>
        <w:t>29</w:t>
      </w:r>
      <w:r w:rsidRPr="00774542">
        <w:rPr>
          <w:rFonts w:ascii="宋体" w:cs="宋体"/>
          <w:lang w:val="zh-CN"/>
        </w:rPr>
        <w:t xml:space="preserve">  </w:t>
      </w:r>
      <w:r w:rsidRPr="00774542">
        <w:rPr>
          <w:rFonts w:ascii="宋体" w:cs="宋体" w:hint="eastAsia"/>
          <w:lang w:val="zh-CN"/>
        </w:rPr>
        <w:t>日</w:t>
      </w:r>
    </w:p>
    <w:p w:rsidR="005309BF" w:rsidRDefault="005309BF" w:rsidP="005309BF">
      <w:pPr>
        <w:autoSpaceDE w:val="0"/>
        <w:autoSpaceDN w:val="0"/>
        <w:adjustRightInd w:val="0"/>
        <w:spacing w:line="360" w:lineRule="auto"/>
        <w:rPr>
          <w:rFonts w:ascii="宋体" w:cs="宋体"/>
          <w:lang w:val="zh-CN"/>
        </w:rPr>
      </w:pPr>
    </w:p>
    <w:p w:rsidR="005309BF" w:rsidRDefault="005309BF" w:rsidP="005309BF">
      <w:pPr>
        <w:autoSpaceDE w:val="0"/>
        <w:autoSpaceDN w:val="0"/>
        <w:adjustRightInd w:val="0"/>
        <w:spacing w:line="360" w:lineRule="auto"/>
        <w:rPr>
          <w:rFonts w:ascii="宋体" w:cs="宋体"/>
          <w:lang w:val="zh-CN"/>
        </w:rPr>
      </w:pPr>
      <w:r w:rsidRPr="00774542">
        <w:rPr>
          <w:rFonts w:ascii="宋体" w:cs="宋体" w:hint="eastAsia"/>
          <w:lang w:val="zh-CN"/>
        </w:rPr>
        <w:t>注：</w:t>
      </w:r>
      <w:r w:rsidRPr="00774542">
        <w:rPr>
          <w:rFonts w:ascii="宋体" w:hAnsi="Calibri" w:cs="宋体" w:hint="eastAsia"/>
          <w:lang w:val="zh-CN"/>
        </w:rPr>
        <w:t>工期指完成该项目的最终时间（日历天）</w:t>
      </w:r>
      <w:r w:rsidRPr="00774542">
        <w:rPr>
          <w:rFonts w:ascii="宋体" w:cs="宋体" w:hint="eastAsia"/>
          <w:lang w:val="zh-CN"/>
        </w:rPr>
        <w:t>。</w:t>
      </w:r>
    </w:p>
    <w:p w:rsidR="005309BF" w:rsidRDefault="005309BF" w:rsidP="005309BF">
      <w:pPr>
        <w:rPr>
          <w:lang w:val="zh-CN"/>
        </w:rPr>
      </w:pPr>
      <w:r>
        <w:rPr>
          <w:lang w:val="zh-CN"/>
        </w:rPr>
        <w:br w:type="page"/>
      </w:r>
    </w:p>
    <w:p w:rsidR="005309BF" w:rsidRPr="00774542" w:rsidRDefault="005309BF" w:rsidP="005309BF">
      <w:pPr>
        <w:pStyle w:val="1"/>
        <w:rPr>
          <w:lang w:val="zh-CN"/>
        </w:rPr>
      </w:pPr>
      <w:r w:rsidRPr="00774542">
        <w:rPr>
          <w:rFonts w:hint="eastAsia"/>
          <w:lang w:val="zh-CN"/>
        </w:rPr>
        <w:lastRenderedPageBreak/>
        <w:t>投标分项报价</w:t>
      </w:r>
      <w:r w:rsidRPr="00774542">
        <w:rPr>
          <w:rFonts w:hint="eastAsia"/>
        </w:rPr>
        <w:t>一</w:t>
      </w:r>
      <w:r w:rsidRPr="00774542">
        <w:rPr>
          <w:rFonts w:hint="eastAsia"/>
          <w:lang w:val="zh-CN"/>
        </w:rPr>
        <w:t>览表</w:t>
      </w:r>
    </w:p>
    <w:tbl>
      <w:tblPr>
        <w:tblW w:w="907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61"/>
        <w:gridCol w:w="3463"/>
        <w:gridCol w:w="1154"/>
        <w:gridCol w:w="905"/>
        <w:gridCol w:w="2688"/>
      </w:tblGrid>
      <w:tr w:rsidR="005309BF" w:rsidRPr="004A191D" w:rsidTr="00C12E55">
        <w:trPr>
          <w:trHeight w:val="602"/>
          <w:jc w:val="center"/>
        </w:trPr>
        <w:tc>
          <w:tcPr>
            <w:tcW w:w="861" w:type="dxa"/>
            <w:tcBorders>
              <w:top w:val="single" w:sz="12" w:space="0" w:color="auto"/>
              <w:left w:val="single" w:sz="12" w:space="0" w:color="auto"/>
              <w:bottom w:val="single" w:sz="6" w:space="0" w:color="auto"/>
              <w:right w:val="single" w:sz="6" w:space="0" w:color="auto"/>
            </w:tcBorders>
            <w:vAlign w:val="center"/>
          </w:tcPr>
          <w:p w:rsidR="005309BF" w:rsidRPr="004A191D" w:rsidRDefault="005309BF" w:rsidP="00C12E55">
            <w:pPr>
              <w:adjustRightInd w:val="0"/>
              <w:snapToGrid w:val="0"/>
              <w:ind w:left="6840" w:hangingChars="2850" w:hanging="6840"/>
              <w:jc w:val="center"/>
              <w:rPr>
                <w:rFonts w:ascii="宋体" w:hAnsi="宋体" w:cs="宋体"/>
              </w:rPr>
            </w:pPr>
            <w:r w:rsidRPr="004A191D">
              <w:rPr>
                <w:rFonts w:ascii="宋体" w:hAnsi="宋体" w:cs="宋体" w:hint="eastAsia"/>
              </w:rPr>
              <w:t>序号</w:t>
            </w:r>
          </w:p>
        </w:tc>
        <w:tc>
          <w:tcPr>
            <w:tcW w:w="3463" w:type="dxa"/>
            <w:tcBorders>
              <w:top w:val="single" w:sz="12" w:space="0" w:color="auto"/>
              <w:left w:val="single" w:sz="6" w:space="0" w:color="auto"/>
              <w:bottom w:val="single" w:sz="6" w:space="0" w:color="auto"/>
              <w:right w:val="single" w:sz="6" w:space="0" w:color="auto"/>
            </w:tcBorders>
            <w:vAlign w:val="center"/>
          </w:tcPr>
          <w:p w:rsidR="005309BF" w:rsidRPr="004A191D" w:rsidRDefault="005309BF" w:rsidP="00C12E55">
            <w:pPr>
              <w:adjustRightInd w:val="0"/>
              <w:snapToGrid w:val="0"/>
              <w:ind w:left="6840" w:hangingChars="2850" w:hanging="6840"/>
              <w:jc w:val="center"/>
              <w:rPr>
                <w:rFonts w:ascii="宋体" w:hAnsi="宋体" w:cs="宋体"/>
              </w:rPr>
            </w:pPr>
            <w:r w:rsidRPr="004A191D">
              <w:rPr>
                <w:rFonts w:ascii="宋体" w:hAnsi="宋体" w:cs="宋体" w:hint="eastAsia"/>
              </w:rPr>
              <w:t>服务项目内容</w:t>
            </w:r>
          </w:p>
        </w:tc>
        <w:tc>
          <w:tcPr>
            <w:tcW w:w="1154" w:type="dxa"/>
            <w:tcBorders>
              <w:top w:val="single" w:sz="12" w:space="0" w:color="auto"/>
              <w:left w:val="single" w:sz="6" w:space="0" w:color="auto"/>
              <w:bottom w:val="single" w:sz="6" w:space="0" w:color="auto"/>
              <w:right w:val="single" w:sz="6" w:space="0" w:color="auto"/>
            </w:tcBorders>
            <w:vAlign w:val="center"/>
          </w:tcPr>
          <w:p w:rsidR="005309BF" w:rsidRPr="004A191D" w:rsidRDefault="005309BF" w:rsidP="00C12E55">
            <w:pPr>
              <w:adjustRightInd w:val="0"/>
              <w:snapToGrid w:val="0"/>
              <w:ind w:left="6840" w:hangingChars="2850" w:hanging="6840"/>
              <w:jc w:val="center"/>
              <w:rPr>
                <w:rFonts w:ascii="宋体" w:hAnsi="宋体" w:cs="宋体"/>
              </w:rPr>
            </w:pPr>
            <w:r w:rsidRPr="004A191D">
              <w:rPr>
                <w:rFonts w:ascii="宋体" w:hAnsi="宋体" w:cs="宋体" w:hint="eastAsia"/>
              </w:rPr>
              <w:t>进度款</w:t>
            </w:r>
          </w:p>
        </w:tc>
        <w:tc>
          <w:tcPr>
            <w:tcW w:w="905" w:type="dxa"/>
            <w:tcBorders>
              <w:top w:val="single" w:sz="12" w:space="0" w:color="auto"/>
              <w:left w:val="single" w:sz="6" w:space="0" w:color="auto"/>
              <w:bottom w:val="single" w:sz="6" w:space="0" w:color="auto"/>
              <w:right w:val="single" w:sz="6" w:space="0" w:color="auto"/>
            </w:tcBorders>
            <w:vAlign w:val="center"/>
          </w:tcPr>
          <w:p w:rsidR="005309BF" w:rsidRPr="004A191D" w:rsidRDefault="005309BF" w:rsidP="00C12E55">
            <w:pPr>
              <w:adjustRightInd w:val="0"/>
              <w:snapToGrid w:val="0"/>
              <w:ind w:left="6840" w:hangingChars="2850" w:hanging="6840"/>
              <w:jc w:val="center"/>
              <w:rPr>
                <w:rFonts w:ascii="宋体" w:hAnsi="宋体" w:cs="宋体"/>
              </w:rPr>
            </w:pPr>
            <w:r w:rsidRPr="004A191D">
              <w:rPr>
                <w:rFonts w:ascii="宋体" w:hAnsi="宋体" w:cs="宋体" w:hint="eastAsia"/>
              </w:rPr>
              <w:t>单位</w:t>
            </w:r>
          </w:p>
        </w:tc>
        <w:tc>
          <w:tcPr>
            <w:tcW w:w="2688" w:type="dxa"/>
            <w:tcBorders>
              <w:top w:val="single" w:sz="12" w:space="0" w:color="auto"/>
              <w:left w:val="single" w:sz="6" w:space="0" w:color="auto"/>
              <w:bottom w:val="single" w:sz="6" w:space="0" w:color="auto"/>
              <w:right w:val="single" w:sz="12" w:space="0" w:color="auto"/>
            </w:tcBorders>
            <w:vAlign w:val="center"/>
          </w:tcPr>
          <w:p w:rsidR="005309BF" w:rsidRPr="004A191D" w:rsidRDefault="005309BF" w:rsidP="00C12E55">
            <w:pPr>
              <w:adjustRightInd w:val="0"/>
              <w:snapToGrid w:val="0"/>
              <w:ind w:left="6840" w:hangingChars="2850" w:hanging="6840"/>
              <w:jc w:val="center"/>
              <w:rPr>
                <w:rFonts w:ascii="宋体" w:hAnsi="宋体" w:cs="宋体"/>
              </w:rPr>
            </w:pPr>
            <w:r w:rsidRPr="004A191D">
              <w:rPr>
                <w:rFonts w:ascii="宋体" w:hAnsi="宋体" w:cs="宋体" w:hint="eastAsia"/>
              </w:rPr>
              <w:t>总价</w:t>
            </w:r>
          </w:p>
        </w:tc>
      </w:tr>
      <w:tr w:rsidR="005309BF" w:rsidRPr="004A191D" w:rsidTr="00C12E55">
        <w:trPr>
          <w:cantSplit/>
          <w:trHeight w:val="510"/>
          <w:jc w:val="center"/>
        </w:trPr>
        <w:tc>
          <w:tcPr>
            <w:tcW w:w="861" w:type="dxa"/>
            <w:tcBorders>
              <w:top w:val="single" w:sz="6" w:space="0" w:color="auto"/>
              <w:left w:val="single" w:sz="12" w:space="0" w:color="auto"/>
              <w:bottom w:val="single" w:sz="6" w:space="0" w:color="auto"/>
              <w:right w:val="single" w:sz="6" w:space="0" w:color="auto"/>
            </w:tcBorders>
            <w:vAlign w:val="center"/>
          </w:tcPr>
          <w:p w:rsidR="005309BF" w:rsidRPr="004A191D" w:rsidRDefault="005309BF" w:rsidP="00C12E55">
            <w:pPr>
              <w:tabs>
                <w:tab w:val="left" w:pos="284"/>
              </w:tabs>
              <w:adjustRightInd w:val="0"/>
              <w:snapToGrid w:val="0"/>
              <w:jc w:val="center"/>
              <w:rPr>
                <w:rFonts w:ascii="宋体" w:hAnsi="宋体" w:cs="宋体"/>
              </w:rPr>
            </w:pPr>
            <w:r w:rsidRPr="004A191D">
              <w:rPr>
                <w:rFonts w:ascii="宋体" w:hAnsi="宋体" w:cs="宋体" w:hint="eastAsia"/>
              </w:rPr>
              <w:t>1</w:t>
            </w:r>
          </w:p>
        </w:tc>
        <w:tc>
          <w:tcPr>
            <w:tcW w:w="3463" w:type="dxa"/>
            <w:tcBorders>
              <w:top w:val="single" w:sz="6" w:space="0" w:color="auto"/>
              <w:left w:val="single" w:sz="6" w:space="0" w:color="auto"/>
              <w:bottom w:val="single" w:sz="6" w:space="0" w:color="auto"/>
              <w:right w:val="single" w:sz="6" w:space="0" w:color="auto"/>
            </w:tcBorders>
            <w:vAlign w:val="center"/>
          </w:tcPr>
          <w:p w:rsidR="005309BF" w:rsidRPr="004A191D" w:rsidRDefault="005309BF" w:rsidP="00C12E55">
            <w:pPr>
              <w:tabs>
                <w:tab w:val="left" w:pos="960"/>
              </w:tabs>
              <w:adjustRightInd w:val="0"/>
              <w:snapToGrid w:val="0"/>
              <w:jc w:val="center"/>
              <w:rPr>
                <w:rFonts w:ascii="宋体" w:hAnsi="宋体" w:cs="宋体"/>
              </w:rPr>
            </w:pPr>
            <w:r w:rsidRPr="004A191D">
              <w:rPr>
                <w:rFonts w:ascii="宋体" w:hAnsi="宋体" w:cs="宋体" w:hint="eastAsia"/>
              </w:rPr>
              <w:t>开展尽职调查，全面收集项目相关资料和基础数据。完成PPP项目初步实施方案，并通过财政部门批准</w:t>
            </w:r>
          </w:p>
        </w:tc>
        <w:tc>
          <w:tcPr>
            <w:tcW w:w="1154" w:type="dxa"/>
            <w:tcBorders>
              <w:top w:val="single" w:sz="6" w:space="0" w:color="auto"/>
              <w:left w:val="single" w:sz="6" w:space="0" w:color="auto"/>
              <w:bottom w:val="single" w:sz="6" w:space="0" w:color="auto"/>
              <w:right w:val="single" w:sz="6" w:space="0" w:color="auto"/>
            </w:tcBorders>
            <w:vAlign w:val="center"/>
          </w:tcPr>
          <w:p w:rsidR="005309BF" w:rsidRPr="004A191D" w:rsidRDefault="005309BF" w:rsidP="00C12E55">
            <w:pPr>
              <w:adjustRightInd w:val="0"/>
              <w:snapToGrid w:val="0"/>
              <w:jc w:val="center"/>
              <w:rPr>
                <w:rFonts w:ascii="宋体" w:hAnsi="宋体" w:cs="宋体"/>
              </w:rPr>
            </w:pPr>
            <w:r w:rsidRPr="004A191D">
              <w:rPr>
                <w:rFonts w:ascii="宋体" w:hAnsi="宋体" w:cs="宋体" w:hint="eastAsia"/>
              </w:rPr>
              <w:t>10%</w:t>
            </w:r>
          </w:p>
        </w:tc>
        <w:tc>
          <w:tcPr>
            <w:tcW w:w="905" w:type="dxa"/>
            <w:tcBorders>
              <w:top w:val="single" w:sz="6" w:space="0" w:color="auto"/>
              <w:left w:val="single" w:sz="6" w:space="0" w:color="auto"/>
              <w:bottom w:val="single" w:sz="6" w:space="0" w:color="auto"/>
              <w:right w:val="single" w:sz="6" w:space="0" w:color="auto"/>
            </w:tcBorders>
            <w:vAlign w:val="center"/>
          </w:tcPr>
          <w:p w:rsidR="005309BF" w:rsidRPr="004A191D" w:rsidRDefault="005309BF" w:rsidP="00C12E55">
            <w:pPr>
              <w:adjustRightInd w:val="0"/>
              <w:snapToGrid w:val="0"/>
              <w:jc w:val="center"/>
              <w:rPr>
                <w:rFonts w:ascii="宋体" w:hAnsi="宋体" w:cs="宋体"/>
              </w:rPr>
            </w:pPr>
            <w:r w:rsidRPr="004A191D">
              <w:rPr>
                <w:rFonts w:ascii="宋体" w:hAnsi="宋体" w:cs="宋体" w:hint="eastAsia"/>
              </w:rPr>
              <w:t>1项</w:t>
            </w:r>
          </w:p>
        </w:tc>
        <w:tc>
          <w:tcPr>
            <w:tcW w:w="2688" w:type="dxa"/>
            <w:tcBorders>
              <w:top w:val="single" w:sz="6" w:space="0" w:color="auto"/>
              <w:left w:val="single" w:sz="6" w:space="0" w:color="auto"/>
              <w:bottom w:val="single" w:sz="6" w:space="0" w:color="auto"/>
              <w:right w:val="single" w:sz="12" w:space="0" w:color="auto"/>
            </w:tcBorders>
            <w:vAlign w:val="center"/>
          </w:tcPr>
          <w:p w:rsidR="005309BF" w:rsidRPr="004A191D" w:rsidRDefault="005309BF" w:rsidP="005309BF">
            <w:pPr>
              <w:adjustRightInd w:val="0"/>
              <w:snapToGrid w:val="0"/>
              <w:jc w:val="center"/>
              <w:rPr>
                <w:rFonts w:ascii="宋体" w:hAnsi="宋体" w:cs="宋体"/>
              </w:rPr>
            </w:pPr>
            <w:r>
              <w:rPr>
                <w:rFonts w:ascii="宋体" w:hAnsi="宋体" w:cs="宋体"/>
              </w:rPr>
              <w:t>7</w:t>
            </w:r>
            <w:r>
              <w:rPr>
                <w:rFonts w:ascii="宋体" w:hAnsi="宋体" w:cs="宋体"/>
              </w:rPr>
              <w:t>7</w:t>
            </w:r>
            <w:r>
              <w:rPr>
                <w:rFonts w:ascii="宋体" w:hAnsi="宋体" w:cs="宋体"/>
              </w:rPr>
              <w:t>,</w:t>
            </w:r>
            <w:r>
              <w:rPr>
                <w:rFonts w:ascii="宋体" w:hAnsi="宋体" w:cs="宋体"/>
              </w:rPr>
              <w:t>600</w:t>
            </w:r>
            <w:r>
              <w:rPr>
                <w:rFonts w:ascii="宋体" w:hAnsi="宋体" w:cs="宋体"/>
              </w:rPr>
              <w:t>元</w:t>
            </w:r>
          </w:p>
        </w:tc>
      </w:tr>
      <w:tr w:rsidR="005309BF" w:rsidRPr="004A191D" w:rsidTr="00C12E55">
        <w:trPr>
          <w:cantSplit/>
          <w:trHeight w:val="632"/>
          <w:jc w:val="center"/>
        </w:trPr>
        <w:tc>
          <w:tcPr>
            <w:tcW w:w="861" w:type="dxa"/>
            <w:tcBorders>
              <w:top w:val="single" w:sz="6" w:space="0" w:color="auto"/>
              <w:left w:val="single" w:sz="12" w:space="0" w:color="auto"/>
              <w:bottom w:val="single" w:sz="6" w:space="0" w:color="auto"/>
              <w:right w:val="single" w:sz="6" w:space="0" w:color="auto"/>
            </w:tcBorders>
            <w:vAlign w:val="center"/>
          </w:tcPr>
          <w:p w:rsidR="005309BF" w:rsidRPr="004A191D" w:rsidRDefault="005309BF" w:rsidP="00C12E55">
            <w:pPr>
              <w:tabs>
                <w:tab w:val="left" w:pos="284"/>
              </w:tabs>
              <w:adjustRightInd w:val="0"/>
              <w:snapToGrid w:val="0"/>
              <w:jc w:val="center"/>
              <w:rPr>
                <w:rFonts w:ascii="宋体" w:hAnsi="宋体" w:cs="宋体"/>
              </w:rPr>
            </w:pPr>
            <w:r w:rsidRPr="004A191D">
              <w:rPr>
                <w:rFonts w:ascii="宋体" w:hAnsi="宋体" w:cs="宋体" w:hint="eastAsia"/>
              </w:rPr>
              <w:t>2</w:t>
            </w:r>
          </w:p>
        </w:tc>
        <w:tc>
          <w:tcPr>
            <w:tcW w:w="3463" w:type="dxa"/>
            <w:tcBorders>
              <w:top w:val="single" w:sz="6" w:space="0" w:color="auto"/>
              <w:left w:val="single" w:sz="6" w:space="0" w:color="auto"/>
              <w:bottom w:val="single" w:sz="6" w:space="0" w:color="auto"/>
              <w:right w:val="single" w:sz="6" w:space="0" w:color="auto"/>
            </w:tcBorders>
            <w:vAlign w:val="center"/>
          </w:tcPr>
          <w:p w:rsidR="005309BF" w:rsidRPr="004A191D" w:rsidRDefault="005309BF" w:rsidP="00C12E55">
            <w:pPr>
              <w:tabs>
                <w:tab w:val="left" w:pos="960"/>
              </w:tabs>
              <w:adjustRightInd w:val="0"/>
              <w:snapToGrid w:val="0"/>
              <w:jc w:val="center"/>
              <w:rPr>
                <w:rFonts w:ascii="宋体" w:hAnsi="宋体" w:cs="宋体"/>
              </w:rPr>
            </w:pPr>
            <w:r w:rsidRPr="004A191D">
              <w:rPr>
                <w:rFonts w:ascii="宋体" w:hAnsi="宋体" w:cs="宋体" w:hint="eastAsia"/>
              </w:rPr>
              <w:t>编制完成并通过PPP项目实施方案、物有所值评价报告和财政承受能力论证报告评审，通过市政府审批，拿到“两评一案”的批复</w:t>
            </w:r>
          </w:p>
        </w:tc>
        <w:tc>
          <w:tcPr>
            <w:tcW w:w="1154" w:type="dxa"/>
            <w:tcBorders>
              <w:top w:val="single" w:sz="6" w:space="0" w:color="auto"/>
              <w:left w:val="single" w:sz="6" w:space="0" w:color="auto"/>
              <w:bottom w:val="single" w:sz="6" w:space="0" w:color="auto"/>
              <w:right w:val="single" w:sz="6" w:space="0" w:color="auto"/>
            </w:tcBorders>
            <w:vAlign w:val="center"/>
          </w:tcPr>
          <w:p w:rsidR="005309BF" w:rsidRPr="004A191D" w:rsidRDefault="005309BF" w:rsidP="00C12E55">
            <w:pPr>
              <w:adjustRightInd w:val="0"/>
              <w:snapToGrid w:val="0"/>
              <w:jc w:val="center"/>
              <w:rPr>
                <w:rFonts w:ascii="宋体" w:hAnsi="宋体" w:cs="宋体"/>
              </w:rPr>
            </w:pPr>
            <w:r w:rsidRPr="004A191D">
              <w:rPr>
                <w:rFonts w:ascii="宋体" w:hAnsi="宋体" w:cs="宋体" w:hint="eastAsia"/>
              </w:rPr>
              <w:t>30%</w:t>
            </w:r>
          </w:p>
        </w:tc>
        <w:tc>
          <w:tcPr>
            <w:tcW w:w="905" w:type="dxa"/>
            <w:tcBorders>
              <w:top w:val="single" w:sz="6" w:space="0" w:color="auto"/>
              <w:left w:val="single" w:sz="6" w:space="0" w:color="auto"/>
              <w:bottom w:val="single" w:sz="6" w:space="0" w:color="auto"/>
              <w:right w:val="single" w:sz="6" w:space="0" w:color="auto"/>
            </w:tcBorders>
            <w:vAlign w:val="center"/>
          </w:tcPr>
          <w:p w:rsidR="005309BF" w:rsidRPr="004A191D" w:rsidRDefault="005309BF" w:rsidP="00C12E55">
            <w:pPr>
              <w:adjustRightInd w:val="0"/>
              <w:snapToGrid w:val="0"/>
              <w:jc w:val="center"/>
              <w:rPr>
                <w:rFonts w:ascii="宋体" w:hAnsi="宋体" w:cs="宋体"/>
              </w:rPr>
            </w:pPr>
            <w:r w:rsidRPr="004A191D">
              <w:rPr>
                <w:rFonts w:ascii="宋体" w:hAnsi="宋体" w:cs="宋体" w:hint="eastAsia"/>
              </w:rPr>
              <w:t>1项</w:t>
            </w:r>
          </w:p>
        </w:tc>
        <w:tc>
          <w:tcPr>
            <w:tcW w:w="2688" w:type="dxa"/>
            <w:tcBorders>
              <w:top w:val="single" w:sz="6" w:space="0" w:color="auto"/>
              <w:left w:val="single" w:sz="6" w:space="0" w:color="auto"/>
              <w:bottom w:val="single" w:sz="6" w:space="0" w:color="auto"/>
              <w:right w:val="single" w:sz="12" w:space="0" w:color="auto"/>
            </w:tcBorders>
            <w:vAlign w:val="center"/>
          </w:tcPr>
          <w:p w:rsidR="005309BF" w:rsidRPr="004A191D" w:rsidRDefault="005309BF" w:rsidP="005309BF">
            <w:pPr>
              <w:adjustRightInd w:val="0"/>
              <w:snapToGrid w:val="0"/>
              <w:jc w:val="center"/>
              <w:rPr>
                <w:rFonts w:ascii="宋体" w:hAnsi="宋体" w:cs="宋体"/>
              </w:rPr>
            </w:pPr>
            <w:r>
              <w:rPr>
                <w:rFonts w:ascii="宋体" w:hAnsi="宋体" w:cs="宋体"/>
              </w:rPr>
              <w:t>23</w:t>
            </w:r>
            <w:r>
              <w:rPr>
                <w:rFonts w:ascii="宋体" w:hAnsi="宋体" w:cs="宋体"/>
              </w:rPr>
              <w:t>2</w:t>
            </w:r>
            <w:r>
              <w:rPr>
                <w:rFonts w:ascii="宋体" w:hAnsi="宋体" w:cs="宋体"/>
              </w:rPr>
              <w:t>,</w:t>
            </w:r>
            <w:r>
              <w:rPr>
                <w:rFonts w:ascii="宋体" w:hAnsi="宋体" w:cs="宋体"/>
              </w:rPr>
              <w:t>800</w:t>
            </w:r>
            <w:r>
              <w:rPr>
                <w:rFonts w:ascii="宋体" w:hAnsi="宋体" w:cs="宋体"/>
              </w:rPr>
              <w:t>元</w:t>
            </w:r>
          </w:p>
        </w:tc>
      </w:tr>
      <w:tr w:rsidR="005309BF" w:rsidRPr="004A191D" w:rsidTr="00C12E55">
        <w:trPr>
          <w:cantSplit/>
          <w:trHeight w:val="510"/>
          <w:jc w:val="center"/>
        </w:trPr>
        <w:tc>
          <w:tcPr>
            <w:tcW w:w="861" w:type="dxa"/>
            <w:tcBorders>
              <w:top w:val="single" w:sz="6" w:space="0" w:color="auto"/>
              <w:left w:val="single" w:sz="12" w:space="0" w:color="auto"/>
              <w:bottom w:val="single" w:sz="6" w:space="0" w:color="auto"/>
              <w:right w:val="single" w:sz="6" w:space="0" w:color="auto"/>
            </w:tcBorders>
            <w:vAlign w:val="center"/>
          </w:tcPr>
          <w:p w:rsidR="005309BF" w:rsidRPr="004A191D" w:rsidRDefault="005309BF" w:rsidP="00C12E55">
            <w:pPr>
              <w:tabs>
                <w:tab w:val="left" w:pos="284"/>
              </w:tabs>
              <w:adjustRightInd w:val="0"/>
              <w:snapToGrid w:val="0"/>
              <w:jc w:val="center"/>
              <w:rPr>
                <w:rFonts w:ascii="宋体" w:hAnsi="宋体" w:cs="宋体"/>
              </w:rPr>
            </w:pPr>
            <w:r w:rsidRPr="004A191D">
              <w:rPr>
                <w:rFonts w:ascii="宋体" w:hAnsi="宋体" w:cs="宋体" w:hint="eastAsia"/>
              </w:rPr>
              <w:t>3</w:t>
            </w:r>
          </w:p>
        </w:tc>
        <w:tc>
          <w:tcPr>
            <w:tcW w:w="3463" w:type="dxa"/>
            <w:tcBorders>
              <w:top w:val="single" w:sz="6" w:space="0" w:color="auto"/>
              <w:left w:val="single" w:sz="6" w:space="0" w:color="auto"/>
              <w:bottom w:val="single" w:sz="6" w:space="0" w:color="auto"/>
              <w:right w:val="single" w:sz="6" w:space="0" w:color="auto"/>
            </w:tcBorders>
            <w:vAlign w:val="center"/>
          </w:tcPr>
          <w:p w:rsidR="005309BF" w:rsidRPr="004A191D" w:rsidRDefault="005309BF" w:rsidP="00C12E55">
            <w:pPr>
              <w:tabs>
                <w:tab w:val="left" w:pos="960"/>
              </w:tabs>
              <w:adjustRightInd w:val="0"/>
              <w:snapToGrid w:val="0"/>
              <w:jc w:val="center"/>
              <w:rPr>
                <w:rFonts w:ascii="宋体" w:hAnsi="宋体" w:cs="宋体"/>
              </w:rPr>
            </w:pPr>
            <w:r w:rsidRPr="004A191D">
              <w:rPr>
                <w:rFonts w:ascii="宋体" w:hAnsi="宋体" w:cs="宋体" w:hint="eastAsia"/>
              </w:rPr>
              <w:t>协助采购人和其指定的招标代理机构组织实施社会资本采购程序，拟定全套PPP合同体系</w:t>
            </w:r>
          </w:p>
        </w:tc>
        <w:tc>
          <w:tcPr>
            <w:tcW w:w="1154" w:type="dxa"/>
            <w:tcBorders>
              <w:top w:val="single" w:sz="6" w:space="0" w:color="auto"/>
              <w:left w:val="single" w:sz="6" w:space="0" w:color="auto"/>
              <w:bottom w:val="single" w:sz="6" w:space="0" w:color="auto"/>
              <w:right w:val="single" w:sz="6" w:space="0" w:color="auto"/>
            </w:tcBorders>
            <w:vAlign w:val="center"/>
          </w:tcPr>
          <w:p w:rsidR="005309BF" w:rsidRPr="004A191D" w:rsidRDefault="005309BF" w:rsidP="00C12E55">
            <w:pPr>
              <w:adjustRightInd w:val="0"/>
              <w:snapToGrid w:val="0"/>
              <w:jc w:val="center"/>
              <w:rPr>
                <w:rFonts w:ascii="宋体" w:hAnsi="宋体" w:cs="宋体"/>
              </w:rPr>
            </w:pPr>
            <w:r w:rsidRPr="004A191D">
              <w:rPr>
                <w:rFonts w:ascii="宋体" w:hAnsi="宋体" w:cs="宋体" w:hint="eastAsia"/>
              </w:rPr>
              <w:t>25%</w:t>
            </w:r>
          </w:p>
        </w:tc>
        <w:tc>
          <w:tcPr>
            <w:tcW w:w="905" w:type="dxa"/>
            <w:tcBorders>
              <w:top w:val="single" w:sz="6" w:space="0" w:color="auto"/>
              <w:left w:val="single" w:sz="6" w:space="0" w:color="auto"/>
              <w:bottom w:val="single" w:sz="6" w:space="0" w:color="auto"/>
              <w:right w:val="single" w:sz="6" w:space="0" w:color="auto"/>
            </w:tcBorders>
            <w:vAlign w:val="center"/>
          </w:tcPr>
          <w:p w:rsidR="005309BF" w:rsidRPr="004A191D" w:rsidRDefault="005309BF" w:rsidP="00C12E55">
            <w:pPr>
              <w:adjustRightInd w:val="0"/>
              <w:snapToGrid w:val="0"/>
              <w:jc w:val="center"/>
              <w:rPr>
                <w:rFonts w:ascii="宋体" w:hAnsi="宋体" w:cs="宋体"/>
              </w:rPr>
            </w:pPr>
            <w:r w:rsidRPr="004A191D">
              <w:rPr>
                <w:rFonts w:ascii="宋体" w:hAnsi="宋体" w:cs="宋体" w:hint="eastAsia"/>
              </w:rPr>
              <w:t>1项</w:t>
            </w:r>
          </w:p>
        </w:tc>
        <w:tc>
          <w:tcPr>
            <w:tcW w:w="2688" w:type="dxa"/>
            <w:tcBorders>
              <w:top w:val="single" w:sz="6" w:space="0" w:color="auto"/>
              <w:left w:val="single" w:sz="6" w:space="0" w:color="auto"/>
              <w:bottom w:val="single" w:sz="6" w:space="0" w:color="auto"/>
              <w:right w:val="single" w:sz="12" w:space="0" w:color="auto"/>
            </w:tcBorders>
            <w:vAlign w:val="center"/>
          </w:tcPr>
          <w:p w:rsidR="005309BF" w:rsidRPr="004A191D" w:rsidRDefault="005309BF" w:rsidP="005309BF">
            <w:pPr>
              <w:adjustRightInd w:val="0"/>
              <w:snapToGrid w:val="0"/>
              <w:jc w:val="center"/>
              <w:rPr>
                <w:rFonts w:ascii="宋体" w:hAnsi="宋体" w:cs="宋体"/>
              </w:rPr>
            </w:pPr>
            <w:r>
              <w:rPr>
                <w:rFonts w:ascii="宋体" w:hAnsi="宋体" w:cs="宋体"/>
              </w:rPr>
              <w:t>19</w:t>
            </w:r>
            <w:r>
              <w:rPr>
                <w:rFonts w:ascii="宋体" w:hAnsi="宋体" w:cs="宋体"/>
              </w:rPr>
              <w:t>4</w:t>
            </w:r>
            <w:r>
              <w:rPr>
                <w:rFonts w:ascii="宋体" w:hAnsi="宋体" w:cs="宋体"/>
              </w:rPr>
              <w:t>,</w:t>
            </w:r>
            <w:r>
              <w:rPr>
                <w:rFonts w:ascii="宋体" w:hAnsi="宋体" w:cs="宋体"/>
              </w:rPr>
              <w:t>000</w:t>
            </w:r>
            <w:r>
              <w:rPr>
                <w:rFonts w:ascii="宋体" w:hAnsi="宋体" w:cs="宋体"/>
              </w:rPr>
              <w:t>元</w:t>
            </w:r>
          </w:p>
        </w:tc>
      </w:tr>
      <w:tr w:rsidR="005309BF" w:rsidRPr="004A191D" w:rsidTr="00C12E55">
        <w:trPr>
          <w:cantSplit/>
          <w:trHeight w:val="510"/>
          <w:jc w:val="center"/>
        </w:trPr>
        <w:tc>
          <w:tcPr>
            <w:tcW w:w="861" w:type="dxa"/>
            <w:tcBorders>
              <w:top w:val="single" w:sz="6" w:space="0" w:color="auto"/>
              <w:left w:val="single" w:sz="12" w:space="0" w:color="auto"/>
              <w:bottom w:val="single" w:sz="6" w:space="0" w:color="auto"/>
              <w:right w:val="single" w:sz="6" w:space="0" w:color="auto"/>
            </w:tcBorders>
            <w:vAlign w:val="center"/>
          </w:tcPr>
          <w:p w:rsidR="005309BF" w:rsidRPr="004A191D" w:rsidRDefault="005309BF" w:rsidP="00C12E55">
            <w:pPr>
              <w:tabs>
                <w:tab w:val="left" w:pos="284"/>
              </w:tabs>
              <w:adjustRightInd w:val="0"/>
              <w:snapToGrid w:val="0"/>
              <w:jc w:val="center"/>
              <w:rPr>
                <w:rFonts w:ascii="宋体" w:hAnsi="宋体" w:cs="宋体"/>
              </w:rPr>
            </w:pPr>
            <w:r w:rsidRPr="004A191D">
              <w:rPr>
                <w:rFonts w:ascii="宋体" w:hAnsi="宋体" w:cs="宋体" w:hint="eastAsia"/>
              </w:rPr>
              <w:t>4</w:t>
            </w:r>
          </w:p>
        </w:tc>
        <w:tc>
          <w:tcPr>
            <w:tcW w:w="3463" w:type="dxa"/>
            <w:tcBorders>
              <w:top w:val="single" w:sz="6" w:space="0" w:color="auto"/>
              <w:left w:val="single" w:sz="6" w:space="0" w:color="auto"/>
              <w:bottom w:val="single" w:sz="6" w:space="0" w:color="auto"/>
              <w:right w:val="single" w:sz="6" w:space="0" w:color="auto"/>
            </w:tcBorders>
            <w:vAlign w:val="center"/>
          </w:tcPr>
          <w:p w:rsidR="005309BF" w:rsidRPr="004A191D" w:rsidRDefault="005309BF" w:rsidP="00C12E55">
            <w:pPr>
              <w:tabs>
                <w:tab w:val="left" w:pos="960"/>
              </w:tabs>
              <w:adjustRightInd w:val="0"/>
              <w:snapToGrid w:val="0"/>
              <w:jc w:val="center"/>
              <w:rPr>
                <w:rFonts w:ascii="宋体" w:hAnsi="宋体" w:cs="宋体"/>
              </w:rPr>
            </w:pPr>
            <w:r w:rsidRPr="004A191D">
              <w:rPr>
                <w:rFonts w:ascii="宋体" w:hAnsi="宋体" w:cs="宋体" w:hint="eastAsia"/>
              </w:rPr>
              <w:t>协助采购人与社会资本方就以上合同进行沟通、谈判。协助实施机构与社会资本方完成《PPP项目合作合同》签署</w:t>
            </w:r>
          </w:p>
        </w:tc>
        <w:tc>
          <w:tcPr>
            <w:tcW w:w="1154" w:type="dxa"/>
            <w:tcBorders>
              <w:top w:val="single" w:sz="6" w:space="0" w:color="auto"/>
              <w:left w:val="single" w:sz="6" w:space="0" w:color="auto"/>
              <w:bottom w:val="single" w:sz="6" w:space="0" w:color="auto"/>
              <w:right w:val="single" w:sz="6" w:space="0" w:color="auto"/>
            </w:tcBorders>
            <w:vAlign w:val="center"/>
          </w:tcPr>
          <w:p w:rsidR="005309BF" w:rsidRPr="004A191D" w:rsidRDefault="005309BF" w:rsidP="00C12E55">
            <w:pPr>
              <w:adjustRightInd w:val="0"/>
              <w:snapToGrid w:val="0"/>
              <w:jc w:val="center"/>
              <w:rPr>
                <w:rFonts w:ascii="宋体" w:hAnsi="宋体" w:cs="宋体"/>
              </w:rPr>
            </w:pPr>
            <w:r w:rsidRPr="004A191D">
              <w:rPr>
                <w:rFonts w:ascii="宋体" w:hAnsi="宋体" w:cs="宋体" w:hint="eastAsia"/>
              </w:rPr>
              <w:t>15%</w:t>
            </w:r>
          </w:p>
        </w:tc>
        <w:tc>
          <w:tcPr>
            <w:tcW w:w="905" w:type="dxa"/>
            <w:tcBorders>
              <w:top w:val="single" w:sz="6" w:space="0" w:color="auto"/>
              <w:left w:val="single" w:sz="6" w:space="0" w:color="auto"/>
              <w:bottom w:val="single" w:sz="6" w:space="0" w:color="auto"/>
              <w:right w:val="single" w:sz="6" w:space="0" w:color="auto"/>
            </w:tcBorders>
            <w:vAlign w:val="center"/>
          </w:tcPr>
          <w:p w:rsidR="005309BF" w:rsidRPr="004A191D" w:rsidRDefault="005309BF" w:rsidP="00C12E55">
            <w:pPr>
              <w:adjustRightInd w:val="0"/>
              <w:snapToGrid w:val="0"/>
              <w:jc w:val="center"/>
              <w:rPr>
                <w:rFonts w:ascii="宋体" w:hAnsi="宋体" w:cs="宋体"/>
              </w:rPr>
            </w:pPr>
            <w:r w:rsidRPr="004A191D">
              <w:rPr>
                <w:rFonts w:ascii="宋体" w:hAnsi="宋体" w:cs="宋体" w:hint="eastAsia"/>
              </w:rPr>
              <w:t>1项</w:t>
            </w:r>
          </w:p>
        </w:tc>
        <w:tc>
          <w:tcPr>
            <w:tcW w:w="2688" w:type="dxa"/>
            <w:tcBorders>
              <w:top w:val="single" w:sz="6" w:space="0" w:color="auto"/>
              <w:left w:val="single" w:sz="6" w:space="0" w:color="auto"/>
              <w:bottom w:val="single" w:sz="6" w:space="0" w:color="auto"/>
              <w:right w:val="single" w:sz="12" w:space="0" w:color="auto"/>
            </w:tcBorders>
            <w:vAlign w:val="center"/>
          </w:tcPr>
          <w:p w:rsidR="005309BF" w:rsidRPr="004A191D" w:rsidRDefault="005309BF" w:rsidP="005309BF">
            <w:pPr>
              <w:adjustRightInd w:val="0"/>
              <w:snapToGrid w:val="0"/>
              <w:jc w:val="center"/>
              <w:rPr>
                <w:rFonts w:ascii="宋体" w:hAnsi="宋体" w:cs="宋体"/>
              </w:rPr>
            </w:pPr>
            <w:r>
              <w:rPr>
                <w:rFonts w:ascii="宋体" w:hAnsi="宋体" w:cs="宋体"/>
              </w:rPr>
              <w:t>11</w:t>
            </w:r>
            <w:r>
              <w:rPr>
                <w:rFonts w:ascii="宋体" w:hAnsi="宋体" w:cs="宋体"/>
              </w:rPr>
              <w:t>6</w:t>
            </w:r>
            <w:r>
              <w:rPr>
                <w:rFonts w:ascii="宋体" w:hAnsi="宋体" w:cs="宋体"/>
              </w:rPr>
              <w:t>,</w:t>
            </w:r>
            <w:r>
              <w:rPr>
                <w:rFonts w:ascii="宋体" w:hAnsi="宋体" w:cs="宋体"/>
              </w:rPr>
              <w:t>400</w:t>
            </w:r>
            <w:r>
              <w:rPr>
                <w:rFonts w:ascii="宋体" w:hAnsi="宋体" w:cs="宋体"/>
              </w:rPr>
              <w:t>元</w:t>
            </w:r>
          </w:p>
        </w:tc>
      </w:tr>
      <w:tr w:rsidR="005309BF" w:rsidRPr="004A191D" w:rsidTr="00C12E55">
        <w:trPr>
          <w:cantSplit/>
          <w:trHeight w:val="510"/>
          <w:jc w:val="center"/>
        </w:trPr>
        <w:tc>
          <w:tcPr>
            <w:tcW w:w="861" w:type="dxa"/>
            <w:tcBorders>
              <w:top w:val="single" w:sz="6" w:space="0" w:color="auto"/>
              <w:left w:val="single" w:sz="12" w:space="0" w:color="auto"/>
              <w:bottom w:val="single" w:sz="6" w:space="0" w:color="auto"/>
              <w:right w:val="single" w:sz="6" w:space="0" w:color="auto"/>
            </w:tcBorders>
            <w:vAlign w:val="center"/>
          </w:tcPr>
          <w:p w:rsidR="005309BF" w:rsidRPr="004A191D" w:rsidRDefault="005309BF" w:rsidP="00C12E55">
            <w:pPr>
              <w:tabs>
                <w:tab w:val="left" w:pos="284"/>
              </w:tabs>
              <w:adjustRightInd w:val="0"/>
              <w:snapToGrid w:val="0"/>
              <w:jc w:val="center"/>
              <w:rPr>
                <w:rFonts w:ascii="宋体" w:hAnsi="宋体" w:cs="宋体"/>
              </w:rPr>
            </w:pPr>
            <w:r w:rsidRPr="004A191D">
              <w:rPr>
                <w:rFonts w:ascii="宋体" w:hAnsi="宋体" w:cs="宋体" w:hint="eastAsia"/>
              </w:rPr>
              <w:t>5</w:t>
            </w:r>
          </w:p>
        </w:tc>
        <w:tc>
          <w:tcPr>
            <w:tcW w:w="3463" w:type="dxa"/>
            <w:tcBorders>
              <w:top w:val="single" w:sz="6" w:space="0" w:color="auto"/>
              <w:left w:val="single" w:sz="6" w:space="0" w:color="auto"/>
              <w:bottom w:val="single" w:sz="6" w:space="0" w:color="auto"/>
              <w:right w:val="single" w:sz="6" w:space="0" w:color="auto"/>
            </w:tcBorders>
            <w:vAlign w:val="center"/>
          </w:tcPr>
          <w:p w:rsidR="005309BF" w:rsidRPr="004A191D" w:rsidRDefault="005309BF" w:rsidP="00C12E55">
            <w:pPr>
              <w:tabs>
                <w:tab w:val="left" w:pos="960"/>
              </w:tabs>
              <w:adjustRightInd w:val="0"/>
              <w:snapToGrid w:val="0"/>
              <w:jc w:val="center"/>
              <w:rPr>
                <w:rFonts w:ascii="宋体" w:hAnsi="宋体" w:cs="宋体"/>
              </w:rPr>
            </w:pPr>
            <w:r w:rsidRPr="004A191D">
              <w:rPr>
                <w:rFonts w:ascii="宋体" w:hAnsi="宋体" w:cs="宋体" w:hint="eastAsia"/>
              </w:rPr>
              <w:t>协助政府方出资代表与社会资本方完成《股东合同》签署，协助实施机构与项目公司完成《PPP项目合同》签署</w:t>
            </w:r>
          </w:p>
        </w:tc>
        <w:tc>
          <w:tcPr>
            <w:tcW w:w="1154" w:type="dxa"/>
            <w:tcBorders>
              <w:top w:val="single" w:sz="6" w:space="0" w:color="auto"/>
              <w:left w:val="single" w:sz="6" w:space="0" w:color="auto"/>
              <w:bottom w:val="single" w:sz="6" w:space="0" w:color="auto"/>
              <w:right w:val="single" w:sz="6" w:space="0" w:color="auto"/>
            </w:tcBorders>
            <w:vAlign w:val="center"/>
          </w:tcPr>
          <w:p w:rsidR="005309BF" w:rsidRPr="004A191D" w:rsidRDefault="005309BF" w:rsidP="00C12E55">
            <w:pPr>
              <w:adjustRightInd w:val="0"/>
              <w:snapToGrid w:val="0"/>
              <w:jc w:val="center"/>
              <w:rPr>
                <w:rFonts w:ascii="宋体" w:hAnsi="宋体" w:cs="宋体"/>
              </w:rPr>
            </w:pPr>
            <w:r w:rsidRPr="004A191D">
              <w:rPr>
                <w:rFonts w:ascii="宋体" w:hAnsi="宋体" w:cs="宋体" w:hint="eastAsia"/>
              </w:rPr>
              <w:t>15%</w:t>
            </w:r>
          </w:p>
        </w:tc>
        <w:tc>
          <w:tcPr>
            <w:tcW w:w="905" w:type="dxa"/>
            <w:tcBorders>
              <w:top w:val="single" w:sz="6" w:space="0" w:color="auto"/>
              <w:left w:val="single" w:sz="6" w:space="0" w:color="auto"/>
              <w:bottom w:val="single" w:sz="6" w:space="0" w:color="auto"/>
              <w:right w:val="single" w:sz="6" w:space="0" w:color="auto"/>
            </w:tcBorders>
            <w:vAlign w:val="center"/>
          </w:tcPr>
          <w:p w:rsidR="005309BF" w:rsidRPr="004A191D" w:rsidRDefault="005309BF" w:rsidP="00C12E55">
            <w:pPr>
              <w:adjustRightInd w:val="0"/>
              <w:snapToGrid w:val="0"/>
              <w:jc w:val="center"/>
              <w:rPr>
                <w:rFonts w:ascii="宋体" w:hAnsi="宋体" w:cs="宋体"/>
              </w:rPr>
            </w:pPr>
            <w:r w:rsidRPr="004A191D">
              <w:rPr>
                <w:rFonts w:ascii="宋体" w:hAnsi="宋体" w:cs="宋体" w:hint="eastAsia"/>
              </w:rPr>
              <w:t>1项</w:t>
            </w:r>
          </w:p>
        </w:tc>
        <w:tc>
          <w:tcPr>
            <w:tcW w:w="2688" w:type="dxa"/>
            <w:tcBorders>
              <w:top w:val="single" w:sz="6" w:space="0" w:color="auto"/>
              <w:left w:val="single" w:sz="6" w:space="0" w:color="auto"/>
              <w:bottom w:val="single" w:sz="6" w:space="0" w:color="auto"/>
              <w:right w:val="single" w:sz="12" w:space="0" w:color="auto"/>
            </w:tcBorders>
            <w:vAlign w:val="center"/>
          </w:tcPr>
          <w:p w:rsidR="005309BF" w:rsidRPr="004A191D" w:rsidRDefault="005309BF" w:rsidP="005309BF">
            <w:pPr>
              <w:adjustRightInd w:val="0"/>
              <w:snapToGrid w:val="0"/>
              <w:jc w:val="center"/>
              <w:rPr>
                <w:rFonts w:ascii="宋体" w:hAnsi="宋体" w:cs="宋体"/>
              </w:rPr>
            </w:pPr>
            <w:r>
              <w:rPr>
                <w:rFonts w:ascii="宋体" w:hAnsi="宋体" w:cs="宋体"/>
              </w:rPr>
              <w:t>1</w:t>
            </w:r>
            <w:r>
              <w:rPr>
                <w:rFonts w:ascii="宋体" w:hAnsi="宋体" w:cs="宋体"/>
              </w:rPr>
              <w:t>16</w:t>
            </w:r>
            <w:r>
              <w:rPr>
                <w:rFonts w:ascii="宋体" w:hAnsi="宋体" w:cs="宋体"/>
              </w:rPr>
              <w:t>,</w:t>
            </w:r>
            <w:r>
              <w:rPr>
                <w:rFonts w:ascii="宋体" w:hAnsi="宋体" w:cs="宋体"/>
              </w:rPr>
              <w:t>400</w:t>
            </w:r>
            <w:r>
              <w:rPr>
                <w:rFonts w:ascii="宋体" w:hAnsi="宋体" w:cs="宋体"/>
              </w:rPr>
              <w:t>元</w:t>
            </w:r>
          </w:p>
        </w:tc>
      </w:tr>
      <w:tr w:rsidR="005309BF" w:rsidRPr="004A191D" w:rsidTr="00C12E55">
        <w:trPr>
          <w:cantSplit/>
          <w:trHeight w:val="771"/>
          <w:jc w:val="center"/>
        </w:trPr>
        <w:tc>
          <w:tcPr>
            <w:tcW w:w="861" w:type="dxa"/>
            <w:tcBorders>
              <w:top w:val="single" w:sz="6" w:space="0" w:color="auto"/>
              <w:left w:val="single" w:sz="12" w:space="0" w:color="auto"/>
              <w:bottom w:val="single" w:sz="6" w:space="0" w:color="auto"/>
              <w:right w:val="single" w:sz="6" w:space="0" w:color="auto"/>
            </w:tcBorders>
            <w:vAlign w:val="center"/>
          </w:tcPr>
          <w:p w:rsidR="005309BF" w:rsidRPr="004A191D" w:rsidRDefault="005309BF" w:rsidP="00C12E55">
            <w:pPr>
              <w:tabs>
                <w:tab w:val="left" w:pos="284"/>
              </w:tabs>
              <w:adjustRightInd w:val="0"/>
              <w:snapToGrid w:val="0"/>
              <w:jc w:val="center"/>
              <w:rPr>
                <w:rFonts w:ascii="宋体" w:hAnsi="宋体" w:cs="宋体"/>
              </w:rPr>
            </w:pPr>
            <w:r w:rsidRPr="004A191D">
              <w:rPr>
                <w:rFonts w:ascii="宋体" w:hAnsi="宋体" w:cs="宋体" w:hint="eastAsia"/>
              </w:rPr>
              <w:t>6</w:t>
            </w:r>
          </w:p>
        </w:tc>
        <w:tc>
          <w:tcPr>
            <w:tcW w:w="3463" w:type="dxa"/>
            <w:tcBorders>
              <w:top w:val="single" w:sz="6" w:space="0" w:color="auto"/>
              <w:left w:val="single" w:sz="6" w:space="0" w:color="auto"/>
              <w:bottom w:val="single" w:sz="6" w:space="0" w:color="auto"/>
              <w:right w:val="single" w:sz="6" w:space="0" w:color="auto"/>
            </w:tcBorders>
            <w:vAlign w:val="center"/>
          </w:tcPr>
          <w:p w:rsidR="005309BF" w:rsidRPr="004A191D" w:rsidRDefault="005309BF" w:rsidP="00C12E55">
            <w:pPr>
              <w:tabs>
                <w:tab w:val="left" w:pos="960"/>
              </w:tabs>
              <w:adjustRightInd w:val="0"/>
              <w:snapToGrid w:val="0"/>
              <w:jc w:val="center"/>
              <w:rPr>
                <w:rFonts w:ascii="宋体" w:hAnsi="宋体" w:cs="宋体"/>
              </w:rPr>
            </w:pPr>
            <w:r w:rsidRPr="004A191D">
              <w:rPr>
                <w:rFonts w:ascii="宋体" w:hAnsi="宋体" w:cs="宋体" w:hint="eastAsia"/>
              </w:rPr>
              <w:t>其他协助事宜</w:t>
            </w:r>
          </w:p>
        </w:tc>
        <w:tc>
          <w:tcPr>
            <w:tcW w:w="1154" w:type="dxa"/>
            <w:tcBorders>
              <w:top w:val="single" w:sz="6" w:space="0" w:color="auto"/>
              <w:left w:val="single" w:sz="6" w:space="0" w:color="auto"/>
              <w:bottom w:val="single" w:sz="6" w:space="0" w:color="auto"/>
              <w:right w:val="single" w:sz="6" w:space="0" w:color="auto"/>
            </w:tcBorders>
            <w:vAlign w:val="center"/>
          </w:tcPr>
          <w:p w:rsidR="005309BF" w:rsidRPr="004A191D" w:rsidRDefault="005309BF" w:rsidP="00C12E55">
            <w:pPr>
              <w:adjustRightInd w:val="0"/>
              <w:snapToGrid w:val="0"/>
              <w:jc w:val="center"/>
              <w:rPr>
                <w:rFonts w:ascii="宋体" w:hAnsi="宋体" w:cs="宋体"/>
              </w:rPr>
            </w:pPr>
            <w:r w:rsidRPr="004A191D">
              <w:rPr>
                <w:rFonts w:ascii="宋体" w:hAnsi="宋体" w:cs="宋体" w:hint="eastAsia"/>
              </w:rPr>
              <w:t>5%</w:t>
            </w:r>
          </w:p>
        </w:tc>
        <w:tc>
          <w:tcPr>
            <w:tcW w:w="905" w:type="dxa"/>
            <w:tcBorders>
              <w:top w:val="single" w:sz="6" w:space="0" w:color="auto"/>
              <w:left w:val="single" w:sz="6" w:space="0" w:color="auto"/>
              <w:bottom w:val="single" w:sz="6" w:space="0" w:color="auto"/>
              <w:right w:val="single" w:sz="6" w:space="0" w:color="auto"/>
            </w:tcBorders>
            <w:vAlign w:val="center"/>
          </w:tcPr>
          <w:p w:rsidR="005309BF" w:rsidRPr="004A191D" w:rsidRDefault="005309BF" w:rsidP="00C12E55">
            <w:pPr>
              <w:adjustRightInd w:val="0"/>
              <w:snapToGrid w:val="0"/>
              <w:jc w:val="center"/>
              <w:rPr>
                <w:rFonts w:ascii="宋体" w:hAnsi="宋体" w:cs="宋体"/>
              </w:rPr>
            </w:pPr>
            <w:r w:rsidRPr="004A191D">
              <w:rPr>
                <w:rFonts w:ascii="宋体" w:hAnsi="宋体" w:cs="宋体" w:hint="eastAsia"/>
              </w:rPr>
              <w:t>1项</w:t>
            </w:r>
          </w:p>
        </w:tc>
        <w:tc>
          <w:tcPr>
            <w:tcW w:w="2688" w:type="dxa"/>
            <w:tcBorders>
              <w:top w:val="single" w:sz="6" w:space="0" w:color="auto"/>
              <w:left w:val="single" w:sz="6" w:space="0" w:color="auto"/>
              <w:bottom w:val="single" w:sz="6" w:space="0" w:color="auto"/>
              <w:right w:val="single" w:sz="12" w:space="0" w:color="auto"/>
            </w:tcBorders>
            <w:vAlign w:val="center"/>
          </w:tcPr>
          <w:p w:rsidR="005309BF" w:rsidRPr="004A191D" w:rsidRDefault="005309BF" w:rsidP="005309BF">
            <w:pPr>
              <w:adjustRightInd w:val="0"/>
              <w:snapToGrid w:val="0"/>
              <w:jc w:val="center"/>
              <w:rPr>
                <w:rFonts w:ascii="宋体" w:hAnsi="宋体" w:cs="宋体"/>
              </w:rPr>
            </w:pPr>
            <w:r>
              <w:rPr>
                <w:rFonts w:ascii="宋体" w:hAnsi="宋体" w:cs="宋体" w:hint="eastAsia"/>
              </w:rPr>
              <w:t>3</w:t>
            </w:r>
            <w:r>
              <w:rPr>
                <w:rFonts w:ascii="宋体" w:hAnsi="宋体" w:cs="宋体"/>
              </w:rPr>
              <w:t>8</w:t>
            </w:r>
            <w:r>
              <w:rPr>
                <w:rFonts w:ascii="宋体" w:hAnsi="宋体" w:cs="宋体" w:hint="eastAsia"/>
              </w:rPr>
              <w:t>,</w:t>
            </w:r>
            <w:r>
              <w:rPr>
                <w:rFonts w:ascii="宋体" w:hAnsi="宋体" w:cs="宋体"/>
              </w:rPr>
              <w:t>800</w:t>
            </w:r>
            <w:r>
              <w:rPr>
                <w:rFonts w:ascii="宋体" w:hAnsi="宋体" w:cs="宋体" w:hint="eastAsia"/>
              </w:rPr>
              <w:t>元</w:t>
            </w:r>
          </w:p>
        </w:tc>
      </w:tr>
      <w:tr w:rsidR="005309BF" w:rsidRPr="004A191D" w:rsidTr="00C12E55">
        <w:trPr>
          <w:cantSplit/>
          <w:trHeight w:val="510"/>
          <w:jc w:val="center"/>
        </w:trPr>
        <w:tc>
          <w:tcPr>
            <w:tcW w:w="861" w:type="dxa"/>
            <w:tcBorders>
              <w:top w:val="single" w:sz="6" w:space="0" w:color="auto"/>
              <w:left w:val="single" w:sz="12" w:space="0" w:color="auto"/>
              <w:bottom w:val="single" w:sz="12" w:space="0" w:color="auto"/>
              <w:right w:val="single" w:sz="6" w:space="0" w:color="auto"/>
            </w:tcBorders>
            <w:vAlign w:val="center"/>
          </w:tcPr>
          <w:p w:rsidR="005309BF" w:rsidRPr="004A191D" w:rsidRDefault="005309BF" w:rsidP="00C12E55">
            <w:pPr>
              <w:tabs>
                <w:tab w:val="left" w:pos="284"/>
              </w:tabs>
              <w:adjustRightInd w:val="0"/>
              <w:snapToGrid w:val="0"/>
              <w:jc w:val="center"/>
              <w:rPr>
                <w:rFonts w:ascii="宋体" w:hAnsi="宋体" w:cs="宋体"/>
              </w:rPr>
            </w:pPr>
          </w:p>
        </w:tc>
        <w:tc>
          <w:tcPr>
            <w:tcW w:w="3463" w:type="dxa"/>
            <w:tcBorders>
              <w:top w:val="single" w:sz="6" w:space="0" w:color="auto"/>
              <w:left w:val="single" w:sz="6" w:space="0" w:color="auto"/>
              <w:bottom w:val="single" w:sz="12" w:space="0" w:color="auto"/>
              <w:right w:val="single" w:sz="6" w:space="0" w:color="auto"/>
            </w:tcBorders>
            <w:vAlign w:val="center"/>
          </w:tcPr>
          <w:p w:rsidR="005309BF" w:rsidRPr="004A191D" w:rsidRDefault="005309BF" w:rsidP="00C12E55">
            <w:pPr>
              <w:tabs>
                <w:tab w:val="left" w:pos="960"/>
              </w:tabs>
              <w:adjustRightInd w:val="0"/>
              <w:snapToGrid w:val="0"/>
              <w:jc w:val="center"/>
              <w:rPr>
                <w:rFonts w:ascii="宋体" w:hAnsi="宋体" w:cs="宋体"/>
              </w:rPr>
            </w:pPr>
            <w:r w:rsidRPr="004A191D">
              <w:rPr>
                <w:rFonts w:ascii="宋体" w:hAnsi="宋体" w:cs="宋体" w:hint="eastAsia"/>
              </w:rPr>
              <w:t>合计</w:t>
            </w:r>
          </w:p>
        </w:tc>
        <w:tc>
          <w:tcPr>
            <w:tcW w:w="1154" w:type="dxa"/>
            <w:tcBorders>
              <w:top w:val="single" w:sz="6" w:space="0" w:color="auto"/>
              <w:left w:val="single" w:sz="6" w:space="0" w:color="auto"/>
              <w:bottom w:val="single" w:sz="12" w:space="0" w:color="auto"/>
              <w:right w:val="single" w:sz="6" w:space="0" w:color="auto"/>
            </w:tcBorders>
            <w:vAlign w:val="center"/>
          </w:tcPr>
          <w:p w:rsidR="005309BF" w:rsidRPr="004A191D" w:rsidRDefault="005309BF" w:rsidP="00C12E55">
            <w:pPr>
              <w:adjustRightInd w:val="0"/>
              <w:snapToGrid w:val="0"/>
              <w:jc w:val="center"/>
              <w:rPr>
                <w:rFonts w:ascii="宋体" w:hAnsi="宋体" w:cs="宋体"/>
              </w:rPr>
            </w:pPr>
            <w:r w:rsidRPr="004A191D">
              <w:rPr>
                <w:rFonts w:ascii="宋体" w:hAnsi="宋体" w:cs="宋体" w:hint="eastAsia"/>
              </w:rPr>
              <w:t>100%</w:t>
            </w:r>
          </w:p>
        </w:tc>
        <w:tc>
          <w:tcPr>
            <w:tcW w:w="905" w:type="dxa"/>
            <w:tcBorders>
              <w:top w:val="single" w:sz="6" w:space="0" w:color="auto"/>
              <w:left w:val="single" w:sz="6" w:space="0" w:color="auto"/>
              <w:bottom w:val="single" w:sz="12" w:space="0" w:color="auto"/>
              <w:right w:val="single" w:sz="6" w:space="0" w:color="auto"/>
            </w:tcBorders>
            <w:vAlign w:val="center"/>
          </w:tcPr>
          <w:p w:rsidR="005309BF" w:rsidRPr="004A191D" w:rsidRDefault="005309BF" w:rsidP="00C12E55">
            <w:pPr>
              <w:adjustRightInd w:val="0"/>
              <w:snapToGrid w:val="0"/>
              <w:jc w:val="center"/>
              <w:rPr>
                <w:rFonts w:ascii="宋体" w:hAnsi="宋体" w:cs="宋体"/>
              </w:rPr>
            </w:pPr>
            <w:r w:rsidRPr="004A191D">
              <w:rPr>
                <w:rFonts w:ascii="宋体" w:hAnsi="宋体" w:cs="宋体" w:hint="eastAsia"/>
              </w:rPr>
              <w:t>6项</w:t>
            </w:r>
          </w:p>
        </w:tc>
        <w:tc>
          <w:tcPr>
            <w:tcW w:w="2688" w:type="dxa"/>
            <w:tcBorders>
              <w:top w:val="single" w:sz="6" w:space="0" w:color="auto"/>
              <w:left w:val="single" w:sz="6" w:space="0" w:color="auto"/>
              <w:bottom w:val="single" w:sz="12" w:space="0" w:color="auto"/>
              <w:right w:val="single" w:sz="12" w:space="0" w:color="auto"/>
            </w:tcBorders>
            <w:vAlign w:val="center"/>
          </w:tcPr>
          <w:p w:rsidR="005309BF" w:rsidRPr="004A191D" w:rsidRDefault="005309BF" w:rsidP="005309BF">
            <w:pPr>
              <w:adjustRightInd w:val="0"/>
              <w:snapToGrid w:val="0"/>
              <w:jc w:val="center"/>
              <w:rPr>
                <w:rFonts w:ascii="宋体" w:hAnsi="宋体" w:cs="宋体"/>
              </w:rPr>
            </w:pPr>
            <w:r>
              <w:rPr>
                <w:rFonts w:ascii="宋体" w:hAnsi="宋体" w:cs="宋体"/>
              </w:rPr>
              <w:t>776</w:t>
            </w:r>
            <w:r>
              <w:rPr>
                <w:rFonts w:ascii="宋体" w:hAnsi="宋体" w:cs="宋体"/>
              </w:rPr>
              <w:t>,</w:t>
            </w:r>
            <w:r>
              <w:rPr>
                <w:rFonts w:ascii="宋体" w:hAnsi="宋体" w:cs="宋体"/>
              </w:rPr>
              <w:t>0</w:t>
            </w:r>
            <w:r>
              <w:rPr>
                <w:rFonts w:ascii="宋体" w:hAnsi="宋体" w:cs="宋体"/>
              </w:rPr>
              <w:t>00元</w:t>
            </w:r>
          </w:p>
        </w:tc>
      </w:tr>
    </w:tbl>
    <w:p w:rsidR="005309BF" w:rsidRPr="00774542" w:rsidRDefault="005309BF" w:rsidP="005309BF">
      <w:pPr>
        <w:autoSpaceDE w:val="0"/>
        <w:autoSpaceDN w:val="0"/>
        <w:adjustRightInd w:val="0"/>
        <w:spacing w:line="140" w:lineRule="exact"/>
        <w:rPr>
          <w:rFonts w:ascii="宋体" w:cs="宋体"/>
          <w:b/>
          <w:bCs/>
          <w:lang w:val="zh-CN"/>
        </w:rPr>
      </w:pPr>
    </w:p>
    <w:p w:rsidR="005309BF" w:rsidRPr="00774542" w:rsidRDefault="005309BF" w:rsidP="005309BF">
      <w:pPr>
        <w:autoSpaceDE w:val="0"/>
        <w:autoSpaceDN w:val="0"/>
        <w:adjustRightInd w:val="0"/>
        <w:spacing w:line="360" w:lineRule="auto"/>
        <w:rPr>
          <w:rFonts w:ascii="宋体" w:cs="宋体"/>
          <w:lang w:val="zh-CN"/>
        </w:rPr>
      </w:pPr>
    </w:p>
    <w:p w:rsidR="005309BF" w:rsidRDefault="005309BF" w:rsidP="005309BF">
      <w:pPr>
        <w:autoSpaceDE w:val="0"/>
        <w:autoSpaceDN w:val="0"/>
        <w:adjustRightInd w:val="0"/>
        <w:spacing w:line="360" w:lineRule="auto"/>
        <w:rPr>
          <w:rFonts w:ascii="宋体" w:cs="宋体"/>
          <w:lang w:val="zh-CN"/>
        </w:rPr>
      </w:pPr>
      <w:r w:rsidRPr="00774542">
        <w:rPr>
          <w:rFonts w:ascii="宋体" w:cs="宋体" w:hint="eastAsia"/>
          <w:lang w:val="zh-CN"/>
        </w:rPr>
        <w:t>投标人（公章）：</w:t>
      </w:r>
      <w:r>
        <w:rPr>
          <w:rFonts w:ascii="宋体" w:cs="宋体" w:hint="eastAsia"/>
          <w:lang w:val="zh-CN"/>
        </w:rPr>
        <w:t>江苏现代资产投资管理顾问有限公司</w:t>
      </w:r>
    </w:p>
    <w:p w:rsidR="005309BF" w:rsidRDefault="005309BF" w:rsidP="005309BF">
      <w:pPr>
        <w:widowControl/>
        <w:spacing w:before="340" w:after="330"/>
        <w:jc w:val="left"/>
        <w:rPr>
          <w:rFonts w:ascii="宋体" w:cs="宋体"/>
          <w:lang w:val="zh-CN"/>
        </w:rPr>
      </w:pPr>
      <w:r>
        <w:rPr>
          <w:rFonts w:ascii="宋体" w:cs="宋体" w:hint="eastAsia"/>
          <w:lang w:val="zh-CN"/>
        </w:rPr>
        <w:t>日期：2018年 10 月 29 日</w:t>
      </w:r>
    </w:p>
    <w:p w:rsidR="005309BF" w:rsidRPr="00774542" w:rsidRDefault="005309BF" w:rsidP="005309BF">
      <w:pPr>
        <w:autoSpaceDE w:val="0"/>
        <w:autoSpaceDN w:val="0"/>
        <w:adjustRightInd w:val="0"/>
        <w:spacing w:line="360" w:lineRule="auto"/>
        <w:rPr>
          <w:rFonts w:ascii="宋体" w:cs="宋体"/>
          <w:lang w:val="zh-CN"/>
        </w:rPr>
      </w:pPr>
    </w:p>
    <w:p w:rsidR="005309BF" w:rsidRDefault="005309BF">
      <w:pPr>
        <w:widowControl/>
        <w:jc w:val="left"/>
      </w:pPr>
      <w:r>
        <w:br w:type="page"/>
      </w:r>
    </w:p>
    <w:p w:rsidR="00127BDE" w:rsidRDefault="00127BDE" w:rsidP="00127BDE">
      <w:pPr>
        <w:pStyle w:val="a6"/>
        <w:ind w:firstLine="240"/>
      </w:pPr>
    </w:p>
    <w:p w:rsidR="00127BDE" w:rsidRDefault="00127BDE" w:rsidP="00127BDE">
      <w:pPr>
        <w:pStyle w:val="a6"/>
        <w:ind w:firstLine="240"/>
      </w:pPr>
    </w:p>
    <w:p w:rsidR="00127BDE" w:rsidRDefault="00127BDE" w:rsidP="00127BDE">
      <w:pPr>
        <w:pStyle w:val="2"/>
      </w:pPr>
      <w:bookmarkStart w:id="2" w:name="_Toc3492_WPSOffice_Level1"/>
      <w:bookmarkStart w:id="3" w:name="_Toc2402_WPSOffice_Level1"/>
      <w:bookmarkStart w:id="4" w:name="_Toc528575835"/>
      <w:r>
        <w:rPr>
          <w:rFonts w:hint="eastAsia"/>
        </w:rPr>
        <w:t>（六）</w:t>
      </w:r>
      <w:r>
        <w:t>本项目咨询服务</w:t>
      </w:r>
      <w:r>
        <w:rPr>
          <w:rFonts w:hint="eastAsia"/>
        </w:rPr>
        <w:t>工作</w:t>
      </w:r>
      <w:r>
        <w:t>方案</w:t>
      </w:r>
      <w:bookmarkEnd w:id="2"/>
      <w:bookmarkEnd w:id="3"/>
      <w:bookmarkEnd w:id="4"/>
    </w:p>
    <w:p w:rsidR="00127BDE" w:rsidRDefault="00127BDE" w:rsidP="00127BDE">
      <w:pPr>
        <w:pStyle w:val="3"/>
      </w:pPr>
      <w:bookmarkStart w:id="5" w:name="_Toc20315_WPSOffice_Level2"/>
      <w:bookmarkStart w:id="6" w:name="_Toc2402_WPSOffice_Level2"/>
      <w:bookmarkStart w:id="7" w:name="_Toc528575836"/>
      <w:r>
        <w:rPr>
          <w:rFonts w:hint="eastAsia"/>
        </w:rPr>
        <w:t>1.</w:t>
      </w:r>
      <w:r>
        <w:t>相关资料和基础设施收集</w:t>
      </w:r>
      <w:bookmarkEnd w:id="5"/>
      <w:bookmarkEnd w:id="6"/>
      <w:bookmarkEnd w:id="7"/>
    </w:p>
    <w:p w:rsidR="00127BDE" w:rsidRDefault="00127BDE" w:rsidP="00127BDE">
      <w:pPr>
        <w:pStyle w:val="11"/>
        <w:adjustRightInd w:val="0"/>
        <w:snapToGrid w:val="0"/>
        <w:spacing w:line="440" w:lineRule="exact"/>
        <w:ind w:firstLineChars="175"/>
        <w:rPr>
          <w:rFonts w:ascii="Times New Roman" w:hAnsi="Times New Roman"/>
        </w:rPr>
      </w:pPr>
      <w:r>
        <w:rPr>
          <w:rFonts w:ascii="Times New Roman" w:hAnsi="Times New Roman"/>
        </w:rPr>
        <w:t>在项目开始阶段，双方需要就项目目标、内容和信息需求达成共识，建立项目团队和项目管理机制，开启项目约谈和资料信息调研等前期准备工作。</w:t>
      </w:r>
    </w:p>
    <w:p w:rsidR="00127BDE" w:rsidRDefault="00127BDE" w:rsidP="00127BDE">
      <w:pPr>
        <w:pStyle w:val="4"/>
      </w:pPr>
      <w:bookmarkStart w:id="8" w:name="_Toc941_WPSOffice_Level3"/>
      <w:bookmarkStart w:id="9" w:name="_Toc31718_WPSOffice_Level3"/>
      <w:r>
        <w:rPr>
          <w:rFonts w:hint="eastAsia"/>
        </w:rPr>
        <w:t>（</w:t>
      </w:r>
      <w:r>
        <w:rPr>
          <w:rFonts w:hint="eastAsia"/>
        </w:rPr>
        <w:t>1</w:t>
      </w:r>
      <w:r>
        <w:rPr>
          <w:rFonts w:hint="eastAsia"/>
        </w:rPr>
        <w:t>）</w:t>
      </w:r>
      <w:r>
        <w:t>确定项目推进和决策领导小组</w:t>
      </w:r>
      <w:bookmarkEnd w:id="8"/>
      <w:bookmarkEnd w:id="9"/>
    </w:p>
    <w:p w:rsidR="00127BDE" w:rsidRDefault="00127BDE" w:rsidP="00127BDE">
      <w:pPr>
        <w:spacing w:line="440" w:lineRule="exact"/>
        <w:ind w:firstLine="480"/>
      </w:pPr>
      <w:r>
        <w:t>由项目实施机构建立项目</w:t>
      </w:r>
      <w:r>
        <w:t>PPP</w:t>
      </w:r>
      <w:r>
        <w:t>实施工作小组，安排专人（工作小组）负责</w:t>
      </w:r>
      <w:r>
        <w:t>PPP</w:t>
      </w:r>
      <w:r>
        <w:t>项目实施的主要推进工作，并安排专人负责与我方对接，由专人负责项目资料的收集整理，同时负责项目的各项对外联系工作。</w:t>
      </w:r>
    </w:p>
    <w:p w:rsidR="00127BDE" w:rsidRDefault="00127BDE" w:rsidP="00127BDE">
      <w:pPr>
        <w:pStyle w:val="4"/>
      </w:pPr>
      <w:bookmarkStart w:id="10" w:name="_Toc10379_WPSOffice_Level3"/>
      <w:bookmarkStart w:id="11" w:name="_Toc3227_WPSOffice_Level3"/>
      <w:r>
        <w:rPr>
          <w:rFonts w:hint="eastAsia"/>
        </w:rPr>
        <w:t>（</w:t>
      </w:r>
      <w:r>
        <w:rPr>
          <w:rFonts w:hint="eastAsia"/>
        </w:rPr>
        <w:t>2</w:t>
      </w:r>
      <w:r>
        <w:rPr>
          <w:rFonts w:hint="eastAsia"/>
        </w:rPr>
        <w:t>）</w:t>
      </w:r>
      <w:r>
        <w:t>准备调研访谈工作</w:t>
      </w:r>
      <w:bookmarkEnd w:id="10"/>
      <w:bookmarkEnd w:id="11"/>
    </w:p>
    <w:p w:rsidR="00127BDE" w:rsidRDefault="00127BDE" w:rsidP="00127BDE">
      <w:pPr>
        <w:spacing w:line="440" w:lineRule="exact"/>
        <w:ind w:firstLine="480"/>
      </w:pPr>
      <w:r>
        <w:t>针对具体项目准备调研问卷、提纲，由专人负责协调调研进程，确定约谈对象时间安排。明确各项目相关方对项目运营的期望和诉求，深层次了解项目运作的关键节点。</w:t>
      </w:r>
    </w:p>
    <w:p w:rsidR="00127BDE" w:rsidRDefault="00127BDE" w:rsidP="00127BDE">
      <w:pPr>
        <w:pStyle w:val="4"/>
      </w:pPr>
      <w:bookmarkStart w:id="12" w:name="_Toc6366_WPSOffice_Level3"/>
      <w:bookmarkStart w:id="13" w:name="_Toc10253_WPSOffice_Level3"/>
      <w:r>
        <w:rPr>
          <w:rFonts w:hint="eastAsia"/>
        </w:rPr>
        <w:t>（</w:t>
      </w:r>
      <w:r>
        <w:rPr>
          <w:rFonts w:hint="eastAsia"/>
        </w:rPr>
        <w:t>3</w:t>
      </w:r>
      <w:r>
        <w:rPr>
          <w:rFonts w:hint="eastAsia"/>
        </w:rPr>
        <w:t>）</w:t>
      </w:r>
      <w:r>
        <w:t>同步推进项目前期工作并整理项目所需的相关资料</w:t>
      </w:r>
      <w:bookmarkEnd w:id="12"/>
      <w:bookmarkEnd w:id="13"/>
    </w:p>
    <w:p w:rsidR="00127BDE" w:rsidRDefault="00127BDE" w:rsidP="00127BDE">
      <w:pPr>
        <w:spacing w:line="440" w:lineRule="exact"/>
        <w:ind w:firstLine="480"/>
      </w:pPr>
      <w:r>
        <w:t>根据我方拟定的项目调研清单，</w:t>
      </w:r>
      <w:r>
        <w:t>PPP</w:t>
      </w:r>
      <w:r>
        <w:t>项目推进工作小组搜集和整理相关项目资料，以增加对项目基本情况的了解，确保项目边界条件的准确性。</w:t>
      </w:r>
    </w:p>
    <w:p w:rsidR="00127BDE" w:rsidRDefault="00127BDE" w:rsidP="00127BDE">
      <w:pPr>
        <w:pStyle w:val="4"/>
      </w:pPr>
      <w:bookmarkStart w:id="14" w:name="_Toc7309_WPSOffice_Level3"/>
      <w:bookmarkStart w:id="15" w:name="_Toc6197_WPSOffice_Level3"/>
      <w:r>
        <w:rPr>
          <w:rFonts w:hint="eastAsia"/>
        </w:rPr>
        <w:t>（</w:t>
      </w:r>
      <w:r>
        <w:rPr>
          <w:rFonts w:hint="eastAsia"/>
        </w:rPr>
        <w:t>4</w:t>
      </w:r>
      <w:r>
        <w:rPr>
          <w:rFonts w:hint="eastAsia"/>
        </w:rPr>
        <w:t>）</w:t>
      </w:r>
      <w:r>
        <w:t>资料信息调研清单主要内容</w:t>
      </w:r>
      <w:bookmarkEnd w:id="14"/>
      <w:bookmarkEnd w:id="15"/>
    </w:p>
    <w:p w:rsidR="00127BDE" w:rsidRDefault="00127BDE" w:rsidP="00127BDE">
      <w:pPr>
        <w:spacing w:line="440" w:lineRule="exact"/>
        <w:ind w:firstLine="480"/>
      </w:pPr>
      <w:r>
        <w:t>资料信息调研清单一般包括项目建议书编制（如有）、项目可行性研究报告、项目环境影响评价、项目土地使用批复等内容。</w:t>
      </w:r>
    </w:p>
    <w:p w:rsidR="00127BDE" w:rsidRDefault="00127BDE" w:rsidP="00127BDE">
      <w:pPr>
        <w:pStyle w:val="3"/>
      </w:pPr>
      <w:bookmarkStart w:id="16" w:name="_Toc941_WPSOffice_Level2"/>
      <w:bookmarkStart w:id="17" w:name="_Toc2391_WPSOffice_Level2"/>
      <w:bookmarkStart w:id="18" w:name="_Toc528575837"/>
      <w:r>
        <w:rPr>
          <w:rFonts w:hint="eastAsia"/>
        </w:rPr>
        <w:lastRenderedPageBreak/>
        <w:t>2.</w:t>
      </w:r>
      <w:r>
        <w:t>实施方案编制</w:t>
      </w:r>
      <w:bookmarkEnd w:id="16"/>
      <w:bookmarkEnd w:id="17"/>
      <w:bookmarkEnd w:id="18"/>
    </w:p>
    <w:p w:rsidR="00127BDE" w:rsidRDefault="00127BDE" w:rsidP="00127BDE">
      <w:pPr>
        <w:spacing w:line="440" w:lineRule="exact"/>
        <w:ind w:firstLine="480"/>
      </w:pPr>
      <w:r>
        <w:t>根据《关于印发政府和社会资本合作模式操作指南（试行）的通知》（财金〔</w:t>
      </w:r>
      <w:r>
        <w:t>2014</w:t>
      </w:r>
      <w:r>
        <w:t>〕</w:t>
      </w:r>
      <w:r>
        <w:t>113</w:t>
      </w:r>
      <w:r>
        <w:t>号）的要求，项目实施机构应组织编制项目实施方案，对项目运作方式、交易结构等多方面内容进行说明，并报请政府部门批准。实施方案的内容专业性强、涉及面广，是保证</w:t>
      </w:r>
      <w:r>
        <w:t>PPP</w:t>
      </w:r>
      <w:r>
        <w:t>项目顺利实施的关键所在。我们的咨询服务团队成员专业多元化、项目实际操作经验丰富，对相关行业都有较为深刻的理解，能够及时提供高质量的</w:t>
      </w:r>
      <w:r>
        <w:t>PPP</w:t>
      </w:r>
      <w:r>
        <w:t>实施方案。</w:t>
      </w:r>
      <w:r>
        <w:t>PPP</w:t>
      </w:r>
      <w:r>
        <w:t>实施方案主要包括以下内容：</w:t>
      </w:r>
    </w:p>
    <w:p w:rsidR="00127BDE" w:rsidRDefault="00127BDE" w:rsidP="00127BDE">
      <w:pPr>
        <w:pStyle w:val="4"/>
      </w:pPr>
      <w:bookmarkStart w:id="19" w:name="_Toc32571_WPSOffice_Level3"/>
      <w:bookmarkStart w:id="20" w:name="_Toc16053_WPSOffice_Level3"/>
      <w:r>
        <w:rPr>
          <w:rFonts w:hint="eastAsia"/>
        </w:rPr>
        <w:t>（</w:t>
      </w:r>
      <w:r>
        <w:rPr>
          <w:rFonts w:hint="eastAsia"/>
        </w:rPr>
        <w:t>1</w:t>
      </w:r>
      <w:r>
        <w:rPr>
          <w:rFonts w:hint="eastAsia"/>
        </w:rPr>
        <w:t>）</w:t>
      </w:r>
      <w:r>
        <w:t>项目概况</w:t>
      </w:r>
      <w:bookmarkEnd w:id="19"/>
      <w:bookmarkEnd w:id="20"/>
    </w:p>
    <w:p w:rsidR="00127BDE" w:rsidRDefault="00127BDE" w:rsidP="00127BDE">
      <w:pPr>
        <w:spacing w:beforeLines="50" w:before="156"/>
        <w:ind w:firstLine="480"/>
        <w:rPr>
          <w:color w:val="000000"/>
        </w:rPr>
      </w:pPr>
      <w:r>
        <w:rPr>
          <w:rFonts w:hint="eastAsia"/>
          <w:color w:val="000000"/>
        </w:rPr>
        <w:t>项目基本情况应根据项目可行性研究报告内容及尽职调查情况详细论述，包括项目背景、项目建设的必要性和可行性分析、建设规模、建设内容、建设标准、经济技术指标、建设方案、总投资、融资方案等内容。</w:t>
      </w:r>
    </w:p>
    <w:p w:rsidR="00127BDE" w:rsidRDefault="00127BDE" w:rsidP="00127BDE">
      <w:pPr>
        <w:pStyle w:val="4"/>
      </w:pPr>
      <w:bookmarkStart w:id="21" w:name="_Toc27387_WPSOffice_Level3"/>
      <w:bookmarkStart w:id="22" w:name="_Toc2801_WPSOffice_Level3"/>
      <w:r>
        <w:rPr>
          <w:rFonts w:hint="eastAsia"/>
        </w:rPr>
        <w:t>（</w:t>
      </w:r>
      <w:r>
        <w:rPr>
          <w:rFonts w:hint="eastAsia"/>
        </w:rPr>
        <w:t>2</w:t>
      </w:r>
      <w:r>
        <w:rPr>
          <w:rFonts w:hint="eastAsia"/>
        </w:rPr>
        <w:t>）</w:t>
      </w:r>
      <w:r>
        <w:t>风险分配基本框架</w:t>
      </w:r>
      <w:bookmarkEnd w:id="21"/>
      <w:bookmarkEnd w:id="22"/>
    </w:p>
    <w:p w:rsidR="00127BDE" w:rsidRDefault="00127BDE" w:rsidP="00127BDE">
      <w:pPr>
        <w:spacing w:beforeLines="50" w:before="156"/>
        <w:ind w:firstLine="480"/>
        <w:rPr>
          <w:color w:val="000000"/>
        </w:rPr>
      </w:pPr>
      <w:r>
        <w:rPr>
          <w:color w:val="000000"/>
        </w:rPr>
        <w:t>“</w:t>
      </w:r>
      <w:r>
        <w:rPr>
          <w:color w:val="000000"/>
        </w:rPr>
        <w:t>风险共担、利润共享</w:t>
      </w:r>
      <w:r>
        <w:rPr>
          <w:color w:val="000000"/>
        </w:rPr>
        <w:t>”</w:t>
      </w:r>
      <w:r>
        <w:rPr>
          <w:color w:val="000000"/>
        </w:rPr>
        <w:t>是</w:t>
      </w:r>
      <w:r>
        <w:rPr>
          <w:color w:val="000000"/>
        </w:rPr>
        <w:t>PPP</w:t>
      </w:r>
      <w:r>
        <w:rPr>
          <w:color w:val="000000"/>
        </w:rPr>
        <w:t>项目运作的基本原则，而传统观点认为</w:t>
      </w:r>
      <w:r>
        <w:rPr>
          <w:color w:val="000000"/>
        </w:rPr>
        <w:t>“</w:t>
      </w:r>
      <w:r>
        <w:rPr>
          <w:color w:val="000000"/>
        </w:rPr>
        <w:t>采用</w:t>
      </w:r>
      <w:r>
        <w:rPr>
          <w:color w:val="000000"/>
        </w:rPr>
        <w:t>PPP</w:t>
      </w:r>
      <w:r>
        <w:rPr>
          <w:color w:val="000000"/>
        </w:rPr>
        <w:t>模式就是要把尽量多的风险转移给私人部门</w:t>
      </w:r>
      <w:r>
        <w:rPr>
          <w:color w:val="000000"/>
        </w:rPr>
        <w:t>”</w:t>
      </w:r>
      <w:r>
        <w:rPr>
          <w:color w:val="000000"/>
        </w:rPr>
        <w:t>和</w:t>
      </w:r>
      <w:r>
        <w:rPr>
          <w:color w:val="000000"/>
        </w:rPr>
        <w:t>“</w:t>
      </w:r>
      <w:r>
        <w:rPr>
          <w:color w:val="000000"/>
        </w:rPr>
        <w:t>承担较多的风险就可以获得较多的回报（从而把承担风险看成是获得高额回报的机会）</w:t>
      </w:r>
      <w:r>
        <w:rPr>
          <w:color w:val="000000"/>
        </w:rPr>
        <w:t>”</w:t>
      </w:r>
      <w:r>
        <w:rPr>
          <w:color w:val="000000"/>
        </w:rPr>
        <w:t>是不合理的。在现实操作中，让社会资本承担其无法承担的风险，一旦风险发生时又缺乏控制能力，这必然会降低社会资本提供公共设施或服务的效率和增加控制风险的总成本。由此可见，最优的风险分配并不是将所有风险都转移给社会资本方，而是寻求一种方案实现政府方和社会资本方的总管理成本最小化。因此，在</w:t>
      </w:r>
      <w:r>
        <w:rPr>
          <w:color w:val="000000"/>
        </w:rPr>
        <w:t>PPP</w:t>
      </w:r>
      <w:r>
        <w:rPr>
          <w:color w:val="000000"/>
        </w:rPr>
        <w:t>实际运作中必须合理分担项目风险。</w:t>
      </w:r>
    </w:p>
    <w:p w:rsidR="00127BDE" w:rsidRDefault="00127BDE" w:rsidP="00127BDE">
      <w:pPr>
        <w:spacing w:beforeLines="50" w:before="156"/>
        <w:ind w:firstLine="480"/>
      </w:pPr>
      <w:r>
        <w:rPr>
          <w:color w:val="000000"/>
        </w:rPr>
        <w:t>PPP</w:t>
      </w:r>
      <w:r>
        <w:rPr>
          <w:color w:val="000000"/>
        </w:rPr>
        <w:t>模式下的风险分担遵循风险管理效率优先的基本原则，根据这一原则，从经济利益和管理效率的角度进行分析，社会资本承担的风险主要包括：项目融资风险、工程延误风险、技术风险、成本超支风险和运营维护风险，不可抗力风险由政府和社会资本双方共同承担。</w:t>
      </w:r>
    </w:p>
    <w:p w:rsidR="00127BDE" w:rsidRDefault="00127BDE" w:rsidP="00127BDE">
      <w:pPr>
        <w:spacing w:line="440" w:lineRule="exact"/>
        <w:ind w:firstLine="480"/>
        <w:jc w:val="left"/>
      </w:pPr>
      <w:r>
        <w:t>本项目具体的风险分配框架如下：</w:t>
      </w:r>
    </w:p>
    <w:tbl>
      <w:tblPr>
        <w:tblW w:w="9067" w:type="dxa"/>
        <w:jc w:val="center"/>
        <w:tblLayout w:type="fixed"/>
        <w:tblLook w:val="04A0" w:firstRow="1" w:lastRow="0" w:firstColumn="1" w:lastColumn="0" w:noHBand="0" w:noVBand="1"/>
      </w:tblPr>
      <w:tblGrid>
        <w:gridCol w:w="1666"/>
        <w:gridCol w:w="2865"/>
        <w:gridCol w:w="4536"/>
      </w:tblGrid>
      <w:tr w:rsidR="00127BDE" w:rsidTr="00C12E55">
        <w:trPr>
          <w:cantSplit/>
          <w:tblHeader/>
          <w:jc w:val="center"/>
        </w:trPr>
        <w:tc>
          <w:tcPr>
            <w:tcW w:w="1666" w:type="dxa"/>
            <w:tcBorders>
              <w:top w:val="single" w:sz="4" w:space="0" w:color="auto"/>
              <w:left w:val="single" w:sz="4" w:space="0" w:color="auto"/>
              <w:bottom w:val="single" w:sz="4" w:space="0" w:color="auto"/>
              <w:right w:val="single" w:sz="4" w:space="0" w:color="auto"/>
            </w:tcBorders>
            <w:vAlign w:val="center"/>
          </w:tcPr>
          <w:p w:rsidR="00127BDE" w:rsidRDefault="00127BDE" w:rsidP="00C12E55">
            <w:pPr>
              <w:jc w:val="center"/>
              <w:rPr>
                <w:b/>
                <w:bCs/>
                <w:color w:val="000000"/>
              </w:rPr>
            </w:pPr>
            <w:r>
              <w:rPr>
                <w:b/>
                <w:bCs/>
                <w:color w:val="000000"/>
              </w:rPr>
              <w:t>风险类型</w:t>
            </w:r>
          </w:p>
        </w:tc>
        <w:tc>
          <w:tcPr>
            <w:tcW w:w="2865" w:type="dxa"/>
            <w:tcBorders>
              <w:top w:val="single" w:sz="4" w:space="0" w:color="auto"/>
              <w:left w:val="nil"/>
              <w:bottom w:val="single" w:sz="4" w:space="0" w:color="auto"/>
              <w:right w:val="single" w:sz="4" w:space="0" w:color="auto"/>
            </w:tcBorders>
            <w:vAlign w:val="center"/>
          </w:tcPr>
          <w:p w:rsidR="00127BDE" w:rsidRDefault="00127BDE" w:rsidP="00C12E55">
            <w:pPr>
              <w:jc w:val="center"/>
              <w:rPr>
                <w:b/>
                <w:bCs/>
                <w:color w:val="000000"/>
              </w:rPr>
            </w:pPr>
            <w:r>
              <w:rPr>
                <w:b/>
                <w:bCs/>
                <w:color w:val="000000"/>
              </w:rPr>
              <w:t>风险描述</w:t>
            </w:r>
          </w:p>
        </w:tc>
        <w:tc>
          <w:tcPr>
            <w:tcW w:w="4536" w:type="dxa"/>
            <w:tcBorders>
              <w:top w:val="single" w:sz="4" w:space="0" w:color="auto"/>
              <w:left w:val="nil"/>
              <w:bottom w:val="single" w:sz="4" w:space="0" w:color="auto"/>
              <w:right w:val="single" w:sz="4" w:space="0" w:color="auto"/>
            </w:tcBorders>
            <w:vAlign w:val="center"/>
          </w:tcPr>
          <w:p w:rsidR="00127BDE" w:rsidRDefault="00127BDE" w:rsidP="00C12E55">
            <w:pPr>
              <w:jc w:val="center"/>
              <w:rPr>
                <w:b/>
                <w:bCs/>
                <w:color w:val="000000"/>
              </w:rPr>
            </w:pPr>
            <w:r>
              <w:rPr>
                <w:b/>
                <w:bCs/>
                <w:color w:val="000000"/>
              </w:rPr>
              <w:t>风险分配</w:t>
            </w:r>
          </w:p>
        </w:tc>
      </w:tr>
      <w:tr w:rsidR="00127BDE" w:rsidTr="00C12E55">
        <w:trPr>
          <w:cantSplit/>
          <w:jc w:val="center"/>
        </w:trPr>
        <w:tc>
          <w:tcPr>
            <w:tcW w:w="1666" w:type="dxa"/>
            <w:tcBorders>
              <w:top w:val="single" w:sz="4" w:space="0" w:color="auto"/>
              <w:left w:val="single" w:sz="4" w:space="0" w:color="auto"/>
              <w:bottom w:val="single" w:sz="4" w:space="0" w:color="auto"/>
              <w:right w:val="single" w:sz="4" w:space="0" w:color="auto"/>
            </w:tcBorders>
            <w:vAlign w:val="center"/>
          </w:tcPr>
          <w:p w:rsidR="00127BDE" w:rsidRDefault="00127BDE" w:rsidP="00C12E55">
            <w:pPr>
              <w:jc w:val="center"/>
              <w:rPr>
                <w:color w:val="000000"/>
              </w:rPr>
            </w:pPr>
            <w:r>
              <w:rPr>
                <w:color w:val="000000"/>
              </w:rPr>
              <w:t>土地流转风险</w:t>
            </w:r>
          </w:p>
        </w:tc>
        <w:tc>
          <w:tcPr>
            <w:tcW w:w="2865" w:type="dxa"/>
            <w:tcBorders>
              <w:top w:val="single" w:sz="4" w:space="0" w:color="auto"/>
              <w:left w:val="nil"/>
              <w:bottom w:val="single" w:sz="4" w:space="0" w:color="auto"/>
              <w:right w:val="single" w:sz="4" w:space="0" w:color="auto"/>
            </w:tcBorders>
            <w:vAlign w:val="center"/>
          </w:tcPr>
          <w:p w:rsidR="00127BDE" w:rsidRDefault="00127BDE" w:rsidP="00C12E55">
            <w:pPr>
              <w:jc w:val="center"/>
              <w:rPr>
                <w:color w:val="000000"/>
              </w:rPr>
            </w:pPr>
            <w:r>
              <w:rPr>
                <w:color w:val="000000"/>
              </w:rPr>
              <w:t>引发社会稳定事件、不能按时提供项目用地</w:t>
            </w:r>
          </w:p>
        </w:tc>
        <w:tc>
          <w:tcPr>
            <w:tcW w:w="4536" w:type="dxa"/>
            <w:tcBorders>
              <w:top w:val="single" w:sz="4" w:space="0" w:color="auto"/>
              <w:left w:val="nil"/>
              <w:bottom w:val="single" w:sz="4" w:space="0" w:color="auto"/>
              <w:right w:val="single" w:sz="4" w:space="0" w:color="auto"/>
            </w:tcBorders>
            <w:vAlign w:val="center"/>
          </w:tcPr>
          <w:p w:rsidR="00127BDE" w:rsidRDefault="00127BDE" w:rsidP="00C12E55">
            <w:pPr>
              <w:jc w:val="left"/>
              <w:rPr>
                <w:color w:val="000000"/>
              </w:rPr>
            </w:pPr>
            <w:r>
              <w:rPr>
                <w:color w:val="000000"/>
              </w:rPr>
              <w:t>由政府方负责土地流转工作，因该工作导致的施工延误，政府方承担顺延工期责任。</w:t>
            </w:r>
          </w:p>
        </w:tc>
      </w:tr>
      <w:tr w:rsidR="00127BDE" w:rsidTr="00C12E55">
        <w:trPr>
          <w:cantSplit/>
          <w:jc w:val="center"/>
        </w:trPr>
        <w:tc>
          <w:tcPr>
            <w:tcW w:w="1666" w:type="dxa"/>
            <w:tcBorders>
              <w:top w:val="single" w:sz="4" w:space="0" w:color="auto"/>
              <w:left w:val="single" w:sz="4" w:space="0" w:color="auto"/>
              <w:bottom w:val="single" w:sz="4" w:space="0" w:color="auto"/>
              <w:right w:val="single" w:sz="4" w:space="0" w:color="auto"/>
            </w:tcBorders>
            <w:vAlign w:val="center"/>
          </w:tcPr>
          <w:p w:rsidR="00127BDE" w:rsidRDefault="00127BDE" w:rsidP="00C12E55">
            <w:pPr>
              <w:jc w:val="center"/>
              <w:rPr>
                <w:color w:val="000000"/>
              </w:rPr>
            </w:pPr>
            <w:r>
              <w:rPr>
                <w:color w:val="000000"/>
              </w:rPr>
              <w:t>项目审批风险</w:t>
            </w:r>
          </w:p>
        </w:tc>
        <w:tc>
          <w:tcPr>
            <w:tcW w:w="2865" w:type="dxa"/>
            <w:tcBorders>
              <w:top w:val="single" w:sz="4" w:space="0" w:color="auto"/>
              <w:left w:val="nil"/>
              <w:bottom w:val="single" w:sz="4" w:space="0" w:color="auto"/>
              <w:right w:val="single" w:sz="4" w:space="0" w:color="auto"/>
            </w:tcBorders>
            <w:vAlign w:val="center"/>
          </w:tcPr>
          <w:p w:rsidR="00127BDE" w:rsidRDefault="00127BDE" w:rsidP="00C12E55">
            <w:pPr>
              <w:jc w:val="center"/>
              <w:rPr>
                <w:color w:val="000000"/>
              </w:rPr>
            </w:pPr>
            <w:r>
              <w:rPr>
                <w:color w:val="000000"/>
              </w:rPr>
              <w:t>审批周期过长、开工时间延后</w:t>
            </w:r>
          </w:p>
        </w:tc>
        <w:tc>
          <w:tcPr>
            <w:tcW w:w="4536" w:type="dxa"/>
            <w:tcBorders>
              <w:top w:val="single" w:sz="4" w:space="0" w:color="auto"/>
              <w:left w:val="nil"/>
              <w:bottom w:val="single" w:sz="4" w:space="0" w:color="auto"/>
              <w:right w:val="single" w:sz="4" w:space="0" w:color="auto"/>
            </w:tcBorders>
            <w:vAlign w:val="center"/>
          </w:tcPr>
          <w:p w:rsidR="00127BDE" w:rsidRDefault="00127BDE" w:rsidP="00C12E55">
            <w:pPr>
              <w:jc w:val="left"/>
              <w:rPr>
                <w:color w:val="000000"/>
              </w:rPr>
            </w:pPr>
            <w:r>
              <w:rPr>
                <w:color w:val="000000"/>
              </w:rPr>
              <w:t>由政府方承担相应风险，项目公司有权向政府方要求顺延工期。</w:t>
            </w:r>
          </w:p>
        </w:tc>
      </w:tr>
      <w:tr w:rsidR="00127BDE" w:rsidTr="00C12E55">
        <w:trPr>
          <w:trHeight w:val="680"/>
          <w:jc w:val="center"/>
        </w:trPr>
        <w:tc>
          <w:tcPr>
            <w:tcW w:w="1666" w:type="dxa"/>
            <w:tcBorders>
              <w:top w:val="single" w:sz="4" w:space="0" w:color="auto"/>
              <w:left w:val="single" w:sz="4" w:space="0" w:color="auto"/>
              <w:bottom w:val="single" w:sz="4" w:space="0" w:color="auto"/>
              <w:right w:val="single" w:sz="4" w:space="0" w:color="auto"/>
            </w:tcBorders>
            <w:vAlign w:val="center"/>
          </w:tcPr>
          <w:p w:rsidR="00127BDE" w:rsidRDefault="00127BDE" w:rsidP="00C12E55">
            <w:pPr>
              <w:jc w:val="center"/>
              <w:rPr>
                <w:color w:val="000000"/>
              </w:rPr>
            </w:pPr>
            <w:r>
              <w:rPr>
                <w:color w:val="000000"/>
              </w:rPr>
              <w:t>法律政策风险</w:t>
            </w:r>
          </w:p>
        </w:tc>
        <w:tc>
          <w:tcPr>
            <w:tcW w:w="2865" w:type="dxa"/>
            <w:tcBorders>
              <w:top w:val="single" w:sz="4" w:space="0" w:color="auto"/>
              <w:left w:val="nil"/>
              <w:bottom w:val="single" w:sz="4" w:space="0" w:color="auto"/>
              <w:right w:val="single" w:sz="4" w:space="0" w:color="auto"/>
            </w:tcBorders>
            <w:vAlign w:val="center"/>
          </w:tcPr>
          <w:p w:rsidR="00127BDE" w:rsidRDefault="00127BDE" w:rsidP="00C12E55">
            <w:pPr>
              <w:jc w:val="center"/>
              <w:rPr>
                <w:color w:val="000000"/>
              </w:rPr>
            </w:pPr>
            <w:r>
              <w:rPr>
                <w:color w:val="000000"/>
              </w:rPr>
              <w:t>法律政策风险</w:t>
            </w:r>
          </w:p>
        </w:tc>
        <w:tc>
          <w:tcPr>
            <w:tcW w:w="4536" w:type="dxa"/>
            <w:tcBorders>
              <w:top w:val="single" w:sz="4" w:space="0" w:color="auto"/>
              <w:left w:val="nil"/>
              <w:bottom w:val="single" w:sz="4" w:space="0" w:color="auto"/>
              <w:right w:val="single" w:sz="4" w:space="0" w:color="auto"/>
            </w:tcBorders>
            <w:vAlign w:val="center"/>
          </w:tcPr>
          <w:p w:rsidR="00127BDE" w:rsidRDefault="00127BDE" w:rsidP="00C12E55">
            <w:pPr>
              <w:jc w:val="left"/>
              <w:rPr>
                <w:color w:val="000000"/>
              </w:rPr>
            </w:pPr>
            <w:r>
              <w:rPr>
                <w:color w:val="000000"/>
              </w:rPr>
              <w:t>项目实施过程中产生的政治、法律、政策等宏观层面的风险由政府方承担。</w:t>
            </w:r>
          </w:p>
        </w:tc>
      </w:tr>
      <w:tr w:rsidR="00127BDE" w:rsidTr="00C12E55">
        <w:trPr>
          <w:trHeight w:val="472"/>
          <w:jc w:val="center"/>
        </w:trPr>
        <w:tc>
          <w:tcPr>
            <w:tcW w:w="1666" w:type="dxa"/>
            <w:vMerge w:val="restart"/>
            <w:tcBorders>
              <w:top w:val="nil"/>
              <w:left w:val="single" w:sz="4" w:space="0" w:color="auto"/>
              <w:bottom w:val="single" w:sz="4" w:space="0" w:color="auto"/>
              <w:right w:val="single" w:sz="4" w:space="0" w:color="auto"/>
            </w:tcBorders>
            <w:vAlign w:val="center"/>
          </w:tcPr>
          <w:p w:rsidR="00127BDE" w:rsidRDefault="00127BDE" w:rsidP="00C12E55">
            <w:pPr>
              <w:jc w:val="center"/>
              <w:rPr>
                <w:color w:val="000000"/>
              </w:rPr>
            </w:pPr>
            <w:r>
              <w:rPr>
                <w:color w:val="000000"/>
              </w:rPr>
              <w:lastRenderedPageBreak/>
              <w:t>投融资风险</w:t>
            </w:r>
          </w:p>
        </w:tc>
        <w:tc>
          <w:tcPr>
            <w:tcW w:w="2865" w:type="dxa"/>
            <w:tcBorders>
              <w:top w:val="single" w:sz="4" w:space="0" w:color="auto"/>
              <w:left w:val="nil"/>
              <w:bottom w:val="single" w:sz="4" w:space="0" w:color="auto"/>
              <w:right w:val="single" w:sz="4" w:space="0" w:color="auto"/>
            </w:tcBorders>
            <w:vAlign w:val="center"/>
          </w:tcPr>
          <w:p w:rsidR="00127BDE" w:rsidRDefault="00127BDE" w:rsidP="00C12E55">
            <w:pPr>
              <w:jc w:val="center"/>
              <w:rPr>
                <w:color w:val="000000"/>
              </w:rPr>
            </w:pPr>
            <w:r>
              <w:rPr>
                <w:color w:val="000000"/>
              </w:rPr>
              <w:t>项目融资风险</w:t>
            </w:r>
          </w:p>
        </w:tc>
        <w:tc>
          <w:tcPr>
            <w:tcW w:w="4536" w:type="dxa"/>
            <w:tcBorders>
              <w:top w:val="single" w:sz="4" w:space="0" w:color="auto"/>
              <w:left w:val="nil"/>
              <w:bottom w:val="single" w:sz="4" w:space="0" w:color="auto"/>
              <w:right w:val="single" w:sz="4" w:space="0" w:color="auto"/>
            </w:tcBorders>
            <w:vAlign w:val="center"/>
          </w:tcPr>
          <w:p w:rsidR="00127BDE" w:rsidRDefault="00127BDE" w:rsidP="00C12E55">
            <w:pPr>
              <w:rPr>
                <w:color w:val="000000"/>
              </w:rPr>
            </w:pPr>
            <w:r>
              <w:rPr>
                <w:color w:val="000000"/>
              </w:rPr>
              <w:t>项目融资风险由社会资本承担。</w:t>
            </w:r>
          </w:p>
        </w:tc>
      </w:tr>
      <w:tr w:rsidR="00127BDE" w:rsidTr="00C12E55">
        <w:trPr>
          <w:trHeight w:val="472"/>
          <w:jc w:val="center"/>
        </w:trPr>
        <w:tc>
          <w:tcPr>
            <w:tcW w:w="1666" w:type="dxa"/>
            <w:vMerge/>
            <w:tcBorders>
              <w:top w:val="nil"/>
              <w:left w:val="single" w:sz="4" w:space="0" w:color="auto"/>
              <w:bottom w:val="single" w:sz="4" w:space="0" w:color="auto"/>
              <w:right w:val="single" w:sz="4" w:space="0" w:color="auto"/>
            </w:tcBorders>
            <w:vAlign w:val="center"/>
          </w:tcPr>
          <w:p w:rsidR="00127BDE" w:rsidRDefault="00127BDE" w:rsidP="00C12E55">
            <w:pPr>
              <w:widowControl/>
              <w:jc w:val="center"/>
              <w:rPr>
                <w:color w:val="000000"/>
              </w:rPr>
            </w:pPr>
          </w:p>
        </w:tc>
        <w:tc>
          <w:tcPr>
            <w:tcW w:w="2865" w:type="dxa"/>
            <w:tcBorders>
              <w:top w:val="single" w:sz="4" w:space="0" w:color="auto"/>
              <w:left w:val="nil"/>
              <w:bottom w:val="single" w:sz="4" w:space="0" w:color="auto"/>
              <w:right w:val="single" w:sz="4" w:space="0" w:color="auto"/>
            </w:tcBorders>
            <w:vAlign w:val="center"/>
          </w:tcPr>
          <w:p w:rsidR="00127BDE" w:rsidRDefault="00127BDE" w:rsidP="00C12E55">
            <w:pPr>
              <w:jc w:val="center"/>
              <w:rPr>
                <w:color w:val="000000"/>
              </w:rPr>
            </w:pPr>
            <w:r>
              <w:rPr>
                <w:color w:val="000000"/>
              </w:rPr>
              <w:t>项目总投资风险</w:t>
            </w:r>
          </w:p>
        </w:tc>
        <w:tc>
          <w:tcPr>
            <w:tcW w:w="4536" w:type="dxa"/>
            <w:tcBorders>
              <w:top w:val="single" w:sz="4" w:space="0" w:color="auto"/>
              <w:left w:val="nil"/>
              <w:bottom w:val="single" w:sz="4" w:space="0" w:color="auto"/>
              <w:right w:val="single" w:sz="4" w:space="0" w:color="auto"/>
            </w:tcBorders>
            <w:vAlign w:val="center"/>
          </w:tcPr>
          <w:p w:rsidR="00127BDE" w:rsidRDefault="00127BDE" w:rsidP="00C12E55">
            <w:pPr>
              <w:rPr>
                <w:color w:val="000000"/>
              </w:rPr>
            </w:pPr>
            <w:r>
              <w:rPr>
                <w:color w:val="000000"/>
              </w:rPr>
              <w:t>项目总投资风险由社会资本承担</w:t>
            </w:r>
            <w:r>
              <w:rPr>
                <w:rFonts w:hint="eastAsia"/>
                <w:color w:val="000000"/>
              </w:rPr>
              <w:t>，</w:t>
            </w:r>
            <w:r>
              <w:rPr>
                <w:color w:val="000000"/>
              </w:rPr>
              <w:t>社会资本承担项目投资变化所造成的投融资风险。</w:t>
            </w:r>
          </w:p>
        </w:tc>
      </w:tr>
      <w:tr w:rsidR="00127BDE" w:rsidTr="00C12E55">
        <w:trPr>
          <w:trHeight w:val="467"/>
          <w:jc w:val="center"/>
        </w:trPr>
        <w:tc>
          <w:tcPr>
            <w:tcW w:w="1666" w:type="dxa"/>
            <w:vMerge/>
            <w:tcBorders>
              <w:top w:val="nil"/>
              <w:left w:val="single" w:sz="4" w:space="0" w:color="auto"/>
              <w:bottom w:val="single" w:sz="4" w:space="0" w:color="auto"/>
              <w:right w:val="single" w:sz="4" w:space="0" w:color="auto"/>
            </w:tcBorders>
            <w:vAlign w:val="center"/>
          </w:tcPr>
          <w:p w:rsidR="00127BDE" w:rsidRDefault="00127BDE" w:rsidP="00C12E55">
            <w:pPr>
              <w:widowControl/>
              <w:jc w:val="center"/>
              <w:rPr>
                <w:color w:val="000000"/>
              </w:rPr>
            </w:pPr>
          </w:p>
        </w:tc>
        <w:tc>
          <w:tcPr>
            <w:tcW w:w="2865" w:type="dxa"/>
            <w:tcBorders>
              <w:top w:val="single" w:sz="4" w:space="0" w:color="auto"/>
              <w:left w:val="nil"/>
              <w:bottom w:val="single" w:sz="4" w:space="0" w:color="auto"/>
              <w:right w:val="single" w:sz="4" w:space="0" w:color="auto"/>
            </w:tcBorders>
            <w:vAlign w:val="center"/>
          </w:tcPr>
          <w:p w:rsidR="00127BDE" w:rsidRDefault="00127BDE" w:rsidP="00C12E55">
            <w:pPr>
              <w:jc w:val="center"/>
              <w:rPr>
                <w:color w:val="000000"/>
              </w:rPr>
            </w:pPr>
            <w:r>
              <w:rPr>
                <w:color w:val="000000"/>
              </w:rPr>
              <w:t>利率风险</w:t>
            </w:r>
          </w:p>
        </w:tc>
        <w:tc>
          <w:tcPr>
            <w:tcW w:w="4536" w:type="dxa"/>
            <w:tcBorders>
              <w:top w:val="single" w:sz="4" w:space="0" w:color="auto"/>
              <w:left w:val="nil"/>
              <w:bottom w:val="single" w:sz="4" w:space="0" w:color="auto"/>
              <w:right w:val="single" w:sz="4" w:space="0" w:color="auto"/>
            </w:tcBorders>
            <w:vAlign w:val="center"/>
          </w:tcPr>
          <w:p w:rsidR="00127BDE" w:rsidRDefault="00127BDE" w:rsidP="00C12E55">
            <w:pPr>
              <w:rPr>
                <w:color w:val="000000"/>
              </w:rPr>
            </w:pPr>
            <w:r>
              <w:rPr>
                <w:color w:val="000000"/>
              </w:rPr>
              <w:t>利率浮动</w:t>
            </w:r>
            <w:r>
              <w:rPr>
                <w:rFonts w:hint="eastAsia"/>
                <w:color w:val="000000"/>
              </w:rPr>
              <w:t>风险由社会资本方承担</w:t>
            </w:r>
            <w:r>
              <w:rPr>
                <w:color w:val="000000"/>
              </w:rPr>
              <w:t>。</w:t>
            </w:r>
            <w:r>
              <w:rPr>
                <w:rFonts w:hint="eastAsia"/>
                <w:color w:val="000000"/>
              </w:rPr>
              <w:t>利率变化过大，导致项目建设成本过高时，可与政府协商延长经营期年限。</w:t>
            </w:r>
          </w:p>
        </w:tc>
      </w:tr>
      <w:tr w:rsidR="00127BDE" w:rsidTr="00C12E55">
        <w:trPr>
          <w:trHeight w:val="700"/>
          <w:jc w:val="center"/>
        </w:trPr>
        <w:tc>
          <w:tcPr>
            <w:tcW w:w="1666" w:type="dxa"/>
            <w:tcBorders>
              <w:top w:val="single" w:sz="4" w:space="0" w:color="auto"/>
              <w:left w:val="single" w:sz="4" w:space="0" w:color="auto"/>
              <w:bottom w:val="single" w:sz="4" w:space="0" w:color="auto"/>
              <w:right w:val="single" w:sz="4" w:space="0" w:color="auto"/>
            </w:tcBorders>
            <w:vAlign w:val="center"/>
          </w:tcPr>
          <w:p w:rsidR="00127BDE" w:rsidRDefault="00127BDE" w:rsidP="00C12E55">
            <w:pPr>
              <w:jc w:val="center"/>
              <w:rPr>
                <w:color w:val="000000"/>
              </w:rPr>
            </w:pPr>
            <w:r>
              <w:rPr>
                <w:color w:val="000000"/>
              </w:rPr>
              <w:t>税费风险</w:t>
            </w:r>
          </w:p>
        </w:tc>
        <w:tc>
          <w:tcPr>
            <w:tcW w:w="2865" w:type="dxa"/>
            <w:tcBorders>
              <w:top w:val="single" w:sz="4" w:space="0" w:color="auto"/>
              <w:left w:val="nil"/>
              <w:bottom w:val="single" w:sz="4" w:space="0" w:color="auto"/>
              <w:right w:val="single" w:sz="4" w:space="0" w:color="auto"/>
            </w:tcBorders>
            <w:vAlign w:val="center"/>
          </w:tcPr>
          <w:p w:rsidR="00127BDE" w:rsidRDefault="00127BDE" w:rsidP="00C12E55">
            <w:pPr>
              <w:jc w:val="center"/>
              <w:rPr>
                <w:color w:val="000000"/>
              </w:rPr>
            </w:pPr>
            <w:r>
              <w:rPr>
                <w:color w:val="000000"/>
              </w:rPr>
              <w:t>PPP</w:t>
            </w:r>
            <w:r>
              <w:rPr>
                <w:color w:val="000000"/>
              </w:rPr>
              <w:t>项目税费风险</w:t>
            </w:r>
          </w:p>
        </w:tc>
        <w:tc>
          <w:tcPr>
            <w:tcW w:w="4536" w:type="dxa"/>
            <w:tcBorders>
              <w:top w:val="single" w:sz="4" w:space="0" w:color="auto"/>
              <w:left w:val="nil"/>
              <w:bottom w:val="single" w:sz="4" w:space="0" w:color="auto"/>
              <w:right w:val="single" w:sz="4" w:space="0" w:color="auto"/>
            </w:tcBorders>
            <w:vAlign w:val="center"/>
          </w:tcPr>
          <w:p w:rsidR="00127BDE" w:rsidRDefault="00127BDE" w:rsidP="00C12E55">
            <w:pPr>
              <w:rPr>
                <w:color w:val="000000"/>
              </w:rPr>
            </w:pPr>
            <w:r>
              <w:rPr>
                <w:rFonts w:hint="eastAsia"/>
                <w:color w:val="000000"/>
              </w:rPr>
              <w:t>税费风险由社会资本方承担，当税费变动超出项目可承受范围，使用者付费无法弥补建设投资及合理利润时，可与政府协商延长经营年限或采取其他适当措施弥补。</w:t>
            </w:r>
          </w:p>
        </w:tc>
      </w:tr>
      <w:tr w:rsidR="00127BDE" w:rsidTr="00C12E55">
        <w:trPr>
          <w:trHeight w:val="483"/>
          <w:jc w:val="center"/>
        </w:trPr>
        <w:tc>
          <w:tcPr>
            <w:tcW w:w="1666" w:type="dxa"/>
            <w:vMerge w:val="restart"/>
            <w:tcBorders>
              <w:top w:val="nil"/>
              <w:left w:val="single" w:sz="4" w:space="0" w:color="auto"/>
              <w:bottom w:val="single" w:sz="4" w:space="0" w:color="auto"/>
              <w:right w:val="single" w:sz="4" w:space="0" w:color="auto"/>
            </w:tcBorders>
            <w:vAlign w:val="center"/>
          </w:tcPr>
          <w:p w:rsidR="00127BDE" w:rsidRDefault="00127BDE" w:rsidP="00C12E55">
            <w:pPr>
              <w:jc w:val="center"/>
              <w:rPr>
                <w:color w:val="000000"/>
              </w:rPr>
            </w:pPr>
            <w:r>
              <w:rPr>
                <w:color w:val="000000"/>
              </w:rPr>
              <w:t>建设风险</w:t>
            </w:r>
          </w:p>
        </w:tc>
        <w:tc>
          <w:tcPr>
            <w:tcW w:w="2865" w:type="dxa"/>
            <w:tcBorders>
              <w:top w:val="single" w:sz="4" w:space="0" w:color="auto"/>
              <w:left w:val="nil"/>
              <w:bottom w:val="single" w:sz="4" w:space="0" w:color="auto"/>
              <w:right w:val="single" w:sz="4" w:space="0" w:color="auto"/>
            </w:tcBorders>
            <w:vAlign w:val="center"/>
          </w:tcPr>
          <w:p w:rsidR="00127BDE" w:rsidRDefault="00127BDE" w:rsidP="00C12E55">
            <w:pPr>
              <w:jc w:val="center"/>
              <w:rPr>
                <w:color w:val="000000"/>
              </w:rPr>
            </w:pPr>
            <w:r>
              <w:rPr>
                <w:color w:val="000000"/>
              </w:rPr>
              <w:t>项目设计风险</w:t>
            </w:r>
          </w:p>
        </w:tc>
        <w:tc>
          <w:tcPr>
            <w:tcW w:w="4536" w:type="dxa"/>
            <w:tcBorders>
              <w:top w:val="single" w:sz="4" w:space="0" w:color="auto"/>
              <w:left w:val="nil"/>
              <w:bottom w:val="single" w:sz="4" w:space="0" w:color="auto"/>
              <w:right w:val="single" w:sz="4" w:space="0" w:color="auto"/>
            </w:tcBorders>
            <w:vAlign w:val="center"/>
          </w:tcPr>
          <w:p w:rsidR="00127BDE" w:rsidRDefault="00127BDE" w:rsidP="00C12E55">
            <w:pPr>
              <w:rPr>
                <w:color w:val="000000"/>
              </w:rPr>
            </w:pPr>
            <w:r>
              <w:rPr>
                <w:color w:val="000000"/>
              </w:rPr>
              <w:t>本项目由社会资本方</w:t>
            </w:r>
            <w:r>
              <w:rPr>
                <w:rFonts w:hint="eastAsia"/>
                <w:color w:val="000000"/>
              </w:rPr>
              <w:t>承担设计风险。</w:t>
            </w:r>
            <w:r>
              <w:rPr>
                <w:color w:val="000000"/>
              </w:rPr>
              <w:t>若因设计质量原因或设计变更、对项目的管控能力弱等因素导致本项目不能按期完工、成本超支或出现质量问题、安全问题的，风险由社会资本方承担。</w:t>
            </w:r>
          </w:p>
        </w:tc>
      </w:tr>
      <w:tr w:rsidR="00127BDE" w:rsidTr="00C12E55">
        <w:trPr>
          <w:trHeight w:val="483"/>
          <w:jc w:val="center"/>
        </w:trPr>
        <w:tc>
          <w:tcPr>
            <w:tcW w:w="1666" w:type="dxa"/>
            <w:vMerge/>
            <w:tcBorders>
              <w:top w:val="nil"/>
              <w:left w:val="single" w:sz="4" w:space="0" w:color="auto"/>
              <w:bottom w:val="single" w:sz="4" w:space="0" w:color="auto"/>
              <w:right w:val="single" w:sz="4" w:space="0" w:color="auto"/>
            </w:tcBorders>
            <w:vAlign w:val="center"/>
          </w:tcPr>
          <w:p w:rsidR="00127BDE" w:rsidRDefault="00127BDE" w:rsidP="00C12E55">
            <w:pPr>
              <w:widowControl/>
              <w:jc w:val="center"/>
              <w:rPr>
                <w:color w:val="000000"/>
              </w:rPr>
            </w:pPr>
          </w:p>
        </w:tc>
        <w:tc>
          <w:tcPr>
            <w:tcW w:w="2865" w:type="dxa"/>
            <w:tcBorders>
              <w:top w:val="single" w:sz="4" w:space="0" w:color="auto"/>
              <w:left w:val="nil"/>
              <w:bottom w:val="single" w:sz="4" w:space="0" w:color="auto"/>
              <w:right w:val="single" w:sz="4" w:space="0" w:color="auto"/>
            </w:tcBorders>
            <w:vAlign w:val="center"/>
          </w:tcPr>
          <w:p w:rsidR="00127BDE" w:rsidRDefault="00127BDE" w:rsidP="00C12E55">
            <w:pPr>
              <w:jc w:val="center"/>
              <w:rPr>
                <w:color w:val="000000"/>
              </w:rPr>
            </w:pPr>
            <w:r>
              <w:rPr>
                <w:color w:val="000000"/>
              </w:rPr>
              <w:t>项目建设质量风险</w:t>
            </w:r>
          </w:p>
        </w:tc>
        <w:tc>
          <w:tcPr>
            <w:tcW w:w="4536" w:type="dxa"/>
            <w:tcBorders>
              <w:top w:val="single" w:sz="4" w:space="0" w:color="auto"/>
              <w:left w:val="nil"/>
              <w:bottom w:val="single" w:sz="4" w:space="0" w:color="auto"/>
              <w:right w:val="single" w:sz="4" w:space="0" w:color="auto"/>
            </w:tcBorders>
            <w:vAlign w:val="center"/>
          </w:tcPr>
          <w:p w:rsidR="00127BDE" w:rsidRDefault="00127BDE" w:rsidP="00C12E55">
            <w:pPr>
              <w:rPr>
                <w:color w:val="000000"/>
              </w:rPr>
            </w:pPr>
            <w:r>
              <w:rPr>
                <w:color w:val="000000"/>
              </w:rPr>
              <w:t>建设质量风险由社会资本承担。</w:t>
            </w:r>
          </w:p>
        </w:tc>
      </w:tr>
      <w:tr w:rsidR="00127BDE" w:rsidTr="00C12E55">
        <w:trPr>
          <w:trHeight w:val="545"/>
          <w:jc w:val="center"/>
        </w:trPr>
        <w:tc>
          <w:tcPr>
            <w:tcW w:w="1666" w:type="dxa"/>
            <w:vMerge/>
            <w:tcBorders>
              <w:top w:val="nil"/>
              <w:left w:val="single" w:sz="4" w:space="0" w:color="auto"/>
              <w:bottom w:val="single" w:sz="4" w:space="0" w:color="auto"/>
              <w:right w:val="single" w:sz="4" w:space="0" w:color="auto"/>
            </w:tcBorders>
            <w:vAlign w:val="center"/>
          </w:tcPr>
          <w:p w:rsidR="00127BDE" w:rsidRDefault="00127BDE" w:rsidP="00C12E55">
            <w:pPr>
              <w:widowControl/>
              <w:jc w:val="center"/>
              <w:rPr>
                <w:color w:val="000000"/>
              </w:rPr>
            </w:pPr>
          </w:p>
        </w:tc>
        <w:tc>
          <w:tcPr>
            <w:tcW w:w="2865" w:type="dxa"/>
            <w:tcBorders>
              <w:top w:val="single" w:sz="4" w:space="0" w:color="auto"/>
              <w:left w:val="nil"/>
              <w:bottom w:val="single" w:sz="4" w:space="0" w:color="auto"/>
              <w:right w:val="single" w:sz="4" w:space="0" w:color="auto"/>
            </w:tcBorders>
            <w:vAlign w:val="center"/>
          </w:tcPr>
          <w:p w:rsidR="00127BDE" w:rsidRDefault="00127BDE" w:rsidP="00C12E55">
            <w:pPr>
              <w:jc w:val="center"/>
              <w:rPr>
                <w:color w:val="000000"/>
              </w:rPr>
            </w:pPr>
            <w:r>
              <w:rPr>
                <w:color w:val="000000"/>
              </w:rPr>
              <w:t>项目完工风险</w:t>
            </w:r>
          </w:p>
        </w:tc>
        <w:tc>
          <w:tcPr>
            <w:tcW w:w="4536" w:type="dxa"/>
            <w:tcBorders>
              <w:top w:val="single" w:sz="4" w:space="0" w:color="auto"/>
              <w:left w:val="nil"/>
              <w:bottom w:val="single" w:sz="4" w:space="0" w:color="auto"/>
              <w:right w:val="single" w:sz="4" w:space="0" w:color="auto"/>
            </w:tcBorders>
            <w:vAlign w:val="center"/>
          </w:tcPr>
          <w:p w:rsidR="00127BDE" w:rsidRDefault="00127BDE" w:rsidP="00C12E55">
            <w:pPr>
              <w:rPr>
                <w:color w:val="000000"/>
              </w:rPr>
            </w:pPr>
            <w:r>
              <w:rPr>
                <w:rFonts w:hint="eastAsia"/>
                <w:color w:val="000000"/>
              </w:rPr>
              <w:t>非政府原因引起的</w:t>
            </w:r>
            <w:r>
              <w:rPr>
                <w:color w:val="000000"/>
              </w:rPr>
              <w:t>完工风险</w:t>
            </w:r>
            <w:r>
              <w:rPr>
                <w:rFonts w:hint="eastAsia"/>
                <w:color w:val="000000"/>
              </w:rPr>
              <w:t>全部</w:t>
            </w:r>
            <w:r>
              <w:rPr>
                <w:color w:val="000000"/>
              </w:rPr>
              <w:t>由项目公司承担。</w:t>
            </w:r>
            <w:r>
              <w:rPr>
                <w:rFonts w:hint="eastAsia"/>
                <w:color w:val="000000"/>
              </w:rPr>
              <w:t>如因政府方原因导致工期延误，则项目公司不予承担。</w:t>
            </w:r>
          </w:p>
        </w:tc>
      </w:tr>
      <w:tr w:rsidR="00127BDE" w:rsidTr="00C12E55">
        <w:trPr>
          <w:trHeight w:val="545"/>
          <w:jc w:val="center"/>
        </w:trPr>
        <w:tc>
          <w:tcPr>
            <w:tcW w:w="1666" w:type="dxa"/>
            <w:tcBorders>
              <w:top w:val="single" w:sz="4" w:space="0" w:color="auto"/>
              <w:left w:val="single" w:sz="4" w:space="0" w:color="auto"/>
              <w:bottom w:val="single" w:sz="4" w:space="0" w:color="auto"/>
              <w:right w:val="single" w:sz="4" w:space="0" w:color="auto"/>
            </w:tcBorders>
            <w:vAlign w:val="center"/>
          </w:tcPr>
          <w:p w:rsidR="00127BDE" w:rsidRDefault="00127BDE" w:rsidP="00C12E55">
            <w:pPr>
              <w:jc w:val="center"/>
              <w:rPr>
                <w:color w:val="000000"/>
              </w:rPr>
            </w:pPr>
            <w:r>
              <w:rPr>
                <w:color w:val="000000"/>
              </w:rPr>
              <w:t>运营维护风险</w:t>
            </w:r>
          </w:p>
        </w:tc>
        <w:tc>
          <w:tcPr>
            <w:tcW w:w="2865" w:type="dxa"/>
            <w:tcBorders>
              <w:top w:val="single" w:sz="4" w:space="0" w:color="auto"/>
              <w:left w:val="nil"/>
              <w:bottom w:val="single" w:sz="4" w:space="0" w:color="auto"/>
              <w:right w:val="single" w:sz="4" w:space="0" w:color="auto"/>
            </w:tcBorders>
            <w:vAlign w:val="center"/>
          </w:tcPr>
          <w:p w:rsidR="00127BDE" w:rsidRDefault="00127BDE" w:rsidP="00C12E55">
            <w:pPr>
              <w:jc w:val="center"/>
              <w:rPr>
                <w:color w:val="000000"/>
              </w:rPr>
            </w:pPr>
            <w:r>
              <w:rPr>
                <w:color w:val="000000"/>
              </w:rPr>
              <w:t>运营维护风险</w:t>
            </w:r>
          </w:p>
        </w:tc>
        <w:tc>
          <w:tcPr>
            <w:tcW w:w="4536" w:type="dxa"/>
            <w:tcBorders>
              <w:top w:val="single" w:sz="4" w:space="0" w:color="auto"/>
              <w:left w:val="nil"/>
              <w:bottom w:val="single" w:sz="4" w:space="0" w:color="auto"/>
              <w:right w:val="single" w:sz="4" w:space="0" w:color="auto"/>
            </w:tcBorders>
            <w:vAlign w:val="center"/>
          </w:tcPr>
          <w:p w:rsidR="00127BDE" w:rsidRDefault="00127BDE" w:rsidP="00C12E55">
            <w:pPr>
              <w:rPr>
                <w:color w:val="000000"/>
              </w:rPr>
            </w:pPr>
            <w:r>
              <w:rPr>
                <w:color w:val="000000"/>
              </w:rPr>
              <w:t>社会资本方对项目的运营、维护需符合</w:t>
            </w:r>
            <w:r>
              <w:rPr>
                <w:rFonts w:hint="eastAsia"/>
                <w:color w:val="000000"/>
              </w:rPr>
              <w:t>公路</w:t>
            </w:r>
            <w:r>
              <w:rPr>
                <w:color w:val="000000"/>
              </w:rPr>
              <w:t>有关标准，未按照规定进行运营维护的，由此产生的风险由社会资本方承担。项目运营维护成本超支风险由社会资本自行承担。</w:t>
            </w:r>
          </w:p>
        </w:tc>
      </w:tr>
      <w:tr w:rsidR="00127BDE" w:rsidTr="00C12E55">
        <w:trPr>
          <w:trHeight w:val="700"/>
          <w:jc w:val="center"/>
        </w:trPr>
        <w:tc>
          <w:tcPr>
            <w:tcW w:w="1666" w:type="dxa"/>
            <w:vMerge w:val="restart"/>
            <w:tcBorders>
              <w:top w:val="single" w:sz="4" w:space="0" w:color="auto"/>
              <w:left w:val="single" w:sz="4" w:space="0" w:color="auto"/>
              <w:right w:val="single" w:sz="4" w:space="0" w:color="auto"/>
            </w:tcBorders>
            <w:vAlign w:val="center"/>
          </w:tcPr>
          <w:p w:rsidR="00127BDE" w:rsidRDefault="00127BDE" w:rsidP="00C12E55">
            <w:pPr>
              <w:jc w:val="center"/>
              <w:rPr>
                <w:color w:val="000000"/>
              </w:rPr>
            </w:pPr>
            <w:r>
              <w:rPr>
                <w:color w:val="000000"/>
              </w:rPr>
              <w:t>不可抗力风险</w:t>
            </w:r>
          </w:p>
        </w:tc>
        <w:tc>
          <w:tcPr>
            <w:tcW w:w="2865" w:type="dxa"/>
            <w:tcBorders>
              <w:top w:val="single" w:sz="4" w:space="0" w:color="auto"/>
              <w:left w:val="nil"/>
              <w:bottom w:val="single" w:sz="4" w:space="0" w:color="auto"/>
              <w:right w:val="single" w:sz="4" w:space="0" w:color="auto"/>
            </w:tcBorders>
            <w:vAlign w:val="center"/>
          </w:tcPr>
          <w:p w:rsidR="00127BDE" w:rsidRDefault="00127BDE" w:rsidP="00C12E55">
            <w:pPr>
              <w:jc w:val="center"/>
              <w:rPr>
                <w:color w:val="000000"/>
              </w:rPr>
            </w:pPr>
            <w:r>
              <w:rPr>
                <w:color w:val="000000"/>
              </w:rPr>
              <w:t>政府不可抗力风险</w:t>
            </w:r>
          </w:p>
        </w:tc>
        <w:tc>
          <w:tcPr>
            <w:tcW w:w="4536" w:type="dxa"/>
            <w:tcBorders>
              <w:top w:val="single" w:sz="4" w:space="0" w:color="auto"/>
              <w:left w:val="nil"/>
              <w:bottom w:val="single" w:sz="4" w:space="0" w:color="auto"/>
              <w:right w:val="single" w:sz="4" w:space="0" w:color="auto"/>
            </w:tcBorders>
            <w:vAlign w:val="center"/>
          </w:tcPr>
          <w:p w:rsidR="00127BDE" w:rsidRDefault="00127BDE" w:rsidP="00C12E55">
            <w:pPr>
              <w:rPr>
                <w:color w:val="000000"/>
              </w:rPr>
            </w:pPr>
            <w:r>
              <w:rPr>
                <w:color w:val="000000"/>
              </w:rPr>
              <w:t>非因政府方原因导致，且不在其控制下的征收征用、法律变更、未获审批等原因导致项目全部或部分无法实施的，其风险由政府方和社会资本方共同承担，相应处理措施由双方协商确定。因不可抗力导致项目全部无法实施的，双方协商解除合同；导致项目部分无法实施的，根据不可抗力的影响部分免除受影响的一方的相应义务或协商给予相应费用补偿。</w:t>
            </w:r>
          </w:p>
        </w:tc>
      </w:tr>
      <w:tr w:rsidR="00127BDE" w:rsidTr="00C12E55">
        <w:trPr>
          <w:trHeight w:val="700"/>
          <w:jc w:val="center"/>
        </w:trPr>
        <w:tc>
          <w:tcPr>
            <w:tcW w:w="1666" w:type="dxa"/>
            <w:vMerge/>
            <w:tcBorders>
              <w:left w:val="single" w:sz="4" w:space="0" w:color="auto"/>
              <w:bottom w:val="single" w:sz="4" w:space="0" w:color="auto"/>
              <w:right w:val="single" w:sz="4" w:space="0" w:color="auto"/>
            </w:tcBorders>
            <w:vAlign w:val="center"/>
          </w:tcPr>
          <w:p w:rsidR="00127BDE" w:rsidRDefault="00127BDE" w:rsidP="00C12E55">
            <w:pPr>
              <w:jc w:val="center"/>
              <w:rPr>
                <w:color w:val="000000"/>
              </w:rPr>
            </w:pPr>
          </w:p>
        </w:tc>
        <w:tc>
          <w:tcPr>
            <w:tcW w:w="2865" w:type="dxa"/>
            <w:tcBorders>
              <w:top w:val="single" w:sz="4" w:space="0" w:color="auto"/>
              <w:left w:val="nil"/>
              <w:bottom w:val="single" w:sz="4" w:space="0" w:color="auto"/>
              <w:right w:val="single" w:sz="4" w:space="0" w:color="auto"/>
            </w:tcBorders>
            <w:vAlign w:val="center"/>
          </w:tcPr>
          <w:p w:rsidR="00127BDE" w:rsidRDefault="00127BDE" w:rsidP="00C12E55">
            <w:pPr>
              <w:jc w:val="center"/>
              <w:rPr>
                <w:color w:val="000000"/>
              </w:rPr>
            </w:pPr>
            <w:r>
              <w:rPr>
                <w:color w:val="000000"/>
              </w:rPr>
              <w:t>自然不可抗力风险</w:t>
            </w:r>
          </w:p>
        </w:tc>
        <w:tc>
          <w:tcPr>
            <w:tcW w:w="4536" w:type="dxa"/>
            <w:tcBorders>
              <w:top w:val="single" w:sz="4" w:space="0" w:color="auto"/>
              <w:left w:val="nil"/>
              <w:bottom w:val="single" w:sz="4" w:space="0" w:color="auto"/>
              <w:right w:val="single" w:sz="4" w:space="0" w:color="auto"/>
            </w:tcBorders>
            <w:vAlign w:val="center"/>
          </w:tcPr>
          <w:p w:rsidR="00127BDE" w:rsidRDefault="00127BDE" w:rsidP="00C12E55">
            <w:pPr>
              <w:rPr>
                <w:color w:val="000000"/>
              </w:rPr>
            </w:pPr>
            <w:r>
              <w:rPr>
                <w:color w:val="000000"/>
              </w:rPr>
              <w:t>因遭遇严重的干旱、洪涝等灾害性天气等自然不可抗力，造成项目无法实施或较大程度损害的，其风险由社会资本方承担</w:t>
            </w:r>
            <w:r>
              <w:rPr>
                <w:rFonts w:hint="eastAsia"/>
                <w:color w:val="000000"/>
              </w:rPr>
              <w:t>；</w:t>
            </w:r>
            <w:r>
              <w:rPr>
                <w:color w:val="000000"/>
              </w:rPr>
              <w:t>导致项目无法实施的</w:t>
            </w:r>
            <w:r>
              <w:rPr>
                <w:rFonts w:hint="eastAsia"/>
                <w:color w:val="000000"/>
              </w:rPr>
              <w:t>风险由社会资本方与政府方共同承担，需通过</w:t>
            </w:r>
            <w:r>
              <w:rPr>
                <w:color w:val="000000"/>
              </w:rPr>
              <w:t>协商解除</w:t>
            </w:r>
            <w:r>
              <w:rPr>
                <w:rFonts w:hint="eastAsia"/>
                <w:color w:val="000000"/>
              </w:rPr>
              <w:t>相关</w:t>
            </w:r>
            <w:r>
              <w:rPr>
                <w:color w:val="000000"/>
              </w:rPr>
              <w:t>合同；造成较大程度损害的，可经</w:t>
            </w:r>
            <w:r>
              <w:rPr>
                <w:rFonts w:hint="eastAsia"/>
                <w:color w:val="000000"/>
              </w:rPr>
              <w:t>社会资本方与政府方</w:t>
            </w:r>
            <w:r>
              <w:rPr>
                <w:color w:val="000000"/>
              </w:rPr>
              <w:t>协商共同承担损失或延长经营期限</w:t>
            </w:r>
            <w:r>
              <w:rPr>
                <w:rFonts w:hint="eastAsia"/>
                <w:color w:val="000000"/>
              </w:rPr>
              <w:t>等。</w:t>
            </w:r>
          </w:p>
        </w:tc>
      </w:tr>
    </w:tbl>
    <w:p w:rsidR="00127BDE" w:rsidRDefault="00127BDE" w:rsidP="00127BDE">
      <w:pPr>
        <w:pStyle w:val="4"/>
      </w:pPr>
      <w:bookmarkStart w:id="23" w:name="_Toc5564_WPSOffice_Level3"/>
      <w:bookmarkStart w:id="24" w:name="_Toc14542_WPSOffice_Level3"/>
      <w:r>
        <w:rPr>
          <w:rFonts w:hint="eastAsia"/>
        </w:rPr>
        <w:lastRenderedPageBreak/>
        <w:t>（</w:t>
      </w:r>
      <w:r>
        <w:rPr>
          <w:rFonts w:hint="eastAsia"/>
        </w:rPr>
        <w:t>3</w:t>
      </w:r>
      <w:r>
        <w:rPr>
          <w:rFonts w:hint="eastAsia"/>
        </w:rPr>
        <w:t>）</w:t>
      </w:r>
      <w:r>
        <w:t>项目运作方式</w:t>
      </w:r>
      <w:bookmarkEnd w:id="23"/>
      <w:bookmarkEnd w:id="24"/>
    </w:p>
    <w:p w:rsidR="00127BDE" w:rsidRDefault="00127BDE" w:rsidP="00127BDE">
      <w:pPr>
        <w:spacing w:line="440" w:lineRule="exact"/>
        <w:ind w:firstLine="480"/>
        <w:jc w:val="left"/>
      </w:pPr>
      <w:r>
        <w:t>项目运作方式主要包括委托运营、管理合同、建设</w:t>
      </w:r>
      <w:r>
        <w:t>-</w:t>
      </w:r>
      <w:r>
        <w:t>运营</w:t>
      </w:r>
      <w:r>
        <w:t>-</w:t>
      </w:r>
      <w:r>
        <w:t>移交、建设</w:t>
      </w:r>
      <w:r>
        <w:t>-</w:t>
      </w:r>
      <w:r>
        <w:t>拥有</w:t>
      </w:r>
      <w:r>
        <w:t>-</w:t>
      </w:r>
      <w:r>
        <w:t>运营、转让</w:t>
      </w:r>
      <w:r>
        <w:t>-</w:t>
      </w:r>
      <w:r>
        <w:t>运营</w:t>
      </w:r>
      <w:r>
        <w:t>-</w:t>
      </w:r>
      <w:r>
        <w:t>移交和改建</w:t>
      </w:r>
      <w:r>
        <w:t>-</w:t>
      </w:r>
      <w:r>
        <w:t>运营</w:t>
      </w:r>
      <w:r>
        <w:t>-</w:t>
      </w:r>
      <w:r>
        <w:t>移交等。具体运作方式的选择主要由收费定价机制、项目投资收益水平、风险分配基本框架、融资需求、改扩建需求和期满处置等因素决定。</w:t>
      </w:r>
    </w:p>
    <w:p w:rsidR="00127BDE" w:rsidRDefault="00127BDE" w:rsidP="00127BDE">
      <w:pPr>
        <w:spacing w:beforeLines="50" w:before="156"/>
        <w:ind w:firstLine="480"/>
        <w:rPr>
          <w:color w:val="000000"/>
        </w:rPr>
      </w:pPr>
      <w:r>
        <w:t>本项目属于</w:t>
      </w:r>
      <w:r>
        <w:rPr>
          <w:rFonts w:hint="eastAsia"/>
        </w:rPr>
        <w:t>收费公路</w:t>
      </w:r>
      <w:r>
        <w:t>项目，回报机制</w:t>
      </w:r>
      <w:r>
        <w:rPr>
          <w:rFonts w:hint="eastAsia"/>
        </w:rPr>
        <w:t>拟采用使用者付费模式</w:t>
      </w:r>
      <w:r>
        <w:t>。项目投资回报来源</w:t>
      </w:r>
      <w:r>
        <w:rPr>
          <w:rFonts w:hint="eastAsia"/>
        </w:rPr>
        <w:t>为公路通行费收入</w:t>
      </w:r>
      <w:r>
        <w:rPr>
          <w:color w:val="000000"/>
        </w:rPr>
        <w:t>。</w:t>
      </w:r>
    </w:p>
    <w:p w:rsidR="00127BDE" w:rsidRDefault="00127BDE" w:rsidP="00127BDE">
      <w:pPr>
        <w:spacing w:beforeLines="50" w:before="156"/>
        <w:ind w:firstLine="480"/>
        <w:rPr>
          <w:color w:val="000000"/>
        </w:rPr>
      </w:pPr>
      <w:r>
        <w:rPr>
          <w:color w:val="000000"/>
        </w:rPr>
        <w:t>根据本项目的基本情况，本项目拟整体采取</w:t>
      </w:r>
      <w:r>
        <w:rPr>
          <w:color w:val="000000"/>
        </w:rPr>
        <w:t>PPP</w:t>
      </w:r>
      <w:r>
        <w:rPr>
          <w:color w:val="000000"/>
        </w:rPr>
        <w:t>模式中的</w:t>
      </w:r>
      <w:r>
        <w:rPr>
          <w:color w:val="000000"/>
        </w:rPr>
        <w:t>“BOT”</w:t>
      </w:r>
      <w:r>
        <w:rPr>
          <w:color w:val="000000"/>
        </w:rPr>
        <w:t>运作方式，即</w:t>
      </w:r>
      <w:r>
        <w:rPr>
          <w:color w:val="000000"/>
        </w:rPr>
        <w:t>“</w:t>
      </w:r>
      <w:r>
        <w:rPr>
          <w:color w:val="000000"/>
        </w:rPr>
        <w:t>建设</w:t>
      </w:r>
      <w:r>
        <w:rPr>
          <w:color w:val="000000"/>
        </w:rPr>
        <w:t>-</w:t>
      </w:r>
      <w:r>
        <w:rPr>
          <w:color w:val="000000"/>
        </w:rPr>
        <w:t>运营</w:t>
      </w:r>
      <w:r>
        <w:rPr>
          <w:color w:val="000000"/>
        </w:rPr>
        <w:t>-</w:t>
      </w:r>
      <w:r>
        <w:rPr>
          <w:color w:val="000000"/>
        </w:rPr>
        <w:t>移交</w:t>
      </w:r>
      <w:r>
        <w:rPr>
          <w:color w:val="000000"/>
        </w:rPr>
        <w:t>”</w:t>
      </w:r>
      <w:r>
        <w:rPr>
          <w:color w:val="000000"/>
        </w:rPr>
        <w:t>，</w:t>
      </w:r>
      <w:r>
        <w:t>由政府方出资代表与社会资本方</w:t>
      </w:r>
      <w:r>
        <w:rPr>
          <w:rFonts w:hint="eastAsia"/>
        </w:rPr>
        <w:t>共同</w:t>
      </w:r>
      <w:r>
        <w:t>出资设立项目公司</w:t>
      </w:r>
      <w:r>
        <w:rPr>
          <w:rFonts w:hint="eastAsia"/>
        </w:rPr>
        <w:t>或社会资本方单独出资设立项目公司</w:t>
      </w:r>
      <w:r>
        <w:t>，项目实施机构授权项目公司</w:t>
      </w:r>
      <w:r>
        <w:rPr>
          <w:color w:val="000000"/>
        </w:rPr>
        <w:t>在合作期内负责本项目的投融资、建设施工及运维、移交，项目公</w:t>
      </w:r>
      <w:r>
        <w:t>司通过</w:t>
      </w:r>
      <w:r>
        <w:rPr>
          <w:rFonts w:hint="eastAsia"/>
        </w:rPr>
        <w:t>经营性项目收入</w:t>
      </w:r>
      <w:r>
        <w:t>获得</w:t>
      </w:r>
      <w:r>
        <w:rPr>
          <w:color w:val="000000"/>
        </w:rPr>
        <w:t>合理回报，在经营期结束时，项目公司将本项目资产无偿移交给</w:t>
      </w:r>
      <w:r>
        <w:rPr>
          <w:rFonts w:hint="eastAsia"/>
          <w:color w:val="000000"/>
        </w:rPr>
        <w:t>许昌市</w:t>
      </w:r>
      <w:r>
        <w:rPr>
          <w:color w:val="000000"/>
        </w:rPr>
        <w:t>人民政府或其指定的相关机构。</w:t>
      </w:r>
    </w:p>
    <w:p w:rsidR="00127BDE" w:rsidRDefault="00127BDE" w:rsidP="00127BDE">
      <w:pPr>
        <w:pStyle w:val="a6"/>
        <w:ind w:firstLine="240"/>
        <w:rPr>
          <w:color w:val="000000"/>
        </w:rPr>
      </w:pPr>
      <w:r>
        <w:rPr>
          <w:color w:val="00000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7pt;width:395.25pt;height:164.15pt;z-index:251659264;mso-width-relative:page;mso-height-relative:page">
            <v:imagedata r:id="rId7" o:title=""/>
            <o:lock v:ext="edit" aspectratio="f"/>
          </v:shape>
          <o:OLEObject Type="Embed" ProgID="Visio.Drawing.11" ShapeID="_x0000_s1026" DrawAspect="Content" ObjectID="_1602572657" r:id="rId8"/>
        </w:object>
      </w:r>
    </w:p>
    <w:p w:rsidR="00127BDE" w:rsidRDefault="00127BDE" w:rsidP="00127BDE">
      <w:pPr>
        <w:pStyle w:val="a6"/>
        <w:ind w:firstLine="240"/>
        <w:rPr>
          <w:color w:val="000000"/>
        </w:rPr>
      </w:pPr>
    </w:p>
    <w:p w:rsidR="00127BDE" w:rsidRDefault="00127BDE" w:rsidP="00127BDE">
      <w:pPr>
        <w:pStyle w:val="a6"/>
        <w:ind w:firstLine="240"/>
        <w:rPr>
          <w:color w:val="000000"/>
        </w:rPr>
      </w:pPr>
    </w:p>
    <w:p w:rsidR="00127BDE" w:rsidRDefault="00127BDE" w:rsidP="00127BDE">
      <w:pPr>
        <w:pStyle w:val="a6"/>
        <w:ind w:firstLine="240"/>
        <w:rPr>
          <w:color w:val="000000"/>
        </w:rPr>
      </w:pPr>
    </w:p>
    <w:p w:rsidR="00127BDE" w:rsidRDefault="00127BDE" w:rsidP="00127BDE">
      <w:pPr>
        <w:pStyle w:val="a6"/>
        <w:ind w:firstLine="240"/>
        <w:rPr>
          <w:color w:val="000000"/>
        </w:rPr>
      </w:pPr>
    </w:p>
    <w:p w:rsidR="00127BDE" w:rsidRDefault="00127BDE" w:rsidP="00127BDE">
      <w:pPr>
        <w:pStyle w:val="a6"/>
        <w:ind w:firstLine="240"/>
        <w:rPr>
          <w:color w:val="000000"/>
        </w:rPr>
      </w:pPr>
    </w:p>
    <w:p w:rsidR="00127BDE" w:rsidRDefault="00127BDE" w:rsidP="00127BDE">
      <w:pPr>
        <w:pStyle w:val="a6"/>
        <w:ind w:firstLine="240"/>
        <w:jc w:val="center"/>
        <w:rPr>
          <w:color w:val="000000"/>
        </w:rPr>
      </w:pPr>
      <w:bookmarkStart w:id="25" w:name="_Toc406_WPSOffice_Level3"/>
      <w:r>
        <w:rPr>
          <w:color w:val="000000"/>
        </w:rPr>
        <w:t>本项目</w:t>
      </w:r>
      <w:r>
        <w:rPr>
          <w:color w:val="000000"/>
        </w:rPr>
        <w:t>PPP</w:t>
      </w:r>
      <w:r>
        <w:rPr>
          <w:color w:val="000000"/>
        </w:rPr>
        <w:t>运作方式示意图</w:t>
      </w:r>
      <w:bookmarkEnd w:id="25"/>
    </w:p>
    <w:p w:rsidR="00127BDE" w:rsidRDefault="00127BDE" w:rsidP="00127BDE">
      <w:pPr>
        <w:pStyle w:val="4"/>
      </w:pPr>
      <w:bookmarkStart w:id="26" w:name="_Toc20481_WPSOffice_Level3"/>
      <w:bookmarkStart w:id="27" w:name="_Toc20968_WPSOffice_Level3"/>
      <w:r>
        <w:rPr>
          <w:rFonts w:hint="eastAsia"/>
        </w:rPr>
        <w:t>（</w:t>
      </w:r>
      <w:r>
        <w:rPr>
          <w:rFonts w:hint="eastAsia"/>
        </w:rPr>
        <w:t>4</w:t>
      </w:r>
      <w:r>
        <w:rPr>
          <w:rFonts w:hint="eastAsia"/>
        </w:rPr>
        <w:t>）</w:t>
      </w:r>
      <w:r>
        <w:t>交易结构</w:t>
      </w:r>
      <w:bookmarkEnd w:id="26"/>
      <w:bookmarkEnd w:id="27"/>
    </w:p>
    <w:p w:rsidR="00127BDE" w:rsidRDefault="00127BDE" w:rsidP="00127BDE">
      <w:pPr>
        <w:spacing w:beforeLines="50" w:before="156"/>
        <w:ind w:firstLine="480"/>
      </w:pPr>
      <w:r>
        <w:rPr>
          <w:color w:val="000000"/>
        </w:rPr>
        <w:t>本项目将由实施机构</w:t>
      </w:r>
      <w:r>
        <w:rPr>
          <w:rFonts w:hint="eastAsia"/>
          <w:color w:val="000000"/>
        </w:rPr>
        <w:t>许昌市公路管理局</w:t>
      </w:r>
      <w:r>
        <w:rPr>
          <w:color w:val="000000"/>
        </w:rPr>
        <w:t>通过合法竞争方式选择社会资本，由最终确定的社会资本出资与政府出资方代表共同设立项目公司</w:t>
      </w:r>
      <w:r>
        <w:rPr>
          <w:rFonts w:hint="eastAsia"/>
          <w:color w:val="000000"/>
        </w:rPr>
        <w:t>或由社会资本方单独出资设立项目公司</w:t>
      </w:r>
      <w:r>
        <w:rPr>
          <w:color w:val="000000"/>
        </w:rPr>
        <w:t>进行具体运作。</w:t>
      </w:r>
    </w:p>
    <w:p w:rsidR="00127BDE" w:rsidRDefault="00127BDE" w:rsidP="00127BDE">
      <w:pPr>
        <w:pStyle w:val="5"/>
      </w:pPr>
      <w:r>
        <w:rPr>
          <w:rFonts w:hint="eastAsia"/>
        </w:rPr>
        <w:t>1</w:t>
      </w:r>
      <w:r>
        <w:rPr>
          <w:rFonts w:hint="eastAsia"/>
        </w:rPr>
        <w:t>）</w:t>
      </w:r>
      <w:r>
        <w:t>项目投融资结构</w:t>
      </w:r>
    </w:p>
    <w:p w:rsidR="00127BDE" w:rsidRDefault="00127BDE" w:rsidP="00127BDE">
      <w:pPr>
        <w:spacing w:beforeLines="50" w:before="156"/>
        <w:ind w:firstLine="480"/>
        <w:rPr>
          <w:color w:val="000000"/>
        </w:rPr>
      </w:pPr>
      <w:r>
        <w:rPr>
          <w:color w:val="000000"/>
        </w:rPr>
        <w:t>根据《国务院关于固定资产投资项目试行资本金制度的通知》（国发</w:t>
      </w:r>
      <w:r>
        <w:rPr>
          <w:color w:val="000000"/>
        </w:rPr>
        <w:t>[1996]35</w:t>
      </w:r>
      <w:r>
        <w:rPr>
          <w:color w:val="000000"/>
        </w:rPr>
        <w:t>号）、《国务院关于调整部分行业固定资产投资项目资本金比例的通知》（国发〔</w:t>
      </w:r>
      <w:r>
        <w:rPr>
          <w:color w:val="000000"/>
        </w:rPr>
        <w:t>2004</w:t>
      </w:r>
      <w:r>
        <w:rPr>
          <w:color w:val="000000"/>
        </w:rPr>
        <w:t>〕</w:t>
      </w:r>
      <w:r>
        <w:rPr>
          <w:color w:val="000000"/>
        </w:rPr>
        <w:t>13</w:t>
      </w:r>
      <w:r>
        <w:rPr>
          <w:color w:val="000000"/>
        </w:rPr>
        <w:t>号）、《国务院关于调整固定资产投资项目资本金比例的通知》（国发〔</w:t>
      </w:r>
      <w:r>
        <w:rPr>
          <w:color w:val="000000"/>
        </w:rPr>
        <w:t>2009</w:t>
      </w:r>
      <w:r>
        <w:rPr>
          <w:color w:val="000000"/>
        </w:rPr>
        <w:t>〕</w:t>
      </w:r>
      <w:r>
        <w:rPr>
          <w:color w:val="000000"/>
        </w:rPr>
        <w:t>27</w:t>
      </w:r>
      <w:r>
        <w:rPr>
          <w:color w:val="000000"/>
        </w:rPr>
        <w:t>号）以及《国务院关于调整和完善固定资产投资项目资本金制度的通知》（国发〔</w:t>
      </w:r>
      <w:r>
        <w:rPr>
          <w:color w:val="000000"/>
        </w:rPr>
        <w:t>2015</w:t>
      </w:r>
      <w:r>
        <w:rPr>
          <w:color w:val="000000"/>
        </w:rPr>
        <w:t>〕</w:t>
      </w:r>
      <w:r>
        <w:rPr>
          <w:color w:val="000000"/>
        </w:rPr>
        <w:t>51</w:t>
      </w:r>
      <w:r>
        <w:rPr>
          <w:color w:val="000000"/>
        </w:rPr>
        <w:t>号）的相关要求，</w:t>
      </w:r>
      <w:r>
        <w:rPr>
          <w:rFonts w:hint="eastAsia"/>
          <w:color w:val="000000"/>
        </w:rPr>
        <w:t>资本金的比例</w:t>
      </w:r>
      <w:r>
        <w:rPr>
          <w:color w:val="000000"/>
        </w:rPr>
        <w:t>不小于</w:t>
      </w:r>
      <w:r>
        <w:rPr>
          <w:rFonts w:hint="eastAsia"/>
          <w:color w:val="000000"/>
        </w:rPr>
        <w:t>项目总投资</w:t>
      </w:r>
      <w:r>
        <w:rPr>
          <w:color w:val="000000"/>
        </w:rPr>
        <w:t>20%</w:t>
      </w:r>
      <w:r>
        <w:rPr>
          <w:color w:val="000000"/>
        </w:rPr>
        <w:t>，根据项目建设</w:t>
      </w:r>
      <w:r>
        <w:rPr>
          <w:rFonts w:hint="eastAsia"/>
          <w:color w:val="000000"/>
        </w:rPr>
        <w:t>进度</w:t>
      </w:r>
      <w:r>
        <w:rPr>
          <w:color w:val="000000"/>
        </w:rPr>
        <w:t>分期到账，其他资金可通过银行贷款、股东借款、基金等方式筹集。具体投融资结构如下图所示：</w:t>
      </w:r>
      <w:r>
        <w:rPr>
          <w:color w:val="000000"/>
        </w:rPr>
        <w:t xml:space="preserve"> </w:t>
      </w:r>
    </w:p>
    <w:p w:rsidR="00127BDE" w:rsidRDefault="00127BDE" w:rsidP="00127BDE">
      <w:pPr>
        <w:ind w:firstLine="480"/>
        <w:jc w:val="center"/>
        <w:rPr>
          <w:color w:val="000000"/>
        </w:rPr>
      </w:pPr>
      <w:r>
        <w:rPr>
          <w:color w:val="000000"/>
        </w:rPr>
        <w:object w:dxaOrig="8014" w:dyaOrig="3464">
          <v:shape id="_x0000_i1025" type="#_x0000_t75" style="width:400.5pt;height:173.25pt" o:ole="">
            <v:imagedata r:id="rId9" o:title=""/>
            <o:lock v:ext="edit" aspectratio="f"/>
          </v:shape>
          <o:OLEObject Type="Embed" ProgID="Visio.Drawing.11" ShapeID="_x0000_i1025" DrawAspect="Content" ObjectID="_1602572655" r:id="rId10"/>
        </w:object>
      </w:r>
      <w:r>
        <w:rPr>
          <w:color w:val="000000"/>
        </w:rPr>
        <w:t>本项目融资结构图</w:t>
      </w:r>
    </w:p>
    <w:p w:rsidR="00127BDE" w:rsidRDefault="00127BDE" w:rsidP="00127BDE">
      <w:pPr>
        <w:pStyle w:val="a6"/>
        <w:ind w:firstLine="240"/>
      </w:pPr>
    </w:p>
    <w:p w:rsidR="00127BDE" w:rsidRDefault="00127BDE" w:rsidP="00127BDE">
      <w:pPr>
        <w:pStyle w:val="5"/>
      </w:pPr>
      <w:r>
        <w:rPr>
          <w:rFonts w:hint="eastAsia"/>
        </w:rPr>
        <w:t>2</w:t>
      </w:r>
      <w:r>
        <w:rPr>
          <w:rFonts w:hint="eastAsia"/>
        </w:rPr>
        <w:t>）</w:t>
      </w:r>
      <w:r>
        <w:t>项目回报机制</w:t>
      </w:r>
    </w:p>
    <w:p w:rsidR="00127BDE" w:rsidRDefault="00127BDE" w:rsidP="00127BDE">
      <w:pPr>
        <w:ind w:firstLine="480"/>
        <w:rPr>
          <w:color w:val="000000"/>
        </w:rPr>
      </w:pPr>
      <w:r>
        <w:rPr>
          <w:color w:val="000000"/>
        </w:rPr>
        <w:t>根据</w:t>
      </w:r>
      <w:r>
        <w:rPr>
          <w:color w:val="000000"/>
          <w:szCs w:val="22"/>
        </w:rPr>
        <w:t>财政部</w:t>
      </w:r>
      <w:r>
        <w:rPr>
          <w:color w:val="000000"/>
        </w:rPr>
        <w:t>PPP</w:t>
      </w:r>
      <w:r>
        <w:rPr>
          <w:color w:val="000000"/>
        </w:rPr>
        <w:t>项目合同指南（财金〔</w:t>
      </w:r>
      <w:r>
        <w:rPr>
          <w:color w:val="000000"/>
        </w:rPr>
        <w:t>2014</w:t>
      </w:r>
      <w:r>
        <w:rPr>
          <w:color w:val="000000"/>
        </w:rPr>
        <w:t>〕</w:t>
      </w:r>
      <w:r>
        <w:rPr>
          <w:color w:val="000000"/>
        </w:rPr>
        <w:t>156</w:t>
      </w:r>
      <w:r>
        <w:rPr>
          <w:color w:val="000000"/>
        </w:rPr>
        <w:t>号），</w:t>
      </w:r>
      <w:r>
        <w:rPr>
          <w:color w:val="000000"/>
        </w:rPr>
        <w:t>PPP</w:t>
      </w:r>
      <w:r>
        <w:rPr>
          <w:color w:val="000000"/>
        </w:rPr>
        <w:t>项目常见的收益来源有：政府付费（政府购买服务）、使用者付费和可行性缺口补助。</w:t>
      </w:r>
      <w:r>
        <w:t>一般情况下，通过项目经营收入可以实现投资和合理利润回报的，采取使用者付费方式；不具有经营性，不能产生收入的，采用政府付费方式；具有一定经营收入，但又不能实现项目投资回收和合理利润回报的，采用可行性缺口补助方式。本项目属于</w:t>
      </w:r>
      <w:r>
        <w:rPr>
          <w:rFonts w:hint="eastAsia"/>
        </w:rPr>
        <w:t>收费公路</w:t>
      </w:r>
      <w:r>
        <w:t>项目，回报机制拟采用</w:t>
      </w:r>
      <w:r>
        <w:rPr>
          <w:rFonts w:hint="eastAsia"/>
        </w:rPr>
        <w:t>使用者付费的</w:t>
      </w:r>
      <w:r>
        <w:t>方式。</w:t>
      </w:r>
      <w:r>
        <w:rPr>
          <w:rFonts w:hint="eastAsia"/>
        </w:rPr>
        <w:t>通过收取道路通行费等</w:t>
      </w:r>
      <w:r>
        <w:t>，使项目公司达到预期收益</w:t>
      </w:r>
      <w:r>
        <w:rPr>
          <w:color w:val="000000"/>
        </w:rPr>
        <w:t>。本项目基本回报机制如下图所示：</w:t>
      </w:r>
    </w:p>
    <w:p w:rsidR="00127BDE" w:rsidRDefault="00127BDE" w:rsidP="00127BDE">
      <w:r>
        <w:object w:dxaOrig="8296" w:dyaOrig="1930">
          <v:shape id="_x0000_i1026" type="#_x0000_t75" style="width:414.75pt;height:96.75pt" o:ole="">
            <v:imagedata r:id="rId11" o:title=""/>
            <o:lock v:ext="edit" aspectratio="f"/>
          </v:shape>
          <o:OLEObject Type="Embed" ProgID="Visio.Drawing.11" ShapeID="_x0000_i1026" DrawAspect="Content" ObjectID="_1602572656" r:id="rId12"/>
        </w:object>
      </w:r>
    </w:p>
    <w:p w:rsidR="00127BDE" w:rsidRDefault="00127BDE" w:rsidP="00127BDE">
      <w:pPr>
        <w:spacing w:before="50"/>
        <w:ind w:firstLine="480"/>
        <w:jc w:val="center"/>
        <w:rPr>
          <w:color w:val="000000"/>
        </w:rPr>
      </w:pPr>
      <w:bookmarkStart w:id="28" w:name="_Toc23713_WPSOffice_Level3"/>
      <w:r>
        <w:rPr>
          <w:color w:val="000000"/>
        </w:rPr>
        <w:t>本项目回报机制示意图</w:t>
      </w:r>
      <w:bookmarkEnd w:id="28"/>
    </w:p>
    <w:p w:rsidR="00127BDE" w:rsidRDefault="00127BDE" w:rsidP="00127BDE">
      <w:pPr>
        <w:spacing w:beforeLines="50" w:before="156"/>
        <w:ind w:firstLine="480"/>
        <w:rPr>
          <w:color w:val="000000"/>
        </w:rPr>
      </w:pPr>
      <w:r>
        <w:rPr>
          <w:color w:val="000000"/>
        </w:rPr>
        <w:t>本项目由</w:t>
      </w:r>
      <w:r>
        <w:rPr>
          <w:rFonts w:hint="eastAsia"/>
          <w:color w:val="000000"/>
        </w:rPr>
        <w:t>许昌市</w:t>
      </w:r>
      <w:r>
        <w:rPr>
          <w:color w:val="000000"/>
        </w:rPr>
        <w:t>政府授权实施机构</w:t>
      </w:r>
      <w:r>
        <w:rPr>
          <w:rFonts w:hint="eastAsia"/>
          <w:color w:val="000000"/>
        </w:rPr>
        <w:t>许昌市公路管理局</w:t>
      </w:r>
      <w:r>
        <w:rPr>
          <w:color w:val="000000"/>
        </w:rPr>
        <w:t>与项目公司签署《</w:t>
      </w:r>
      <w:r>
        <w:rPr>
          <w:color w:val="000000"/>
        </w:rPr>
        <w:t>PPP</w:t>
      </w:r>
      <w:r>
        <w:rPr>
          <w:color w:val="000000"/>
        </w:rPr>
        <w:t>项目合同》，项目公司通过</w:t>
      </w:r>
      <w:r>
        <w:rPr>
          <w:rFonts w:hint="eastAsia"/>
          <w:color w:val="000000"/>
        </w:rPr>
        <w:t>经营收费公路获取使用者付费从而</w:t>
      </w:r>
      <w:r>
        <w:rPr>
          <w:color w:val="000000"/>
        </w:rPr>
        <w:t>实现合理的投资回报。</w:t>
      </w:r>
    </w:p>
    <w:p w:rsidR="00127BDE" w:rsidRDefault="00127BDE" w:rsidP="00127BDE">
      <w:pPr>
        <w:pStyle w:val="4"/>
      </w:pPr>
      <w:bookmarkStart w:id="29" w:name="_Toc5722_WPSOffice_Level3"/>
      <w:bookmarkStart w:id="30" w:name="_Toc9204_WPSOffice_Level3"/>
      <w:r>
        <w:rPr>
          <w:rFonts w:hint="eastAsia"/>
        </w:rPr>
        <w:t>（</w:t>
      </w:r>
      <w:r>
        <w:rPr>
          <w:rFonts w:hint="eastAsia"/>
        </w:rPr>
        <w:t>5</w:t>
      </w:r>
      <w:r>
        <w:rPr>
          <w:rFonts w:hint="eastAsia"/>
        </w:rPr>
        <w:t>）</w:t>
      </w:r>
      <w:r>
        <w:t>合同体系</w:t>
      </w:r>
      <w:bookmarkEnd w:id="29"/>
      <w:bookmarkEnd w:id="30"/>
    </w:p>
    <w:p w:rsidR="00127BDE" w:rsidRDefault="00127BDE" w:rsidP="00127BDE">
      <w:pPr>
        <w:spacing w:line="440" w:lineRule="exact"/>
        <w:ind w:firstLine="480"/>
        <w:jc w:val="left"/>
      </w:pPr>
      <w:r>
        <w:t>合同体系主要包括</w:t>
      </w:r>
      <w:r>
        <w:t>PPP</w:t>
      </w:r>
      <w:r>
        <w:t>投资合作合同、</w:t>
      </w:r>
      <w:r>
        <w:t>PPP</w:t>
      </w:r>
      <w:r>
        <w:t>项目合同、融资合同、工程承包合同、运营服务合同、原料供应合同、产品采购合同和保险合同等。</w:t>
      </w:r>
      <w:r>
        <w:t>PPP</w:t>
      </w:r>
      <w:r>
        <w:t>项目合同是其中最核心的法律文件。</w:t>
      </w:r>
    </w:p>
    <w:p w:rsidR="00127BDE" w:rsidRDefault="00127BDE" w:rsidP="00127BDE">
      <w:pPr>
        <w:spacing w:line="440" w:lineRule="exact"/>
        <w:ind w:firstLine="480"/>
        <w:jc w:val="left"/>
      </w:pPr>
      <w:r>
        <w:lastRenderedPageBreak/>
        <w:t>项目边界条件是项目合同的核心内容，主要包括权利义务、交易条件、履约保障和调整衔接等边界。</w:t>
      </w:r>
      <w:r>
        <w:t xml:space="preserve"> </w:t>
      </w:r>
    </w:p>
    <w:p w:rsidR="00127BDE" w:rsidRDefault="00127BDE" w:rsidP="00127BDE">
      <w:pPr>
        <w:spacing w:line="440" w:lineRule="exact"/>
        <w:ind w:firstLine="480"/>
        <w:jc w:val="left"/>
      </w:pPr>
      <w:r>
        <w:t>权利义务边界主要明确项目资产权属、社会资本承担的公共责任、政府支付方式和风险分配结果等。</w:t>
      </w:r>
      <w:r>
        <w:t xml:space="preserve"> </w:t>
      </w:r>
    </w:p>
    <w:p w:rsidR="00127BDE" w:rsidRDefault="00127BDE" w:rsidP="00127BDE">
      <w:pPr>
        <w:spacing w:line="440" w:lineRule="exact"/>
        <w:ind w:firstLine="480"/>
        <w:jc w:val="left"/>
      </w:pPr>
      <w:r>
        <w:t>交易条件边界主要明确项目合同期限、项目回报机制、收费定价调整机制和产出说明等。</w:t>
      </w:r>
    </w:p>
    <w:p w:rsidR="00127BDE" w:rsidRDefault="00127BDE" w:rsidP="00127BDE">
      <w:pPr>
        <w:spacing w:line="440" w:lineRule="exact"/>
        <w:ind w:firstLine="480"/>
        <w:jc w:val="left"/>
      </w:pPr>
      <w:r>
        <w:t>履约保障边界主要明确强制保险方案以及由投标竞争保函、建设履约保函、运营维护保函和移交维修保函组成的履约保函体系。</w:t>
      </w:r>
    </w:p>
    <w:p w:rsidR="00127BDE" w:rsidRDefault="00127BDE" w:rsidP="00127BDE">
      <w:pPr>
        <w:spacing w:line="440" w:lineRule="exact"/>
        <w:ind w:firstLine="480"/>
        <w:jc w:val="left"/>
      </w:pPr>
      <w:r>
        <w:t>调整衔接边界主要明确应急处置、临时接管和提前终止、合同变更、合同展期、项目新增改扩建需求等应对措施。</w:t>
      </w:r>
    </w:p>
    <w:p w:rsidR="00127BDE" w:rsidRDefault="00127BDE" w:rsidP="00127BDE">
      <w:pPr>
        <w:pStyle w:val="4"/>
      </w:pPr>
      <w:bookmarkStart w:id="31" w:name="_Toc10184_WPSOffice_Level3"/>
      <w:bookmarkStart w:id="32" w:name="_Toc13490_WPSOffice_Level3"/>
      <w:r>
        <w:rPr>
          <w:rFonts w:hint="eastAsia"/>
        </w:rPr>
        <w:t>（</w:t>
      </w:r>
      <w:r>
        <w:rPr>
          <w:rFonts w:hint="eastAsia"/>
        </w:rPr>
        <w:t>6</w:t>
      </w:r>
      <w:r>
        <w:rPr>
          <w:rFonts w:hint="eastAsia"/>
        </w:rPr>
        <w:t>）</w:t>
      </w:r>
      <w:r>
        <w:t>监管架构</w:t>
      </w:r>
      <w:bookmarkEnd w:id="31"/>
      <w:bookmarkEnd w:id="32"/>
    </w:p>
    <w:p w:rsidR="00127BDE" w:rsidRDefault="00127BDE" w:rsidP="00127BDE">
      <w:pPr>
        <w:pStyle w:val="5"/>
      </w:pPr>
      <w:bookmarkStart w:id="33" w:name="_Toc458779894"/>
      <w:bookmarkEnd w:id="33"/>
      <w:r>
        <w:rPr>
          <w:rFonts w:hint="eastAsia"/>
        </w:rPr>
        <w:t>1</w:t>
      </w:r>
      <w:r>
        <w:rPr>
          <w:rFonts w:hint="eastAsia"/>
        </w:rPr>
        <w:t>）</w:t>
      </w:r>
      <w:r>
        <w:t>授权关系</w:t>
      </w:r>
    </w:p>
    <w:p w:rsidR="00127BDE" w:rsidRDefault="00127BDE" w:rsidP="00127BDE">
      <w:pPr>
        <w:spacing w:before="156"/>
        <w:ind w:firstLine="480"/>
      </w:pPr>
      <w:bookmarkStart w:id="34" w:name="_Toc17781_WPSOffice_Level3"/>
      <w:bookmarkStart w:id="35" w:name="_Toc11156_WPSOffice_Level3"/>
      <w:bookmarkStart w:id="36" w:name="_Toc10526_WPSOffice_Level3"/>
      <w:r>
        <w:t>A.</w:t>
      </w:r>
      <w:r>
        <w:t>政府对项目实施机构的授权</w:t>
      </w:r>
      <w:bookmarkEnd w:id="34"/>
      <w:bookmarkEnd w:id="35"/>
      <w:bookmarkEnd w:id="36"/>
    </w:p>
    <w:p w:rsidR="00127BDE" w:rsidRDefault="00127BDE" w:rsidP="00127BDE">
      <w:pPr>
        <w:spacing w:before="156"/>
        <w:ind w:firstLine="480"/>
      </w:pPr>
      <w:r>
        <w:rPr>
          <w:rFonts w:hint="eastAsia"/>
        </w:rPr>
        <w:t>许昌市</w:t>
      </w:r>
      <w:r>
        <w:t>人民政府授权许昌市公路管理局</w:t>
      </w:r>
      <w:r>
        <w:rPr>
          <w:rFonts w:hint="eastAsia"/>
        </w:rPr>
        <w:t>作为</w:t>
      </w:r>
      <w:r>
        <w:t>项目实施机构具体负责牵头组织项目实施和各项主要工作的安排，包括但不限于组织项目的立项审批、项目</w:t>
      </w:r>
      <w:r>
        <w:t>PPP</w:t>
      </w:r>
      <w:r>
        <w:t>运作实施方案编制、社会资本采购、项目执行阶段和移交阶段对公共服务和资产管理的考核监管工作。</w:t>
      </w:r>
    </w:p>
    <w:p w:rsidR="00127BDE" w:rsidRDefault="00127BDE" w:rsidP="00127BDE">
      <w:pPr>
        <w:spacing w:before="156"/>
        <w:ind w:firstLine="480"/>
      </w:pPr>
      <w:bookmarkStart w:id="37" w:name="_Toc29667_WPSOffice_Level3"/>
      <w:bookmarkStart w:id="38" w:name="_Toc14429_WPSOffice_Level3"/>
      <w:bookmarkStart w:id="39" w:name="_Toc24629_WPSOffice_Level3"/>
      <w:r>
        <w:t>B.</w:t>
      </w:r>
      <w:r>
        <w:t>政府直接或通过项目实施机构对社会资本的授权</w:t>
      </w:r>
      <w:bookmarkEnd w:id="37"/>
      <w:bookmarkEnd w:id="38"/>
      <w:bookmarkEnd w:id="39"/>
    </w:p>
    <w:p w:rsidR="00127BDE" w:rsidRDefault="00127BDE" w:rsidP="00127BDE">
      <w:pPr>
        <w:spacing w:before="50" w:after="50"/>
        <w:ind w:firstLine="480"/>
        <w:rPr>
          <w:color w:val="000000"/>
        </w:rPr>
      </w:pPr>
      <w:r>
        <w:rPr>
          <w:color w:val="000000"/>
        </w:rPr>
        <w:t>根据财金</w:t>
      </w:r>
      <w:r>
        <w:rPr>
          <w:color w:val="000000"/>
        </w:rPr>
        <w:t>[2014]156</w:t>
      </w:r>
      <w:r>
        <w:rPr>
          <w:color w:val="000000"/>
        </w:rPr>
        <w:t>号文附件</w:t>
      </w:r>
      <w:r>
        <w:rPr>
          <w:color w:val="000000"/>
        </w:rPr>
        <w:t>PPP</w:t>
      </w:r>
      <w:r>
        <w:rPr>
          <w:color w:val="000000"/>
        </w:rPr>
        <w:t>合同指南（试行），根据职权分类要求，经</w:t>
      </w:r>
      <w:r>
        <w:rPr>
          <w:rFonts w:hint="eastAsia"/>
          <w:color w:val="000000"/>
        </w:rPr>
        <w:t>许昌市</w:t>
      </w:r>
      <w:r>
        <w:rPr>
          <w:color w:val="000000"/>
        </w:rPr>
        <w:t>人民政府授权，项目实施机构授予项目公司经营权，由项目公司负责本项目的投资、建设、运营维护和期满移交等工作。</w:t>
      </w:r>
    </w:p>
    <w:tbl>
      <w:tblPr>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6379"/>
      </w:tblGrid>
      <w:tr w:rsidR="00127BDE" w:rsidTr="00C12E55">
        <w:trPr>
          <w:trHeight w:val="414"/>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127BDE" w:rsidRDefault="00127BDE" w:rsidP="00C12E55">
            <w:pPr>
              <w:jc w:val="center"/>
              <w:rPr>
                <w:b/>
                <w:color w:val="000000"/>
              </w:rPr>
            </w:pPr>
            <w:r>
              <w:rPr>
                <w:b/>
                <w:color w:val="000000"/>
              </w:rPr>
              <w:t>项目参与主体</w:t>
            </w:r>
          </w:p>
        </w:tc>
        <w:tc>
          <w:tcPr>
            <w:tcW w:w="6379" w:type="dxa"/>
            <w:tcBorders>
              <w:top w:val="single" w:sz="4" w:space="0" w:color="000000"/>
              <w:left w:val="single" w:sz="4" w:space="0" w:color="000000"/>
              <w:bottom w:val="single" w:sz="4" w:space="0" w:color="000000"/>
              <w:right w:val="single" w:sz="4" w:space="0" w:color="000000"/>
            </w:tcBorders>
            <w:vAlign w:val="center"/>
          </w:tcPr>
          <w:p w:rsidR="00127BDE" w:rsidRDefault="00127BDE" w:rsidP="00C12E55">
            <w:pPr>
              <w:jc w:val="center"/>
              <w:rPr>
                <w:b/>
                <w:color w:val="000000"/>
              </w:rPr>
            </w:pPr>
            <w:r>
              <w:rPr>
                <w:b/>
                <w:color w:val="000000"/>
              </w:rPr>
              <w:t>主体职能</w:t>
            </w:r>
          </w:p>
        </w:tc>
      </w:tr>
      <w:tr w:rsidR="00127BDE" w:rsidTr="00C12E55">
        <w:trPr>
          <w:trHeight w:val="414"/>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127BDE" w:rsidRDefault="00127BDE" w:rsidP="00C12E55">
            <w:pPr>
              <w:jc w:val="center"/>
              <w:rPr>
                <w:color w:val="000000"/>
              </w:rPr>
            </w:pPr>
            <w:r>
              <w:rPr>
                <w:rFonts w:hint="eastAsia"/>
                <w:color w:val="000000"/>
              </w:rPr>
              <w:t>许昌市</w:t>
            </w:r>
            <w:r>
              <w:rPr>
                <w:color w:val="000000"/>
              </w:rPr>
              <w:t>人民政府及授权部门</w:t>
            </w:r>
          </w:p>
        </w:tc>
        <w:tc>
          <w:tcPr>
            <w:tcW w:w="6379" w:type="dxa"/>
            <w:tcBorders>
              <w:top w:val="single" w:sz="4" w:space="0" w:color="000000"/>
              <w:left w:val="single" w:sz="4" w:space="0" w:color="000000"/>
              <w:bottom w:val="single" w:sz="4" w:space="0" w:color="000000"/>
              <w:right w:val="single" w:sz="4" w:space="0" w:color="000000"/>
            </w:tcBorders>
            <w:vAlign w:val="center"/>
          </w:tcPr>
          <w:p w:rsidR="00127BDE" w:rsidRDefault="00127BDE" w:rsidP="00127BDE">
            <w:pPr>
              <w:numPr>
                <w:ilvl w:val="0"/>
                <w:numId w:val="2"/>
              </w:numPr>
              <w:spacing w:line="360" w:lineRule="auto"/>
              <w:ind w:left="0" w:firstLine="0"/>
              <w:rPr>
                <w:color w:val="000000"/>
              </w:rPr>
            </w:pPr>
            <w:r>
              <w:rPr>
                <w:color w:val="000000"/>
              </w:rPr>
              <w:t>PPP</w:t>
            </w:r>
            <w:r>
              <w:rPr>
                <w:color w:val="000000"/>
              </w:rPr>
              <w:t>合作授权主体，授予项目公司（</w:t>
            </w:r>
            <w:r>
              <w:rPr>
                <w:color w:val="000000"/>
              </w:rPr>
              <w:t>SPV</w:t>
            </w:r>
            <w:r>
              <w:rPr>
                <w:color w:val="000000"/>
              </w:rPr>
              <w:t>）经营权；</w:t>
            </w:r>
          </w:p>
          <w:p w:rsidR="00127BDE" w:rsidRDefault="00127BDE" w:rsidP="00127BDE">
            <w:pPr>
              <w:numPr>
                <w:ilvl w:val="0"/>
                <w:numId w:val="2"/>
              </w:numPr>
              <w:spacing w:line="360" w:lineRule="auto"/>
              <w:ind w:left="0" w:firstLine="0"/>
              <w:rPr>
                <w:color w:val="000000"/>
              </w:rPr>
            </w:pPr>
            <w:r>
              <w:rPr>
                <w:color w:val="000000"/>
              </w:rPr>
              <w:t>项目公司（</w:t>
            </w:r>
            <w:r>
              <w:rPr>
                <w:color w:val="000000"/>
              </w:rPr>
              <w:t>SPV</w:t>
            </w:r>
            <w:r>
              <w:rPr>
                <w:color w:val="000000"/>
              </w:rPr>
              <w:t>）建设与运营服务的管理监督方之一；</w:t>
            </w:r>
          </w:p>
          <w:p w:rsidR="00127BDE" w:rsidRDefault="00127BDE" w:rsidP="00127BDE">
            <w:pPr>
              <w:numPr>
                <w:ilvl w:val="0"/>
                <w:numId w:val="2"/>
              </w:numPr>
              <w:spacing w:line="360" w:lineRule="auto"/>
              <w:ind w:left="0" w:firstLine="0"/>
              <w:rPr>
                <w:color w:val="000000"/>
              </w:rPr>
            </w:pPr>
            <w:r>
              <w:rPr>
                <w:color w:val="000000"/>
              </w:rPr>
              <w:t>本项目</w:t>
            </w:r>
            <w:r>
              <w:rPr>
                <w:color w:val="000000"/>
              </w:rPr>
              <w:t>PPP</w:t>
            </w:r>
            <w:r>
              <w:rPr>
                <w:color w:val="000000"/>
              </w:rPr>
              <w:t>项目协议签署方之一；</w:t>
            </w:r>
          </w:p>
        </w:tc>
      </w:tr>
      <w:tr w:rsidR="00127BDE" w:rsidTr="00C12E55">
        <w:trPr>
          <w:trHeight w:val="414"/>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127BDE" w:rsidRDefault="00127BDE" w:rsidP="00C12E55">
            <w:pPr>
              <w:jc w:val="center"/>
              <w:rPr>
                <w:color w:val="000000"/>
              </w:rPr>
            </w:pPr>
            <w:r>
              <w:rPr>
                <w:color w:val="000000"/>
              </w:rPr>
              <w:t>政府方</w:t>
            </w:r>
          </w:p>
          <w:p w:rsidR="00127BDE" w:rsidRDefault="00127BDE" w:rsidP="00C12E55">
            <w:pPr>
              <w:jc w:val="center"/>
              <w:rPr>
                <w:color w:val="000000"/>
              </w:rPr>
            </w:pPr>
            <w:r>
              <w:rPr>
                <w:color w:val="000000"/>
              </w:rPr>
              <w:t>出资代表</w:t>
            </w:r>
          </w:p>
          <w:p w:rsidR="00127BDE" w:rsidRDefault="00127BDE" w:rsidP="00C12E55">
            <w:pPr>
              <w:jc w:val="center"/>
              <w:rPr>
                <w:color w:val="000000"/>
              </w:rPr>
            </w:pPr>
            <w:r>
              <w:rPr>
                <w:rFonts w:hint="eastAsia"/>
                <w:color w:val="000000"/>
              </w:rPr>
              <w:t>（如有）</w:t>
            </w:r>
          </w:p>
        </w:tc>
        <w:tc>
          <w:tcPr>
            <w:tcW w:w="6379" w:type="dxa"/>
            <w:tcBorders>
              <w:top w:val="single" w:sz="4" w:space="0" w:color="000000"/>
              <w:left w:val="single" w:sz="4" w:space="0" w:color="000000"/>
              <w:bottom w:val="single" w:sz="4" w:space="0" w:color="000000"/>
              <w:right w:val="single" w:sz="4" w:space="0" w:color="000000"/>
            </w:tcBorders>
            <w:vAlign w:val="center"/>
          </w:tcPr>
          <w:p w:rsidR="00127BDE" w:rsidRDefault="00127BDE" w:rsidP="00127BDE">
            <w:pPr>
              <w:numPr>
                <w:ilvl w:val="0"/>
                <w:numId w:val="2"/>
              </w:numPr>
              <w:spacing w:line="360" w:lineRule="auto"/>
              <w:ind w:left="0" w:firstLine="0"/>
              <w:rPr>
                <w:color w:val="000000"/>
              </w:rPr>
            </w:pPr>
            <w:r>
              <w:rPr>
                <w:color w:val="000000"/>
              </w:rPr>
              <w:t>参股项目公司（</w:t>
            </w:r>
            <w:r>
              <w:rPr>
                <w:color w:val="000000"/>
              </w:rPr>
              <w:t>SPV</w:t>
            </w:r>
            <w:r>
              <w:rPr>
                <w:color w:val="000000"/>
              </w:rPr>
              <w:t>），履行出资义务；</w:t>
            </w:r>
          </w:p>
          <w:p w:rsidR="00127BDE" w:rsidRDefault="00127BDE" w:rsidP="00127BDE">
            <w:pPr>
              <w:numPr>
                <w:ilvl w:val="0"/>
                <w:numId w:val="2"/>
              </w:numPr>
              <w:spacing w:line="360" w:lineRule="auto"/>
              <w:ind w:left="0" w:firstLine="0"/>
              <w:rPr>
                <w:color w:val="000000"/>
              </w:rPr>
            </w:pPr>
            <w:r>
              <w:rPr>
                <w:color w:val="000000"/>
              </w:rPr>
              <w:t>负责项目建设、运营、管理全过程以及期满之后的移交；</w:t>
            </w:r>
          </w:p>
          <w:p w:rsidR="00127BDE" w:rsidRDefault="00127BDE" w:rsidP="00127BDE">
            <w:pPr>
              <w:numPr>
                <w:ilvl w:val="0"/>
                <w:numId w:val="2"/>
              </w:numPr>
              <w:spacing w:line="360" w:lineRule="auto"/>
              <w:ind w:left="0" w:firstLine="0"/>
              <w:rPr>
                <w:color w:val="000000"/>
              </w:rPr>
            </w:pPr>
            <w:r>
              <w:rPr>
                <w:color w:val="000000"/>
              </w:rPr>
              <w:t>本项目</w:t>
            </w:r>
            <w:r>
              <w:rPr>
                <w:color w:val="000000"/>
              </w:rPr>
              <w:t>PPP</w:t>
            </w:r>
            <w:r>
              <w:rPr>
                <w:color w:val="000000"/>
              </w:rPr>
              <w:t>项目协议签署方之一；</w:t>
            </w:r>
          </w:p>
        </w:tc>
      </w:tr>
      <w:tr w:rsidR="00127BDE" w:rsidTr="00C12E55">
        <w:trPr>
          <w:trHeight w:val="414"/>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127BDE" w:rsidRDefault="00127BDE" w:rsidP="00C12E55">
            <w:pPr>
              <w:jc w:val="center"/>
              <w:rPr>
                <w:color w:val="000000"/>
              </w:rPr>
            </w:pPr>
            <w:r>
              <w:rPr>
                <w:color w:val="000000"/>
              </w:rPr>
              <w:t>社会资本</w:t>
            </w:r>
          </w:p>
        </w:tc>
        <w:tc>
          <w:tcPr>
            <w:tcW w:w="6379" w:type="dxa"/>
            <w:tcBorders>
              <w:top w:val="single" w:sz="4" w:space="0" w:color="000000"/>
              <w:left w:val="single" w:sz="4" w:space="0" w:color="000000"/>
              <w:bottom w:val="single" w:sz="4" w:space="0" w:color="000000"/>
              <w:right w:val="single" w:sz="4" w:space="0" w:color="000000"/>
            </w:tcBorders>
            <w:vAlign w:val="center"/>
          </w:tcPr>
          <w:p w:rsidR="00127BDE" w:rsidRDefault="00127BDE" w:rsidP="00127BDE">
            <w:pPr>
              <w:numPr>
                <w:ilvl w:val="0"/>
                <w:numId w:val="2"/>
              </w:numPr>
              <w:spacing w:line="360" w:lineRule="auto"/>
              <w:ind w:left="0" w:firstLine="0"/>
              <w:rPr>
                <w:color w:val="000000"/>
              </w:rPr>
            </w:pPr>
            <w:r>
              <w:rPr>
                <w:color w:val="000000"/>
              </w:rPr>
              <w:t>履行控股项目公司（</w:t>
            </w:r>
            <w:r>
              <w:rPr>
                <w:color w:val="000000"/>
              </w:rPr>
              <w:t>SPV</w:t>
            </w:r>
            <w:r>
              <w:rPr>
                <w:color w:val="000000"/>
              </w:rPr>
              <w:t>）出资义务主体；</w:t>
            </w:r>
          </w:p>
          <w:p w:rsidR="00127BDE" w:rsidRDefault="00127BDE" w:rsidP="00127BDE">
            <w:pPr>
              <w:numPr>
                <w:ilvl w:val="0"/>
                <w:numId w:val="2"/>
              </w:numPr>
              <w:spacing w:line="360" w:lineRule="auto"/>
              <w:ind w:left="0" w:firstLine="0"/>
              <w:rPr>
                <w:color w:val="000000"/>
              </w:rPr>
            </w:pPr>
            <w:r>
              <w:rPr>
                <w:color w:val="000000"/>
              </w:rPr>
              <w:t>负责项目建设、运营、管理全过程以及期满之后的移交；</w:t>
            </w:r>
          </w:p>
          <w:p w:rsidR="00127BDE" w:rsidRDefault="00127BDE" w:rsidP="00127BDE">
            <w:pPr>
              <w:numPr>
                <w:ilvl w:val="0"/>
                <w:numId w:val="2"/>
              </w:numPr>
              <w:spacing w:line="360" w:lineRule="auto"/>
              <w:ind w:left="0" w:firstLine="0"/>
              <w:rPr>
                <w:color w:val="000000"/>
              </w:rPr>
            </w:pPr>
            <w:r>
              <w:rPr>
                <w:color w:val="000000"/>
              </w:rPr>
              <w:lastRenderedPageBreak/>
              <w:t>接受</w:t>
            </w:r>
            <w:r>
              <w:rPr>
                <w:rFonts w:hint="eastAsia"/>
                <w:color w:val="000000"/>
              </w:rPr>
              <w:t>许昌市</w:t>
            </w:r>
            <w:r>
              <w:rPr>
                <w:color w:val="000000"/>
              </w:rPr>
              <w:t>人民政府及相关部门的监督与管理。</w:t>
            </w:r>
          </w:p>
        </w:tc>
      </w:tr>
    </w:tbl>
    <w:p w:rsidR="00127BDE" w:rsidRDefault="00127BDE" w:rsidP="00127BDE">
      <w:pPr>
        <w:spacing w:beforeLines="50" w:before="156"/>
        <w:ind w:firstLine="480"/>
      </w:pPr>
      <w:r>
        <w:lastRenderedPageBreak/>
        <w:t xml:space="preserve"> </w:t>
      </w:r>
    </w:p>
    <w:p w:rsidR="00127BDE" w:rsidRDefault="00127BDE" w:rsidP="00127BDE">
      <w:pPr>
        <w:pStyle w:val="5"/>
      </w:pPr>
      <w:bookmarkStart w:id="40" w:name="_Toc458779895"/>
      <w:bookmarkStart w:id="41" w:name="_Toc430729987"/>
      <w:bookmarkStart w:id="42" w:name="_Toc434322181"/>
      <w:bookmarkEnd w:id="40"/>
      <w:bookmarkEnd w:id="41"/>
      <w:r>
        <w:rPr>
          <w:rFonts w:hint="eastAsia"/>
        </w:rPr>
        <w:t>2</w:t>
      </w:r>
      <w:r>
        <w:rPr>
          <w:rFonts w:hint="eastAsia"/>
        </w:rPr>
        <w:t>）</w:t>
      </w:r>
      <w:r>
        <w:t>监管体系</w:t>
      </w:r>
    </w:p>
    <w:p w:rsidR="00127BDE" w:rsidRDefault="00127BDE" w:rsidP="00127BDE">
      <w:pPr>
        <w:spacing w:before="50" w:after="50"/>
        <w:ind w:firstLine="480"/>
        <w:rPr>
          <w:color w:val="000000"/>
        </w:rPr>
      </w:pPr>
      <w:r>
        <w:rPr>
          <w:color w:val="000000"/>
        </w:rPr>
        <w:t>本项目的监管体系主要由项目实施机构对本项目的履约管理、相关行政主管部门对本项目的行政监管以及社会公众对本项目的公众监督三部分构成，以此形成全方位的监管合力，确保公共利益得到充分保障。</w:t>
      </w:r>
      <w:r>
        <w:rPr>
          <w:color w:val="000000"/>
        </w:rPr>
        <w:t xml:space="preserve"> </w:t>
      </w:r>
    </w:p>
    <w:p w:rsidR="00127BDE" w:rsidRDefault="00127BDE" w:rsidP="00127BDE">
      <w:pPr>
        <w:pStyle w:val="5"/>
      </w:pPr>
      <w:r>
        <w:rPr>
          <w:rFonts w:hint="eastAsia"/>
        </w:rPr>
        <w:t>3</w:t>
      </w:r>
      <w:r>
        <w:rPr>
          <w:rFonts w:hint="eastAsia"/>
        </w:rPr>
        <w:t>）</w:t>
      </w:r>
      <w:r>
        <w:t>监管方式</w:t>
      </w:r>
      <w:bookmarkEnd w:id="42"/>
      <w:r>
        <w:t xml:space="preserve"> </w:t>
      </w:r>
    </w:p>
    <w:p w:rsidR="00127BDE" w:rsidRDefault="00127BDE" w:rsidP="00127BDE">
      <w:pPr>
        <w:spacing w:before="156"/>
        <w:ind w:firstLine="480"/>
        <w:rPr>
          <w:color w:val="000000"/>
        </w:rPr>
      </w:pPr>
      <w:r>
        <w:rPr>
          <w:color w:val="000000"/>
        </w:rPr>
        <w:t>本项目实施机构或政府指定的其他行政主管部门对项目公司在经营期限内的合同履行情况进行监督管理，定期对项目公司经营情况进行评估和考核。</w:t>
      </w:r>
    </w:p>
    <w:p w:rsidR="00127BDE" w:rsidRDefault="00127BDE" w:rsidP="00127BDE">
      <w:pPr>
        <w:ind w:firstLine="480"/>
      </w:pPr>
      <w:bookmarkStart w:id="43" w:name="_Toc31806_WPSOffice_Level3"/>
      <w:bookmarkStart w:id="44" w:name="_Toc27653_WPSOffice_Level3"/>
      <w:bookmarkStart w:id="45" w:name="_Toc25994_WPSOffice_Level3"/>
      <w:r>
        <w:rPr>
          <w:rFonts w:hint="eastAsia"/>
        </w:rPr>
        <w:t>C</w:t>
      </w:r>
      <w:r>
        <w:t>.</w:t>
      </w:r>
      <w:r>
        <w:t>履约管理</w:t>
      </w:r>
      <w:bookmarkEnd w:id="43"/>
      <w:bookmarkEnd w:id="44"/>
      <w:bookmarkEnd w:id="45"/>
    </w:p>
    <w:p w:rsidR="00127BDE" w:rsidRDefault="00127BDE" w:rsidP="00127BDE">
      <w:pPr>
        <w:ind w:firstLine="480"/>
        <w:rPr>
          <w:color w:val="000000"/>
        </w:rPr>
      </w:pPr>
      <w:r>
        <w:rPr>
          <w:color w:val="000000"/>
        </w:rPr>
        <w:t>a.</w:t>
      </w:r>
      <w:r>
        <w:rPr>
          <w:color w:val="000000"/>
        </w:rPr>
        <w:t>建设施工</w:t>
      </w:r>
    </w:p>
    <w:p w:rsidR="00127BDE" w:rsidRDefault="00127BDE" w:rsidP="00127BDE">
      <w:pPr>
        <w:ind w:firstLine="480"/>
        <w:rPr>
          <w:color w:val="000000"/>
        </w:rPr>
      </w:pPr>
      <w:r>
        <w:rPr>
          <w:color w:val="000000"/>
        </w:rPr>
        <w:t>本项目社会资本应具备与本项目建设施工相匹配的施工资质，社会资本采购时，拟通过一次招标的方式选择具备相应施工资质的社会资本，由项目公司与具备相应施工总承包资质、能力及经验的社会资本（即中标社会资本）直接签署工程总承包合同，无需再进行施工二次招标。</w:t>
      </w:r>
    </w:p>
    <w:p w:rsidR="00127BDE" w:rsidRDefault="00127BDE" w:rsidP="00127BDE">
      <w:pPr>
        <w:ind w:firstLine="480"/>
        <w:rPr>
          <w:color w:val="000000"/>
        </w:rPr>
      </w:pPr>
      <w:r>
        <w:rPr>
          <w:color w:val="000000"/>
        </w:rPr>
        <w:t>b.</w:t>
      </w:r>
      <w:r>
        <w:rPr>
          <w:color w:val="000000"/>
        </w:rPr>
        <w:t>建设管理</w:t>
      </w:r>
    </w:p>
    <w:p w:rsidR="00127BDE" w:rsidRDefault="00127BDE" w:rsidP="00127BDE">
      <w:pPr>
        <w:adjustRightInd w:val="0"/>
        <w:snapToGrid w:val="0"/>
        <w:ind w:firstLine="480"/>
        <w:rPr>
          <w:color w:val="000000"/>
        </w:rPr>
      </w:pPr>
      <w:r>
        <w:rPr>
          <w:color w:val="000000"/>
        </w:rPr>
        <w:t>本项目由项目公司主要负责项目建设管理工作，项目工程监理单位由项目实施机构招标选择并委托，项目公司承担相关建设管理费用。</w:t>
      </w:r>
    </w:p>
    <w:p w:rsidR="00127BDE" w:rsidRDefault="00127BDE" w:rsidP="00127BDE">
      <w:pPr>
        <w:adjustRightInd w:val="0"/>
        <w:snapToGrid w:val="0"/>
        <w:ind w:firstLine="480"/>
        <w:rPr>
          <w:color w:val="000000"/>
        </w:rPr>
      </w:pPr>
      <w:r>
        <w:rPr>
          <w:color w:val="000000"/>
        </w:rPr>
        <w:t>本项目由</w:t>
      </w:r>
      <w:r>
        <w:rPr>
          <w:rFonts w:hint="eastAsia"/>
          <w:color w:val="000000"/>
        </w:rPr>
        <w:t>许昌市</w:t>
      </w:r>
      <w:r>
        <w:rPr>
          <w:color w:val="000000"/>
        </w:rPr>
        <w:t>审计局负责或委托具有相应资质的单位负责项目的全过程跟踪审计。</w:t>
      </w:r>
    </w:p>
    <w:p w:rsidR="00127BDE" w:rsidRDefault="00127BDE" w:rsidP="00127BDE">
      <w:pPr>
        <w:adjustRightInd w:val="0"/>
        <w:snapToGrid w:val="0"/>
        <w:ind w:firstLine="480"/>
        <w:rPr>
          <w:color w:val="000000"/>
        </w:rPr>
      </w:pPr>
      <w:r>
        <w:rPr>
          <w:color w:val="000000"/>
        </w:rPr>
        <w:t>本项目监理费用由项目公司在监理单位招标完成后</w:t>
      </w:r>
      <w:r>
        <w:rPr>
          <w:rFonts w:hint="eastAsia"/>
          <w:color w:val="000000"/>
        </w:rPr>
        <w:t>按照合同约定期限及</w:t>
      </w:r>
      <w:r>
        <w:rPr>
          <w:color w:val="000000"/>
        </w:rPr>
        <w:t>中标价格支付给项目实施机构，监理服务价格确定后由项目公司和项目实施机构按照多退少补的原则结算，并纳入项目公司项目投资成本。</w:t>
      </w:r>
    </w:p>
    <w:p w:rsidR="00127BDE" w:rsidRDefault="00127BDE" w:rsidP="00127BDE">
      <w:pPr>
        <w:ind w:firstLine="480"/>
        <w:rPr>
          <w:color w:val="000000"/>
        </w:rPr>
      </w:pPr>
      <w:r>
        <w:rPr>
          <w:color w:val="000000"/>
        </w:rPr>
        <w:t>c.</w:t>
      </w:r>
      <w:r>
        <w:rPr>
          <w:color w:val="000000"/>
        </w:rPr>
        <w:t>资金和财务监管</w:t>
      </w:r>
    </w:p>
    <w:p w:rsidR="00127BDE" w:rsidRDefault="00127BDE" w:rsidP="00127BDE">
      <w:pPr>
        <w:adjustRightInd w:val="0"/>
        <w:snapToGrid w:val="0"/>
        <w:ind w:firstLine="480"/>
        <w:rPr>
          <w:color w:val="000000"/>
        </w:rPr>
      </w:pPr>
      <w:r>
        <w:rPr>
          <w:color w:val="000000"/>
        </w:rPr>
        <w:t>为保障本项目建设资金及时到位以保证满足项目建设进度要求，本项目实施机构应对项目公司的资金筹集和使用情况进行严格的监管；同时，为保证项目公司的财务稳定和收益合理，项目实施机构应对项目公司的财务状况进行监管。</w:t>
      </w:r>
    </w:p>
    <w:p w:rsidR="00127BDE" w:rsidRDefault="00127BDE" w:rsidP="00127BDE">
      <w:pPr>
        <w:adjustRightInd w:val="0"/>
        <w:snapToGrid w:val="0"/>
        <w:ind w:firstLine="480"/>
        <w:rPr>
          <w:color w:val="000000"/>
        </w:rPr>
      </w:pPr>
      <w:r>
        <w:rPr>
          <w:color w:val="000000"/>
        </w:rPr>
        <w:t>社会资本应按采购文件的要求和投标文件的承诺及时将资本金出资到账，并向实施机构提交相关证明文件。</w:t>
      </w:r>
    </w:p>
    <w:p w:rsidR="00127BDE" w:rsidRDefault="00127BDE" w:rsidP="00127BDE">
      <w:pPr>
        <w:adjustRightInd w:val="0"/>
        <w:snapToGrid w:val="0"/>
        <w:ind w:firstLine="480"/>
        <w:rPr>
          <w:color w:val="000000"/>
        </w:rPr>
      </w:pPr>
      <w:r>
        <w:rPr>
          <w:color w:val="000000"/>
        </w:rPr>
        <w:t>项目公司应按</w:t>
      </w:r>
      <w:r>
        <w:rPr>
          <w:color w:val="000000"/>
        </w:rPr>
        <w:t>PPP</w:t>
      </w:r>
      <w:r>
        <w:rPr>
          <w:color w:val="000000"/>
        </w:rPr>
        <w:t>项目合同的要求及时完成融资交割，并向实施机构提交相关证明文件。</w:t>
      </w:r>
    </w:p>
    <w:p w:rsidR="00127BDE" w:rsidRDefault="00127BDE" w:rsidP="00127BDE">
      <w:pPr>
        <w:adjustRightInd w:val="0"/>
        <w:snapToGrid w:val="0"/>
        <w:ind w:firstLine="480"/>
        <w:rPr>
          <w:color w:val="000000"/>
        </w:rPr>
      </w:pPr>
      <w:r>
        <w:rPr>
          <w:color w:val="000000"/>
        </w:rPr>
        <w:t>项目公司应根据实际建设和融资情况及时更新项目投融资计划，严格按照施工合同进度付款，并按期将项目投融资计划、资金账户的融资和支出情况向实施机构汇报。</w:t>
      </w:r>
    </w:p>
    <w:p w:rsidR="00127BDE" w:rsidRDefault="00127BDE" w:rsidP="00127BDE">
      <w:pPr>
        <w:ind w:firstLine="480"/>
        <w:rPr>
          <w:color w:val="000000"/>
        </w:rPr>
      </w:pPr>
      <w:r>
        <w:rPr>
          <w:color w:val="000000"/>
        </w:rPr>
        <w:t>项目实施机构项目公司共同依法委托会计师事务所对项目公司进行年度财务审计，审计费用由项目公司承担，审计应在年度结束后的四个月内完成，项目公司应在审计完成后的十个工作日内向项目实施机构提交经注册会计师审核签字的审计报告。</w:t>
      </w:r>
    </w:p>
    <w:p w:rsidR="00127BDE" w:rsidRDefault="00127BDE" w:rsidP="00127BDE">
      <w:pPr>
        <w:ind w:firstLine="480"/>
        <w:rPr>
          <w:color w:val="000000"/>
        </w:rPr>
      </w:pPr>
      <w:r>
        <w:rPr>
          <w:color w:val="000000"/>
        </w:rPr>
        <w:lastRenderedPageBreak/>
        <w:t>d.</w:t>
      </w:r>
      <w:r>
        <w:rPr>
          <w:color w:val="000000"/>
        </w:rPr>
        <w:t>绩效考核</w:t>
      </w:r>
    </w:p>
    <w:p w:rsidR="00127BDE" w:rsidRDefault="00127BDE" w:rsidP="00127BDE">
      <w:pPr>
        <w:ind w:firstLine="480"/>
        <w:rPr>
          <w:color w:val="000000"/>
        </w:rPr>
      </w:pPr>
      <w:r>
        <w:rPr>
          <w:color w:val="000000"/>
        </w:rPr>
        <w:t>为了监督项目公司的运营管理工作，检验项目公司的运营管理效果和效率，本项目应建立绩效考核体系，考核分为年度综合考核和日常分项抽样考核。政府方或实施机构应当制定项目运营绩效考核管理办法，内容包括绩效考核的流程和评分标准等。</w:t>
      </w:r>
    </w:p>
    <w:p w:rsidR="00127BDE" w:rsidRDefault="00127BDE" w:rsidP="00127BDE">
      <w:pPr>
        <w:ind w:firstLine="480"/>
        <w:rPr>
          <w:color w:val="000000"/>
        </w:rPr>
      </w:pPr>
      <w:r>
        <w:rPr>
          <w:color w:val="000000"/>
        </w:rPr>
        <w:t>e.</w:t>
      </w:r>
      <w:r>
        <w:rPr>
          <w:color w:val="000000"/>
        </w:rPr>
        <w:t>股东管理</w:t>
      </w:r>
    </w:p>
    <w:p w:rsidR="00127BDE" w:rsidRDefault="00127BDE" w:rsidP="00127BDE">
      <w:pPr>
        <w:ind w:firstLine="480"/>
        <w:rPr>
          <w:color w:val="000000"/>
        </w:rPr>
      </w:pPr>
      <w:r>
        <w:rPr>
          <w:color w:val="000000"/>
        </w:rPr>
        <w:t>项目公司以下决策和行为需要全体股东同意才可生效或实施，具体内容在公司章程中约定：</w:t>
      </w:r>
    </w:p>
    <w:p w:rsidR="00127BDE" w:rsidRDefault="00127BDE" w:rsidP="00127BDE">
      <w:pPr>
        <w:numPr>
          <w:ilvl w:val="0"/>
          <w:numId w:val="1"/>
        </w:numPr>
        <w:spacing w:line="360" w:lineRule="auto"/>
        <w:ind w:firstLineChars="200" w:firstLine="480"/>
      </w:pPr>
      <w:r>
        <w:t>选举和更换董事，决定有关董事的报酬事项；</w:t>
      </w:r>
    </w:p>
    <w:p w:rsidR="00127BDE" w:rsidRDefault="00127BDE" w:rsidP="00127BDE">
      <w:pPr>
        <w:numPr>
          <w:ilvl w:val="0"/>
          <w:numId w:val="1"/>
        </w:numPr>
        <w:spacing w:line="360" w:lineRule="auto"/>
        <w:ind w:firstLineChars="200" w:firstLine="480"/>
      </w:pPr>
      <w:r>
        <w:t>审议批准公司的年度财务预算方案、决算方案；</w:t>
      </w:r>
    </w:p>
    <w:p w:rsidR="00127BDE" w:rsidRDefault="00127BDE" w:rsidP="00127BDE">
      <w:pPr>
        <w:numPr>
          <w:ilvl w:val="0"/>
          <w:numId w:val="1"/>
        </w:numPr>
        <w:spacing w:line="360" w:lineRule="auto"/>
        <w:ind w:firstLineChars="200" w:firstLine="480"/>
      </w:pPr>
      <w:r>
        <w:t>审议批准公司的利润分配方案和弥补亏损方案；</w:t>
      </w:r>
    </w:p>
    <w:p w:rsidR="00127BDE" w:rsidRDefault="00127BDE" w:rsidP="00127BDE">
      <w:pPr>
        <w:numPr>
          <w:ilvl w:val="0"/>
          <w:numId w:val="1"/>
        </w:numPr>
        <w:spacing w:line="360" w:lineRule="auto"/>
        <w:ind w:firstLineChars="200" w:firstLine="480"/>
      </w:pPr>
      <w:r>
        <w:t>对公司增加或者减少注册资本作出决议；</w:t>
      </w:r>
    </w:p>
    <w:p w:rsidR="00127BDE" w:rsidRDefault="00127BDE" w:rsidP="00127BDE">
      <w:pPr>
        <w:numPr>
          <w:ilvl w:val="0"/>
          <w:numId w:val="1"/>
        </w:numPr>
        <w:spacing w:line="360" w:lineRule="auto"/>
        <w:ind w:firstLineChars="200" w:firstLine="480"/>
      </w:pPr>
      <w:r>
        <w:t>对股东向股东以外的人转让出资作出决议；</w:t>
      </w:r>
    </w:p>
    <w:p w:rsidR="00127BDE" w:rsidRDefault="00127BDE" w:rsidP="00127BDE">
      <w:pPr>
        <w:numPr>
          <w:ilvl w:val="0"/>
          <w:numId w:val="1"/>
        </w:numPr>
        <w:spacing w:line="360" w:lineRule="auto"/>
        <w:ind w:firstLineChars="200" w:firstLine="480"/>
      </w:pPr>
      <w:r>
        <w:t>对公司合并、分立、变更形式、解散和清算等事项作出决议；</w:t>
      </w:r>
    </w:p>
    <w:p w:rsidR="00127BDE" w:rsidRDefault="00127BDE" w:rsidP="00127BDE">
      <w:pPr>
        <w:numPr>
          <w:ilvl w:val="0"/>
          <w:numId w:val="1"/>
        </w:numPr>
        <w:spacing w:line="360" w:lineRule="auto"/>
        <w:ind w:firstLineChars="200" w:firstLine="480"/>
      </w:pPr>
      <w:r>
        <w:t>制定和修改公司章程；</w:t>
      </w:r>
    </w:p>
    <w:p w:rsidR="00127BDE" w:rsidRDefault="00127BDE" w:rsidP="00127BDE">
      <w:pPr>
        <w:numPr>
          <w:ilvl w:val="0"/>
          <w:numId w:val="1"/>
        </w:numPr>
        <w:spacing w:line="360" w:lineRule="auto"/>
        <w:ind w:firstLineChars="200" w:firstLine="480"/>
      </w:pPr>
      <w:r>
        <w:t>决定公司的融资限额及负债规模、对外重大担保事宜。</w:t>
      </w:r>
    </w:p>
    <w:p w:rsidR="00127BDE" w:rsidRDefault="00127BDE" w:rsidP="00127BDE">
      <w:pPr>
        <w:ind w:firstLine="480"/>
        <w:rPr>
          <w:color w:val="000000"/>
        </w:rPr>
      </w:pPr>
      <w:r>
        <w:rPr>
          <w:color w:val="000000"/>
        </w:rPr>
        <w:t>政府方股东对公司增加或减少注册资本、分立、合并、解散或者变更公司形式及修改公司合同的决议享有一票否决权；</w:t>
      </w:r>
    </w:p>
    <w:p w:rsidR="00127BDE" w:rsidRDefault="00127BDE" w:rsidP="00127BDE">
      <w:pPr>
        <w:ind w:firstLine="480"/>
        <w:rPr>
          <w:color w:val="000000"/>
        </w:rPr>
      </w:pPr>
      <w:r>
        <w:rPr>
          <w:rFonts w:hint="eastAsia"/>
          <w:color w:val="000000"/>
        </w:rPr>
        <w:t>e.</w:t>
      </w:r>
      <w:r>
        <w:rPr>
          <w:rFonts w:hint="eastAsia"/>
          <w:color w:val="000000"/>
        </w:rPr>
        <w:t>董事会</w:t>
      </w:r>
    </w:p>
    <w:p w:rsidR="00127BDE" w:rsidRDefault="00127BDE" w:rsidP="00127BDE">
      <w:pPr>
        <w:ind w:firstLine="480"/>
        <w:rPr>
          <w:color w:val="000000"/>
        </w:rPr>
      </w:pPr>
      <w:r>
        <w:rPr>
          <w:color w:val="000000"/>
        </w:rPr>
        <w:t>项目公司董事任期三年，由股东会推选和更换。董事会会议实行一人一票的表决制度，以下决议事项需经全体董事表决同意通过后生效：</w:t>
      </w:r>
    </w:p>
    <w:p w:rsidR="00127BDE" w:rsidRDefault="00127BDE" w:rsidP="00127BDE">
      <w:pPr>
        <w:numPr>
          <w:ilvl w:val="0"/>
          <w:numId w:val="1"/>
        </w:numPr>
        <w:spacing w:line="360" w:lineRule="auto"/>
        <w:ind w:firstLineChars="200" w:firstLine="480"/>
      </w:pPr>
      <w:r>
        <w:t>制订增加或者减少注册资本方案；</w:t>
      </w:r>
    </w:p>
    <w:p w:rsidR="00127BDE" w:rsidRDefault="00127BDE" w:rsidP="00127BDE">
      <w:pPr>
        <w:numPr>
          <w:ilvl w:val="0"/>
          <w:numId w:val="1"/>
        </w:numPr>
        <w:spacing w:line="360" w:lineRule="auto"/>
        <w:ind w:firstLineChars="200" w:firstLine="480"/>
      </w:pPr>
      <w:r>
        <w:t>拟定公司合并、分立、变更公司组织形式、解散方案；</w:t>
      </w:r>
    </w:p>
    <w:p w:rsidR="00127BDE" w:rsidRDefault="00127BDE" w:rsidP="00127BDE">
      <w:pPr>
        <w:numPr>
          <w:ilvl w:val="0"/>
          <w:numId w:val="1"/>
        </w:numPr>
        <w:spacing w:line="360" w:lineRule="auto"/>
        <w:ind w:firstLineChars="200" w:firstLine="480"/>
      </w:pPr>
      <w:r>
        <w:t>审议批准与公司股东发生的关联交易和资金往来；</w:t>
      </w:r>
      <w:r>
        <w:t xml:space="preserve"> </w:t>
      </w:r>
    </w:p>
    <w:p w:rsidR="00127BDE" w:rsidRDefault="00127BDE" w:rsidP="00127BDE">
      <w:pPr>
        <w:numPr>
          <w:ilvl w:val="0"/>
          <w:numId w:val="1"/>
        </w:numPr>
        <w:spacing w:line="360" w:lineRule="auto"/>
        <w:ind w:firstLineChars="200" w:firstLine="480"/>
      </w:pPr>
      <w:r>
        <w:t>项目公司共管账户资金的支付与使用。</w:t>
      </w:r>
    </w:p>
    <w:p w:rsidR="00127BDE" w:rsidRDefault="00127BDE" w:rsidP="00127BDE">
      <w:pPr>
        <w:ind w:firstLine="480"/>
        <w:rPr>
          <w:color w:val="000000"/>
        </w:rPr>
      </w:pPr>
      <w:r>
        <w:rPr>
          <w:color w:val="000000"/>
        </w:rPr>
        <w:t>政府方董事对影响公共利益或公共安全的事项享有一票否决权。</w:t>
      </w:r>
    </w:p>
    <w:p w:rsidR="00127BDE" w:rsidRDefault="00127BDE" w:rsidP="00127BDE">
      <w:pPr>
        <w:ind w:firstLine="480"/>
        <w:rPr>
          <w:color w:val="000000"/>
        </w:rPr>
      </w:pPr>
      <w:r>
        <w:rPr>
          <w:color w:val="000000"/>
        </w:rPr>
        <w:t xml:space="preserve">  f.</w:t>
      </w:r>
      <w:r>
        <w:rPr>
          <w:color w:val="000000"/>
        </w:rPr>
        <w:t>中期评估</w:t>
      </w:r>
    </w:p>
    <w:p w:rsidR="00127BDE" w:rsidRDefault="00127BDE" w:rsidP="00127BDE">
      <w:pPr>
        <w:ind w:firstLine="480"/>
        <w:rPr>
          <w:color w:val="000000"/>
        </w:rPr>
      </w:pPr>
      <w:r>
        <w:rPr>
          <w:color w:val="000000"/>
        </w:rPr>
        <w:t>为确保本项目长期稳定运营，政府方应定期对项目开展中期评估，及时发现项目当前面临的问题，帮助政府全面掌握项目各阶段的运行状况，发现监管工作的漏洞和不足，有针对性地调整监管工作范围和工作重点，切实提高监管工作效率和效果。</w:t>
      </w:r>
    </w:p>
    <w:p w:rsidR="00127BDE" w:rsidRDefault="00127BDE" w:rsidP="00127BDE">
      <w:pPr>
        <w:ind w:firstLine="480"/>
        <w:rPr>
          <w:color w:val="000000"/>
        </w:rPr>
      </w:pPr>
      <w:r>
        <w:rPr>
          <w:color w:val="000000"/>
        </w:rPr>
        <w:t>项目实施机构应组织相关专家或委托第三方专业机构，每</w:t>
      </w:r>
      <w:r>
        <w:rPr>
          <w:color w:val="000000"/>
        </w:rPr>
        <w:t>3</w:t>
      </w:r>
      <w:r>
        <w:rPr>
          <w:color w:val="000000"/>
        </w:rPr>
        <w:t>年对项目运营进行中期评估，客观评价项目公司的服务质量和运营效率，重点分析项目运行状况和项目合同的合规性、适应性和合理性以及项目合同的执行情况。通过中期评估及时评估已发现问题的风险，制定应对措施。中期评估内容建议如下：</w:t>
      </w:r>
    </w:p>
    <w:p w:rsidR="00127BDE" w:rsidRDefault="00127BDE" w:rsidP="00127BDE">
      <w:pPr>
        <w:numPr>
          <w:ilvl w:val="0"/>
          <w:numId w:val="1"/>
        </w:numPr>
        <w:spacing w:line="360" w:lineRule="auto"/>
        <w:ind w:firstLineChars="200" w:firstLine="480"/>
      </w:pPr>
      <w:r>
        <w:t>PPP</w:t>
      </w:r>
      <w:r>
        <w:t>项目合同等法律协议的遵守情况；</w:t>
      </w:r>
    </w:p>
    <w:p w:rsidR="00127BDE" w:rsidRDefault="00127BDE" w:rsidP="00127BDE">
      <w:pPr>
        <w:numPr>
          <w:ilvl w:val="0"/>
          <w:numId w:val="1"/>
        </w:numPr>
        <w:spacing w:line="360" w:lineRule="auto"/>
        <w:ind w:firstLineChars="200" w:firstLine="480"/>
      </w:pPr>
      <w:r>
        <w:t>项目的建设是否依据规定的基本建设程序和规划要求执行；</w:t>
      </w:r>
    </w:p>
    <w:p w:rsidR="00127BDE" w:rsidRDefault="00127BDE" w:rsidP="00127BDE">
      <w:pPr>
        <w:numPr>
          <w:ilvl w:val="0"/>
          <w:numId w:val="1"/>
        </w:numPr>
        <w:spacing w:line="360" w:lineRule="auto"/>
        <w:ind w:firstLineChars="200" w:firstLine="480"/>
      </w:pPr>
      <w:r>
        <w:lastRenderedPageBreak/>
        <w:t>项目的发展和投资是否满足城市功能的需求；</w:t>
      </w:r>
      <w:r>
        <w:t xml:space="preserve"> </w:t>
      </w:r>
    </w:p>
    <w:p w:rsidR="00127BDE" w:rsidRDefault="00127BDE" w:rsidP="00127BDE">
      <w:pPr>
        <w:numPr>
          <w:ilvl w:val="0"/>
          <w:numId w:val="1"/>
        </w:numPr>
        <w:spacing w:line="360" w:lineRule="auto"/>
        <w:ind w:firstLineChars="200" w:firstLine="480"/>
      </w:pPr>
      <w:r>
        <w:t>提供的产品和服务是否满足各类标准和规范的要求；</w:t>
      </w:r>
      <w:r>
        <w:t xml:space="preserve"> </w:t>
      </w:r>
    </w:p>
    <w:p w:rsidR="00127BDE" w:rsidRDefault="00127BDE" w:rsidP="00127BDE">
      <w:pPr>
        <w:numPr>
          <w:ilvl w:val="0"/>
          <w:numId w:val="1"/>
        </w:numPr>
        <w:spacing w:line="360" w:lineRule="auto"/>
        <w:ind w:firstLineChars="200" w:firstLine="480"/>
      </w:pPr>
      <w:r>
        <w:t>项目服务质量和用户投诉处理情况；</w:t>
      </w:r>
      <w:r>
        <w:t xml:space="preserve"> </w:t>
      </w:r>
    </w:p>
    <w:p w:rsidR="00127BDE" w:rsidRDefault="00127BDE" w:rsidP="00127BDE">
      <w:pPr>
        <w:numPr>
          <w:ilvl w:val="0"/>
          <w:numId w:val="1"/>
        </w:numPr>
        <w:spacing w:line="360" w:lineRule="auto"/>
        <w:ind w:firstLineChars="200" w:firstLine="480"/>
      </w:pPr>
      <w:r>
        <w:t>应急预案的制定、执行情况；</w:t>
      </w:r>
      <w:r>
        <w:t xml:space="preserve"> </w:t>
      </w:r>
    </w:p>
    <w:p w:rsidR="00127BDE" w:rsidRDefault="00127BDE" w:rsidP="00127BDE">
      <w:pPr>
        <w:numPr>
          <w:ilvl w:val="0"/>
          <w:numId w:val="1"/>
        </w:numPr>
        <w:spacing w:line="360" w:lineRule="auto"/>
        <w:ind w:firstLineChars="200" w:firstLine="480"/>
      </w:pPr>
      <w:r>
        <w:t>成本、价格的控制和执行情况；</w:t>
      </w:r>
      <w:r>
        <w:t xml:space="preserve"> </w:t>
      </w:r>
    </w:p>
    <w:p w:rsidR="00127BDE" w:rsidRDefault="00127BDE" w:rsidP="00127BDE">
      <w:pPr>
        <w:numPr>
          <w:ilvl w:val="0"/>
          <w:numId w:val="1"/>
        </w:numPr>
        <w:spacing w:line="360" w:lineRule="auto"/>
        <w:ind w:firstLineChars="200" w:firstLine="480"/>
      </w:pPr>
      <w:r>
        <w:t>重要设备、设施的完好情况；</w:t>
      </w:r>
      <w:r>
        <w:t xml:space="preserve"> </w:t>
      </w:r>
    </w:p>
    <w:p w:rsidR="00127BDE" w:rsidRDefault="00127BDE" w:rsidP="00127BDE">
      <w:pPr>
        <w:numPr>
          <w:ilvl w:val="0"/>
          <w:numId w:val="1"/>
        </w:numPr>
        <w:spacing w:line="360" w:lineRule="auto"/>
        <w:ind w:firstLineChars="200" w:firstLine="480"/>
      </w:pPr>
      <w:r>
        <w:t>安全运营和安全管理情况；</w:t>
      </w:r>
    </w:p>
    <w:p w:rsidR="00127BDE" w:rsidRDefault="00127BDE" w:rsidP="00127BDE">
      <w:pPr>
        <w:numPr>
          <w:ilvl w:val="0"/>
          <w:numId w:val="1"/>
        </w:numPr>
        <w:spacing w:line="360" w:lineRule="auto"/>
        <w:ind w:firstLineChars="200" w:firstLine="480"/>
      </w:pPr>
      <w:r>
        <w:t>社会公益性义务的执行情况；</w:t>
      </w:r>
    </w:p>
    <w:p w:rsidR="00127BDE" w:rsidRDefault="00127BDE" w:rsidP="00127BDE">
      <w:pPr>
        <w:numPr>
          <w:ilvl w:val="0"/>
          <w:numId w:val="1"/>
        </w:numPr>
        <w:spacing w:line="360" w:lineRule="auto"/>
        <w:ind w:firstLineChars="200" w:firstLine="480"/>
      </w:pPr>
      <w:r>
        <w:t>项目实施机构认为需要评估的其他事项。</w:t>
      </w:r>
    </w:p>
    <w:p w:rsidR="00127BDE" w:rsidRDefault="00127BDE" w:rsidP="00127BDE">
      <w:pPr>
        <w:pStyle w:val="4"/>
      </w:pPr>
      <w:r>
        <w:rPr>
          <w:rFonts w:hint="eastAsia"/>
        </w:rPr>
        <w:t>（</w:t>
      </w:r>
      <w:r>
        <w:rPr>
          <w:rFonts w:hint="eastAsia"/>
        </w:rPr>
        <w:t>7</w:t>
      </w:r>
      <w:r>
        <w:rPr>
          <w:rFonts w:hint="eastAsia"/>
        </w:rPr>
        <w:t>）</w:t>
      </w:r>
      <w:r>
        <w:t>采购方式选择</w:t>
      </w:r>
    </w:p>
    <w:p w:rsidR="00127BDE" w:rsidRDefault="00127BDE" w:rsidP="00127BDE">
      <w:pPr>
        <w:spacing w:beforeLines="50" w:before="156"/>
        <w:ind w:firstLine="480"/>
        <w:rPr>
          <w:color w:val="000000"/>
        </w:rPr>
      </w:pPr>
      <w:r>
        <w:t>项目采购应根据《中华人民共和国政府采购法》及相关规章制度执行，采购方式包括公开招标、竞争性谈判、邀请招标、竞争性磋商和单一来源采购。项目实施机构应根据项目采购需求特点，依法选择适当采购方式。公开招标主要适用于核心边界条件和技术经济参数明确、完整、符合国家法律法规和政府采购政策，且采购中不作更改的项目。</w:t>
      </w:r>
      <w:r>
        <w:rPr>
          <w:color w:val="000000"/>
        </w:rPr>
        <w:t>本项目宜选择公开招标的方式进行社会资本采购。</w:t>
      </w:r>
    </w:p>
    <w:p w:rsidR="00127BDE" w:rsidRDefault="00127BDE" w:rsidP="00127BDE">
      <w:pPr>
        <w:pStyle w:val="4"/>
      </w:pPr>
      <w:r>
        <w:rPr>
          <w:rFonts w:hint="eastAsia"/>
        </w:rPr>
        <w:t>（</w:t>
      </w:r>
      <w:r>
        <w:rPr>
          <w:rFonts w:hint="eastAsia"/>
        </w:rPr>
        <w:t>8</w:t>
      </w:r>
      <w:r>
        <w:rPr>
          <w:rFonts w:hint="eastAsia"/>
        </w:rPr>
        <w:t>）</w:t>
      </w:r>
      <w:r>
        <w:t>财务测算</w:t>
      </w:r>
    </w:p>
    <w:p w:rsidR="00127BDE" w:rsidRDefault="00127BDE" w:rsidP="00127BDE">
      <w:pPr>
        <w:spacing w:line="440" w:lineRule="exact"/>
        <w:ind w:firstLine="480"/>
        <w:jc w:val="left"/>
      </w:pPr>
      <w:r>
        <w:t>财务测算以相关</w:t>
      </w:r>
      <w:r>
        <w:t>PPP</w:t>
      </w:r>
      <w:r>
        <w:t>项目的调研资料及合理假设为基础，评估项目的经济状况，确定合理的</w:t>
      </w:r>
      <w:r>
        <w:rPr>
          <w:rFonts w:hint="eastAsia"/>
        </w:rPr>
        <w:t>项目收费机制</w:t>
      </w:r>
      <w:r>
        <w:t>，优化本项目的风险分配机制，以便于政府决策。</w:t>
      </w:r>
    </w:p>
    <w:p w:rsidR="00127BDE" w:rsidRDefault="00127BDE" w:rsidP="00127BDE">
      <w:pPr>
        <w:pStyle w:val="3"/>
      </w:pPr>
      <w:bookmarkStart w:id="46" w:name="_Toc10379_WPSOffice_Level2"/>
      <w:bookmarkStart w:id="47" w:name="_Toc11437_WPSOffice_Level2"/>
      <w:bookmarkStart w:id="48" w:name="_Toc528575838"/>
      <w:r>
        <w:rPr>
          <w:rFonts w:hint="eastAsia"/>
        </w:rPr>
        <w:t>3.</w:t>
      </w:r>
      <w:r>
        <w:t>物有所值评价报告编制</w:t>
      </w:r>
      <w:bookmarkEnd w:id="46"/>
      <w:bookmarkEnd w:id="47"/>
      <w:bookmarkEnd w:id="48"/>
    </w:p>
    <w:p w:rsidR="00127BDE" w:rsidRDefault="00127BDE" w:rsidP="00127BDE">
      <w:pPr>
        <w:pStyle w:val="4"/>
      </w:pPr>
      <w:bookmarkStart w:id="49" w:name="_Toc20296_WPSOffice_Level3"/>
      <w:bookmarkStart w:id="50" w:name="_Toc18591_WPSOffice_Level3"/>
      <w:r>
        <w:rPr>
          <w:rFonts w:hint="eastAsia"/>
        </w:rPr>
        <w:t>（</w:t>
      </w:r>
      <w:r>
        <w:rPr>
          <w:rFonts w:hint="eastAsia"/>
        </w:rPr>
        <w:t>1</w:t>
      </w:r>
      <w:r>
        <w:rPr>
          <w:rFonts w:hint="eastAsia"/>
        </w:rPr>
        <w:t>）</w:t>
      </w:r>
      <w:r>
        <w:t>物有所值评价工作的开展</w:t>
      </w:r>
      <w:bookmarkEnd w:id="49"/>
      <w:bookmarkEnd w:id="50"/>
    </w:p>
    <w:p w:rsidR="00127BDE" w:rsidRDefault="00127BDE" w:rsidP="00127BDE">
      <w:pPr>
        <w:spacing w:line="440" w:lineRule="exact"/>
        <w:ind w:firstLine="480"/>
        <w:jc w:val="left"/>
      </w:pPr>
      <w:r>
        <w:t>根据财金</w:t>
      </w:r>
      <w:r>
        <w:t>[2014]113</w:t>
      </w:r>
      <w:r>
        <w:t>号文《财政部关于印发政府和社会资本合作模式操作指南（试行）的通知》和财金</w:t>
      </w:r>
      <w:r>
        <w:t>[2015]167</w:t>
      </w:r>
      <w:r>
        <w:t>号《</w:t>
      </w:r>
      <w:r>
        <w:t>PPP</w:t>
      </w:r>
      <w:r>
        <w:t>物有所值评价指引（试行）》规定，中华人民共和国境内拟采用</w:t>
      </w:r>
      <w:r>
        <w:t>PPP</w:t>
      </w:r>
      <w:r>
        <w:t>模式实施的项目，应在项目识别或准备阶段开展物有所值评价。</w:t>
      </w:r>
    </w:p>
    <w:p w:rsidR="00127BDE" w:rsidRDefault="00127BDE" w:rsidP="00127BDE">
      <w:pPr>
        <w:spacing w:line="440" w:lineRule="exact"/>
        <w:ind w:firstLine="480"/>
        <w:jc w:val="left"/>
      </w:pPr>
      <w:r>
        <w:t>物有所值（</w:t>
      </w:r>
      <w:r>
        <w:t>Value for Money</w:t>
      </w:r>
      <w:r>
        <w:t>，</w:t>
      </w:r>
      <w:r>
        <w:t xml:space="preserve"> VfM</w:t>
      </w:r>
      <w:r>
        <w:t>）评价是判断是否采用</w:t>
      </w:r>
      <w:r>
        <w:t>PPP</w:t>
      </w:r>
      <w:r>
        <w:t>模式代替政</w:t>
      </w:r>
      <w:r>
        <w:lastRenderedPageBreak/>
        <w:t>府传统投资运营方式提供公共服务项目的一种评价方法。中华人民共和国境内拟采用</w:t>
      </w:r>
      <w:r>
        <w:t>PPP</w:t>
      </w:r>
      <w:r>
        <w:t>模式实施的项目，应在项目识别或准备阶段开展物有所值评价。财政部门（或</w:t>
      </w:r>
      <w:r>
        <w:t>PPP</w:t>
      </w:r>
      <w:r>
        <w:t>中心）应会同行业主管部门共同做好物有所值评价工作，并积极利用第三方专业机构和专家力量。</w:t>
      </w:r>
    </w:p>
    <w:p w:rsidR="00127BDE" w:rsidRDefault="00127BDE" w:rsidP="00127BDE">
      <w:pPr>
        <w:spacing w:line="440" w:lineRule="exact"/>
        <w:ind w:firstLine="480"/>
        <w:jc w:val="left"/>
      </w:pPr>
      <w:r>
        <w:t>物有所值评价包括定性评价和定量评价</w:t>
      </w:r>
      <w:r>
        <w:rPr>
          <w:rFonts w:hint="eastAsia"/>
        </w:rPr>
        <w:t>，我国</w:t>
      </w:r>
      <w:r>
        <w:t>现阶段以定性评价为主，鼓励开展定量评价</w:t>
      </w:r>
      <w:r>
        <w:rPr>
          <w:rFonts w:hint="eastAsia"/>
        </w:rPr>
        <w:t>。本项目采用定性与定量相结合的评价方法。</w:t>
      </w:r>
      <w:r>
        <w:t>定量评价可作为项目全生命周期内风险分配、成本测算和数据收集的重要手段，以及项目决策和绩效评价的参考依据。应统筹定性评价和定量评价结论，做出物有所值评价结论。物有所值评价结论分为</w:t>
      </w:r>
      <w:r>
        <w:t>“</w:t>
      </w:r>
      <w:r>
        <w:t>通过</w:t>
      </w:r>
      <w:r>
        <w:t>”</w:t>
      </w:r>
      <w:r>
        <w:t>和</w:t>
      </w:r>
      <w:r>
        <w:t>“</w:t>
      </w:r>
      <w:r>
        <w:t>未通过</w:t>
      </w:r>
      <w:r>
        <w:t>”</w:t>
      </w:r>
      <w:r>
        <w:t>。</w:t>
      </w:r>
      <w:r>
        <w:t>“</w:t>
      </w:r>
      <w:r>
        <w:t>通过</w:t>
      </w:r>
      <w:r>
        <w:t>”</w:t>
      </w:r>
      <w:r>
        <w:t>的项目，可进行财政承受能力论证；</w:t>
      </w:r>
      <w:r>
        <w:t>“</w:t>
      </w:r>
      <w:r>
        <w:t>未通过</w:t>
      </w:r>
      <w:r>
        <w:t>”</w:t>
      </w:r>
      <w:r>
        <w:t>的项目，可在调整实施方案后重新评价，仍未通过的不宜采用</w:t>
      </w:r>
      <w:r>
        <w:t>PPP</w:t>
      </w:r>
      <w:r>
        <w:t>模式。定量评价是在假定采用</w:t>
      </w:r>
      <w:r>
        <w:t>PPP</w:t>
      </w:r>
      <w:r>
        <w:t>模式与政府传统投资方式产出绩效相同的前提下，通过对</w:t>
      </w:r>
      <w:r>
        <w:t>PPP</w:t>
      </w:r>
      <w:r>
        <w:t>项目全生命周期内政府方净成本的现值（</w:t>
      </w:r>
      <w:r>
        <w:t>PPP</w:t>
      </w:r>
      <w:r>
        <w:t>值）与公共部门比较值（</w:t>
      </w:r>
      <w:r>
        <w:t>PSC</w:t>
      </w:r>
      <w:r>
        <w:t>值）进行比较，判断</w:t>
      </w:r>
      <w:r>
        <w:t>PPP</w:t>
      </w:r>
      <w:r>
        <w:t>模式能否降低项目全生命周期成本。</w:t>
      </w:r>
    </w:p>
    <w:p w:rsidR="00127BDE" w:rsidRDefault="00127BDE" w:rsidP="00127BDE">
      <w:pPr>
        <w:pStyle w:val="4"/>
      </w:pPr>
      <w:bookmarkStart w:id="51" w:name="_Toc31555_WPSOffice_Level3"/>
      <w:bookmarkStart w:id="52" w:name="_Toc30065_WPSOffice_Level3"/>
      <w:r>
        <w:rPr>
          <w:rFonts w:hint="eastAsia"/>
        </w:rPr>
        <w:t>（</w:t>
      </w:r>
      <w:r>
        <w:rPr>
          <w:rFonts w:hint="eastAsia"/>
        </w:rPr>
        <w:t>2</w:t>
      </w:r>
      <w:r>
        <w:rPr>
          <w:rFonts w:hint="eastAsia"/>
        </w:rPr>
        <w:t>）</w:t>
      </w:r>
      <w:r>
        <w:t>评价工作准备</w:t>
      </w:r>
      <w:bookmarkEnd w:id="51"/>
      <w:bookmarkEnd w:id="52"/>
    </w:p>
    <w:p w:rsidR="00127BDE" w:rsidRDefault="00127BDE" w:rsidP="00127BDE">
      <w:pPr>
        <w:spacing w:line="440" w:lineRule="exact"/>
        <w:ind w:firstLine="480"/>
        <w:jc w:val="left"/>
      </w:pPr>
      <w:r>
        <w:t>物有所值评价资料主要包括：实施方案、项目产出说明、风险识别和分配情况、（预）可行性研究报告、设计文件等。</w:t>
      </w:r>
    </w:p>
    <w:p w:rsidR="00127BDE" w:rsidRDefault="00127BDE" w:rsidP="00127BDE">
      <w:pPr>
        <w:spacing w:line="440" w:lineRule="exact"/>
        <w:ind w:firstLine="480"/>
        <w:jc w:val="left"/>
      </w:pPr>
      <w:r>
        <w:t>开展物有所值评价时，项目本级财政部门（或</w:t>
      </w:r>
      <w:r>
        <w:t>PPP</w:t>
      </w:r>
      <w:r>
        <w:t>中心）应会同行业主管部门，明确是否开展定量评价，并明确定性评价程序、指标及其权重、评分标准等基本要求。开展物有所值定量评价时，项目本级财政部门（或</w:t>
      </w:r>
      <w:r>
        <w:t>PPP</w:t>
      </w:r>
      <w:r>
        <w:t>中心）应会同行业主管部门，明确定量评价内容、测算指标和方法，以及定量评价结论是否作为采用</w:t>
      </w:r>
      <w:r>
        <w:t>PPP</w:t>
      </w:r>
      <w:r>
        <w:t>模式的决策依据。</w:t>
      </w:r>
    </w:p>
    <w:p w:rsidR="00127BDE" w:rsidRDefault="00127BDE" w:rsidP="00127BDE">
      <w:pPr>
        <w:pStyle w:val="4"/>
      </w:pPr>
      <w:bookmarkStart w:id="53" w:name="_Toc29499_WPSOffice_Level3"/>
      <w:bookmarkStart w:id="54" w:name="_Toc943_WPSOffice_Level3"/>
      <w:r>
        <w:rPr>
          <w:rFonts w:hint="eastAsia"/>
        </w:rPr>
        <w:t>（</w:t>
      </w:r>
      <w:r>
        <w:rPr>
          <w:rFonts w:hint="eastAsia"/>
        </w:rPr>
        <w:t>3</w:t>
      </w:r>
      <w:r>
        <w:rPr>
          <w:rFonts w:hint="eastAsia"/>
        </w:rPr>
        <w:t>）</w:t>
      </w:r>
      <w:r>
        <w:t>定性评价</w:t>
      </w:r>
      <w:bookmarkEnd w:id="53"/>
      <w:bookmarkEnd w:id="54"/>
    </w:p>
    <w:p w:rsidR="00127BDE" w:rsidRDefault="00127BDE" w:rsidP="00127BDE">
      <w:pPr>
        <w:pStyle w:val="5"/>
      </w:pPr>
      <w:r>
        <w:rPr>
          <w:rFonts w:hint="eastAsia"/>
        </w:rPr>
        <w:t>1</w:t>
      </w:r>
      <w:r>
        <w:rPr>
          <w:rFonts w:hint="eastAsia"/>
        </w:rPr>
        <w:t>）</w:t>
      </w:r>
      <w:r>
        <w:t>指标设定</w:t>
      </w:r>
    </w:p>
    <w:p w:rsidR="00127BDE" w:rsidRDefault="00127BDE" w:rsidP="00127BDE">
      <w:pPr>
        <w:spacing w:line="440" w:lineRule="exact"/>
        <w:ind w:firstLine="480"/>
        <w:jc w:val="left"/>
      </w:pPr>
      <w:r>
        <w:t>定性评价指标包括全生命周期整合程度、风险识别与分配、绩效导向与鼓励创新、潜在竞争程度、政府机构能力、可融资性等六项基本评价指标。项目本级财政部门（或</w:t>
      </w:r>
      <w:r>
        <w:t>PPP</w:t>
      </w:r>
      <w:r>
        <w:t>中心）会同行业主管部门，可根据具体情况设置补充评</w:t>
      </w:r>
      <w:r>
        <w:lastRenderedPageBreak/>
        <w:t>价指标。补充评价指标主要是六项基本评价指标未涵盖的其他影响因素，包括项目规模大小、预期使用寿命长短、主要固定资产种类、全生命周期成本测算准确性、运营收入增长潜力、行业示范性等。</w:t>
      </w:r>
    </w:p>
    <w:p w:rsidR="00127BDE" w:rsidRDefault="00127BDE" w:rsidP="00127BDE">
      <w:pPr>
        <w:pStyle w:val="5"/>
      </w:pPr>
      <w:r>
        <w:rPr>
          <w:rFonts w:hint="eastAsia"/>
        </w:rPr>
        <w:t>2</w:t>
      </w:r>
      <w:r>
        <w:rPr>
          <w:rFonts w:hint="eastAsia"/>
        </w:rPr>
        <w:t>）</w:t>
      </w:r>
      <w:r>
        <w:t>定性指标的评分</w:t>
      </w:r>
    </w:p>
    <w:p w:rsidR="00127BDE" w:rsidRDefault="00127BDE" w:rsidP="00127BDE">
      <w:pPr>
        <w:spacing w:line="440" w:lineRule="exact"/>
        <w:ind w:firstLine="480"/>
        <w:jc w:val="left"/>
      </w:pPr>
      <w:r>
        <w:t>在各项评价指标中，六项基本评价指标权重为</w:t>
      </w:r>
      <w:r>
        <w:t>80%</w:t>
      </w:r>
      <w:r>
        <w:t>，其中任一指标权重一般不超过</w:t>
      </w:r>
      <w:r>
        <w:t>20%</w:t>
      </w:r>
      <w:r>
        <w:t>；补充评价指标权重为</w:t>
      </w:r>
      <w:r>
        <w:t>20%</w:t>
      </w:r>
      <w:r>
        <w:t>，其中任一指标权重一般不超过</w:t>
      </w:r>
      <w:r>
        <w:t>10%</w:t>
      </w:r>
      <w:r>
        <w:t>。</w:t>
      </w:r>
    </w:p>
    <w:p w:rsidR="00127BDE" w:rsidRDefault="00127BDE" w:rsidP="00127BDE">
      <w:pPr>
        <w:spacing w:line="440" w:lineRule="exact"/>
        <w:ind w:firstLine="480"/>
        <w:jc w:val="left"/>
      </w:pPr>
      <w:r>
        <w:t>每项指标评分分为五个等级，即有利、较有利、一般、较不利、不利，对应分值分别为</w:t>
      </w:r>
      <w:r>
        <w:t>100~81</w:t>
      </w:r>
      <w:r>
        <w:t>、</w:t>
      </w:r>
      <w:r>
        <w:t>80~61</w:t>
      </w:r>
      <w:r>
        <w:t>、</w:t>
      </w:r>
      <w:r>
        <w:t>60~41</w:t>
      </w:r>
      <w:r>
        <w:t>、</w:t>
      </w:r>
      <w:r>
        <w:t>40~21</w:t>
      </w:r>
      <w:r>
        <w:t>、</w:t>
      </w:r>
      <w:r>
        <w:t>20~0</w:t>
      </w:r>
      <w:r>
        <w:t>分。项目本级财政部门（或</w:t>
      </w:r>
      <w:r>
        <w:t>PPP</w:t>
      </w:r>
      <w:r>
        <w:t>中心）会同行业主管部门，按照评分等级对每项指标制定清晰准确的评分标准。</w:t>
      </w:r>
    </w:p>
    <w:p w:rsidR="00127BDE" w:rsidRDefault="00127BDE" w:rsidP="00127BDE">
      <w:pPr>
        <w:spacing w:line="440" w:lineRule="exact"/>
        <w:ind w:firstLine="480"/>
        <w:jc w:val="left"/>
      </w:pPr>
      <w:r>
        <w:t>定性评价专家组包括财政、资产评估、会计、金融等经济方面专家，以及行业、工程技术、项目管理和法律方面专家等。</w:t>
      </w:r>
    </w:p>
    <w:p w:rsidR="00127BDE" w:rsidRDefault="00127BDE" w:rsidP="00127BDE">
      <w:pPr>
        <w:spacing w:line="440" w:lineRule="exact"/>
        <w:ind w:firstLine="480"/>
        <w:jc w:val="left"/>
      </w:pPr>
      <w:r>
        <w:t>项目本级财政部门（或</w:t>
      </w:r>
      <w:r>
        <w:t>PPP</w:t>
      </w:r>
      <w:r>
        <w:t>中心）会同行业主管部门根据专家组意见，做出定性评价结论。原则上，评分结果在</w:t>
      </w:r>
      <w:r>
        <w:t>60</w:t>
      </w:r>
      <w:r>
        <w:t>分（含）以上的，通过定性评价；否则，未通过定性评价。</w:t>
      </w:r>
    </w:p>
    <w:p w:rsidR="00127BDE" w:rsidRDefault="00127BDE" w:rsidP="00127BDE">
      <w:pPr>
        <w:pStyle w:val="4"/>
      </w:pPr>
      <w:bookmarkStart w:id="55" w:name="_Toc23634_WPSOffice_Level3"/>
      <w:bookmarkStart w:id="56" w:name="_Toc6590_WPSOffice_Level3"/>
      <w:r>
        <w:rPr>
          <w:rFonts w:hint="eastAsia"/>
        </w:rPr>
        <w:t>（</w:t>
      </w:r>
      <w:r>
        <w:rPr>
          <w:rFonts w:hint="eastAsia"/>
        </w:rPr>
        <w:t>4</w:t>
      </w:r>
      <w:r>
        <w:rPr>
          <w:rFonts w:hint="eastAsia"/>
        </w:rPr>
        <w:t>）</w:t>
      </w:r>
      <w:r>
        <w:t>定量评价</w:t>
      </w:r>
      <w:bookmarkEnd w:id="55"/>
      <w:bookmarkEnd w:id="56"/>
    </w:p>
    <w:p w:rsidR="00127BDE" w:rsidRDefault="00127BDE" w:rsidP="00127BDE">
      <w:pPr>
        <w:spacing w:line="440" w:lineRule="exact"/>
        <w:ind w:firstLine="480"/>
        <w:jc w:val="left"/>
      </w:pPr>
      <w:r>
        <w:t>定量评价是在假定采用</w:t>
      </w:r>
      <w:r>
        <w:t>PPP</w:t>
      </w:r>
      <w:r>
        <w:t>模式与政府传统投资方式产出绩效相同的前提下，通过对</w:t>
      </w:r>
      <w:r>
        <w:t>PPP</w:t>
      </w:r>
      <w:r>
        <w:t>项目全生命周期内政府方净成本的现值（</w:t>
      </w:r>
      <w:r>
        <w:t>PPP</w:t>
      </w:r>
      <w:r>
        <w:t>值）与公共部门比较值（</w:t>
      </w:r>
      <w:r>
        <w:t>PSC</w:t>
      </w:r>
      <w:r>
        <w:t>值）进行比较，判断</w:t>
      </w:r>
      <w:r>
        <w:t>PPP</w:t>
      </w:r>
      <w:r>
        <w:t>模式能否降低项目全生命周期成本。</w:t>
      </w:r>
    </w:p>
    <w:p w:rsidR="00127BDE" w:rsidRDefault="00127BDE" w:rsidP="00127BDE">
      <w:pPr>
        <w:spacing w:line="440" w:lineRule="exact"/>
        <w:ind w:firstLine="480"/>
        <w:jc w:val="left"/>
      </w:pPr>
      <w:r>
        <w:t>PPP</w:t>
      </w:r>
      <w:r>
        <w:t>值可等同于</w:t>
      </w:r>
      <w:r>
        <w:t>PPP</w:t>
      </w:r>
      <w:r>
        <w:t>项目全生命周期内股权投资、运营补贴、风险承担和配套投入等各项财政支出责任的现值，参照《政府和社会资本合作项目财政承受能力论证指引》（财金〔</w:t>
      </w:r>
      <w:r>
        <w:t>2015</w:t>
      </w:r>
      <w:r>
        <w:t>〕</w:t>
      </w:r>
      <w:r>
        <w:t>21</w:t>
      </w:r>
      <w:r>
        <w:t>号）及有关规定测算。</w:t>
      </w:r>
    </w:p>
    <w:p w:rsidR="00127BDE" w:rsidRDefault="00127BDE" w:rsidP="00127BDE">
      <w:pPr>
        <w:spacing w:line="440" w:lineRule="exact"/>
        <w:ind w:firstLine="480"/>
        <w:jc w:val="left"/>
      </w:pPr>
      <w:r>
        <w:t>PSC</w:t>
      </w:r>
      <w:r>
        <w:t>值是以下三项成本的全生命周期现值之和：</w:t>
      </w:r>
    </w:p>
    <w:p w:rsidR="00127BDE" w:rsidRDefault="00127BDE" w:rsidP="00127BDE">
      <w:pPr>
        <w:pStyle w:val="Style6"/>
        <w:ind w:firstLine="480"/>
      </w:pPr>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t>参照项目的建设和运营维护净成本；</w:t>
      </w:r>
    </w:p>
    <w:p w:rsidR="00127BDE" w:rsidRDefault="00127BDE" w:rsidP="00127BDE">
      <w:pPr>
        <w:pStyle w:val="Style6"/>
        <w:ind w:firstLine="480"/>
      </w:pPr>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t>竞争性中立调整值；</w:t>
      </w:r>
    </w:p>
    <w:p w:rsidR="00127BDE" w:rsidRDefault="00127BDE" w:rsidP="00127BDE">
      <w:pPr>
        <w:pStyle w:val="Style6"/>
        <w:ind w:firstLine="480"/>
      </w:pPr>
      <w:r>
        <w:fldChar w:fldCharType="begin"/>
      </w:r>
      <w:r>
        <w:instrText xml:space="preserve"> </w:instrText>
      </w:r>
      <w:r>
        <w:rPr>
          <w:rFonts w:hint="eastAsia"/>
        </w:rPr>
        <w:instrText>= 3 \* GB3</w:instrText>
      </w:r>
      <w:r>
        <w:instrText xml:space="preserve"> </w:instrText>
      </w:r>
      <w:r>
        <w:fldChar w:fldCharType="separate"/>
      </w:r>
      <w:r>
        <w:rPr>
          <w:rFonts w:hint="eastAsia"/>
        </w:rPr>
        <w:t>③</w:t>
      </w:r>
      <w:r>
        <w:fldChar w:fldCharType="end"/>
      </w:r>
      <w:r>
        <w:t>项目全部风险成本。</w:t>
      </w:r>
    </w:p>
    <w:p w:rsidR="00127BDE" w:rsidRDefault="00127BDE" w:rsidP="00127BDE">
      <w:pPr>
        <w:spacing w:line="440" w:lineRule="exact"/>
        <w:ind w:firstLine="480"/>
        <w:jc w:val="left"/>
      </w:pPr>
      <w:r>
        <w:t>PPP</w:t>
      </w:r>
      <w:r>
        <w:t>值小于或等于</w:t>
      </w:r>
      <w:r>
        <w:t>PSC</w:t>
      </w:r>
      <w:r>
        <w:t>值的，认定为通过定量评价；</w:t>
      </w:r>
      <w:r>
        <w:t>PPP</w:t>
      </w:r>
      <w:r>
        <w:t>值大于</w:t>
      </w:r>
      <w:r>
        <w:t>PSC</w:t>
      </w:r>
      <w:r>
        <w:t>值</w:t>
      </w:r>
      <w:r>
        <w:lastRenderedPageBreak/>
        <w:t>的，认定为未通过定量评价。</w:t>
      </w:r>
    </w:p>
    <w:p w:rsidR="00127BDE" w:rsidRDefault="00127BDE" w:rsidP="00127BDE">
      <w:pPr>
        <w:ind w:firstLine="480"/>
      </w:pPr>
      <w:r>
        <w:t>参照项目可根据具体情况确定为：</w:t>
      </w:r>
    </w:p>
    <w:p w:rsidR="00127BDE" w:rsidRDefault="00127BDE" w:rsidP="00127BDE">
      <w:pPr>
        <w:ind w:firstLine="480"/>
      </w:pPr>
      <w:r>
        <w:t>a</w:t>
      </w:r>
      <w:r>
        <w:t>假设政府采用现实可行的、最有效的传统投资方式实施的、与</w:t>
      </w:r>
      <w:r>
        <w:t>PPP</w:t>
      </w:r>
      <w:r>
        <w:t>项目产出相同的虚拟项目；</w:t>
      </w:r>
    </w:p>
    <w:p w:rsidR="00127BDE" w:rsidRDefault="00127BDE" w:rsidP="00127BDE">
      <w:pPr>
        <w:ind w:firstLine="480"/>
        <w:jc w:val="left"/>
      </w:pPr>
      <w:r>
        <w:t>b</w:t>
      </w:r>
      <w:r>
        <w:t>最近五年内，相同或相似地区采用政府传统投资方式实施的、与</w:t>
      </w:r>
      <w:r>
        <w:t>PPP</w:t>
      </w:r>
      <w:r>
        <w:t>项目产出相同或非常相似的项目。</w:t>
      </w:r>
    </w:p>
    <w:p w:rsidR="00127BDE" w:rsidRDefault="00127BDE" w:rsidP="00127BDE">
      <w:pPr>
        <w:ind w:firstLine="480"/>
      </w:pPr>
      <w:r>
        <w:t>建设净成本主要包括参照项目设计、建造、升级、改造、大修等方面投入的现金以及固定资产、土地使用权等实物和无形资产的价值，并扣除参照项目全生命周期内产生的转让、租赁或处置资产所获的收益。</w:t>
      </w:r>
    </w:p>
    <w:p w:rsidR="00127BDE" w:rsidRDefault="00127BDE" w:rsidP="00127BDE">
      <w:pPr>
        <w:ind w:firstLine="480"/>
      </w:pPr>
      <w:r>
        <w:t>运营维护净成本主要包括参照项目全生命周期内运营维护所需的原材料、设备、人工等成本，以及管理费用、销售费用和运营期财务费用等，并扣除假设参照项目与</w:t>
      </w:r>
      <w:r>
        <w:t>PPP</w:t>
      </w:r>
      <w:r>
        <w:t>项目付费机制相同情况下能够获得的使用者付费收入等。</w:t>
      </w:r>
    </w:p>
    <w:p w:rsidR="00127BDE" w:rsidRDefault="00127BDE" w:rsidP="00127BDE">
      <w:pPr>
        <w:ind w:firstLine="480"/>
      </w:pPr>
      <w:r>
        <w:t>竞争性中立调整值主要是采用政府传统投资方式比采用</w:t>
      </w:r>
      <w:r>
        <w:t>PPP</w:t>
      </w:r>
      <w:r>
        <w:t>模式实施项目少支出的费用，通常包括少支出的土地费用、行政审批费用、有关税费等。</w:t>
      </w:r>
    </w:p>
    <w:p w:rsidR="00127BDE" w:rsidRDefault="00127BDE" w:rsidP="00127BDE">
      <w:pPr>
        <w:ind w:firstLine="480"/>
      </w:pPr>
      <w:r>
        <w:t>项目全部风险成本包括可转移给社会资本的风险承担成本和政府自留风险的承担成本。</w:t>
      </w:r>
    </w:p>
    <w:p w:rsidR="00127BDE" w:rsidRDefault="00127BDE" w:rsidP="00127BDE">
      <w:pPr>
        <w:ind w:firstLine="480"/>
      </w:pPr>
      <w:r>
        <w:t>政府自留风险承担成本等同于</w:t>
      </w:r>
      <w:r>
        <w:t>PPP</w:t>
      </w:r>
      <w:r>
        <w:t>值中的全生命周期风险承担支出责任，两者在</w:t>
      </w:r>
      <w:r>
        <w:t>PSC</w:t>
      </w:r>
      <w:r>
        <w:t>值与</w:t>
      </w:r>
      <w:r>
        <w:t>PPP</w:t>
      </w:r>
      <w:r>
        <w:t>值比较时可对等扣除。</w:t>
      </w:r>
    </w:p>
    <w:p w:rsidR="00127BDE" w:rsidRDefault="00127BDE" w:rsidP="00127BDE">
      <w:pPr>
        <w:ind w:firstLine="480"/>
      </w:pPr>
      <w:r>
        <w:t>用于测算</w:t>
      </w:r>
      <w:r>
        <w:t>PSC</w:t>
      </w:r>
      <w:r>
        <w:t>值的折现率应与用于测算</w:t>
      </w:r>
      <w:r>
        <w:t>PPP</w:t>
      </w:r>
      <w:r>
        <w:t>值的折现率相同。</w:t>
      </w:r>
      <w:r>
        <w:t>PPP</w:t>
      </w:r>
      <w:r>
        <w:t>值小于或等于</w:t>
      </w:r>
      <w:r>
        <w:t>PSC</w:t>
      </w:r>
      <w:r>
        <w:t>值的，认定为通过定量评价；</w:t>
      </w:r>
      <w:r>
        <w:t>PPP</w:t>
      </w:r>
      <w:r>
        <w:t>值大于</w:t>
      </w:r>
      <w:r>
        <w:t>PSC</w:t>
      </w:r>
      <w:r>
        <w:t>值的，认定为未通过定量评价。</w:t>
      </w:r>
    </w:p>
    <w:p w:rsidR="00127BDE" w:rsidRDefault="00127BDE" w:rsidP="00127BDE">
      <w:pPr>
        <w:ind w:firstLine="480"/>
      </w:pPr>
      <w:r>
        <w:t>项目本级财政部门（或</w:t>
      </w:r>
      <w:r>
        <w:t>PPP</w:t>
      </w:r>
      <w:r>
        <w:t>中心）会同行业主管部门，在物有所值评价结论形成后，完成物有所值评价报告编制工作，报省级财政部门备案，并将报告电子版上传</w:t>
      </w:r>
      <w:r>
        <w:t>PPP</w:t>
      </w:r>
      <w:r>
        <w:t>综合信息平台。</w:t>
      </w:r>
    </w:p>
    <w:p w:rsidR="00127BDE" w:rsidRDefault="00127BDE" w:rsidP="00127BDE">
      <w:pPr>
        <w:ind w:firstLine="480"/>
      </w:pPr>
      <w:r>
        <w:t>本项目物有所值评价报告内容包括：</w:t>
      </w:r>
    </w:p>
    <w:p w:rsidR="00127BDE" w:rsidRDefault="00127BDE" w:rsidP="00127BDE">
      <w:pPr>
        <w:ind w:firstLine="480"/>
      </w:pPr>
      <w:r>
        <w:t>（一）项目基础信息。主要包括项目概况、项目产出说明和绩效标准、</w:t>
      </w:r>
      <w:r>
        <w:t>PPP</w:t>
      </w:r>
      <w:r>
        <w:t>运作方式、风险分配框架和付费机制等。</w:t>
      </w:r>
    </w:p>
    <w:p w:rsidR="00127BDE" w:rsidRDefault="00127BDE" w:rsidP="00127BDE">
      <w:pPr>
        <w:ind w:firstLine="480"/>
      </w:pPr>
      <w:r>
        <w:t>（二）评价方法。主要包括定性评价程序、指标及权重、评分标准、评分结果、专家组意见以及定量评价的</w:t>
      </w:r>
      <w:r>
        <w:t>PSC</w:t>
      </w:r>
      <w:r>
        <w:t>值、</w:t>
      </w:r>
      <w:r>
        <w:t>PPP</w:t>
      </w:r>
      <w:r>
        <w:t>值的测算依据、测算过程和结果等。</w:t>
      </w:r>
    </w:p>
    <w:p w:rsidR="00127BDE" w:rsidRDefault="00127BDE" w:rsidP="00127BDE">
      <w:pPr>
        <w:ind w:firstLine="480"/>
      </w:pPr>
      <w:r>
        <w:t>（三）评价结论，分为</w:t>
      </w:r>
      <w:r>
        <w:t>“</w:t>
      </w:r>
      <w:r>
        <w:t>通过</w:t>
      </w:r>
      <w:r>
        <w:t>”</w:t>
      </w:r>
      <w:r>
        <w:t>和</w:t>
      </w:r>
      <w:r>
        <w:t>“</w:t>
      </w:r>
      <w:r>
        <w:t>未通过</w:t>
      </w:r>
      <w:r>
        <w:t>”</w:t>
      </w:r>
      <w:r>
        <w:t>。</w:t>
      </w:r>
    </w:p>
    <w:p w:rsidR="00127BDE" w:rsidRDefault="00127BDE" w:rsidP="00127BDE">
      <w:pPr>
        <w:ind w:firstLine="480"/>
      </w:pPr>
      <w:r>
        <w:t>（四）附件。通常包括（初步）实施方案、项目产出说明、可行性研究报告、设计文件、存量公共资产的历史资料、</w:t>
      </w:r>
      <w:r>
        <w:t>PPP</w:t>
      </w:r>
      <w:r>
        <w:t>项目合同、绩效监测报告和中期评估报告等。</w:t>
      </w:r>
    </w:p>
    <w:p w:rsidR="00127BDE" w:rsidRDefault="00127BDE" w:rsidP="00127BDE">
      <w:pPr>
        <w:adjustRightInd w:val="0"/>
        <w:snapToGrid w:val="0"/>
        <w:ind w:firstLine="480"/>
      </w:pPr>
      <w:r>
        <w:t>通过对政府和社会资本合作项目全生命周期内政府支出成本现值与公共部门比较值进行比较，计算项目的物有所值量值，判断政府和社会资本合作模式是否降低项目全生命周期成本。</w:t>
      </w:r>
    </w:p>
    <w:p w:rsidR="00127BDE" w:rsidRDefault="00127BDE" w:rsidP="00127BDE">
      <w:pPr>
        <w:adjustRightInd w:val="0"/>
        <w:snapToGrid w:val="0"/>
        <w:ind w:firstLine="480"/>
      </w:pPr>
      <w:r>
        <w:t>a.</w:t>
      </w:r>
      <w:r>
        <w:t>测算公共部门成本比较值</w:t>
      </w:r>
      <w:r>
        <w:t>(</w:t>
      </w:r>
      <w:r>
        <w:t>政府传统采购模式的净成本现值</w:t>
      </w:r>
      <w:r>
        <w:t>)</w:t>
      </w:r>
      <w:r>
        <w:t>。包括：政府项目建设及维护的基本成本，政府融资成本，转移风险承担成本，竞争性中立调整值等。</w:t>
      </w:r>
    </w:p>
    <w:p w:rsidR="00127BDE" w:rsidRDefault="00127BDE" w:rsidP="00127BDE">
      <w:pPr>
        <w:adjustRightInd w:val="0"/>
        <w:snapToGrid w:val="0"/>
        <w:ind w:firstLine="480"/>
      </w:pPr>
      <w:r>
        <w:t>b.</w:t>
      </w:r>
      <w:r>
        <w:t>采用</w:t>
      </w:r>
      <w:r>
        <w:t>PPP</w:t>
      </w:r>
      <w:r>
        <w:t>模式的成本，包括：资本偿还年金，即支付社会资本在项目建设过程所发生的成本和合理回报；非资本偿还年金，即社会资本在项目运营维护过程所发生的成本和合理回报；政府为</w:t>
      </w:r>
      <w:r>
        <w:t>PPP</w:t>
      </w:r>
      <w:r>
        <w:t>项目所发生的交易费用；政府自留风险承担成本。</w:t>
      </w:r>
    </w:p>
    <w:p w:rsidR="00127BDE" w:rsidRDefault="00127BDE" w:rsidP="00127BDE">
      <w:pPr>
        <w:pStyle w:val="3"/>
      </w:pPr>
      <w:bookmarkStart w:id="57" w:name="_Toc6366_WPSOffice_Level2"/>
      <w:bookmarkStart w:id="58" w:name="_Toc31097_WPSOffice_Level2"/>
      <w:bookmarkStart w:id="59" w:name="_Toc528575839"/>
      <w:r>
        <w:rPr>
          <w:rFonts w:hint="eastAsia"/>
        </w:rPr>
        <w:lastRenderedPageBreak/>
        <w:t>4.</w:t>
      </w:r>
      <w:r>
        <w:t>财政承受能力论证报告编制</w:t>
      </w:r>
      <w:bookmarkEnd w:id="57"/>
      <w:bookmarkEnd w:id="58"/>
      <w:bookmarkEnd w:id="59"/>
    </w:p>
    <w:p w:rsidR="00127BDE" w:rsidRDefault="00127BDE" w:rsidP="00127BDE">
      <w:pPr>
        <w:pStyle w:val="4"/>
      </w:pPr>
      <w:bookmarkStart w:id="60" w:name="_Toc17377_WPSOffice_Level3"/>
      <w:bookmarkStart w:id="61" w:name="_Toc13438_WPSOffice_Level3"/>
      <w:r>
        <w:rPr>
          <w:rFonts w:hint="eastAsia"/>
        </w:rPr>
        <w:t>（</w:t>
      </w:r>
      <w:r>
        <w:rPr>
          <w:rFonts w:hint="eastAsia"/>
        </w:rPr>
        <w:t>1</w:t>
      </w:r>
      <w:r>
        <w:rPr>
          <w:rFonts w:hint="eastAsia"/>
        </w:rPr>
        <w:t>）</w:t>
      </w:r>
      <w:r>
        <w:t>论证工作的开展</w:t>
      </w:r>
      <w:bookmarkEnd w:id="60"/>
      <w:bookmarkEnd w:id="61"/>
    </w:p>
    <w:p w:rsidR="00127BDE" w:rsidRDefault="00127BDE" w:rsidP="00127BDE">
      <w:pPr>
        <w:spacing w:line="440" w:lineRule="exact"/>
        <w:ind w:firstLine="480"/>
        <w:jc w:val="left"/>
      </w:pPr>
      <w:r>
        <w:t>根据财金</w:t>
      </w:r>
      <w:r>
        <w:t>[2014]113</w:t>
      </w:r>
      <w:r>
        <w:t>号文《财政部关于印发政府和社会资本合作模式操作指南（试行）的通知》和财金</w:t>
      </w:r>
      <w:r>
        <w:t>[2015]21</w:t>
      </w:r>
      <w:r>
        <w:t>号文《政府和社会资本合作项目财政承受能力论证指引》，财政承受能力论证是指识别、测算政府和社会资本合作（</w:t>
      </w:r>
      <w:r>
        <w:t>Public-Private Partnership</w:t>
      </w:r>
      <w:r>
        <w:t>，以下简称</w:t>
      </w:r>
      <w:r>
        <w:t>PPP</w:t>
      </w:r>
      <w:r>
        <w:t>）项目的各项财政支出责任，科学评估项目实施</w:t>
      </w:r>
      <w:r>
        <w:rPr>
          <w:rFonts w:hint="eastAsia"/>
        </w:rPr>
        <w:t>可能</w:t>
      </w:r>
      <w:r>
        <w:t>对当前及今后年度财政支出的影响，为</w:t>
      </w:r>
      <w:r>
        <w:t>PPP</w:t>
      </w:r>
      <w:r>
        <w:t>项目财政管理提供依据。</w:t>
      </w:r>
    </w:p>
    <w:p w:rsidR="00127BDE" w:rsidRDefault="00127BDE" w:rsidP="00127BDE">
      <w:pPr>
        <w:spacing w:line="440" w:lineRule="exact"/>
        <w:ind w:firstLine="480"/>
        <w:jc w:val="left"/>
      </w:pPr>
      <w:r>
        <w:rPr>
          <w:rFonts w:hint="eastAsia"/>
        </w:rPr>
        <w:t>对使用者付费项目</w:t>
      </w:r>
      <w:r>
        <w:t>开展</w:t>
      </w:r>
      <w:r>
        <w:t>PPP</w:t>
      </w:r>
      <w:r>
        <w:t>项目财政承受能力论证，是政府履行合同义务的重要保障，有利于有效防范和控制</w:t>
      </w:r>
      <w:r>
        <w:rPr>
          <w:rFonts w:hint="eastAsia"/>
        </w:rPr>
        <w:t>项目实施过程中的</w:t>
      </w:r>
      <w:r>
        <w:t>财政风险，实现</w:t>
      </w:r>
      <w:r>
        <w:t>PPP</w:t>
      </w:r>
      <w:r>
        <w:t>可持续发展。</w:t>
      </w:r>
    </w:p>
    <w:p w:rsidR="00127BDE" w:rsidRDefault="00127BDE" w:rsidP="00127BDE">
      <w:pPr>
        <w:pStyle w:val="11"/>
        <w:widowControl w:val="0"/>
        <w:numPr>
          <w:ilvl w:val="0"/>
          <w:numId w:val="3"/>
        </w:numPr>
        <w:spacing w:line="440" w:lineRule="exact"/>
        <w:ind w:left="1320" w:firstLineChars="0"/>
        <w:rPr>
          <w:rFonts w:ascii="Times New Roman" w:hAnsi="Times New Roman"/>
        </w:rPr>
      </w:pPr>
      <w:r>
        <w:rPr>
          <w:rFonts w:ascii="Times New Roman" w:hAnsi="Times New Roman"/>
        </w:rPr>
        <w:t>财政承受能力论证坚持合理预测、公开透明、从严把关，统筹处理好当期与长远关系，</w:t>
      </w:r>
      <w:r>
        <w:rPr>
          <w:rFonts w:ascii="Times New Roman" w:hAnsi="Times New Roman" w:hint="eastAsia"/>
        </w:rPr>
        <w:t>确保使用者付费模式的顺利落实</w:t>
      </w:r>
      <w:r>
        <w:rPr>
          <w:rFonts w:ascii="Times New Roman" w:hAnsi="Times New Roman"/>
        </w:rPr>
        <w:t>。</w:t>
      </w:r>
    </w:p>
    <w:p w:rsidR="00127BDE" w:rsidRDefault="00127BDE" w:rsidP="00127BDE">
      <w:pPr>
        <w:pStyle w:val="11"/>
        <w:widowControl w:val="0"/>
        <w:numPr>
          <w:ilvl w:val="0"/>
          <w:numId w:val="3"/>
        </w:numPr>
        <w:spacing w:line="440" w:lineRule="exact"/>
        <w:ind w:left="1320" w:firstLineChars="0"/>
        <w:rPr>
          <w:rFonts w:ascii="Times New Roman" w:hAnsi="Times New Roman"/>
        </w:rPr>
      </w:pPr>
      <w:r>
        <w:rPr>
          <w:rFonts w:ascii="Times New Roman" w:hAnsi="Times New Roman"/>
        </w:rPr>
        <w:t>财政承受能力论证的结论分为</w:t>
      </w:r>
      <w:r>
        <w:rPr>
          <w:rFonts w:ascii="Times New Roman" w:hAnsi="Times New Roman"/>
        </w:rPr>
        <w:t>“</w:t>
      </w:r>
      <w:r>
        <w:rPr>
          <w:rFonts w:ascii="Times New Roman" w:hAnsi="Times New Roman"/>
        </w:rPr>
        <w:t>通过论证</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未通过论证</w:t>
      </w:r>
      <w:r>
        <w:rPr>
          <w:rFonts w:ascii="Times New Roman" w:hAnsi="Times New Roman"/>
        </w:rPr>
        <w:t>”</w:t>
      </w:r>
      <w:r>
        <w:rPr>
          <w:rFonts w:ascii="Times New Roman" w:hAnsi="Times New Roman"/>
        </w:rPr>
        <w:t>。</w:t>
      </w:r>
      <w:r>
        <w:rPr>
          <w:rFonts w:ascii="Times New Roman" w:hAnsi="Times New Roman"/>
        </w:rPr>
        <w:t>“</w:t>
      </w:r>
      <w:r>
        <w:rPr>
          <w:rFonts w:ascii="Times New Roman" w:hAnsi="Times New Roman"/>
        </w:rPr>
        <w:t>通过论证</w:t>
      </w:r>
      <w:r>
        <w:rPr>
          <w:rFonts w:ascii="Times New Roman" w:hAnsi="Times New Roman"/>
        </w:rPr>
        <w:t>”</w:t>
      </w:r>
      <w:r>
        <w:rPr>
          <w:rFonts w:ascii="Times New Roman" w:hAnsi="Times New Roman"/>
        </w:rPr>
        <w:t>的项目</w:t>
      </w:r>
      <w:r>
        <w:rPr>
          <w:rFonts w:ascii="Times New Roman" w:hAnsi="Times New Roman" w:hint="eastAsia"/>
        </w:rPr>
        <w:t>。</w:t>
      </w:r>
      <w:r>
        <w:rPr>
          <w:rFonts w:ascii="Times New Roman" w:hAnsi="Times New Roman"/>
        </w:rPr>
        <w:t>“</w:t>
      </w:r>
      <w:r>
        <w:rPr>
          <w:rFonts w:ascii="Times New Roman" w:hAnsi="Times New Roman"/>
        </w:rPr>
        <w:t>未通过</w:t>
      </w:r>
      <w:r>
        <w:rPr>
          <w:rFonts w:ascii="Times New Roman" w:hAnsi="Times New Roman" w:hint="eastAsia"/>
        </w:rPr>
        <w:t>使用者付费模式下财政承受能力</w:t>
      </w:r>
      <w:r>
        <w:rPr>
          <w:rFonts w:ascii="Times New Roman" w:hAnsi="Times New Roman"/>
        </w:rPr>
        <w:t>论证</w:t>
      </w:r>
      <w:r>
        <w:rPr>
          <w:rFonts w:ascii="Times New Roman" w:hAnsi="Times New Roman"/>
        </w:rPr>
        <w:t>”</w:t>
      </w:r>
      <w:r>
        <w:rPr>
          <w:rFonts w:ascii="Times New Roman" w:hAnsi="Times New Roman"/>
        </w:rPr>
        <w:t>的项目，</w:t>
      </w:r>
      <w:r>
        <w:rPr>
          <w:rFonts w:ascii="Times New Roman" w:hAnsi="Times New Roman" w:hint="eastAsia"/>
        </w:rPr>
        <w:t>可根据实际情况调整回报机制，重新进行财政承受能力论证，对于仍不能通过论证的，则不宜采用</w:t>
      </w:r>
      <w:r>
        <w:rPr>
          <w:rFonts w:ascii="Times New Roman" w:hAnsi="Times New Roman"/>
        </w:rPr>
        <w:t>PPP</w:t>
      </w:r>
      <w:r>
        <w:rPr>
          <w:rFonts w:ascii="Times New Roman" w:hAnsi="Times New Roman"/>
        </w:rPr>
        <w:t>模式。</w:t>
      </w:r>
    </w:p>
    <w:p w:rsidR="00127BDE" w:rsidRDefault="00127BDE" w:rsidP="00127BDE">
      <w:pPr>
        <w:pStyle w:val="11"/>
        <w:widowControl w:val="0"/>
        <w:numPr>
          <w:ilvl w:val="0"/>
          <w:numId w:val="3"/>
        </w:numPr>
        <w:spacing w:line="440" w:lineRule="exact"/>
        <w:ind w:left="1320" w:firstLineChars="0"/>
        <w:rPr>
          <w:rFonts w:ascii="Times New Roman" w:hAnsi="Times New Roman"/>
        </w:rPr>
      </w:pPr>
      <w:r>
        <w:rPr>
          <w:rFonts w:ascii="Times New Roman" w:hAnsi="Times New Roman"/>
        </w:rPr>
        <w:t>各级财政部门（或</w:t>
      </w:r>
      <w:r>
        <w:rPr>
          <w:rFonts w:ascii="Times New Roman" w:hAnsi="Times New Roman"/>
        </w:rPr>
        <w:t>PPP</w:t>
      </w:r>
      <w:r>
        <w:rPr>
          <w:rFonts w:ascii="Times New Roman" w:hAnsi="Times New Roman"/>
        </w:rPr>
        <w:t>中心）负责组织开展行政区域内</w:t>
      </w:r>
      <w:r>
        <w:rPr>
          <w:rFonts w:ascii="Times New Roman" w:hAnsi="Times New Roman"/>
        </w:rPr>
        <w:t>PPP</w:t>
      </w:r>
      <w:r>
        <w:rPr>
          <w:rFonts w:ascii="Times New Roman" w:hAnsi="Times New Roman"/>
        </w:rPr>
        <w:t>项目财政承受能力论证工作。省级财政部门负责汇总统计行政区域内的全部</w:t>
      </w:r>
      <w:r>
        <w:rPr>
          <w:rFonts w:ascii="Times New Roman" w:hAnsi="Times New Roman"/>
        </w:rPr>
        <w:t>PPP</w:t>
      </w:r>
      <w:r>
        <w:rPr>
          <w:rFonts w:ascii="Times New Roman" w:hAnsi="Times New Roman"/>
        </w:rPr>
        <w:t>项目财政支出责任，对财政预算编制、执行情况实施监督管理。</w:t>
      </w:r>
    </w:p>
    <w:p w:rsidR="00127BDE" w:rsidRDefault="00127BDE" w:rsidP="00127BDE">
      <w:pPr>
        <w:pStyle w:val="11"/>
        <w:widowControl w:val="0"/>
        <w:numPr>
          <w:ilvl w:val="0"/>
          <w:numId w:val="3"/>
        </w:numPr>
        <w:spacing w:line="440" w:lineRule="exact"/>
        <w:ind w:left="1320" w:firstLineChars="0"/>
        <w:rPr>
          <w:rFonts w:ascii="Times New Roman" w:hAnsi="Times New Roman"/>
        </w:rPr>
      </w:pPr>
      <w:r>
        <w:rPr>
          <w:rFonts w:ascii="Times New Roman" w:hAnsi="Times New Roman"/>
        </w:rPr>
        <w:t>财政部门（或</w:t>
      </w:r>
      <w:r>
        <w:rPr>
          <w:rFonts w:ascii="Times New Roman" w:hAnsi="Times New Roman"/>
        </w:rPr>
        <w:t>PPP</w:t>
      </w:r>
      <w:r>
        <w:rPr>
          <w:rFonts w:ascii="Times New Roman" w:hAnsi="Times New Roman"/>
        </w:rPr>
        <w:t>中心）应当会同行业主管部门，共同开展</w:t>
      </w:r>
      <w:r>
        <w:rPr>
          <w:rFonts w:ascii="Times New Roman" w:hAnsi="Times New Roman"/>
        </w:rPr>
        <w:t>PPP</w:t>
      </w:r>
      <w:r>
        <w:rPr>
          <w:rFonts w:ascii="Times New Roman" w:hAnsi="Times New Roman"/>
        </w:rPr>
        <w:t>项目财政承受能力论证工作。必要时可通过政府采购方式聘请专业中介机构协助。</w:t>
      </w:r>
    </w:p>
    <w:p w:rsidR="00127BDE" w:rsidRDefault="00127BDE" w:rsidP="00127BDE">
      <w:pPr>
        <w:pStyle w:val="11"/>
        <w:widowControl w:val="0"/>
        <w:numPr>
          <w:ilvl w:val="0"/>
          <w:numId w:val="3"/>
        </w:numPr>
        <w:spacing w:line="440" w:lineRule="exact"/>
        <w:ind w:left="1320" w:firstLineChars="0"/>
        <w:rPr>
          <w:rFonts w:ascii="Times New Roman" w:hAnsi="Times New Roman"/>
        </w:rPr>
      </w:pPr>
      <w:r>
        <w:rPr>
          <w:rFonts w:ascii="Times New Roman" w:hAnsi="Times New Roman"/>
        </w:rPr>
        <w:t>各级财政部门（或</w:t>
      </w:r>
      <w:r>
        <w:rPr>
          <w:rFonts w:ascii="Times New Roman" w:hAnsi="Times New Roman"/>
        </w:rPr>
        <w:t>PPP</w:t>
      </w:r>
      <w:r>
        <w:rPr>
          <w:rFonts w:ascii="Times New Roman" w:hAnsi="Times New Roman"/>
        </w:rPr>
        <w:t>中心）要以财政承受能力论证结论为依据，会同有关部门统筹做好项目规划、设计、采购、建设、运营、维护等全生命周期管理工作。</w:t>
      </w:r>
    </w:p>
    <w:p w:rsidR="00127BDE" w:rsidRDefault="00127BDE" w:rsidP="00127BDE">
      <w:pPr>
        <w:pStyle w:val="4"/>
      </w:pPr>
      <w:bookmarkStart w:id="62" w:name="_Toc9020_WPSOffice_Level3"/>
      <w:bookmarkStart w:id="63" w:name="_Toc12182_WPSOffice_Level3"/>
      <w:r>
        <w:rPr>
          <w:rFonts w:hint="eastAsia"/>
        </w:rPr>
        <w:lastRenderedPageBreak/>
        <w:t>（</w:t>
      </w:r>
      <w:r>
        <w:rPr>
          <w:rFonts w:hint="eastAsia"/>
        </w:rPr>
        <w:t>2</w:t>
      </w:r>
      <w:r>
        <w:rPr>
          <w:rFonts w:hint="eastAsia"/>
        </w:rPr>
        <w:t>）</w:t>
      </w:r>
      <w:r>
        <w:t>财政支出的识别</w:t>
      </w:r>
      <w:bookmarkEnd w:id="62"/>
      <w:bookmarkEnd w:id="63"/>
    </w:p>
    <w:p w:rsidR="00127BDE" w:rsidRDefault="00127BDE" w:rsidP="00127BDE">
      <w:pPr>
        <w:spacing w:line="440" w:lineRule="exact"/>
        <w:ind w:firstLine="480"/>
        <w:jc w:val="left"/>
      </w:pPr>
      <w:r>
        <w:t>PPP</w:t>
      </w:r>
      <w:r>
        <w:t>项目全生命周期过程的财政支出责任，主要包括股权投资、运营补贴、风险承担、配套投入等。</w:t>
      </w:r>
      <w:r>
        <w:t xml:space="preserve"> </w:t>
      </w:r>
    </w:p>
    <w:p w:rsidR="00127BDE" w:rsidRDefault="00127BDE" w:rsidP="00127BDE">
      <w:pPr>
        <w:pStyle w:val="11"/>
        <w:widowControl w:val="0"/>
        <w:numPr>
          <w:ilvl w:val="0"/>
          <w:numId w:val="4"/>
        </w:numPr>
        <w:spacing w:line="440" w:lineRule="exact"/>
        <w:ind w:left="1320" w:firstLineChars="0"/>
        <w:rPr>
          <w:rFonts w:ascii="Times New Roman" w:hAnsi="Times New Roman"/>
        </w:rPr>
      </w:pPr>
      <w:r>
        <w:rPr>
          <w:rFonts w:ascii="Times New Roman" w:hAnsi="Times New Roman"/>
        </w:rPr>
        <w:t>股权投资支出责任是指在政府与社会资本共同组建项目公司的情况下，政府承担的股权投资支出责任。如果社会资本单独组建项目公司，政府不承担股权投资支出责任。</w:t>
      </w:r>
    </w:p>
    <w:p w:rsidR="00127BDE" w:rsidRDefault="00127BDE" w:rsidP="00127BDE">
      <w:pPr>
        <w:pStyle w:val="11"/>
        <w:widowControl w:val="0"/>
        <w:numPr>
          <w:ilvl w:val="0"/>
          <w:numId w:val="4"/>
        </w:numPr>
        <w:spacing w:line="440" w:lineRule="exact"/>
        <w:ind w:left="1320" w:firstLineChars="0"/>
        <w:rPr>
          <w:rFonts w:ascii="Times New Roman" w:hAnsi="Times New Roman"/>
        </w:rPr>
      </w:pPr>
      <w:r>
        <w:rPr>
          <w:rFonts w:ascii="Times New Roman" w:hAnsi="Times New Roman"/>
        </w:rPr>
        <w:t>运营补贴支出责任是指在项目运营期间，政府承担的直接付费责任。不同付费模式下，政府承担的运营补贴支出责任不同。政府付费模式下，政府承担全部运营补贴支出责任；可行性缺口补助模式下，政府承担部分运营补贴支出责任；使用者付费模式下，政府不承担运营补贴支出责任。</w:t>
      </w:r>
      <w:r>
        <w:rPr>
          <w:rFonts w:ascii="Times New Roman" w:hAnsi="Times New Roman" w:hint="eastAsia"/>
        </w:rPr>
        <w:t>本项目为使用者付费模式，政府不承担运营补贴支出责任。</w:t>
      </w:r>
    </w:p>
    <w:p w:rsidR="00127BDE" w:rsidRDefault="00127BDE" w:rsidP="00127BDE">
      <w:pPr>
        <w:pStyle w:val="11"/>
        <w:widowControl w:val="0"/>
        <w:numPr>
          <w:ilvl w:val="0"/>
          <w:numId w:val="4"/>
        </w:numPr>
        <w:spacing w:line="440" w:lineRule="exact"/>
        <w:ind w:left="1320" w:firstLineChars="0"/>
        <w:rPr>
          <w:rFonts w:ascii="Times New Roman" w:hAnsi="Times New Roman"/>
        </w:rPr>
      </w:pPr>
      <w:r>
        <w:rPr>
          <w:rFonts w:ascii="Times New Roman" w:hAnsi="Times New Roman"/>
        </w:rPr>
        <w:t>风险承担支出责任是指项目实施方案中政府承担风险带来的财政或有支出责任。通常由政府承担的法律风险、政策风险、最低需求风险以及因政府方原因导致项目合同终止等突发情况，会产生财政或有支出责任。</w:t>
      </w:r>
      <w:r>
        <w:rPr>
          <w:rFonts w:ascii="Times New Roman" w:hAnsi="Times New Roman" w:hint="eastAsia"/>
        </w:rPr>
        <w:t>本项目在产生类似风险发生时通过延长经营期限或在国家法律法规规定框架下调整使用者付费标准等方式予以解决。</w:t>
      </w:r>
    </w:p>
    <w:p w:rsidR="00127BDE" w:rsidRDefault="00127BDE" w:rsidP="00127BDE">
      <w:pPr>
        <w:pStyle w:val="11"/>
        <w:widowControl w:val="0"/>
        <w:numPr>
          <w:ilvl w:val="0"/>
          <w:numId w:val="4"/>
        </w:numPr>
        <w:spacing w:line="440" w:lineRule="exact"/>
        <w:ind w:left="1320" w:firstLineChars="0"/>
        <w:rPr>
          <w:rFonts w:ascii="Times New Roman" w:hAnsi="Times New Roman"/>
        </w:rPr>
      </w:pPr>
      <w:r>
        <w:rPr>
          <w:rFonts w:ascii="Times New Roman" w:hAnsi="Times New Roman"/>
        </w:rPr>
        <w:t>配套投入支出责任是指政府提供的项目配套工程等其他投入责任，通常包括土地征收和整理、建设部分项目配套措施、完成项目与现有相关基础设施和公用事业的对接、投资补助、贷款贴息等。配套投入支出应依据项目实施方案合理确定。</w:t>
      </w:r>
    </w:p>
    <w:p w:rsidR="00127BDE" w:rsidRDefault="00127BDE" w:rsidP="00127BDE">
      <w:pPr>
        <w:pStyle w:val="4"/>
      </w:pPr>
      <w:bookmarkStart w:id="64" w:name="_Toc17346_WPSOffice_Level3"/>
      <w:bookmarkStart w:id="65" w:name="_Toc14774_WPSOffice_Level3"/>
      <w:r>
        <w:rPr>
          <w:rFonts w:hint="eastAsia"/>
        </w:rPr>
        <w:t>（</w:t>
      </w:r>
      <w:r>
        <w:rPr>
          <w:rFonts w:hint="eastAsia"/>
        </w:rPr>
        <w:t>3</w:t>
      </w:r>
      <w:r>
        <w:rPr>
          <w:rFonts w:hint="eastAsia"/>
        </w:rPr>
        <w:t>）</w:t>
      </w:r>
      <w:r>
        <w:t>财政支出测算</w:t>
      </w:r>
      <w:bookmarkEnd w:id="64"/>
      <w:bookmarkEnd w:id="65"/>
      <w:r>
        <w:t xml:space="preserve"> </w:t>
      </w:r>
    </w:p>
    <w:p w:rsidR="00127BDE" w:rsidRDefault="00127BDE" w:rsidP="00127BDE">
      <w:pPr>
        <w:spacing w:line="440" w:lineRule="exact"/>
        <w:ind w:firstLine="480"/>
        <w:jc w:val="left"/>
      </w:pPr>
      <w:r>
        <w:t>我方将协助财政部门（或</w:t>
      </w:r>
      <w:r>
        <w:t>PPP</w:t>
      </w:r>
      <w:r>
        <w:t>中心）综合考虑各类支出责任的特点、情景和发生概率等因素，对项目全生命周期内财政支出责任分别进行测算。</w:t>
      </w:r>
    </w:p>
    <w:p w:rsidR="00127BDE" w:rsidRDefault="00127BDE" w:rsidP="00127BDE">
      <w:pPr>
        <w:pStyle w:val="11"/>
        <w:spacing w:line="440" w:lineRule="exact"/>
        <w:ind w:firstLine="480"/>
        <w:rPr>
          <w:rFonts w:ascii="Times New Roman" w:hAnsi="Times New Roman"/>
        </w:rPr>
      </w:pPr>
      <w:r>
        <w:rPr>
          <w:rFonts w:ascii="Times New Roman" w:hAnsi="Times New Roman" w:hint="eastAsia"/>
        </w:rPr>
        <w:fldChar w:fldCharType="begin"/>
      </w:r>
      <w:r>
        <w:rPr>
          <w:rFonts w:ascii="Times New Roman" w:hAnsi="Times New Roman" w:hint="eastAsia"/>
        </w:rPr>
        <w:instrText xml:space="preserve"> = 1 \* GB3 \* MERGEFORMAT </w:instrText>
      </w:r>
      <w:r>
        <w:rPr>
          <w:rFonts w:ascii="Times New Roman" w:hAnsi="Times New Roman" w:hint="eastAsia"/>
        </w:rPr>
        <w:fldChar w:fldCharType="separate"/>
      </w:r>
      <w:r>
        <w:t>①</w:t>
      </w:r>
      <w:r>
        <w:rPr>
          <w:rFonts w:ascii="Times New Roman" w:hAnsi="Times New Roman" w:hint="eastAsia"/>
        </w:rPr>
        <w:fldChar w:fldCharType="end"/>
      </w:r>
      <w:r>
        <w:rPr>
          <w:rFonts w:ascii="Times New Roman" w:hAnsi="Times New Roman"/>
        </w:rPr>
        <w:t>股权投资支出依据项目资本金要求以及项目公司股权结构合理确定。股权投资支出责任中的土地等实物投入或无形资产投入，应依法进行评估，合理确定价值。计算公式为：股权投资支出</w:t>
      </w:r>
      <w:r>
        <w:rPr>
          <w:rFonts w:ascii="Times New Roman" w:hAnsi="Times New Roman"/>
        </w:rPr>
        <w:t>=</w:t>
      </w:r>
      <w:r>
        <w:rPr>
          <w:rFonts w:ascii="Times New Roman" w:hAnsi="Times New Roman"/>
        </w:rPr>
        <w:t>项目资本金</w:t>
      </w:r>
      <w:r>
        <w:rPr>
          <w:rFonts w:ascii="Times New Roman" w:hAnsi="Times New Roman"/>
        </w:rPr>
        <w:t>×</w:t>
      </w:r>
      <w:r>
        <w:rPr>
          <w:rFonts w:ascii="Times New Roman" w:hAnsi="Times New Roman"/>
        </w:rPr>
        <w:t>政府占项目公司股权比例。</w:t>
      </w:r>
    </w:p>
    <w:p w:rsidR="00127BDE" w:rsidRDefault="00127BDE" w:rsidP="00127BDE">
      <w:pPr>
        <w:pStyle w:val="11"/>
        <w:spacing w:line="440" w:lineRule="exact"/>
        <w:ind w:firstLine="480"/>
        <w:rPr>
          <w:rFonts w:ascii="Times New Roman" w:hAnsi="Times New Roman"/>
        </w:rPr>
      </w:pPr>
      <w:r>
        <w:rPr>
          <w:rFonts w:ascii="Times New Roman" w:hAnsi="Times New Roman" w:hint="eastAsia"/>
        </w:rPr>
        <w:lastRenderedPageBreak/>
        <w:fldChar w:fldCharType="begin"/>
      </w:r>
      <w:r>
        <w:rPr>
          <w:rFonts w:ascii="Times New Roman" w:hAnsi="Times New Roman" w:hint="eastAsia"/>
        </w:rPr>
        <w:instrText xml:space="preserve"> = 2 \* GB3 \* MERGEFORMAT </w:instrText>
      </w:r>
      <w:r>
        <w:rPr>
          <w:rFonts w:ascii="Times New Roman" w:hAnsi="Times New Roman" w:hint="eastAsia"/>
        </w:rPr>
        <w:fldChar w:fldCharType="separate"/>
      </w:r>
      <w:r>
        <w:t>②</w:t>
      </w:r>
      <w:r>
        <w:rPr>
          <w:rFonts w:ascii="Times New Roman" w:hAnsi="Times New Roman" w:hint="eastAsia"/>
        </w:rPr>
        <w:fldChar w:fldCharType="end"/>
      </w:r>
      <w:r>
        <w:rPr>
          <w:rFonts w:ascii="Times New Roman" w:hAnsi="Times New Roman"/>
        </w:rPr>
        <w:t>运营补贴支出根据项目建设成本、运营成本及利润水平合理确定，并按照不同付费模式分别测算。</w:t>
      </w:r>
      <w:r>
        <w:rPr>
          <w:rFonts w:ascii="Times New Roman" w:hAnsi="Times New Roman" w:hint="eastAsia"/>
        </w:rPr>
        <w:t>使用者付费项目不存在运营补贴支出，且不根据市场变化设置调价机制。公路使用者付费项目</w:t>
      </w:r>
      <w:r>
        <w:rPr>
          <w:rFonts w:ascii="Times New Roman" w:hAnsi="Times New Roman"/>
        </w:rPr>
        <w:t>的定价和调价机制</w:t>
      </w:r>
      <w:r>
        <w:rPr>
          <w:rFonts w:ascii="Times New Roman" w:hAnsi="Times New Roman" w:hint="eastAsia"/>
        </w:rPr>
        <w:t>遵循《中华人民共和国价格法》、《中央定价目录》、《公路通行费征收管理办法》等相关文件的规定，并根据文件的调整而调整。在国家规定的范围内，根据合同约定的情形及项目实际情况确定调整方法和程序。</w:t>
      </w:r>
    </w:p>
    <w:p w:rsidR="00127BDE" w:rsidRDefault="00127BDE" w:rsidP="00127BDE">
      <w:pPr>
        <w:pStyle w:val="Style6"/>
        <w:ind w:firstLine="480"/>
      </w:pPr>
      <w:r>
        <w:rPr>
          <w:rFonts w:hint="eastAsia"/>
        </w:rPr>
        <w:fldChar w:fldCharType="begin"/>
      </w:r>
      <w:r>
        <w:rPr>
          <w:rFonts w:hint="eastAsia"/>
        </w:rPr>
        <w:instrText xml:space="preserve"> = 3 \* GB3 \* MERGEFORMAT </w:instrText>
      </w:r>
      <w:r>
        <w:rPr>
          <w:rFonts w:hint="eastAsia"/>
        </w:rPr>
        <w:fldChar w:fldCharType="separate"/>
      </w:r>
      <w:r>
        <w:rPr>
          <w:rFonts w:hint="eastAsia"/>
        </w:rPr>
        <w:t>③</w:t>
      </w:r>
      <w:r>
        <w:rPr>
          <w:rFonts w:hint="eastAsia"/>
        </w:rPr>
        <w:fldChar w:fldCharType="end"/>
      </w:r>
      <w:r>
        <w:t>风险承担支出充分考虑各类风险出现的概率和带来的支出责任，可采用比例法、情景分析法及概率法进行测算。如果</w:t>
      </w:r>
      <w:r>
        <w:t>PPP</w:t>
      </w:r>
      <w:r>
        <w:t>合同约定保险赔款的第一受益人为政府，则风险承担支出应为扣除该等风险赔款金额的净额。</w:t>
      </w:r>
      <w:r>
        <w:t xml:space="preserve"> </w:t>
      </w:r>
    </w:p>
    <w:p w:rsidR="00127BDE" w:rsidRDefault="00127BDE" w:rsidP="00127BDE">
      <w:pPr>
        <w:pStyle w:val="11"/>
        <w:widowControl w:val="0"/>
        <w:numPr>
          <w:ilvl w:val="0"/>
          <w:numId w:val="5"/>
        </w:numPr>
        <w:spacing w:line="440" w:lineRule="exact"/>
        <w:ind w:left="840" w:firstLineChars="0"/>
        <w:rPr>
          <w:rFonts w:ascii="Times New Roman" w:hAnsi="Times New Roman"/>
        </w:rPr>
      </w:pPr>
      <w:r>
        <w:rPr>
          <w:rFonts w:ascii="Times New Roman" w:hAnsi="Times New Roman"/>
        </w:rPr>
        <w:t>比例法。在各类风险支出数额和概率难以进行准确测算的情况下，可以按照项目的全部建设成本和一定时期内的运营成本的一定比例确定风险承担支出。</w:t>
      </w:r>
      <w:r>
        <w:rPr>
          <w:rFonts w:ascii="Times New Roman" w:hAnsi="Times New Roman"/>
        </w:rPr>
        <w:t xml:space="preserve"> </w:t>
      </w:r>
    </w:p>
    <w:p w:rsidR="00127BDE" w:rsidRDefault="00127BDE" w:rsidP="00127BDE">
      <w:pPr>
        <w:pStyle w:val="11"/>
        <w:widowControl w:val="0"/>
        <w:numPr>
          <w:ilvl w:val="0"/>
          <w:numId w:val="5"/>
        </w:numPr>
        <w:spacing w:line="440" w:lineRule="exact"/>
        <w:ind w:left="840" w:firstLineChars="0"/>
        <w:rPr>
          <w:rFonts w:ascii="Times New Roman" w:hAnsi="Times New Roman"/>
        </w:rPr>
      </w:pPr>
      <w:r>
        <w:rPr>
          <w:rFonts w:ascii="Times New Roman" w:hAnsi="Times New Roman"/>
        </w:rPr>
        <w:t>情景分析法。在各类风险支出数额可以进行测算、但出现概率难以确定的情况下，可针对影响风险的各类事件和变量进行</w:t>
      </w:r>
      <w:r>
        <w:rPr>
          <w:rFonts w:ascii="Times New Roman" w:hAnsi="Times New Roman"/>
        </w:rPr>
        <w:t>“</w:t>
      </w:r>
      <w:r>
        <w:rPr>
          <w:rFonts w:ascii="Times New Roman" w:hAnsi="Times New Roman"/>
        </w:rPr>
        <w:t>基本</w:t>
      </w:r>
      <w:r>
        <w:rPr>
          <w:rFonts w:ascii="Times New Roman" w:hAnsi="Times New Roman"/>
        </w:rPr>
        <w:t>”</w:t>
      </w:r>
      <w:r>
        <w:rPr>
          <w:rFonts w:ascii="Times New Roman" w:hAnsi="Times New Roman"/>
        </w:rPr>
        <w:t>、</w:t>
      </w:r>
      <w:r>
        <w:rPr>
          <w:rFonts w:ascii="Times New Roman" w:hAnsi="Times New Roman"/>
        </w:rPr>
        <w:t>“</w:t>
      </w:r>
      <w:r>
        <w:rPr>
          <w:rFonts w:ascii="Times New Roman" w:hAnsi="Times New Roman"/>
        </w:rPr>
        <w:t>不利</w:t>
      </w:r>
      <w:r>
        <w:rPr>
          <w:rFonts w:ascii="Times New Roman" w:hAnsi="Times New Roman"/>
        </w:rPr>
        <w:t>”</w:t>
      </w:r>
      <w:r>
        <w:rPr>
          <w:rFonts w:ascii="Times New Roman" w:hAnsi="Times New Roman"/>
        </w:rPr>
        <w:t>及</w:t>
      </w:r>
      <w:r>
        <w:rPr>
          <w:rFonts w:ascii="Times New Roman" w:hAnsi="Times New Roman"/>
        </w:rPr>
        <w:t>“</w:t>
      </w:r>
      <w:r>
        <w:rPr>
          <w:rFonts w:ascii="Times New Roman" w:hAnsi="Times New Roman"/>
        </w:rPr>
        <w:t>最坏</w:t>
      </w:r>
      <w:r>
        <w:rPr>
          <w:rFonts w:ascii="Times New Roman" w:hAnsi="Times New Roman"/>
        </w:rPr>
        <w:t>”</w:t>
      </w:r>
      <w:r>
        <w:rPr>
          <w:rFonts w:ascii="Times New Roman" w:hAnsi="Times New Roman"/>
        </w:rPr>
        <w:t>等情景假设，测算各类风险发生带来的风险承担支出。计算公式为：风险承担支出数额</w:t>
      </w:r>
      <w:r>
        <w:rPr>
          <w:rFonts w:ascii="Times New Roman" w:hAnsi="Times New Roman"/>
        </w:rPr>
        <w:t>=</w:t>
      </w:r>
      <w:r>
        <w:rPr>
          <w:rFonts w:ascii="Times New Roman" w:hAnsi="Times New Roman"/>
        </w:rPr>
        <w:t>基本情景下财政支出数额</w:t>
      </w:r>
      <w:r>
        <w:rPr>
          <w:rFonts w:ascii="Times New Roman" w:hAnsi="Times New Roman"/>
        </w:rPr>
        <w:t>×</w:t>
      </w:r>
      <w:r>
        <w:rPr>
          <w:rFonts w:ascii="Times New Roman" w:hAnsi="Times New Roman"/>
        </w:rPr>
        <w:t>基本情景出现的概率</w:t>
      </w:r>
      <w:r>
        <w:rPr>
          <w:rFonts w:ascii="Times New Roman" w:hAnsi="Times New Roman"/>
        </w:rPr>
        <w:t>+</w:t>
      </w:r>
      <w:r>
        <w:rPr>
          <w:rFonts w:ascii="Times New Roman" w:hAnsi="Times New Roman"/>
        </w:rPr>
        <w:t>不利情景下财政支出数额</w:t>
      </w:r>
      <w:r>
        <w:rPr>
          <w:rFonts w:ascii="Times New Roman" w:hAnsi="Times New Roman"/>
        </w:rPr>
        <w:t>×</w:t>
      </w:r>
      <w:r>
        <w:rPr>
          <w:rFonts w:ascii="Times New Roman" w:hAnsi="Times New Roman"/>
        </w:rPr>
        <w:t>不利情景出现的概率</w:t>
      </w:r>
      <w:r>
        <w:rPr>
          <w:rFonts w:ascii="Times New Roman" w:hAnsi="Times New Roman"/>
        </w:rPr>
        <w:t>+</w:t>
      </w:r>
      <w:r>
        <w:rPr>
          <w:rFonts w:ascii="Times New Roman" w:hAnsi="Times New Roman"/>
        </w:rPr>
        <w:t>最坏情景下财政支出数额</w:t>
      </w:r>
      <w:r>
        <w:rPr>
          <w:rFonts w:ascii="Times New Roman" w:hAnsi="Times New Roman"/>
        </w:rPr>
        <w:t>×</w:t>
      </w:r>
      <w:r>
        <w:rPr>
          <w:rFonts w:ascii="Times New Roman" w:hAnsi="Times New Roman"/>
        </w:rPr>
        <w:t>最坏情景出现的概率。</w:t>
      </w:r>
    </w:p>
    <w:p w:rsidR="00127BDE" w:rsidRDefault="00127BDE" w:rsidP="00127BDE">
      <w:pPr>
        <w:pStyle w:val="11"/>
        <w:widowControl w:val="0"/>
        <w:numPr>
          <w:ilvl w:val="0"/>
          <w:numId w:val="5"/>
        </w:numPr>
        <w:spacing w:line="440" w:lineRule="exact"/>
        <w:ind w:left="840" w:firstLineChars="0"/>
        <w:rPr>
          <w:rFonts w:ascii="Times New Roman" w:hAnsi="Times New Roman"/>
        </w:rPr>
      </w:pPr>
      <w:r>
        <w:rPr>
          <w:rFonts w:ascii="Times New Roman" w:hAnsi="Times New Roman"/>
        </w:rPr>
        <w:t>概率法。在各类风险支出数额和发生概率均可进行测算的情况下，可将所有可变风险参数作为变量，根据概率分布函数，计算各种风险发生带来的风险承担支出。</w:t>
      </w:r>
    </w:p>
    <w:p w:rsidR="00127BDE" w:rsidRDefault="00127BDE" w:rsidP="00127BDE">
      <w:pPr>
        <w:spacing w:line="440" w:lineRule="exact"/>
        <w:ind w:firstLineChars="300" w:firstLine="720"/>
        <w:jc w:val="left"/>
      </w:pPr>
      <w:r>
        <w:rPr>
          <w:rFonts w:hint="eastAsia"/>
        </w:rPr>
        <w:fldChar w:fldCharType="begin"/>
      </w:r>
      <w:r>
        <w:rPr>
          <w:rFonts w:hint="eastAsia"/>
        </w:rPr>
        <w:instrText xml:space="preserve"> = 4 \* GB3 \* MERGEFORMAT </w:instrText>
      </w:r>
      <w:r>
        <w:rPr>
          <w:rFonts w:hint="eastAsia"/>
        </w:rPr>
        <w:fldChar w:fldCharType="separate"/>
      </w:r>
      <w:r>
        <w:rPr>
          <w:rFonts w:ascii="宋体" w:hAnsi="宋体" w:cs="宋体" w:hint="eastAsia"/>
        </w:rPr>
        <w:t>④</w:t>
      </w:r>
      <w:r>
        <w:rPr>
          <w:rFonts w:hint="eastAsia"/>
        </w:rPr>
        <w:fldChar w:fldCharType="end"/>
      </w:r>
      <w:r>
        <w:t>配套投入支出责任应综合考虑政府将提供的其他配套投入总成本和社会资本方为此支付的费用。配套投入支出责任中的土地等实物投入或无形资产投入，应依法进行评估，合理确定价值。计算公式为：</w:t>
      </w:r>
      <w:r>
        <w:t xml:space="preserve"> </w:t>
      </w:r>
    </w:p>
    <w:p w:rsidR="00127BDE" w:rsidRDefault="00127BDE" w:rsidP="00127BDE">
      <w:pPr>
        <w:spacing w:line="440" w:lineRule="exact"/>
        <w:ind w:firstLine="480"/>
        <w:jc w:val="left"/>
      </w:pPr>
      <w:r>
        <w:t>配套投入支出数额</w:t>
      </w:r>
      <w:r>
        <w:t>=</w:t>
      </w:r>
      <w:r>
        <w:t>政府拟提供的其他投入总成本</w:t>
      </w:r>
      <w:r>
        <w:t>-</w:t>
      </w:r>
      <w:r>
        <w:t>社会资本方支付的费用</w:t>
      </w:r>
      <w:r>
        <w:t xml:space="preserve"> </w:t>
      </w:r>
    </w:p>
    <w:p w:rsidR="00127BDE" w:rsidRDefault="00127BDE" w:rsidP="00127BDE">
      <w:pPr>
        <w:pStyle w:val="4"/>
      </w:pPr>
      <w:bookmarkStart w:id="66" w:name="_Toc20691_WPSOffice_Level3"/>
      <w:bookmarkStart w:id="67" w:name="_Toc25692_WPSOffice_Level3"/>
      <w:r>
        <w:rPr>
          <w:rFonts w:hint="eastAsia"/>
        </w:rPr>
        <w:t>（</w:t>
      </w:r>
      <w:r>
        <w:rPr>
          <w:rFonts w:hint="eastAsia"/>
        </w:rPr>
        <w:t>4</w:t>
      </w:r>
      <w:r>
        <w:rPr>
          <w:rFonts w:hint="eastAsia"/>
        </w:rPr>
        <w:t>）</w:t>
      </w:r>
      <w:r>
        <w:t>财政承受能力评估</w:t>
      </w:r>
      <w:bookmarkEnd w:id="66"/>
      <w:bookmarkEnd w:id="67"/>
    </w:p>
    <w:p w:rsidR="00127BDE" w:rsidRDefault="00127BDE" w:rsidP="00127BDE">
      <w:pPr>
        <w:spacing w:line="440" w:lineRule="exact"/>
        <w:ind w:firstLine="480"/>
        <w:jc w:val="left"/>
      </w:pPr>
      <w:r>
        <w:t>财政部门（或</w:t>
      </w:r>
      <w:r>
        <w:t>PPP</w:t>
      </w:r>
      <w:r>
        <w:t>中心）识别和测算单个项目的财政支出责任后，汇总年度全部已实施和拟实施的</w:t>
      </w:r>
      <w:r>
        <w:t>PPP</w:t>
      </w:r>
      <w:r>
        <w:t>项目，进行财政承受能力评估。</w:t>
      </w:r>
      <w:r>
        <w:t xml:space="preserve"> </w:t>
      </w:r>
      <w:r>
        <w:t>财政承受能力评估包括财政支出能力评估以及行业和领域平衡性评估。</w:t>
      </w:r>
    </w:p>
    <w:p w:rsidR="00127BDE" w:rsidRDefault="00127BDE" w:rsidP="00127BDE">
      <w:pPr>
        <w:pStyle w:val="11"/>
        <w:widowControl w:val="0"/>
        <w:numPr>
          <w:ilvl w:val="0"/>
          <w:numId w:val="6"/>
        </w:numPr>
        <w:spacing w:line="440" w:lineRule="exact"/>
        <w:ind w:left="2280" w:firstLineChars="0"/>
        <w:rPr>
          <w:rFonts w:ascii="Times New Roman" w:hAnsi="Times New Roman"/>
        </w:rPr>
      </w:pPr>
      <w:r>
        <w:rPr>
          <w:rFonts w:ascii="Times New Roman" w:hAnsi="Times New Roman"/>
        </w:rPr>
        <w:lastRenderedPageBreak/>
        <w:t>财政支出能力评估，是根据</w:t>
      </w:r>
      <w:r>
        <w:rPr>
          <w:rFonts w:ascii="Times New Roman" w:hAnsi="Times New Roman"/>
        </w:rPr>
        <w:t>PPP</w:t>
      </w:r>
      <w:r>
        <w:rPr>
          <w:rFonts w:ascii="Times New Roman" w:hAnsi="Times New Roman"/>
        </w:rPr>
        <w:t>项目预算支出责任，评估</w:t>
      </w:r>
      <w:r>
        <w:rPr>
          <w:rFonts w:ascii="Times New Roman" w:hAnsi="Times New Roman"/>
        </w:rPr>
        <w:t>PPP</w:t>
      </w:r>
      <w:r>
        <w:rPr>
          <w:rFonts w:ascii="Times New Roman" w:hAnsi="Times New Roman"/>
        </w:rPr>
        <w:t>项目实施对当前及今后年度财政支出的影响，每一年度全部</w:t>
      </w:r>
      <w:r>
        <w:rPr>
          <w:rFonts w:ascii="Times New Roman" w:hAnsi="Times New Roman"/>
        </w:rPr>
        <w:t>PPP</w:t>
      </w:r>
      <w:r>
        <w:rPr>
          <w:rFonts w:ascii="Times New Roman" w:hAnsi="Times New Roman"/>
        </w:rPr>
        <w:t>项目需要从预算中安排的支出责任，占一般公共预算支出比例应当不超过</w:t>
      </w:r>
      <w:r>
        <w:rPr>
          <w:rFonts w:ascii="Times New Roman" w:hAnsi="Times New Roman"/>
        </w:rPr>
        <w:t>10%</w:t>
      </w:r>
      <w:r>
        <w:rPr>
          <w:rFonts w:ascii="Times New Roman" w:hAnsi="Times New Roman"/>
        </w:rPr>
        <w:t>。</w:t>
      </w:r>
      <w:r>
        <w:rPr>
          <w:rFonts w:ascii="Times New Roman" w:hAnsi="Times New Roman" w:hint="eastAsia"/>
        </w:rPr>
        <w:t>使用者付费项目应当认真识别是否存在隐性的财政支出责任，如存在隐性支出应进行财政支出能力评估。</w:t>
      </w:r>
    </w:p>
    <w:p w:rsidR="00127BDE" w:rsidRDefault="00127BDE" w:rsidP="00127BDE">
      <w:pPr>
        <w:pStyle w:val="11"/>
        <w:widowControl w:val="0"/>
        <w:numPr>
          <w:ilvl w:val="0"/>
          <w:numId w:val="6"/>
        </w:numPr>
        <w:spacing w:line="440" w:lineRule="exact"/>
        <w:ind w:left="2280" w:firstLineChars="0"/>
        <w:rPr>
          <w:rFonts w:ascii="Times New Roman" w:hAnsi="Times New Roman"/>
        </w:rPr>
      </w:pPr>
      <w:r>
        <w:rPr>
          <w:rFonts w:ascii="Times New Roman" w:hAnsi="Times New Roman"/>
        </w:rPr>
        <w:t>行业和领域均衡性评估，是根据</w:t>
      </w:r>
      <w:r>
        <w:rPr>
          <w:rFonts w:ascii="Times New Roman" w:hAnsi="Times New Roman"/>
        </w:rPr>
        <w:t>PPP</w:t>
      </w:r>
      <w:r>
        <w:rPr>
          <w:rFonts w:ascii="Times New Roman" w:hAnsi="Times New Roman"/>
        </w:rPr>
        <w:t>模式适用的行业和领域范围，以及经济社会发展需要和公众对公共服务的需求，平衡不同行业和领域</w:t>
      </w:r>
      <w:r>
        <w:rPr>
          <w:rFonts w:ascii="Times New Roman" w:hAnsi="Times New Roman"/>
        </w:rPr>
        <w:t>PPP</w:t>
      </w:r>
      <w:r>
        <w:rPr>
          <w:rFonts w:ascii="Times New Roman" w:hAnsi="Times New Roman"/>
        </w:rPr>
        <w:t>项目，防止某一行业和领域</w:t>
      </w:r>
      <w:r>
        <w:rPr>
          <w:rFonts w:ascii="Times New Roman" w:hAnsi="Times New Roman"/>
        </w:rPr>
        <w:t>PPP</w:t>
      </w:r>
      <w:r>
        <w:rPr>
          <w:rFonts w:ascii="Times New Roman" w:hAnsi="Times New Roman"/>
        </w:rPr>
        <w:t>项目过于集中。</w:t>
      </w:r>
    </w:p>
    <w:p w:rsidR="00127BDE" w:rsidRDefault="00127BDE" w:rsidP="00127BDE">
      <w:pPr>
        <w:spacing w:line="440" w:lineRule="exact"/>
        <w:ind w:firstLine="480"/>
        <w:jc w:val="left"/>
      </w:pPr>
      <w:r>
        <w:t>鼓励列入地方政府性债务风险预警名单的高风险地区，采取</w:t>
      </w:r>
      <w:r>
        <w:t>PPP</w:t>
      </w:r>
      <w:r>
        <w:t>模式化解地方融资平台公司存量债务。同时，审慎控制新建</w:t>
      </w:r>
      <w:r>
        <w:t xml:space="preserve"> PPP</w:t>
      </w:r>
      <w:r>
        <w:t>项目规模，防止因项目实施加剧财政收支矛盾。</w:t>
      </w:r>
    </w:p>
    <w:p w:rsidR="00127BDE" w:rsidRDefault="00127BDE" w:rsidP="00127BDE">
      <w:pPr>
        <w:spacing w:line="440" w:lineRule="exact"/>
        <w:ind w:firstLine="480"/>
        <w:jc w:val="left"/>
      </w:pPr>
      <w:r>
        <w:t>在进行财政支出能力评估时，未来年度一般公共预算支出数额可参照前五年相关数额的平均值及平均增长率计算，并根据实际情况进行适当调整。</w:t>
      </w:r>
    </w:p>
    <w:p w:rsidR="00127BDE" w:rsidRDefault="00127BDE" w:rsidP="00127BDE">
      <w:pPr>
        <w:spacing w:line="440" w:lineRule="exact"/>
        <w:ind w:firstLine="480"/>
        <w:jc w:val="left"/>
      </w:pPr>
      <w:r>
        <w:t xml:space="preserve"> “</w:t>
      </w:r>
      <w:r>
        <w:t>通过论证</w:t>
      </w:r>
      <w:r>
        <w:t>”</w:t>
      </w:r>
      <w:r>
        <w:t>且经同级人民政府审核同意实施的</w:t>
      </w:r>
      <w:r>
        <w:t>PPP</w:t>
      </w:r>
      <w:r>
        <w:t>项目，各级财政部门应当将其列入</w:t>
      </w:r>
      <w:r>
        <w:t>PPP</w:t>
      </w:r>
      <w:r>
        <w:t>项目目录，并在编制中期财政规划时，将项目财政支出责任纳入预算统筹安排。</w:t>
      </w:r>
    </w:p>
    <w:p w:rsidR="00127BDE" w:rsidRDefault="00127BDE" w:rsidP="00127BDE">
      <w:pPr>
        <w:spacing w:line="440" w:lineRule="exact"/>
        <w:ind w:firstLine="480"/>
        <w:jc w:val="left"/>
      </w:pPr>
      <w:r>
        <w:t>在</w:t>
      </w:r>
      <w:r>
        <w:t>PPP</w:t>
      </w:r>
      <w:r>
        <w:t>项目正式签订合同时，财政部门（或</w:t>
      </w:r>
      <w:r>
        <w:t>PPP</w:t>
      </w:r>
      <w:r>
        <w:t>中心）应当对合同进行审核，确保合同内容与财政承受能力论证保持一致，防止因合同内容调整导致财政支出责任出现重大变化。财政部门要严格按照合同执行，及时办理支付手续，切实维护地方政府信用，保障公共服务有效供给。</w:t>
      </w:r>
    </w:p>
    <w:p w:rsidR="00127BDE" w:rsidRDefault="00127BDE" w:rsidP="00127BDE">
      <w:pPr>
        <w:pStyle w:val="4"/>
      </w:pPr>
      <w:bookmarkStart w:id="68" w:name="_Toc13298_WPSOffice_Level3"/>
      <w:bookmarkStart w:id="69" w:name="_Toc572_WPSOffice_Level3"/>
      <w:r>
        <w:rPr>
          <w:rFonts w:hint="eastAsia"/>
        </w:rPr>
        <w:t>（</w:t>
      </w:r>
      <w:r>
        <w:rPr>
          <w:rFonts w:hint="eastAsia"/>
        </w:rPr>
        <w:t>5</w:t>
      </w:r>
      <w:r>
        <w:rPr>
          <w:rFonts w:hint="eastAsia"/>
        </w:rPr>
        <w:t>）</w:t>
      </w:r>
      <w:r>
        <w:t>信息披露</w:t>
      </w:r>
      <w:bookmarkEnd w:id="68"/>
      <w:bookmarkEnd w:id="69"/>
    </w:p>
    <w:p w:rsidR="00127BDE" w:rsidRDefault="00127BDE" w:rsidP="00127BDE">
      <w:pPr>
        <w:spacing w:line="440" w:lineRule="exact"/>
        <w:ind w:firstLine="480"/>
        <w:jc w:val="left"/>
      </w:pPr>
      <w:r>
        <w:t>省级财政部门应当汇总区域内的项目目录，及时向财政部报告，财政部通过统一信息平台发布。</w:t>
      </w:r>
    </w:p>
    <w:p w:rsidR="00127BDE" w:rsidRDefault="00127BDE" w:rsidP="00127BDE">
      <w:pPr>
        <w:spacing w:line="440" w:lineRule="exact"/>
        <w:ind w:firstLine="480"/>
        <w:jc w:val="left"/>
      </w:pPr>
      <w:r>
        <w:t>财政部门应当通过官方网站及报刊媒体，每年定期披露当地</w:t>
      </w:r>
      <w:r>
        <w:t>PPP</w:t>
      </w:r>
      <w:r>
        <w:t>项目目录、项目信息及财政支出责任情况。应披露的财政支出责任信息包括：</w:t>
      </w:r>
      <w:r>
        <w:t>PPP</w:t>
      </w:r>
      <w:r>
        <w:t>项目的财政支出责任数额及年度预算安排情况、财政承受能力论证考虑的主要因素和指标等。</w:t>
      </w:r>
    </w:p>
    <w:p w:rsidR="00127BDE" w:rsidRDefault="00127BDE" w:rsidP="00127BDE">
      <w:pPr>
        <w:spacing w:line="440" w:lineRule="exact"/>
        <w:ind w:firstLine="480"/>
        <w:jc w:val="left"/>
      </w:pPr>
      <w:r>
        <w:t>项目实施后，财政部门应跟踪了解项目运营情况，包括项目使用量、成本</w:t>
      </w:r>
      <w:r>
        <w:lastRenderedPageBreak/>
        <w:t>费用、考核指标等信息，定期对外发布。</w:t>
      </w:r>
    </w:p>
    <w:p w:rsidR="00127BDE" w:rsidRDefault="00127BDE" w:rsidP="00127BDE">
      <w:pPr>
        <w:pStyle w:val="3"/>
      </w:pPr>
      <w:bookmarkStart w:id="70" w:name="_Toc11929_WPSOffice_Level2"/>
      <w:bookmarkStart w:id="71" w:name="_Toc7309_WPSOffice_Level2"/>
      <w:bookmarkStart w:id="72" w:name="_Toc528575840"/>
      <w:r>
        <w:rPr>
          <w:rFonts w:hint="eastAsia"/>
        </w:rPr>
        <w:t>5.</w:t>
      </w:r>
      <w:r>
        <w:t>协助项目实施机构选定社会资本方的方案</w:t>
      </w:r>
      <w:bookmarkEnd w:id="70"/>
      <w:bookmarkEnd w:id="71"/>
      <w:bookmarkEnd w:id="72"/>
    </w:p>
    <w:p w:rsidR="00127BDE" w:rsidRDefault="00127BDE" w:rsidP="00127BDE">
      <w:pPr>
        <w:pStyle w:val="4"/>
      </w:pPr>
      <w:bookmarkStart w:id="73" w:name="_Toc22277_WPSOffice_Level3"/>
      <w:bookmarkStart w:id="74" w:name="_Toc30304_WPSOffice_Level3"/>
      <w:r>
        <w:rPr>
          <w:rFonts w:hint="eastAsia"/>
        </w:rPr>
        <w:t>（</w:t>
      </w:r>
      <w:r>
        <w:rPr>
          <w:rFonts w:hint="eastAsia"/>
        </w:rPr>
        <w:t>1</w:t>
      </w:r>
      <w:r>
        <w:rPr>
          <w:rFonts w:hint="eastAsia"/>
        </w:rPr>
        <w:t>）</w:t>
      </w:r>
      <w:r>
        <w:t>采购前期工作</w:t>
      </w:r>
      <w:bookmarkEnd w:id="73"/>
      <w:bookmarkEnd w:id="74"/>
    </w:p>
    <w:p w:rsidR="00127BDE" w:rsidRDefault="00127BDE" w:rsidP="00127BDE">
      <w:pPr>
        <w:spacing w:line="440" w:lineRule="exact"/>
        <w:ind w:firstLine="480"/>
        <w:jc w:val="left"/>
      </w:pPr>
      <w:r>
        <w:t>根据财政部《关于规范政府和社会资本合作合同管理工作的通知》（财金</w:t>
      </w:r>
      <w:r>
        <w:t>[2014]156</w:t>
      </w:r>
      <w:r>
        <w:t>号），《政府和社会资本合作模式操作指南（试行）》（财金</w:t>
      </w:r>
      <w:r>
        <w:t>[2014]113</w:t>
      </w:r>
      <w:r>
        <w:t>号），《政府和社会资本合作项目财政承受能力论证指引》（财金</w:t>
      </w:r>
      <w:r>
        <w:t>[2015]21</w:t>
      </w:r>
      <w:r>
        <w:t>号）以及河南省和</w:t>
      </w:r>
      <w:r>
        <w:rPr>
          <w:rFonts w:hint="eastAsia"/>
        </w:rPr>
        <w:t>许昌市</w:t>
      </w:r>
      <w:r>
        <w:t>相关规定：</w:t>
      </w:r>
    </w:p>
    <w:p w:rsidR="00127BDE" w:rsidRDefault="00127BDE" w:rsidP="00127BDE">
      <w:pPr>
        <w:pStyle w:val="Style6"/>
        <w:ind w:firstLine="480"/>
      </w:pPr>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许昌市公路</w:t>
      </w:r>
      <w:r>
        <w:t>项目</w:t>
      </w:r>
      <w:r>
        <w:t>PPP</w:t>
      </w:r>
      <w:r>
        <w:t>实施方案由</w:t>
      </w:r>
      <w:r>
        <w:rPr>
          <w:rFonts w:hint="eastAsia"/>
        </w:rPr>
        <w:t>许昌市</w:t>
      </w:r>
      <w:r>
        <w:t>相关主管部门提出，由</w:t>
      </w:r>
      <w:r>
        <w:rPr>
          <w:rFonts w:hint="eastAsia"/>
        </w:rPr>
        <w:t>许昌市人民</w:t>
      </w:r>
      <w:r>
        <w:t>政府确定项目实施机构以及政府方出资人，并</w:t>
      </w:r>
      <w:r>
        <w:rPr>
          <w:rFonts w:hint="eastAsia"/>
        </w:rPr>
        <w:t>予以</w:t>
      </w:r>
      <w:r>
        <w:t>授权；</w:t>
      </w:r>
    </w:p>
    <w:p w:rsidR="00127BDE" w:rsidRDefault="00127BDE" w:rsidP="00127BDE">
      <w:pPr>
        <w:pStyle w:val="Style6"/>
        <w:ind w:firstLine="480"/>
      </w:pPr>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t>项目实施方案须经过</w:t>
      </w:r>
      <w:r>
        <w:rPr>
          <w:rFonts w:hint="eastAsia"/>
        </w:rPr>
        <w:t>许昌市财政部门</w:t>
      </w:r>
      <w:r>
        <w:t>的物有所值评价和财政承受能力论证，并出具批准文件；</w:t>
      </w:r>
    </w:p>
    <w:p w:rsidR="00127BDE" w:rsidRDefault="00127BDE" w:rsidP="00127BDE">
      <w:pPr>
        <w:pStyle w:val="Style6"/>
        <w:ind w:firstLine="480"/>
      </w:pPr>
      <w:r>
        <w:fldChar w:fldCharType="begin"/>
      </w:r>
      <w:r>
        <w:instrText xml:space="preserve"> </w:instrText>
      </w:r>
      <w:r>
        <w:rPr>
          <w:rFonts w:hint="eastAsia"/>
        </w:rPr>
        <w:instrText>= 3 \* GB3</w:instrText>
      </w:r>
      <w:r>
        <w:instrText xml:space="preserve"> </w:instrText>
      </w:r>
      <w:r>
        <w:fldChar w:fldCharType="separate"/>
      </w:r>
      <w:r>
        <w:rPr>
          <w:rFonts w:hint="eastAsia"/>
        </w:rPr>
        <w:t>③</w:t>
      </w:r>
      <w:r>
        <w:fldChar w:fldCharType="end"/>
      </w:r>
      <w:r>
        <w:t>项目实施方案由</w:t>
      </w:r>
      <w:r>
        <w:rPr>
          <w:rFonts w:hint="eastAsia"/>
        </w:rPr>
        <w:t>许昌市</w:t>
      </w:r>
      <w:r>
        <w:t>人民政府组织审核。</w:t>
      </w:r>
    </w:p>
    <w:p w:rsidR="00127BDE" w:rsidRDefault="00127BDE" w:rsidP="00127BDE">
      <w:pPr>
        <w:pStyle w:val="4"/>
      </w:pPr>
      <w:bookmarkStart w:id="75" w:name="_Toc31785_WPSOffice_Level3"/>
      <w:bookmarkStart w:id="76" w:name="_Toc1307_WPSOffice_Level3"/>
      <w:r>
        <w:rPr>
          <w:rFonts w:hint="eastAsia"/>
        </w:rPr>
        <w:t>（</w:t>
      </w:r>
      <w:r>
        <w:rPr>
          <w:rFonts w:hint="eastAsia"/>
        </w:rPr>
        <w:t>2</w:t>
      </w:r>
      <w:r>
        <w:rPr>
          <w:rFonts w:hint="eastAsia"/>
        </w:rPr>
        <w:t>）</w:t>
      </w:r>
      <w:r>
        <w:t>社会资本资格条件</w:t>
      </w:r>
      <w:bookmarkEnd w:id="75"/>
      <w:bookmarkEnd w:id="76"/>
    </w:p>
    <w:p w:rsidR="00127BDE" w:rsidRDefault="00127BDE" w:rsidP="00127BDE">
      <w:pPr>
        <w:spacing w:beforeLines="50" w:before="156"/>
        <w:ind w:firstLine="480"/>
        <w:rPr>
          <w:color w:val="000000"/>
        </w:rPr>
      </w:pPr>
      <w:r>
        <w:rPr>
          <w:color w:val="000000"/>
        </w:rPr>
        <w:t>本项目社会资本应具备与本项目建设施工相匹配的施工资质，社会资本采购时，拟通过一次招标的方式选择具备相应施工资质的社会资本，由项目公司与具备相应施工总承包资质、能力及经验的社会资本（即中标社会资本）直接签署工程总承包合同，无需再进行施工二次招标。</w:t>
      </w:r>
      <w:r>
        <w:t xml:space="preserve"> </w:t>
      </w:r>
    </w:p>
    <w:p w:rsidR="00127BDE" w:rsidRDefault="00127BDE" w:rsidP="00127BDE">
      <w:pPr>
        <w:spacing w:line="440" w:lineRule="exact"/>
        <w:ind w:firstLine="480"/>
        <w:jc w:val="left"/>
      </w:pPr>
      <w:r>
        <w:t>社会资本基本资格条件确定框架可如下：</w:t>
      </w:r>
    </w:p>
    <w:p w:rsidR="00127BDE" w:rsidRDefault="00127BDE" w:rsidP="00127BDE">
      <w:pPr>
        <w:spacing w:beforeLines="50" w:before="156"/>
        <w:ind w:firstLine="480"/>
        <w:rPr>
          <w:color w:val="000000"/>
        </w:rPr>
      </w:pPr>
      <w:r>
        <w:rPr>
          <w:color w:val="000000"/>
        </w:rPr>
        <w:fldChar w:fldCharType="begin"/>
      </w:r>
      <w:r>
        <w:rPr>
          <w:color w:val="000000"/>
        </w:rPr>
        <w:instrText xml:space="preserve"> = 1 \* GB3 </w:instrText>
      </w:r>
      <w:r>
        <w:rPr>
          <w:color w:val="000000"/>
        </w:rPr>
        <w:fldChar w:fldCharType="separate"/>
      </w:r>
      <w:r>
        <w:rPr>
          <w:rFonts w:ascii="宋体" w:hAnsi="宋体" w:cs="宋体" w:hint="eastAsia"/>
          <w:color w:val="000000"/>
        </w:rPr>
        <w:t>①</w:t>
      </w:r>
      <w:r>
        <w:rPr>
          <w:color w:val="000000"/>
        </w:rPr>
        <w:fldChar w:fldCharType="end"/>
      </w:r>
      <w:r>
        <w:rPr>
          <w:color w:val="000000"/>
        </w:rPr>
        <w:t>具备中华人民共和国境内的独立法人资格；</w:t>
      </w:r>
    </w:p>
    <w:p w:rsidR="00127BDE" w:rsidRDefault="00127BDE" w:rsidP="00127BDE">
      <w:pPr>
        <w:spacing w:beforeLines="50" w:before="156"/>
        <w:ind w:firstLine="480"/>
        <w:rPr>
          <w:color w:val="000000"/>
        </w:rPr>
      </w:pPr>
      <w:r>
        <w:rPr>
          <w:color w:val="000000"/>
        </w:rPr>
        <w:fldChar w:fldCharType="begin"/>
      </w:r>
      <w:r>
        <w:rPr>
          <w:color w:val="000000"/>
        </w:rPr>
        <w:instrText xml:space="preserve"> = 2 \* GB3 </w:instrText>
      </w:r>
      <w:r>
        <w:rPr>
          <w:color w:val="000000"/>
        </w:rPr>
        <w:fldChar w:fldCharType="separate"/>
      </w:r>
      <w:r>
        <w:rPr>
          <w:rFonts w:ascii="宋体" w:hAnsi="宋体" w:cs="宋体" w:hint="eastAsia"/>
          <w:color w:val="000000"/>
        </w:rPr>
        <w:t>②</w:t>
      </w:r>
      <w:r>
        <w:rPr>
          <w:color w:val="000000"/>
        </w:rPr>
        <w:fldChar w:fldCharType="end"/>
      </w:r>
      <w:r>
        <w:rPr>
          <w:color w:val="000000"/>
        </w:rPr>
        <w:t>具有良好的银行资信、财务状况以及相应的投融资、偿债能力；</w:t>
      </w:r>
    </w:p>
    <w:p w:rsidR="00127BDE" w:rsidRDefault="00127BDE" w:rsidP="00127BDE">
      <w:pPr>
        <w:spacing w:beforeLines="50" w:before="156"/>
        <w:ind w:firstLine="480"/>
        <w:rPr>
          <w:color w:val="000000"/>
        </w:rPr>
      </w:pPr>
      <w:r>
        <w:rPr>
          <w:color w:val="000000"/>
        </w:rPr>
        <w:fldChar w:fldCharType="begin"/>
      </w:r>
      <w:r>
        <w:rPr>
          <w:color w:val="000000"/>
        </w:rPr>
        <w:instrText xml:space="preserve"> = 3 \* GB3 </w:instrText>
      </w:r>
      <w:r>
        <w:rPr>
          <w:color w:val="000000"/>
        </w:rPr>
        <w:fldChar w:fldCharType="separate"/>
      </w:r>
      <w:r>
        <w:rPr>
          <w:rFonts w:ascii="宋体" w:hAnsi="宋体" w:cs="宋体" w:hint="eastAsia"/>
          <w:color w:val="000000"/>
        </w:rPr>
        <w:t>③</w:t>
      </w:r>
      <w:r>
        <w:rPr>
          <w:color w:val="000000"/>
        </w:rPr>
        <w:fldChar w:fldCharType="end"/>
      </w:r>
      <w:r>
        <w:rPr>
          <w:color w:val="000000"/>
        </w:rPr>
        <w:t>截至资格预审申请文件递交截止日，没有处于财产被接管、冻结、破产或其他不良状态；</w:t>
      </w:r>
    </w:p>
    <w:p w:rsidR="00127BDE" w:rsidRDefault="00127BDE" w:rsidP="00127BDE">
      <w:pPr>
        <w:spacing w:beforeLines="50" w:before="156"/>
        <w:ind w:firstLine="480"/>
        <w:rPr>
          <w:color w:val="000000"/>
        </w:rPr>
      </w:pPr>
      <w:r>
        <w:rPr>
          <w:color w:val="000000"/>
        </w:rPr>
        <w:fldChar w:fldCharType="begin"/>
      </w:r>
      <w:r>
        <w:rPr>
          <w:color w:val="000000"/>
        </w:rPr>
        <w:instrText xml:space="preserve"> = 4 \* GB3 </w:instrText>
      </w:r>
      <w:r>
        <w:rPr>
          <w:color w:val="000000"/>
        </w:rPr>
        <w:fldChar w:fldCharType="separate"/>
      </w:r>
      <w:r>
        <w:rPr>
          <w:rFonts w:ascii="宋体" w:hAnsi="宋体" w:cs="宋体" w:hint="eastAsia"/>
          <w:color w:val="000000"/>
        </w:rPr>
        <w:t>④</w:t>
      </w:r>
      <w:r>
        <w:rPr>
          <w:color w:val="000000"/>
        </w:rPr>
        <w:fldChar w:fldCharType="end"/>
      </w:r>
      <w:r>
        <w:rPr>
          <w:color w:val="000000"/>
        </w:rPr>
        <w:t>具有在</w:t>
      </w:r>
      <w:r>
        <w:rPr>
          <w:rFonts w:hint="eastAsia"/>
          <w:color w:val="000000"/>
        </w:rPr>
        <w:t>公路项目</w:t>
      </w:r>
      <w:r>
        <w:rPr>
          <w:color w:val="000000"/>
        </w:rPr>
        <w:t>投资、建设、运营项目的经验；</w:t>
      </w:r>
    </w:p>
    <w:p w:rsidR="00127BDE" w:rsidRDefault="00127BDE" w:rsidP="00127BDE">
      <w:pPr>
        <w:spacing w:beforeLines="50" w:before="156"/>
        <w:ind w:firstLine="480"/>
        <w:rPr>
          <w:color w:val="000000"/>
        </w:rPr>
      </w:pPr>
      <w:r>
        <w:rPr>
          <w:color w:val="000000"/>
        </w:rPr>
        <w:fldChar w:fldCharType="begin"/>
      </w:r>
      <w:r>
        <w:rPr>
          <w:color w:val="000000"/>
        </w:rPr>
        <w:instrText xml:space="preserve"> = 5 \* GB3 </w:instrText>
      </w:r>
      <w:r>
        <w:rPr>
          <w:color w:val="000000"/>
        </w:rPr>
        <w:fldChar w:fldCharType="separate"/>
      </w:r>
      <w:r>
        <w:rPr>
          <w:rFonts w:ascii="宋体" w:hAnsi="宋体" w:cs="宋体" w:hint="eastAsia"/>
          <w:color w:val="000000"/>
        </w:rPr>
        <w:t>⑤</w:t>
      </w:r>
      <w:r>
        <w:rPr>
          <w:color w:val="000000"/>
        </w:rPr>
        <w:fldChar w:fldCharType="end"/>
      </w:r>
      <w:r>
        <w:rPr>
          <w:color w:val="000000"/>
        </w:rPr>
        <w:t xml:space="preserve"> </w:t>
      </w:r>
      <w:r>
        <w:rPr>
          <w:color w:val="000000"/>
        </w:rPr>
        <w:t>商业信誉良好，在经营活动中无违法和不良记录、银行和税务信用评价系统中无不良记录；具备近</w:t>
      </w:r>
      <w:r>
        <w:rPr>
          <w:color w:val="000000"/>
        </w:rPr>
        <w:t>3</w:t>
      </w:r>
      <w:r>
        <w:rPr>
          <w:color w:val="000000"/>
        </w:rPr>
        <w:t>年的资质中介机构出具无保留意见财务审计报告，且未被河南省财政厅禁止进入河南省政府采购市场，同时未被</w:t>
      </w:r>
      <w:r>
        <w:rPr>
          <w:rFonts w:hint="eastAsia"/>
          <w:color w:val="000000"/>
        </w:rPr>
        <w:t>许昌市</w:t>
      </w:r>
      <w:r>
        <w:rPr>
          <w:color w:val="000000"/>
        </w:rPr>
        <w:t>财政局禁止进入当地采购市场；</w:t>
      </w:r>
    </w:p>
    <w:p w:rsidR="00127BDE" w:rsidRDefault="00127BDE" w:rsidP="00127BDE">
      <w:pPr>
        <w:spacing w:beforeLines="50" w:before="156"/>
        <w:ind w:firstLine="480"/>
        <w:rPr>
          <w:color w:val="000000"/>
        </w:rPr>
      </w:pPr>
      <w:r>
        <w:rPr>
          <w:color w:val="000000"/>
        </w:rPr>
        <w:fldChar w:fldCharType="begin"/>
      </w:r>
      <w:r>
        <w:rPr>
          <w:color w:val="000000"/>
        </w:rPr>
        <w:instrText xml:space="preserve"> = 6 \* GB3 </w:instrText>
      </w:r>
      <w:r>
        <w:rPr>
          <w:color w:val="000000"/>
        </w:rPr>
        <w:fldChar w:fldCharType="separate"/>
      </w:r>
      <w:r>
        <w:rPr>
          <w:rFonts w:ascii="宋体" w:hAnsi="宋体" w:cs="宋体" w:hint="eastAsia"/>
          <w:color w:val="000000"/>
        </w:rPr>
        <w:t>⑥</w:t>
      </w:r>
      <w:r>
        <w:rPr>
          <w:color w:val="000000"/>
        </w:rPr>
        <w:fldChar w:fldCharType="end"/>
      </w:r>
      <w:r>
        <w:rPr>
          <w:color w:val="000000"/>
        </w:rPr>
        <w:t>本项目接受联合体投标，单个企业法人投标的，应满足以上全部要求；联合体投标的，联合体成员单位不得超过三家，联合体牵头人应首先满足以上第</w:t>
      </w:r>
      <w:r>
        <w:rPr>
          <w:color w:val="000000"/>
        </w:rPr>
        <w:t>1</w:t>
      </w:r>
      <w:r>
        <w:rPr>
          <w:color w:val="000000"/>
        </w:rPr>
        <w:t>、</w:t>
      </w:r>
      <w:r>
        <w:rPr>
          <w:color w:val="000000"/>
        </w:rPr>
        <w:lastRenderedPageBreak/>
        <w:t>2</w:t>
      </w:r>
      <w:r>
        <w:rPr>
          <w:color w:val="000000"/>
        </w:rPr>
        <w:t>、</w:t>
      </w:r>
      <w:r>
        <w:rPr>
          <w:color w:val="000000"/>
        </w:rPr>
        <w:t>3</w:t>
      </w:r>
      <w:r>
        <w:rPr>
          <w:color w:val="000000"/>
        </w:rPr>
        <w:t>款的要求，在项目公司中占股比例不低于</w:t>
      </w:r>
      <w:r>
        <w:rPr>
          <w:color w:val="000000"/>
        </w:rPr>
        <w:t>40%</w:t>
      </w:r>
      <w:r>
        <w:rPr>
          <w:color w:val="000000"/>
        </w:rPr>
        <w:t>；联合体中承担施工职能的成员单位应满足以上第</w:t>
      </w:r>
      <w:r>
        <w:rPr>
          <w:color w:val="000000"/>
        </w:rPr>
        <w:t>1</w:t>
      </w:r>
      <w:r>
        <w:rPr>
          <w:color w:val="000000"/>
        </w:rPr>
        <w:t>、</w:t>
      </w:r>
      <w:r>
        <w:rPr>
          <w:rFonts w:hint="eastAsia"/>
          <w:color w:val="000000"/>
        </w:rPr>
        <w:t>2</w:t>
      </w:r>
      <w:r>
        <w:rPr>
          <w:rFonts w:hint="eastAsia"/>
          <w:color w:val="000000"/>
        </w:rPr>
        <w:t>、</w:t>
      </w:r>
      <w:r>
        <w:rPr>
          <w:rFonts w:hint="eastAsia"/>
          <w:color w:val="000000"/>
        </w:rPr>
        <w:t>3</w:t>
      </w:r>
      <w:r>
        <w:rPr>
          <w:rFonts w:hint="eastAsia"/>
          <w:color w:val="000000"/>
        </w:rPr>
        <w:t>、</w:t>
      </w:r>
      <w:r>
        <w:rPr>
          <w:color w:val="000000"/>
        </w:rPr>
        <w:t>4</w:t>
      </w:r>
      <w:r>
        <w:rPr>
          <w:color w:val="000000"/>
        </w:rPr>
        <w:t>、</w:t>
      </w:r>
      <w:r>
        <w:rPr>
          <w:color w:val="000000"/>
        </w:rPr>
        <w:t>5</w:t>
      </w:r>
      <w:r>
        <w:rPr>
          <w:color w:val="000000"/>
        </w:rPr>
        <w:t>款的要求；</w:t>
      </w:r>
      <w:r>
        <w:rPr>
          <w:rFonts w:hint="eastAsia"/>
          <w:color w:val="000000"/>
        </w:rPr>
        <w:t>如</w:t>
      </w:r>
      <w:r>
        <w:rPr>
          <w:color w:val="000000"/>
        </w:rPr>
        <w:t>联合体中承担施工职能的成员单位不作为牵头人的</w:t>
      </w:r>
      <w:r>
        <w:t>，</w:t>
      </w:r>
      <w:r>
        <w:rPr>
          <w:rFonts w:hint="eastAsia"/>
        </w:rPr>
        <w:t>则</w:t>
      </w:r>
      <w:r>
        <w:t>应与</w:t>
      </w:r>
      <w:r>
        <w:rPr>
          <w:color w:val="000000"/>
        </w:rPr>
        <w:t>牵头人单位为关联方关系（母子公司或同一实际控制人）；</w:t>
      </w:r>
    </w:p>
    <w:p w:rsidR="00127BDE" w:rsidRDefault="00127BDE" w:rsidP="00127BDE">
      <w:pPr>
        <w:spacing w:beforeLines="50" w:before="156"/>
        <w:ind w:firstLine="480"/>
        <w:rPr>
          <w:color w:val="000000"/>
        </w:rPr>
      </w:pPr>
      <w:r>
        <w:rPr>
          <w:color w:val="000000"/>
        </w:rPr>
        <w:fldChar w:fldCharType="begin"/>
      </w:r>
      <w:r>
        <w:rPr>
          <w:color w:val="000000"/>
        </w:rPr>
        <w:instrText xml:space="preserve"> = 7 \* GB3 </w:instrText>
      </w:r>
      <w:r>
        <w:rPr>
          <w:color w:val="000000"/>
        </w:rPr>
        <w:fldChar w:fldCharType="separate"/>
      </w:r>
      <w:r>
        <w:rPr>
          <w:rFonts w:ascii="宋体" w:hAnsi="宋体" w:cs="宋体" w:hint="eastAsia"/>
          <w:color w:val="000000"/>
        </w:rPr>
        <w:t>⑦</w:t>
      </w:r>
      <w:r>
        <w:rPr>
          <w:color w:val="000000"/>
        </w:rPr>
        <w:fldChar w:fldCharType="end"/>
      </w:r>
      <w:r>
        <w:rPr>
          <w:color w:val="000000"/>
        </w:rPr>
        <w:t>联合体各成员不得再单独参加或者与其他供应商另外组成联合体参加本项目的政府采购活动。</w:t>
      </w:r>
    </w:p>
    <w:p w:rsidR="00127BDE" w:rsidRDefault="00127BDE" w:rsidP="00127BDE">
      <w:pPr>
        <w:pStyle w:val="4"/>
      </w:pPr>
      <w:bookmarkStart w:id="77" w:name="_Toc3700_WPSOffice_Level3"/>
      <w:bookmarkStart w:id="78" w:name="_Toc4675_WPSOffice_Level3"/>
      <w:r>
        <w:rPr>
          <w:rFonts w:hint="eastAsia"/>
        </w:rPr>
        <w:t>（</w:t>
      </w:r>
      <w:r>
        <w:rPr>
          <w:rFonts w:hint="eastAsia"/>
        </w:rPr>
        <w:t>3</w:t>
      </w:r>
      <w:r>
        <w:rPr>
          <w:rFonts w:hint="eastAsia"/>
        </w:rPr>
        <w:t>）</w:t>
      </w:r>
      <w:r>
        <w:t>资格预审</w:t>
      </w:r>
      <w:bookmarkEnd w:id="77"/>
      <w:bookmarkEnd w:id="78"/>
    </w:p>
    <w:p w:rsidR="00127BDE" w:rsidRDefault="00127BDE" w:rsidP="00127BDE">
      <w:pPr>
        <w:spacing w:line="440" w:lineRule="exact"/>
        <w:ind w:firstLine="480"/>
        <w:jc w:val="left"/>
      </w:pPr>
      <w:r>
        <w:t>项目实施机构应根据项目需要准备资格预审文件，发布资格预审公告，邀请社会资本和与其合作的金融机构参与资格预审，验证项目能否获得社会资本响应和实现充分竞争，并将资格预审的评审报告提交财政部门（政府和社会资本合作中心）备案。</w:t>
      </w:r>
    </w:p>
    <w:p w:rsidR="00127BDE" w:rsidRDefault="00127BDE" w:rsidP="00127BDE">
      <w:pPr>
        <w:spacing w:line="440" w:lineRule="exact"/>
        <w:ind w:firstLine="480"/>
        <w:jc w:val="left"/>
      </w:pPr>
      <w:r>
        <w:t>项目有</w:t>
      </w:r>
      <w:r>
        <w:t>3</w:t>
      </w:r>
      <w:r>
        <w:t>家以上社会资本通过资格预审的，项目实施机构可以继续开展采购文件准备工作；项目通过资格预审的社会资本不足</w:t>
      </w:r>
      <w:r>
        <w:t>3</w:t>
      </w:r>
      <w:r>
        <w:t>家的，项目实施机构应在实施方案调整后重新组织资格预审；项目经重新资格预审合格社会资本仍不够</w:t>
      </w:r>
      <w:r>
        <w:t>3</w:t>
      </w:r>
      <w:r>
        <w:t>家的，可依法调整实施方案选择的采购方式。</w:t>
      </w:r>
    </w:p>
    <w:p w:rsidR="00127BDE" w:rsidRDefault="00127BDE" w:rsidP="00127BDE">
      <w:pPr>
        <w:ind w:firstLine="480"/>
      </w:pPr>
      <w:r>
        <w:t>资格预审结果应当告知所有参与资格预审的社会资本，并将资格预审的评审报告提交财政部门备案。</w:t>
      </w:r>
    </w:p>
    <w:p w:rsidR="00127BDE" w:rsidRDefault="00127BDE" w:rsidP="00127BDE">
      <w:pPr>
        <w:spacing w:line="440" w:lineRule="exact"/>
        <w:ind w:firstLine="480"/>
        <w:jc w:val="left"/>
      </w:pPr>
      <w:r>
        <w:t>资格预审公告应包括项目授权主体、项目实施机构和项目名称、采购需求、对社会资本的资格要求、是否允许联合体参与采购活动、拟确定参与竞争的合格社会资本的家数和确定方法，以及社会资本提交资格预审申请文件的时间和地点。提交资格预审申请文件的时间自公告发布之日起不得少于</w:t>
      </w:r>
      <w:r>
        <w:t>15</w:t>
      </w:r>
      <w:r>
        <w:t>个工作日。</w:t>
      </w:r>
    </w:p>
    <w:p w:rsidR="00127BDE" w:rsidRDefault="00127BDE" w:rsidP="00127BDE">
      <w:pPr>
        <w:pStyle w:val="4"/>
      </w:pPr>
      <w:bookmarkStart w:id="79" w:name="_Toc28038_WPSOffice_Level3"/>
      <w:bookmarkStart w:id="80" w:name="_Toc11463_WPSOffice_Level3"/>
      <w:r>
        <w:rPr>
          <w:rFonts w:hint="eastAsia"/>
        </w:rPr>
        <w:t>（</w:t>
      </w:r>
      <w:r>
        <w:rPr>
          <w:rFonts w:hint="eastAsia"/>
        </w:rPr>
        <w:t>4</w:t>
      </w:r>
      <w:r>
        <w:rPr>
          <w:rFonts w:hint="eastAsia"/>
        </w:rPr>
        <w:t>）</w:t>
      </w:r>
      <w:r>
        <w:t>采购工作组织</w:t>
      </w:r>
      <w:bookmarkEnd w:id="79"/>
      <w:bookmarkEnd w:id="80"/>
    </w:p>
    <w:p w:rsidR="00127BDE" w:rsidRDefault="00127BDE" w:rsidP="00127BDE">
      <w:pPr>
        <w:pStyle w:val="5"/>
      </w:pPr>
      <w:r>
        <w:rPr>
          <w:rFonts w:hint="eastAsia"/>
        </w:rPr>
        <w:t>1</w:t>
      </w:r>
      <w:r>
        <w:rPr>
          <w:rFonts w:hint="eastAsia"/>
        </w:rPr>
        <w:t>）</w:t>
      </w:r>
      <w:r>
        <w:t>项目采购文件编制</w:t>
      </w:r>
    </w:p>
    <w:p w:rsidR="00127BDE" w:rsidRDefault="00127BDE" w:rsidP="00127BDE">
      <w:pPr>
        <w:ind w:firstLine="480"/>
      </w:pPr>
      <w:r>
        <w:t>项目采购文件应包括采购邀请、竞争者须知</w:t>
      </w:r>
      <w:r>
        <w:t>(</w:t>
      </w:r>
      <w:r>
        <w:t>包括密封、签署、盖章要求等</w:t>
      </w:r>
      <w:r>
        <w:t>)</w:t>
      </w:r>
      <w:r>
        <w:t>、竞争者应提供的资格、资信及业绩证明文件、采购方式、政府对项目实施机构的授权、实施方案的批复和项目相关审批文件、采购程序、响应文件编制要求、提交响应文件截止时间、开启时间及地点、强制担保的保证金交纳数额和形式、评审方法、评审标准、政府采购政策要求、项目合同草案及其他法律文本等。项目采购文件中还应当明确项目合同必须报请本级人民政府审核同意，在获得同意前项目合同不得生效。</w:t>
      </w:r>
    </w:p>
    <w:p w:rsidR="00127BDE" w:rsidRDefault="00127BDE" w:rsidP="00127BDE">
      <w:pPr>
        <w:ind w:firstLine="480"/>
      </w:pPr>
      <w:r>
        <w:lastRenderedPageBreak/>
        <w:t>采用竞争性谈判或者竞争性磋商采购方式的，项目采购文件除上款规定的内容外，还应当明确评审小组根据与社会资本谈判情况可能实质性变动的内容，包括采购需求中的技术、服务要求以及项目合同草案条款。</w:t>
      </w:r>
    </w:p>
    <w:p w:rsidR="00127BDE" w:rsidRDefault="00127BDE" w:rsidP="00127BDE">
      <w:pPr>
        <w:ind w:firstLine="480"/>
      </w:pPr>
      <w:r>
        <w:t>项目实施机构应当在资格预审公告、采购公告、采购文件、项目合同中列明采购本国货物和服务、技术引进和转让等政策要求，以及对社会资本参与采购活动和履约保证的担保要求。</w:t>
      </w:r>
    </w:p>
    <w:p w:rsidR="00127BDE" w:rsidRDefault="00127BDE" w:rsidP="00127BDE">
      <w:pPr>
        <w:ind w:firstLine="480"/>
      </w:pPr>
      <w:r>
        <w:t>项目实施机构应当组织社会资本进行现场考察或者召开采购前答疑会，但不得单独或者分别组织只有一个社会资本参加的现场考察和答疑会。项目实施机构可以视项目的具体情况，组织对符合条件的社会资本的资格条件进行考察核实。</w:t>
      </w:r>
    </w:p>
    <w:p w:rsidR="00127BDE" w:rsidRDefault="00127BDE" w:rsidP="00127BDE">
      <w:pPr>
        <w:pStyle w:val="5"/>
      </w:pPr>
      <w:r>
        <w:rPr>
          <w:rFonts w:hint="eastAsia"/>
        </w:rPr>
        <w:t>2</w:t>
      </w:r>
      <w:r>
        <w:rPr>
          <w:rFonts w:hint="eastAsia"/>
        </w:rPr>
        <w:t>）</w:t>
      </w:r>
      <w:r>
        <w:t>响应文件评审</w:t>
      </w:r>
    </w:p>
    <w:p w:rsidR="00127BDE" w:rsidRDefault="00127BDE" w:rsidP="00127BDE">
      <w:pPr>
        <w:ind w:firstLine="480"/>
      </w:pPr>
      <w:r>
        <w:t>项目</w:t>
      </w:r>
      <w:r>
        <w:t>PPP</w:t>
      </w:r>
      <w:r>
        <w:t>运作需建立方案评审小组。评审小组成员应当按照客观、公正、审慎的原则，根据资格预审公告和采购文件规定的程序、方法和标准进行资格预审和独立评审。已进行资格预审的，评审小组在评审阶段可以不再对社会资本进行资格审查。允许进行资格后审的，由评审小组在响应文件评审环节对社会资本进行资格审查。</w:t>
      </w:r>
    </w:p>
    <w:p w:rsidR="00127BDE" w:rsidRDefault="00127BDE" w:rsidP="00127BDE">
      <w:pPr>
        <w:ind w:firstLine="480"/>
      </w:pPr>
      <w:r>
        <w:t>评审小组成员应当在资格预审报告和评审报告上签字，对自己的评审意见承担法律责任。对资格预审报告或者评审报告有异议的，应当在报告上签署不同意见，并说明理由，否则视为同意资格预审报告和评审报告。</w:t>
      </w:r>
    </w:p>
    <w:p w:rsidR="00127BDE" w:rsidRDefault="00127BDE" w:rsidP="00127BDE">
      <w:pPr>
        <w:ind w:firstLine="480"/>
      </w:pPr>
      <w:r>
        <w:t>评审小组发现采购文件内容违反国家有关强制性规定的，应当停止评审并向项目实施机构说明情况。</w:t>
      </w:r>
    </w:p>
    <w:p w:rsidR="00127BDE" w:rsidRDefault="00127BDE" w:rsidP="00127BDE">
      <w:pPr>
        <w:ind w:firstLine="480"/>
      </w:pPr>
      <w:r>
        <w:t>评审专家应当遵守评审工作纪律，不得泄露评审情况和评审中获悉的国家秘密、商业秘密。</w:t>
      </w:r>
    </w:p>
    <w:p w:rsidR="00127BDE" w:rsidRDefault="00127BDE" w:rsidP="00127BDE">
      <w:pPr>
        <w:ind w:firstLine="480"/>
      </w:pPr>
      <w:r>
        <w:t>评审小组在评审过程中发现社会资本有行贿、提供虚假材料或者串通等违法行为的，应当及时向财政部门报告。</w:t>
      </w:r>
    </w:p>
    <w:p w:rsidR="00127BDE" w:rsidRDefault="00127BDE" w:rsidP="00127BDE">
      <w:pPr>
        <w:ind w:firstLine="480"/>
      </w:pPr>
      <w:r>
        <w:t>评审专家在评审过程中受到非法干涉的，应当及时向财政、监察等部门举报。</w:t>
      </w:r>
    </w:p>
    <w:p w:rsidR="00127BDE" w:rsidRDefault="00127BDE" w:rsidP="00127BDE">
      <w:pPr>
        <w:ind w:firstLine="480"/>
      </w:pPr>
      <w:r>
        <w:t>PPP</w:t>
      </w:r>
      <w:r>
        <w:t>项目采购评审结束后，项目实施机构应当成立专门的采购结果确认谈判工作组，负责采购结果确认前的谈判和最终的采购结果确认工作。</w:t>
      </w:r>
    </w:p>
    <w:p w:rsidR="00127BDE" w:rsidRDefault="00127BDE" w:rsidP="00127BDE">
      <w:pPr>
        <w:spacing w:line="440" w:lineRule="exact"/>
        <w:ind w:firstLine="480"/>
        <w:jc w:val="left"/>
      </w:pPr>
      <w:r>
        <w:t>采购结果确认谈判工作组成员及数量由项目实施机构确定，评审小组由项目实施机构代表和评审专家共</w:t>
      </w:r>
      <w:r>
        <w:t>5</w:t>
      </w:r>
      <w:r>
        <w:t>人以上单数组成，其中评审专家人数不得少于评审小组成员总数的</w:t>
      </w:r>
      <w:r>
        <w:t>2/3</w:t>
      </w:r>
      <w:r>
        <w:t>评审专家可以由项目实施机构自行选定，但评审专家中应至少包含</w:t>
      </w:r>
      <w:r>
        <w:t>1</w:t>
      </w:r>
      <w:r>
        <w:t>名财务专家和</w:t>
      </w:r>
      <w:r>
        <w:t>1</w:t>
      </w:r>
      <w:r>
        <w:t>名法律专家。项目实施机构代表不得以评审专家身份参加项目的评审。评审小组成员可以作为采购结果确认谈判工作组成员参与采购结果确认谈判。</w:t>
      </w:r>
    </w:p>
    <w:p w:rsidR="00127BDE" w:rsidRDefault="00127BDE" w:rsidP="00127BDE">
      <w:pPr>
        <w:pStyle w:val="5"/>
      </w:pPr>
      <w:r>
        <w:rPr>
          <w:rFonts w:hint="eastAsia"/>
        </w:rPr>
        <w:t>3</w:t>
      </w:r>
      <w:r>
        <w:rPr>
          <w:rFonts w:hint="eastAsia"/>
        </w:rPr>
        <w:t>）</w:t>
      </w:r>
      <w:r>
        <w:t>谈判与合同签署</w:t>
      </w:r>
    </w:p>
    <w:p w:rsidR="00127BDE" w:rsidRDefault="00127BDE" w:rsidP="00127BDE">
      <w:pPr>
        <w:spacing w:line="440" w:lineRule="exact"/>
        <w:ind w:firstLine="480"/>
        <w:jc w:val="left"/>
      </w:pPr>
      <w:r>
        <w:t>项目实施机构应成立专门的采购结果确认谈判工作组。按照候选社会资本</w:t>
      </w:r>
      <w:r>
        <w:lastRenderedPageBreak/>
        <w:t>的排名，依次与候选社会资本及与其合作的金融机构就合同中可变的细节问题进行合同签署前的确认谈判，率先达成一致的即为中选者。确认谈判不得涉及合同中不可谈判的核心条款，不得与排序在前但己终止谈判的社会资本进行再次谈判。</w:t>
      </w:r>
    </w:p>
    <w:p w:rsidR="00127BDE" w:rsidRDefault="00127BDE" w:rsidP="00127BDE">
      <w:pPr>
        <w:ind w:firstLine="480"/>
      </w:pPr>
      <w:r>
        <w:t>确认谈判完成后，项目实施机构应与中选社会资本签署确认谈判备忘录，并将采购结果和根据采购文件、响应文件、补遗文件和确认谈判备忘录拟定的合同文本进行公示，公示期不得少于</w:t>
      </w:r>
      <w:r>
        <w:t>5</w:t>
      </w:r>
      <w:r>
        <w:t>个工作日。项目合同文本应当将预中标、成交社会资本响应文件中的重要承诺和技术文件等作为附件。项目合同文本涉及国家秘密、商业秘密的内容可以不公示。</w:t>
      </w:r>
    </w:p>
    <w:p w:rsidR="00127BDE" w:rsidRDefault="00127BDE" w:rsidP="00127BDE">
      <w:pPr>
        <w:ind w:firstLine="480"/>
      </w:pPr>
      <w:r>
        <w:t>项目实施机构应当在公示期满无异议后</w:t>
      </w:r>
      <w:r>
        <w:t>2</w:t>
      </w:r>
      <w:r>
        <w:t>个工作日内，将中标、成交结果在省级以上人民政府财政部门指定的政府采购信息发布媒体上进行公告，同时发出中标、成交通知书。</w:t>
      </w:r>
    </w:p>
    <w:p w:rsidR="00127BDE" w:rsidRDefault="00127BDE" w:rsidP="00127BDE">
      <w:pPr>
        <w:ind w:firstLine="480"/>
      </w:pPr>
      <w:r>
        <w:t>中标、成交结果公告内容应当包括：项目实施机构和采购代理机构的名称、地址和联系方式；项目名称和项目编号；中标或者成交社会资本的名称、地址、法人代表；中标或者成交标的名称、主要中标或者成交条件（包括但不限于合作期限、服务要求、项目概算、回报机制）等；评审小组和采购结果确认谈判工作组成员名单。</w:t>
      </w:r>
    </w:p>
    <w:p w:rsidR="00127BDE" w:rsidRDefault="00127BDE" w:rsidP="00127BDE">
      <w:pPr>
        <w:ind w:firstLine="480"/>
      </w:pPr>
      <w:r>
        <w:t>中标、成交结果公告内容应当包括：项目实施机构和采购代理机构的名称、地址和联系方式；项目名称和项目编号；中标或者成交社会资本的名称、地址、法人代表；中标或者成交标的名称、主要中标或者成交条件（包括但不限于合作期限、服务要求、项目概算、回报机制）等；评审小组和采购结果确认谈判工作组成员名单。</w:t>
      </w:r>
    </w:p>
    <w:p w:rsidR="00127BDE" w:rsidRDefault="00127BDE" w:rsidP="00127BDE">
      <w:pPr>
        <w:spacing w:line="440" w:lineRule="exact"/>
        <w:ind w:firstLine="480"/>
        <w:jc w:val="left"/>
      </w:pPr>
      <w:r>
        <w:t>公示期满无异议的项目合同，应在政府审核同意后，由项目实施机构与中选社会资本签署。需要为项目设立专门项目公司的，待项目公司成立后，由项目公司与项目实施机构重新签署项目合同，或签署关于承继项目合同的补充合同。</w:t>
      </w:r>
    </w:p>
    <w:p w:rsidR="00127BDE" w:rsidRDefault="00127BDE" w:rsidP="00127BDE">
      <w:pPr>
        <w:ind w:firstLine="480"/>
      </w:pPr>
      <w:r>
        <w:t>需要为</w:t>
      </w:r>
      <w:r>
        <w:t>PPP</w:t>
      </w:r>
      <w:r>
        <w:t>项目设立专门项目公司的，待项目公司成立后，由项目公司与项目实施机构重新签署</w:t>
      </w:r>
      <w:r>
        <w:t>PPP</w:t>
      </w:r>
      <w:r>
        <w:t>项目合同，或者签署关于继承</w:t>
      </w:r>
      <w:r>
        <w:t>PPP</w:t>
      </w:r>
      <w:r>
        <w:t>项目合同的补充合同。</w:t>
      </w:r>
    </w:p>
    <w:p w:rsidR="00127BDE" w:rsidRDefault="00127BDE" w:rsidP="00127BDE">
      <w:pPr>
        <w:ind w:firstLine="480"/>
      </w:pPr>
      <w:r>
        <w:t>项目实施机构应当在</w:t>
      </w:r>
      <w:r>
        <w:t>PPP</w:t>
      </w:r>
      <w:r>
        <w:t>项目合同签订之日起</w:t>
      </w:r>
      <w:r>
        <w:t>2</w:t>
      </w:r>
      <w:r>
        <w:t>个工作日内，将</w:t>
      </w:r>
      <w:r>
        <w:t>PPP</w:t>
      </w:r>
      <w:r>
        <w:t>项目合同在省级以上人民政府财政部门指定的政府采购信息发布媒体上公告，但</w:t>
      </w:r>
      <w:r>
        <w:t>PPP</w:t>
      </w:r>
      <w:r>
        <w:t>项目合同中涉及国家秘密、商业秘密的内容除外。</w:t>
      </w:r>
    </w:p>
    <w:p w:rsidR="00127BDE" w:rsidRDefault="00127BDE" w:rsidP="00127BDE">
      <w:pPr>
        <w:pStyle w:val="4"/>
      </w:pPr>
      <w:bookmarkStart w:id="81" w:name="_Toc1844_WPSOffice_Level3"/>
      <w:bookmarkStart w:id="82" w:name="_Toc807_WPSOffice_Level3"/>
      <w:r>
        <w:rPr>
          <w:rFonts w:hint="eastAsia"/>
        </w:rPr>
        <w:t>（</w:t>
      </w:r>
      <w:r>
        <w:rPr>
          <w:rFonts w:hint="eastAsia"/>
        </w:rPr>
        <w:t>5</w:t>
      </w:r>
      <w:r>
        <w:rPr>
          <w:rFonts w:hint="eastAsia"/>
        </w:rPr>
        <w:t>）</w:t>
      </w:r>
      <w:r>
        <w:t>履约保障</w:t>
      </w:r>
      <w:bookmarkEnd w:id="81"/>
      <w:bookmarkEnd w:id="82"/>
    </w:p>
    <w:p w:rsidR="00127BDE" w:rsidRDefault="00127BDE" w:rsidP="00127BDE">
      <w:pPr>
        <w:pStyle w:val="11"/>
        <w:spacing w:line="440" w:lineRule="exact"/>
        <w:ind w:firstLine="480"/>
        <w:rPr>
          <w:rFonts w:ascii="Times New Roman" w:hAnsi="Times New Roman"/>
        </w:rPr>
      </w:pPr>
      <w:r>
        <w:rPr>
          <w:rFonts w:ascii="Times New Roman" w:hAnsi="Times New Roman"/>
        </w:rPr>
        <w:fldChar w:fldCharType="begin"/>
      </w:r>
      <w:r>
        <w:rPr>
          <w:rFonts w:ascii="Times New Roman" w:hAnsi="Times New Roman"/>
        </w:rPr>
        <w:instrText xml:space="preserve"> = 1 \* GB3 </w:instrText>
      </w:r>
      <w:r>
        <w:rPr>
          <w:rFonts w:ascii="Times New Roman" w:hAnsi="Times New Roman"/>
        </w:rPr>
        <w:fldChar w:fldCharType="separate"/>
      </w:r>
      <w:r>
        <w:rPr>
          <w:rFonts w:ascii="宋体" w:hAnsi="宋体" w:cs="宋体" w:hint="eastAsia"/>
        </w:rPr>
        <w:t>①</w:t>
      </w:r>
      <w:r>
        <w:rPr>
          <w:rFonts w:ascii="Times New Roman" w:hAnsi="Times New Roman"/>
        </w:rPr>
        <w:fldChar w:fldCharType="end"/>
      </w:r>
      <w:r>
        <w:rPr>
          <w:rFonts w:ascii="Times New Roman" w:hAnsi="Times New Roman"/>
        </w:rPr>
        <w:t>投标保证金：控制在项目投资总额的</w:t>
      </w:r>
      <w:r>
        <w:rPr>
          <w:rFonts w:ascii="Times New Roman" w:hAnsi="Times New Roman"/>
        </w:rPr>
        <w:t>2%</w:t>
      </w:r>
      <w:r>
        <w:rPr>
          <w:rFonts w:ascii="Times New Roman" w:hAnsi="Times New Roman"/>
        </w:rPr>
        <w:t>以内；中标社会资本方投标保证金在项目公司成立并提交建设期保函后退还。</w:t>
      </w:r>
    </w:p>
    <w:p w:rsidR="00127BDE" w:rsidRDefault="00127BDE" w:rsidP="00127BDE">
      <w:pPr>
        <w:pStyle w:val="11"/>
        <w:spacing w:line="440" w:lineRule="exact"/>
        <w:ind w:firstLine="480"/>
        <w:rPr>
          <w:rFonts w:ascii="Times New Roman" w:hAnsi="Times New Roman"/>
        </w:rPr>
      </w:pPr>
      <w:r>
        <w:rPr>
          <w:rFonts w:ascii="Times New Roman" w:hAnsi="Times New Roman"/>
        </w:rPr>
        <w:lastRenderedPageBreak/>
        <w:fldChar w:fldCharType="begin"/>
      </w:r>
      <w:r>
        <w:rPr>
          <w:rFonts w:ascii="Times New Roman" w:hAnsi="Times New Roman"/>
        </w:rPr>
        <w:instrText xml:space="preserve"> = 2 \* GB3 </w:instrText>
      </w:r>
      <w:r>
        <w:rPr>
          <w:rFonts w:ascii="Times New Roman" w:hAnsi="Times New Roman"/>
        </w:rPr>
        <w:fldChar w:fldCharType="separate"/>
      </w:r>
      <w:r>
        <w:rPr>
          <w:rFonts w:ascii="宋体" w:hAnsi="宋体" w:cs="宋体" w:hint="eastAsia"/>
        </w:rPr>
        <w:t>②</w:t>
      </w:r>
      <w:r>
        <w:rPr>
          <w:rFonts w:ascii="Times New Roman" w:hAnsi="Times New Roman"/>
        </w:rPr>
        <w:fldChar w:fldCharType="end"/>
      </w:r>
      <w:r>
        <w:rPr>
          <w:rFonts w:ascii="Times New Roman" w:hAnsi="Times New Roman"/>
        </w:rPr>
        <w:t>合作期保证金与保函：建议控制在项目投资总额</w:t>
      </w:r>
      <w:r>
        <w:rPr>
          <w:rFonts w:ascii="Times New Roman" w:hAnsi="Times New Roman"/>
        </w:rPr>
        <w:t>10%</w:t>
      </w:r>
      <w:r>
        <w:rPr>
          <w:rFonts w:ascii="Times New Roman" w:hAnsi="Times New Roman"/>
        </w:rPr>
        <w:t>以内，且分阶段设置：建设期保函、运营期保证金、移交维修保函</w:t>
      </w:r>
      <w:r>
        <w:rPr>
          <w:rFonts w:ascii="Times New Roman" w:hAnsi="Times New Roman" w:hint="eastAsia"/>
        </w:rPr>
        <w:t>：</w:t>
      </w:r>
    </w:p>
    <w:p w:rsidR="00127BDE" w:rsidRDefault="00127BDE" w:rsidP="00127BDE">
      <w:pPr>
        <w:pStyle w:val="11"/>
        <w:spacing w:line="440" w:lineRule="exact"/>
        <w:ind w:firstLine="480"/>
        <w:rPr>
          <w:rFonts w:ascii="Times New Roman" w:hAnsi="Times New Roman"/>
        </w:rPr>
      </w:pPr>
      <w:r>
        <w:rPr>
          <w:rFonts w:ascii="Times New Roman" w:hAnsi="Times New Roman"/>
        </w:rPr>
        <w:t>建设期履约保函</w:t>
      </w:r>
      <w:r>
        <w:rPr>
          <w:rFonts w:ascii="Times New Roman" w:hAnsi="Times New Roman" w:hint="eastAsia"/>
        </w:rPr>
        <w:t>的</w:t>
      </w:r>
      <w:r>
        <w:rPr>
          <w:rFonts w:ascii="Times New Roman" w:hAnsi="Times New Roman"/>
        </w:rPr>
        <w:t>保函金额不得超过项目预算金额的</w:t>
      </w:r>
      <w:r>
        <w:rPr>
          <w:rFonts w:ascii="Times New Roman" w:hAnsi="Times New Roman"/>
        </w:rPr>
        <w:t>10%</w:t>
      </w:r>
      <w:r>
        <w:rPr>
          <w:rFonts w:ascii="Times New Roman" w:hAnsi="Times New Roman" w:hint="eastAsia"/>
        </w:rPr>
        <w:t>；</w:t>
      </w:r>
    </w:p>
    <w:p w:rsidR="00127BDE" w:rsidRDefault="00127BDE" w:rsidP="00127BDE">
      <w:pPr>
        <w:pStyle w:val="11"/>
        <w:spacing w:line="440" w:lineRule="exact"/>
        <w:ind w:firstLine="480"/>
        <w:rPr>
          <w:rFonts w:ascii="Times New Roman" w:hAnsi="Times New Roman"/>
        </w:rPr>
      </w:pPr>
      <w:r>
        <w:rPr>
          <w:rFonts w:ascii="Times New Roman" w:hAnsi="Times New Roman"/>
        </w:rPr>
        <w:t>运营维护保函</w:t>
      </w:r>
      <w:r>
        <w:rPr>
          <w:rFonts w:ascii="Times New Roman" w:hAnsi="Times New Roman" w:hint="eastAsia"/>
        </w:rPr>
        <w:t>的</w:t>
      </w:r>
      <w:r>
        <w:rPr>
          <w:rFonts w:ascii="Times New Roman" w:hAnsi="Times New Roman"/>
        </w:rPr>
        <w:t>保函金额不得超过项目初始投资总额或资产评估值的</w:t>
      </w:r>
      <w:r>
        <w:rPr>
          <w:rFonts w:ascii="Times New Roman" w:hAnsi="Times New Roman"/>
        </w:rPr>
        <w:t>10%</w:t>
      </w:r>
      <w:r>
        <w:rPr>
          <w:rFonts w:ascii="Times New Roman" w:hAnsi="Times New Roman" w:hint="eastAsia"/>
        </w:rPr>
        <w:t>；</w:t>
      </w:r>
    </w:p>
    <w:p w:rsidR="00127BDE" w:rsidRDefault="00127BDE" w:rsidP="00127BDE">
      <w:pPr>
        <w:pStyle w:val="11"/>
        <w:spacing w:line="440" w:lineRule="exact"/>
        <w:ind w:firstLine="480"/>
        <w:rPr>
          <w:rFonts w:ascii="Times New Roman" w:hAnsi="Times New Roman"/>
        </w:rPr>
      </w:pPr>
      <w:r>
        <w:rPr>
          <w:rFonts w:ascii="Times New Roman" w:hAnsi="Times New Roman"/>
        </w:rPr>
        <w:t>移交维护保函</w:t>
      </w:r>
      <w:r>
        <w:rPr>
          <w:rFonts w:ascii="Times New Roman" w:hAnsi="Times New Roman" w:hint="eastAsia"/>
        </w:rPr>
        <w:t>的</w:t>
      </w:r>
      <w:r>
        <w:rPr>
          <w:rFonts w:ascii="Times New Roman" w:hAnsi="Times New Roman"/>
        </w:rPr>
        <w:t>保函金额不得超过项目初始投资总额或资产评估值的</w:t>
      </w:r>
      <w:r>
        <w:rPr>
          <w:rFonts w:ascii="Times New Roman" w:hAnsi="Times New Roman"/>
        </w:rPr>
        <w:t>10%</w:t>
      </w:r>
      <w:r>
        <w:rPr>
          <w:rFonts w:ascii="Times New Roman" w:hAnsi="Times New Roman" w:hint="eastAsia"/>
        </w:rPr>
        <w:t>。</w:t>
      </w:r>
    </w:p>
    <w:p w:rsidR="00127BDE" w:rsidRDefault="00127BDE" w:rsidP="00127BDE">
      <w:pPr>
        <w:pStyle w:val="3"/>
      </w:pPr>
      <w:bookmarkStart w:id="83" w:name="_Toc15587_WPSOffice_Level2"/>
      <w:bookmarkStart w:id="84" w:name="_Toc32571_WPSOffice_Level2"/>
      <w:bookmarkStart w:id="85" w:name="_Toc528575841"/>
      <w:r>
        <w:rPr>
          <w:rFonts w:hint="eastAsia"/>
        </w:rPr>
        <w:t>6.</w:t>
      </w:r>
      <w:r>
        <w:t>协助</w:t>
      </w:r>
      <w:r>
        <w:t>PPP</w:t>
      </w:r>
      <w:r>
        <w:t>合同谈判与制定的方案</w:t>
      </w:r>
      <w:bookmarkEnd w:id="83"/>
      <w:bookmarkEnd w:id="84"/>
      <w:bookmarkEnd w:id="85"/>
    </w:p>
    <w:p w:rsidR="00127BDE" w:rsidRDefault="00127BDE" w:rsidP="00127BDE">
      <w:pPr>
        <w:spacing w:line="440" w:lineRule="exact"/>
        <w:ind w:firstLine="480"/>
        <w:jc w:val="left"/>
      </w:pPr>
      <w:r>
        <w:t>PPP</w:t>
      </w:r>
      <w:r>
        <w:t>（</w:t>
      </w:r>
      <w:r>
        <w:t>Public-Private Paternship</w:t>
      </w:r>
      <w:r>
        <w:t>，公私合作）模式作为一种公共产品提供方式，具备两大功能：其一是交易，基本目标在于公共项目的资金融通与结构安排；其二是管理，基本目标在于公共项目的效率提升与福利增进。</w:t>
      </w:r>
      <w:r>
        <w:t>PPP</w:t>
      </w:r>
      <w:r>
        <w:t>模式实现上述两大功能的基础，是其内在的法律关系架构，外在表现为一系列法律文本体系，尤其是其中一些重要合同及关键性条款居于枢纽地位。对</w:t>
      </w:r>
      <w:r>
        <w:t>PPP</w:t>
      </w:r>
      <w:r>
        <w:t>模式法律文本体系作系统梳理，并详细解构个别核心条款，可为</w:t>
      </w:r>
      <w:r>
        <w:t>PPP</w:t>
      </w:r>
      <w:r>
        <w:t>模式中各方权利、义务的配置和调整，以及有效维护公共利益提供可鉴之资。</w:t>
      </w:r>
    </w:p>
    <w:p w:rsidR="00127BDE" w:rsidRDefault="00127BDE" w:rsidP="00127BDE">
      <w:pPr>
        <w:pStyle w:val="4"/>
      </w:pPr>
      <w:bookmarkStart w:id="86" w:name="_Toc27448_WPSOffice_Level3"/>
      <w:bookmarkStart w:id="87" w:name="_Toc2736_WPSOffice_Level3"/>
      <w:r>
        <w:rPr>
          <w:rFonts w:hint="eastAsia"/>
        </w:rPr>
        <w:t>（</w:t>
      </w:r>
      <w:r>
        <w:rPr>
          <w:rFonts w:hint="eastAsia"/>
        </w:rPr>
        <w:t>1</w:t>
      </w:r>
      <w:r>
        <w:rPr>
          <w:rFonts w:hint="eastAsia"/>
        </w:rPr>
        <w:t>）</w:t>
      </w:r>
      <w:r>
        <w:t>合同框架体系</w:t>
      </w:r>
      <w:bookmarkEnd w:id="86"/>
      <w:bookmarkEnd w:id="87"/>
    </w:p>
    <w:p w:rsidR="00127BDE" w:rsidRDefault="00127BDE" w:rsidP="00127BDE">
      <w:pPr>
        <w:spacing w:line="440" w:lineRule="exact"/>
        <w:ind w:firstLine="480"/>
        <w:jc w:val="left"/>
      </w:pPr>
      <w:r>
        <w:t>在</w:t>
      </w:r>
      <w:r>
        <w:t>PPP</w:t>
      </w:r>
      <w:r>
        <w:t>项目中，项目参与方通过签订一系列合同来确立和调整彼此之间的权利义务关系，构成</w:t>
      </w:r>
      <w:r>
        <w:t>PPP</w:t>
      </w:r>
      <w:r>
        <w:t>项目的合同体系。</w:t>
      </w:r>
      <w:r>
        <w:t>PPP</w:t>
      </w:r>
      <w:r>
        <w:t>项目的合同通常包括</w:t>
      </w:r>
      <w:r>
        <w:t>PPP</w:t>
      </w:r>
      <w:r>
        <w:t>项目投资合作合同、</w:t>
      </w:r>
      <w:r>
        <w:t>PPP</w:t>
      </w:r>
      <w:r>
        <w:t>项目合同、股东协议、履约合同（包括工程承包合同、运营服务合同、原料供应合同、产品或服务购买合同等）、融资合同和保险合同等。其中，</w:t>
      </w:r>
      <w:r>
        <w:t>PPP</w:t>
      </w:r>
      <w:r>
        <w:t>项目合同是整个</w:t>
      </w:r>
      <w:r>
        <w:t>PPP</w:t>
      </w:r>
      <w:r>
        <w:t>项目合同体系的基础和核心。</w:t>
      </w:r>
    </w:p>
    <w:p w:rsidR="00127BDE" w:rsidRDefault="00127BDE" w:rsidP="00127BDE">
      <w:pPr>
        <w:spacing w:line="440" w:lineRule="exact"/>
        <w:ind w:firstLine="480"/>
        <w:jc w:val="left"/>
      </w:pPr>
      <w:r>
        <w:t>在</w:t>
      </w:r>
      <w:r>
        <w:t>PPP</w:t>
      </w:r>
      <w:r>
        <w:t>项目合同体系中，各个合同之间并非完全独立、互不影响，而是紧密衔接、相互贯通的，合同之间存在着一定的</w:t>
      </w:r>
      <w:r>
        <w:t>“</w:t>
      </w:r>
      <w:r>
        <w:t>传导关系</w:t>
      </w:r>
      <w:r>
        <w:t>”</w:t>
      </w:r>
      <w:r>
        <w:t>，了解</w:t>
      </w:r>
      <w:r>
        <w:t>PPP</w:t>
      </w:r>
      <w:r>
        <w:t>项目的合同体系和各个合同之间的传导关系，有助于对</w:t>
      </w:r>
      <w:r>
        <w:t>PPP</w:t>
      </w:r>
      <w:r>
        <w:t>项目合同进行更加全面准确的把握。</w:t>
      </w:r>
    </w:p>
    <w:p w:rsidR="00127BDE" w:rsidRDefault="00127BDE" w:rsidP="00127BDE">
      <w:pPr>
        <w:spacing w:line="440" w:lineRule="exact"/>
        <w:ind w:firstLine="480"/>
        <w:jc w:val="left"/>
      </w:pPr>
      <w:r>
        <w:t>首先，在合同签订阶段，作为合同体系的基础和核心，</w:t>
      </w:r>
      <w:r>
        <w:t>PPP</w:t>
      </w:r>
      <w:r>
        <w:t>项目合同的具体条款不仅会直接影响到项目公司股东之间的协议内容，而且会影响项目公司与融资方的融资合同以及与保险公司的保险合同等其他合同的内容。此外，</w:t>
      </w:r>
      <w:r>
        <w:lastRenderedPageBreak/>
        <w:t>PPP</w:t>
      </w:r>
      <w:r>
        <w:t>项目合同的具体约定，还可能通过工程承包或产品服务购买等方式，传导到工程承包（分包）合同、原料供应合同、运营服务合同和产品或服务购买合同上。</w:t>
      </w:r>
    </w:p>
    <w:p w:rsidR="00127BDE" w:rsidRDefault="00127BDE" w:rsidP="00127BDE">
      <w:pPr>
        <w:spacing w:line="440" w:lineRule="exact"/>
        <w:ind w:firstLine="480"/>
        <w:jc w:val="left"/>
      </w:pPr>
      <w:r>
        <w:t>其次，在合同履行阶段，合同关系的传导方向可能发生逆转。例如分包合同的履行出现问题，会影响到总承包合同的履行，进而影响到</w:t>
      </w:r>
      <w:r>
        <w:t>PPP</w:t>
      </w:r>
      <w:r>
        <w:t>项目合同的履行。</w:t>
      </w:r>
    </w:p>
    <w:p w:rsidR="00127BDE" w:rsidRDefault="00127BDE" w:rsidP="00127BDE">
      <w:pPr>
        <w:spacing w:beforeLines="50" w:before="156"/>
        <w:ind w:firstLine="480"/>
        <w:rPr>
          <w:color w:val="000000"/>
        </w:rPr>
      </w:pPr>
      <w:r>
        <w:rPr>
          <w:color w:val="000000"/>
        </w:rPr>
        <w:t>本项目的合同体系分为三个层次：</w:t>
      </w:r>
    </w:p>
    <w:p w:rsidR="00127BDE" w:rsidRDefault="00127BDE" w:rsidP="00127BDE">
      <w:pPr>
        <w:spacing w:beforeLines="50" w:before="156"/>
        <w:ind w:firstLine="480"/>
        <w:rPr>
          <w:color w:val="000000"/>
        </w:rPr>
      </w:pPr>
      <w:r>
        <w:rPr>
          <w:color w:val="000000"/>
        </w:rPr>
        <w:t>第一层次为项目实施机构与社会资本或项目公司之间签署的合同，包括《投资合作合同》、《</w:t>
      </w:r>
      <w:r>
        <w:rPr>
          <w:color w:val="000000"/>
        </w:rPr>
        <w:t>PPP</w:t>
      </w:r>
      <w:r>
        <w:rPr>
          <w:color w:val="000000"/>
        </w:rPr>
        <w:t>项目合同》及相关备忘录。确定中标社会资本后，项目实施机构与社会资本进行</w:t>
      </w:r>
      <w:r>
        <w:rPr>
          <w:color w:val="000000"/>
        </w:rPr>
        <w:t>PPP</w:t>
      </w:r>
      <w:r>
        <w:rPr>
          <w:color w:val="000000"/>
        </w:rPr>
        <w:t>项目合同的谈判，</w:t>
      </w:r>
      <w:r>
        <w:rPr>
          <w:color w:val="000000"/>
        </w:rPr>
        <w:t>PPP</w:t>
      </w:r>
      <w:r>
        <w:rPr>
          <w:color w:val="000000"/>
        </w:rPr>
        <w:t>项目合同确定并公示后，由项目实施机构与社会资本签订《投资合作合同》；项目公司成立后，由项目实施机构与项目公司签订《</w:t>
      </w:r>
      <w:r>
        <w:rPr>
          <w:color w:val="000000"/>
        </w:rPr>
        <w:t>PPP</w:t>
      </w:r>
      <w:r>
        <w:rPr>
          <w:color w:val="000000"/>
        </w:rPr>
        <w:t>项目合同》。</w:t>
      </w:r>
    </w:p>
    <w:p w:rsidR="00127BDE" w:rsidRDefault="00127BDE" w:rsidP="00127BDE">
      <w:pPr>
        <w:spacing w:beforeLines="50" w:before="156"/>
        <w:ind w:firstLine="480"/>
        <w:rPr>
          <w:color w:val="000000"/>
        </w:rPr>
      </w:pPr>
      <w:r>
        <w:rPr>
          <w:color w:val="000000"/>
        </w:rPr>
        <w:t>《投资合作合同》是项目实施机构与中标人社会资本方依法就项目合作订立的合作合同。《投资合作合同》通过正式条款明确政府与社会资本方的合作意向、职责，为项目公司设立、《</w:t>
      </w:r>
      <w:r>
        <w:rPr>
          <w:color w:val="000000"/>
        </w:rPr>
        <w:t>PPP</w:t>
      </w:r>
      <w:r>
        <w:rPr>
          <w:color w:val="000000"/>
        </w:rPr>
        <w:t>项目合同》的签订提供指引，保障合作的进行。《投资合作合同》主要内容包括：投资合作背景、合作依据、合作的内容、合作职责、合作违约等。</w:t>
      </w:r>
    </w:p>
    <w:p w:rsidR="00127BDE" w:rsidRDefault="00127BDE" w:rsidP="00127BDE">
      <w:pPr>
        <w:spacing w:beforeLines="50" w:before="156"/>
        <w:ind w:firstLine="480"/>
      </w:pPr>
      <w:r>
        <w:t>《</w:t>
      </w:r>
      <w:r>
        <w:t>PPP</w:t>
      </w:r>
      <w:r>
        <w:t>项目合同》是政府方与社会资本依法就项目合作所订立的合同，其目的是在政府方与社会资本之间合理分配项目风险，明确双方权利义务关系，保障双方能够依据合同约定合理主张权利，妥善履行义务，确保项目全生命周期内的顺利实施。《</w:t>
      </w:r>
      <w:r>
        <w:t>PPP</w:t>
      </w:r>
      <w:r>
        <w:t>项目合同》是其他合同产生的基础，也是整个</w:t>
      </w:r>
      <w:r>
        <w:t>PPP</w:t>
      </w:r>
      <w:r>
        <w:t>项目合同体系的核心。该协议主要规定：合作内容、范围和期限；关于合作期间不可抗力的损失处理；关于合作期间违法违规运维的惩罚处理；合作期限结束或者项目终止时资产的移交过程中协议双方的权利与义务等。</w:t>
      </w:r>
    </w:p>
    <w:p w:rsidR="00127BDE" w:rsidRDefault="00127BDE" w:rsidP="00127BDE">
      <w:pPr>
        <w:spacing w:beforeLines="50" w:before="156"/>
        <w:ind w:firstLine="480"/>
      </w:pPr>
      <w:r>
        <w:rPr>
          <w:color w:val="000000"/>
        </w:rPr>
        <w:t>第二层次为由项目公司股东之间签署的《股东协议》，</w:t>
      </w:r>
      <w:r>
        <w:t>以明确政府方与社会资本的合作关系，详细约定双方有关项目合作的关键权利义务，其不仅包含了《</w:t>
      </w:r>
      <w:r>
        <w:t>PPP</w:t>
      </w:r>
      <w:r>
        <w:t>项目合同》的相关内容，同时包含在项目合作期间社会投资人作为项目公司股东应当承担的相关权利义务。该协议主要规定：项目公司的设立和融资、项目公司的经营范围、股东权利、履行</w:t>
      </w:r>
      <w:r>
        <w:t>PPP</w:t>
      </w:r>
      <w:r>
        <w:t>项目合同的股东承诺、股东的商业计划、股权转让、股东会、董事会、监事会组成及其职权范围、利润分配、违约、终止及终止后处理机制、不可抗力、适用法律和争议解决等。</w:t>
      </w:r>
    </w:p>
    <w:p w:rsidR="00127BDE" w:rsidRDefault="00127BDE" w:rsidP="00127BDE">
      <w:pPr>
        <w:spacing w:beforeLines="50" w:before="156"/>
        <w:ind w:firstLine="480"/>
        <w:rPr>
          <w:color w:val="000000"/>
        </w:rPr>
      </w:pPr>
      <w:r>
        <w:rPr>
          <w:color w:val="000000"/>
        </w:rPr>
        <w:t>第三层次为由项目公司与其他单位机构签署的相关项目实施合同，如项目公司与金融机构签署的《融资协议》，与施工单位签署的《工程承包合同》，与设备材料供应商签署的《采购合同》，与保险机构之间签署的《保险合同》等。</w:t>
      </w:r>
    </w:p>
    <w:p w:rsidR="00127BDE" w:rsidRDefault="00127BDE" w:rsidP="00127BDE">
      <w:pPr>
        <w:pStyle w:val="4"/>
      </w:pPr>
      <w:bookmarkStart w:id="88" w:name="_Toc20914_WPSOffice_Level3"/>
      <w:bookmarkStart w:id="89" w:name="_Toc14348_WPSOffice_Level3"/>
      <w:r>
        <w:rPr>
          <w:rFonts w:hint="eastAsia"/>
        </w:rPr>
        <w:t>（</w:t>
      </w:r>
      <w:r>
        <w:rPr>
          <w:rFonts w:hint="eastAsia"/>
        </w:rPr>
        <w:t>2</w:t>
      </w:r>
      <w:r>
        <w:rPr>
          <w:rFonts w:hint="eastAsia"/>
        </w:rPr>
        <w:t>）</w:t>
      </w:r>
      <w:r>
        <w:t>项目合同结构重点、难点分析</w:t>
      </w:r>
      <w:bookmarkEnd w:id="88"/>
      <w:bookmarkEnd w:id="89"/>
    </w:p>
    <w:p w:rsidR="00127BDE" w:rsidRDefault="00127BDE" w:rsidP="00127BDE">
      <w:pPr>
        <w:spacing w:line="440" w:lineRule="exact"/>
        <w:ind w:firstLine="480"/>
        <w:jc w:val="left"/>
      </w:pPr>
      <w:r>
        <w:t>PPP</w:t>
      </w:r>
      <w:r>
        <w:t>结构的每个选项都有不同特点，针对共性问题，分析</w:t>
      </w:r>
      <w:r>
        <w:t>PPP</w:t>
      </w:r>
      <w:r>
        <w:t>合同核心条</w:t>
      </w:r>
      <w:r>
        <w:lastRenderedPageBreak/>
        <w:t>款设计。</w:t>
      </w:r>
    </w:p>
    <w:p w:rsidR="00127BDE" w:rsidRDefault="00127BDE" w:rsidP="00127BDE">
      <w:pPr>
        <w:pStyle w:val="5"/>
      </w:pPr>
      <w:r>
        <w:rPr>
          <w:rFonts w:hint="eastAsia"/>
        </w:rPr>
        <w:t>1</w:t>
      </w:r>
      <w:r>
        <w:rPr>
          <w:rFonts w:hint="eastAsia"/>
        </w:rPr>
        <w:t>）</w:t>
      </w:r>
      <w:r>
        <w:t>背景条款</w:t>
      </w:r>
    </w:p>
    <w:p w:rsidR="00127BDE" w:rsidRDefault="00127BDE" w:rsidP="00127BDE">
      <w:pPr>
        <w:spacing w:line="440" w:lineRule="exact"/>
        <w:ind w:firstLine="480"/>
        <w:jc w:val="left"/>
      </w:pPr>
      <w:r>
        <w:t>具体包括合同相关术语的定义和解释、合同签订的背景和目的、声明和保证、合同生效条件、合同体系构成等。这是对</w:t>
      </w:r>
      <w:r>
        <w:t>PPP</w:t>
      </w:r>
      <w:r>
        <w:t>结构选择与特点以及项目目的的核心陈述，决定了项目的后续全过程设计和处理，具有重要意义，为项目合同的必备篇章。</w:t>
      </w:r>
    </w:p>
    <w:p w:rsidR="00127BDE" w:rsidRDefault="00127BDE" w:rsidP="00127BDE">
      <w:pPr>
        <w:pStyle w:val="5"/>
      </w:pPr>
      <w:r>
        <w:rPr>
          <w:rFonts w:hint="eastAsia"/>
        </w:rPr>
        <w:t>2</w:t>
      </w:r>
      <w:r>
        <w:rPr>
          <w:rFonts w:hint="eastAsia"/>
        </w:rPr>
        <w:t>）</w:t>
      </w:r>
      <w:r>
        <w:t>原则条款</w:t>
      </w:r>
    </w:p>
    <w:p w:rsidR="00127BDE" w:rsidRDefault="00127BDE" w:rsidP="00127BDE">
      <w:pPr>
        <w:spacing w:line="440" w:lineRule="exact"/>
        <w:ind w:firstLine="480"/>
        <w:jc w:val="left"/>
      </w:pPr>
      <w:r>
        <w:t>在所选在</w:t>
      </w:r>
      <w:r>
        <w:t>PPP</w:t>
      </w:r>
      <w:r>
        <w:t>结构下，项目合同各方需就订立合同的主体资格及履行合同的相关事项加以声明和保证，并明确项目合同各方因违反声明和保证应承担相应责任；明确关于合同正文、合同附件、补充协议和变更协议等效力优先次序，以及履约原则和违约处理原则。</w:t>
      </w:r>
    </w:p>
    <w:p w:rsidR="00127BDE" w:rsidRDefault="00127BDE" w:rsidP="00127BDE">
      <w:pPr>
        <w:pStyle w:val="5"/>
      </w:pPr>
      <w:r>
        <w:rPr>
          <w:rFonts w:hint="eastAsia"/>
        </w:rPr>
        <w:t>3</w:t>
      </w:r>
      <w:r>
        <w:rPr>
          <w:rFonts w:hint="eastAsia"/>
        </w:rPr>
        <w:t>）</w:t>
      </w:r>
      <w:r>
        <w:t>主体条款</w:t>
      </w:r>
    </w:p>
    <w:p w:rsidR="00127BDE" w:rsidRDefault="00127BDE" w:rsidP="00127BDE">
      <w:pPr>
        <w:spacing w:line="440" w:lineRule="exact"/>
        <w:ind w:firstLine="480"/>
        <w:jc w:val="left"/>
      </w:pPr>
      <w:r>
        <w:t>A.</w:t>
      </w:r>
      <w:r>
        <w:t>包括政府主体、社会资本主体，重点明确项目合同各主体资格（如签订项目合同的政府主体，应是具有相应行政权力的政府，或其授权的实施机构；签订项目合同的社会资本主体，应是符合条件的国有企业、民营企业、外商投资企业、混合所有制企业，或其他投资、经营主体），并概括性地约定各主体的主要权利和义务（如政府方依法监管权力和行使项目合同约定的权利，遵守项目合同、及时提供项目配套条件、项目审批协调支持、维护市场秩序等义务；社会资本主体按约定获得政府支持的权利和按约定实施项目、获得相应回报的权利等，按约定提供项目资金，履行环境、地质、文物保护及安全生产等义务，承担社会责任等）。</w:t>
      </w:r>
    </w:p>
    <w:p w:rsidR="00127BDE" w:rsidRDefault="00127BDE" w:rsidP="00127BDE">
      <w:pPr>
        <w:spacing w:line="440" w:lineRule="exact"/>
        <w:ind w:firstLine="480"/>
        <w:jc w:val="left"/>
      </w:pPr>
      <w:r>
        <w:t>B.</w:t>
      </w:r>
      <w:r>
        <w:t>主体条款部分还应当明确项目公司的设立及其存续期间的法人治理结构及经营管理机制等事项，如政府参股项目公司的，还应明确政府出资人代表、投资金额、股权比例、出资方式等；政府股份享有的分配权益；政府股东代表在项目公司法人治理结构中的特殊安排等。</w:t>
      </w:r>
    </w:p>
    <w:p w:rsidR="00127BDE" w:rsidRDefault="00127BDE" w:rsidP="00127BDE">
      <w:pPr>
        <w:pStyle w:val="5"/>
      </w:pPr>
      <w:r>
        <w:rPr>
          <w:rFonts w:hint="eastAsia"/>
        </w:rPr>
        <w:lastRenderedPageBreak/>
        <w:t>4</w:t>
      </w:r>
      <w:r>
        <w:rPr>
          <w:rFonts w:hint="eastAsia"/>
        </w:rPr>
        <w:t>）</w:t>
      </w:r>
      <w:r>
        <w:t>标的条款</w:t>
      </w:r>
    </w:p>
    <w:p w:rsidR="00127BDE" w:rsidRDefault="00127BDE" w:rsidP="00127BDE">
      <w:pPr>
        <w:spacing w:line="440" w:lineRule="exact"/>
        <w:ind w:firstLine="480"/>
        <w:jc w:val="left"/>
      </w:pPr>
      <w:r>
        <w:t>A.</w:t>
      </w:r>
      <w:r>
        <w:t>在</w:t>
      </w:r>
      <w:r>
        <w:t xml:space="preserve">PPP </w:t>
      </w:r>
      <w:r>
        <w:t>合同的这个部分，应主要约定政府和社会资本合作关系的重要事项，包括合作内容、合作期限、排他性约定及合作的履约保证等，为项目合同的必备篇章。</w:t>
      </w:r>
    </w:p>
    <w:p w:rsidR="00127BDE" w:rsidRDefault="00127BDE" w:rsidP="00127BDE">
      <w:pPr>
        <w:spacing w:line="440" w:lineRule="exact"/>
        <w:ind w:firstLine="480"/>
        <w:jc w:val="left"/>
      </w:pPr>
      <w:r>
        <w:t>B.</w:t>
      </w:r>
      <w:r>
        <w:t>在合作内容方面，着重明确合作项目的边界范围。如涉及投资的，应明确投资标的物的范围；涉及工程建设的，应明确项目建设内容；涉及提供服务的，应明确服务对象及内容等，以及政府为合作项目提供的主要条件或支持措施。</w:t>
      </w:r>
    </w:p>
    <w:p w:rsidR="00127BDE" w:rsidRDefault="00127BDE" w:rsidP="00127BDE">
      <w:pPr>
        <w:spacing w:line="440" w:lineRule="exact"/>
        <w:ind w:firstLine="480"/>
        <w:jc w:val="left"/>
      </w:pPr>
      <w:r>
        <w:t>C.</w:t>
      </w:r>
      <w:r>
        <w:t>明确明确社会资本主体在合作期间获得回报的具体途径以及合作各阶段项目有形及无形资产的所有权、使用权、收益权、处置权的归属。</w:t>
      </w:r>
    </w:p>
    <w:p w:rsidR="00127BDE" w:rsidRDefault="00127BDE" w:rsidP="00127BDE">
      <w:pPr>
        <w:spacing w:line="440" w:lineRule="exact"/>
        <w:ind w:firstLine="480"/>
        <w:jc w:val="left"/>
      </w:pPr>
      <w:r>
        <w:t>D.</w:t>
      </w:r>
      <w:r>
        <w:t>如有必要，可做出合作期间内的排他性约定以及项目合同各方的履约担保事项。</w:t>
      </w:r>
    </w:p>
    <w:p w:rsidR="00127BDE" w:rsidRDefault="00127BDE" w:rsidP="00127BDE">
      <w:pPr>
        <w:pStyle w:val="5"/>
      </w:pPr>
      <w:r>
        <w:rPr>
          <w:rFonts w:hint="eastAsia"/>
        </w:rPr>
        <w:t>5</w:t>
      </w:r>
      <w:r>
        <w:rPr>
          <w:rFonts w:hint="eastAsia"/>
        </w:rPr>
        <w:t>）</w:t>
      </w:r>
      <w:r>
        <w:t>执行条款</w:t>
      </w:r>
    </w:p>
    <w:p w:rsidR="00127BDE" w:rsidRDefault="00127BDE" w:rsidP="00127BDE">
      <w:pPr>
        <w:spacing w:line="440" w:lineRule="exact"/>
        <w:ind w:firstLine="480"/>
        <w:jc w:val="left"/>
      </w:pPr>
      <w:r>
        <w:t>该部分内容是有效履行</w:t>
      </w:r>
      <w:r>
        <w:t>PPP</w:t>
      </w:r>
      <w:r>
        <w:t>项目合同的核心，应当详尽约定执行规划、方案以及流程。</w:t>
      </w:r>
    </w:p>
    <w:p w:rsidR="00127BDE" w:rsidRDefault="00127BDE" w:rsidP="00127BDE">
      <w:pPr>
        <w:spacing w:line="440" w:lineRule="exact"/>
        <w:ind w:firstLine="480"/>
        <w:jc w:val="left"/>
      </w:pPr>
      <w:bookmarkStart w:id="90" w:name="_Toc13729_WPSOffice_Level3"/>
      <w:bookmarkStart w:id="91" w:name="_Toc10422_WPSOffice_Level3"/>
      <w:bookmarkStart w:id="92" w:name="_Toc30786_WPSOffice_Level3"/>
      <w:r>
        <w:t>A.</w:t>
      </w:r>
      <w:r>
        <w:t>项目前期工作</w:t>
      </w:r>
      <w:bookmarkEnd w:id="90"/>
      <w:bookmarkEnd w:id="91"/>
      <w:bookmarkEnd w:id="92"/>
    </w:p>
    <w:p w:rsidR="00127BDE" w:rsidRDefault="00127BDE" w:rsidP="00127BDE">
      <w:pPr>
        <w:pStyle w:val="Style6"/>
        <w:spacing w:line="440" w:lineRule="exact"/>
        <w:ind w:firstLine="480"/>
        <w:jc w:val="left"/>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重点约定项目公司设立、管理架构组建，技术、商业、财务和经济等方面的各项准备，实施方案编制和审核以及合作项目前期工作内容、任务分工、经费承担及违约责任等事项。</w:t>
      </w:r>
    </w:p>
    <w:p w:rsidR="00127BDE" w:rsidRDefault="00127BDE" w:rsidP="00127BDE">
      <w:pPr>
        <w:pStyle w:val="Style6"/>
        <w:spacing w:line="440" w:lineRule="exact"/>
        <w:ind w:firstLine="480"/>
        <w:jc w:val="left"/>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rPr>
        <w:t>对于政府开展前期工作的经费需要社会资本主体承担的，应明确费用范围、确认和支付方式，以及前期工作成果和知识产权归属。</w:t>
      </w:r>
    </w:p>
    <w:p w:rsidR="00127BDE" w:rsidRDefault="00127BDE" w:rsidP="00127BDE">
      <w:pPr>
        <w:pStyle w:val="Style6"/>
        <w:spacing w:line="440" w:lineRule="exact"/>
        <w:ind w:firstLine="480"/>
        <w:jc w:val="left"/>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rPr>
        <w:t>项目合同应明确各方在前期工作中违约行为的认定和违约责任。可视影响将违约行为划分为重大违约和一般违约，并分别约定违约责任。</w:t>
      </w:r>
    </w:p>
    <w:p w:rsidR="00127BDE" w:rsidRDefault="00127BDE" w:rsidP="00127BDE">
      <w:pPr>
        <w:spacing w:line="440" w:lineRule="exact"/>
        <w:ind w:firstLine="480"/>
        <w:jc w:val="left"/>
      </w:pPr>
      <w:bookmarkStart w:id="93" w:name="_Toc25137_WPSOffice_Level3"/>
      <w:bookmarkStart w:id="94" w:name="_Toc8107_WPSOffice_Level3"/>
      <w:bookmarkStart w:id="95" w:name="_Toc5873_WPSOffice_Level3"/>
      <w:r>
        <w:t>B.</w:t>
      </w:r>
      <w:r>
        <w:t>工程建设</w:t>
      </w:r>
      <w:bookmarkEnd w:id="93"/>
      <w:bookmarkEnd w:id="94"/>
      <w:bookmarkEnd w:id="95"/>
    </w:p>
    <w:p w:rsidR="00127BDE" w:rsidRDefault="00127BDE" w:rsidP="00127BDE">
      <w:pPr>
        <w:pStyle w:val="Style6"/>
        <w:spacing w:line="440" w:lineRule="exact"/>
        <w:ind w:firstLine="480"/>
        <w:jc w:val="left"/>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重点约定合作项目工程建设条件，进度、质量、安全要求，变更管理，实际投资认定，工程验收，工程保险及违约责任等事项。</w:t>
      </w:r>
    </w:p>
    <w:p w:rsidR="00127BDE" w:rsidRDefault="00127BDE" w:rsidP="00127BDE">
      <w:pPr>
        <w:pStyle w:val="Style6"/>
        <w:spacing w:line="440" w:lineRule="exact"/>
        <w:ind w:firstLine="480"/>
        <w:jc w:val="left"/>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rPr>
        <w:t>如涉及土地整理事项，项目合同应约定征地、拆迁、安置的范围、进度、实施责任主体及费用负担，并对维护社会稳定、妥善处理后续遗留问题提</w:t>
      </w:r>
      <w:r>
        <w:rPr>
          <w:rFonts w:ascii="Times New Roman" w:eastAsia="宋体" w:hAnsi="Times New Roman" w:cs="Times New Roman"/>
        </w:rPr>
        <w:lastRenderedPageBreak/>
        <w:t>出明确要求。</w:t>
      </w:r>
    </w:p>
    <w:p w:rsidR="00127BDE" w:rsidRDefault="00127BDE" w:rsidP="00127BDE">
      <w:pPr>
        <w:pStyle w:val="Style6"/>
        <w:spacing w:line="440" w:lineRule="exact"/>
        <w:ind w:firstLineChars="0"/>
        <w:jc w:val="left"/>
        <w:rPr>
          <w:rFonts w:ascii="Times New Roman" w:eastAsia="宋体" w:hAnsi="Times New Roman" w:cs="Times New Roman"/>
        </w:rPr>
      </w:pPr>
      <w:r>
        <w:rPr>
          <w:rFonts w:ascii="Times New Roman" w:eastAsia="宋体" w:hAnsi="Times New Roman" w:cs="Times New Roman"/>
        </w:rPr>
        <w:t xml:space="preserve">c. </w:t>
      </w:r>
      <w:r>
        <w:rPr>
          <w:rFonts w:ascii="Times New Roman" w:eastAsia="宋体" w:hAnsi="Times New Roman" w:cs="Times New Roman"/>
        </w:rPr>
        <w:t>在该部分，项目合同还应约定工程完工之后的保修安排和质保金、保修期保函的设置和使用。</w:t>
      </w:r>
    </w:p>
    <w:p w:rsidR="00127BDE" w:rsidRDefault="00127BDE" w:rsidP="00127BDE">
      <w:pPr>
        <w:pStyle w:val="Style6"/>
        <w:spacing w:line="440" w:lineRule="exact"/>
        <w:ind w:firstLineChars="0"/>
        <w:jc w:val="left"/>
        <w:rPr>
          <w:rFonts w:ascii="Times New Roman" w:eastAsia="宋体" w:hAnsi="Times New Roman" w:cs="Times New Roman"/>
        </w:rPr>
      </w:pPr>
      <w:r>
        <w:rPr>
          <w:rFonts w:ascii="Times New Roman" w:eastAsia="宋体" w:hAnsi="Times New Roman" w:cs="Times New Roman"/>
        </w:rPr>
        <w:t xml:space="preserve">d. </w:t>
      </w:r>
      <w:r>
        <w:rPr>
          <w:rFonts w:ascii="Times New Roman" w:eastAsia="宋体" w:hAnsi="Times New Roman" w:cs="Times New Roman"/>
        </w:rPr>
        <w:t>若需要，可对项目建设招标采购、工程投资、工程质量、工程进度以及工程建设档案资料等事项安排特别监管措施，应在合同中明确监管的主体、内容、方法和程序，以及费用安排。</w:t>
      </w:r>
    </w:p>
    <w:p w:rsidR="00127BDE" w:rsidRDefault="00127BDE" w:rsidP="00127BDE">
      <w:pPr>
        <w:pStyle w:val="Style6"/>
        <w:spacing w:line="440" w:lineRule="exact"/>
        <w:ind w:firstLineChars="0"/>
        <w:jc w:val="left"/>
        <w:rPr>
          <w:rFonts w:ascii="Times New Roman" w:eastAsia="宋体" w:hAnsi="Times New Roman" w:cs="Times New Roman"/>
        </w:rPr>
      </w:pPr>
      <w:r>
        <w:rPr>
          <w:rFonts w:ascii="Times New Roman" w:eastAsia="宋体" w:hAnsi="Times New Roman" w:cs="Times New Roman"/>
        </w:rPr>
        <w:t>e.</w:t>
      </w:r>
      <w:r>
        <w:rPr>
          <w:rFonts w:ascii="Times New Roman" w:eastAsia="宋体" w:hAnsi="Times New Roman" w:cs="Times New Roman"/>
        </w:rPr>
        <w:t>项目合同应明确各方在工程建设工作中违约行为的认定和违约责任。可视影响将违约行为划分为重大违约和一般违约，并分别约定违约责任。</w:t>
      </w:r>
    </w:p>
    <w:p w:rsidR="00127BDE" w:rsidRDefault="00127BDE" w:rsidP="00127BDE">
      <w:pPr>
        <w:spacing w:line="440" w:lineRule="exact"/>
        <w:ind w:firstLine="480"/>
        <w:jc w:val="left"/>
      </w:pPr>
      <w:bookmarkStart w:id="96" w:name="_Toc18802_WPSOffice_Level3"/>
      <w:bookmarkStart w:id="97" w:name="_Toc23135_WPSOffice_Level3"/>
      <w:bookmarkStart w:id="98" w:name="_Toc4629_WPSOffice_Level3"/>
      <w:r>
        <w:t>C.</w:t>
      </w:r>
      <w:r>
        <w:t>绩效检测与支付</w:t>
      </w:r>
      <w:bookmarkEnd w:id="96"/>
      <w:bookmarkEnd w:id="97"/>
      <w:bookmarkEnd w:id="98"/>
    </w:p>
    <w:p w:rsidR="00127BDE" w:rsidRDefault="00127BDE" w:rsidP="00127BDE">
      <w:pPr>
        <w:spacing w:line="440" w:lineRule="exact"/>
        <w:ind w:firstLine="480"/>
        <w:jc w:val="left"/>
      </w:pPr>
      <w:r>
        <w:t>项目实施过程中，加强工程质量、运营标准的全程监督，确保公共产品和服务的质量、效率和延续性，鼓励推进第三方评估，评价结果向社会公示，作为合同调整的重要参考依据，并据此作为价费标准、财政补贴等的支付依据。</w:t>
      </w:r>
    </w:p>
    <w:p w:rsidR="00127BDE" w:rsidRDefault="00127BDE" w:rsidP="00127BDE">
      <w:pPr>
        <w:pStyle w:val="5"/>
      </w:pPr>
      <w:r>
        <w:rPr>
          <w:rFonts w:hint="eastAsia"/>
        </w:rPr>
        <w:t>6</w:t>
      </w:r>
      <w:r>
        <w:rPr>
          <w:rFonts w:hint="eastAsia"/>
        </w:rPr>
        <w:t>）</w:t>
      </w:r>
      <w:r>
        <w:t>资金条款</w:t>
      </w:r>
    </w:p>
    <w:p w:rsidR="00127BDE" w:rsidRDefault="00127BDE" w:rsidP="00127BDE">
      <w:pPr>
        <w:spacing w:line="440" w:lineRule="exact"/>
        <w:ind w:firstLine="480"/>
        <w:jc w:val="left"/>
      </w:pPr>
      <w:r>
        <w:t>A.</w:t>
      </w:r>
      <w:r>
        <w:t>根据投资概算等约定项目投资规模、投资计划（分年度）、投资控制与超支责任。</w:t>
      </w:r>
    </w:p>
    <w:p w:rsidR="00127BDE" w:rsidRDefault="00127BDE" w:rsidP="00127BDE">
      <w:pPr>
        <w:spacing w:line="440" w:lineRule="exact"/>
        <w:ind w:firstLine="480"/>
        <w:jc w:val="left"/>
      </w:pPr>
      <w:r>
        <w:t>B.</w:t>
      </w:r>
      <w:r>
        <w:t>融资方案和资金筹措、融资条件、投融资监管及违约责任等事项。</w:t>
      </w:r>
    </w:p>
    <w:p w:rsidR="00127BDE" w:rsidRDefault="00127BDE" w:rsidP="00127BDE">
      <w:pPr>
        <w:spacing w:line="440" w:lineRule="exact"/>
        <w:ind w:firstLine="480"/>
        <w:jc w:val="left"/>
      </w:pPr>
      <w:r>
        <w:t>C.</w:t>
      </w:r>
      <w:r>
        <w:t>如政府为合作项目提供投资补助、基金注资、担保补贴、贷款贴息等支持，应明确具体方式及必要条件以及设定对投融资的特别监管措施，各方投融资违约行为的认定和违约责任。</w:t>
      </w:r>
    </w:p>
    <w:p w:rsidR="00127BDE" w:rsidRDefault="00127BDE" w:rsidP="00127BDE">
      <w:pPr>
        <w:pStyle w:val="5"/>
      </w:pPr>
      <w:r>
        <w:rPr>
          <w:rFonts w:hint="eastAsia"/>
        </w:rPr>
        <w:t>7</w:t>
      </w:r>
      <w:r>
        <w:rPr>
          <w:rFonts w:hint="eastAsia"/>
        </w:rPr>
        <w:t>）</w:t>
      </w:r>
      <w:r>
        <w:t>验收条款</w:t>
      </w:r>
    </w:p>
    <w:p w:rsidR="00127BDE" w:rsidRDefault="00127BDE" w:rsidP="00127BDE">
      <w:pPr>
        <w:spacing w:line="440" w:lineRule="exact"/>
        <w:ind w:firstLine="480"/>
        <w:jc w:val="left"/>
      </w:pPr>
      <w:r>
        <w:t>项目验收应遵照国家及地方主管部门关于基本建设项目验收管理的规定执行，通常包括专项验收和竣工验收。项目合同应约定项目验收的计划、标准、费用和工作机制等要求。如有必要，应针对特定环节做出专项安排。</w:t>
      </w:r>
    </w:p>
    <w:p w:rsidR="00127BDE" w:rsidRDefault="00127BDE" w:rsidP="00127BDE">
      <w:pPr>
        <w:pStyle w:val="5"/>
      </w:pPr>
      <w:r>
        <w:rPr>
          <w:rFonts w:hint="eastAsia"/>
        </w:rPr>
        <w:t>8</w:t>
      </w:r>
      <w:r>
        <w:rPr>
          <w:rFonts w:hint="eastAsia"/>
        </w:rPr>
        <w:t>）</w:t>
      </w:r>
      <w:r>
        <w:t>经营条款</w:t>
      </w:r>
    </w:p>
    <w:p w:rsidR="00127BDE" w:rsidRDefault="00127BDE" w:rsidP="00127BDE">
      <w:pPr>
        <w:spacing w:line="440" w:lineRule="exact"/>
        <w:ind w:firstLine="480"/>
        <w:jc w:val="left"/>
      </w:pPr>
      <w:r>
        <w:t>A.</w:t>
      </w:r>
      <w:r>
        <w:t>经营条款，重点约定合作项目经营的外部条件、经营内容服务标准和要求、更新改造及追加投资、服务计量、经营期保险、政府监管、经营支出及违</w:t>
      </w:r>
      <w:r>
        <w:lastRenderedPageBreak/>
        <w:t>约责任等事项，适用于包含项目运营环节的合作项目。</w:t>
      </w:r>
    </w:p>
    <w:p w:rsidR="00127BDE" w:rsidRDefault="00127BDE" w:rsidP="00127BDE">
      <w:pPr>
        <w:spacing w:line="440" w:lineRule="exact"/>
        <w:ind w:firstLine="480"/>
        <w:jc w:val="left"/>
      </w:pPr>
      <w:r>
        <w:t>B.</w:t>
      </w:r>
      <w:r>
        <w:t>项目合同应约定项目经营期项目维护事项，详细内容可在合同附件中描述。</w:t>
      </w:r>
    </w:p>
    <w:p w:rsidR="00127BDE" w:rsidRDefault="00127BDE" w:rsidP="00127BDE">
      <w:pPr>
        <w:spacing w:line="440" w:lineRule="exact"/>
        <w:ind w:firstLine="480"/>
        <w:jc w:val="left"/>
      </w:pPr>
      <w:r>
        <w:t>C.</w:t>
      </w:r>
      <w:r>
        <w:t>项目合同应约定在经营过程中产生的主副产品的权属和处置权限，以及经营期间由于政府特殊要求造成社会资本主体支出增加、收入减少的补偿方式、补偿金额、支付程序及协商机制。</w:t>
      </w:r>
    </w:p>
    <w:p w:rsidR="00127BDE" w:rsidRDefault="00127BDE" w:rsidP="00127BDE">
      <w:pPr>
        <w:pStyle w:val="5"/>
      </w:pPr>
      <w:r>
        <w:rPr>
          <w:rFonts w:hint="eastAsia"/>
        </w:rPr>
        <w:t>9</w:t>
      </w:r>
      <w:r>
        <w:rPr>
          <w:rFonts w:hint="eastAsia"/>
        </w:rPr>
        <w:t>）</w:t>
      </w:r>
      <w:r>
        <w:t>核算条款</w:t>
      </w:r>
    </w:p>
    <w:p w:rsidR="00127BDE" w:rsidRDefault="00127BDE" w:rsidP="00127BDE">
      <w:pPr>
        <w:spacing w:line="440" w:lineRule="exact"/>
        <w:ind w:firstLine="480"/>
        <w:jc w:val="left"/>
      </w:pPr>
      <w:r>
        <w:t>在</w:t>
      </w:r>
      <w:r>
        <w:t>PPP</w:t>
      </w:r>
      <w:r>
        <w:t>合同中，应对项目的投资规模、投资计划与资金到位方案等进行系统、科学的核算和评估，约定合作项目收入、回报模式，价格确定和调整方式，财务监管及违约责任等事项。</w:t>
      </w:r>
    </w:p>
    <w:p w:rsidR="00127BDE" w:rsidRDefault="00127BDE" w:rsidP="00127BDE">
      <w:pPr>
        <w:pStyle w:val="5"/>
      </w:pPr>
      <w:r>
        <w:rPr>
          <w:rFonts w:hint="eastAsia"/>
        </w:rPr>
        <w:t>10</w:t>
      </w:r>
      <w:r>
        <w:rPr>
          <w:rFonts w:hint="eastAsia"/>
        </w:rPr>
        <w:t>）</w:t>
      </w:r>
      <w:r>
        <w:t>移交条款</w:t>
      </w:r>
    </w:p>
    <w:p w:rsidR="00127BDE" w:rsidRDefault="00127BDE" w:rsidP="00127BDE">
      <w:pPr>
        <w:spacing w:line="440" w:lineRule="exact"/>
        <w:ind w:firstLine="480"/>
        <w:jc w:val="left"/>
      </w:pPr>
      <w:r>
        <w:t>A.</w:t>
      </w:r>
      <w:r>
        <w:t>政府移交资产：重点约定政府向社会资本主体移交资产的准备工作、移交范围、履约标准、移交程序及违约责任等。</w:t>
      </w:r>
    </w:p>
    <w:p w:rsidR="00127BDE" w:rsidRDefault="00127BDE" w:rsidP="00127BDE">
      <w:pPr>
        <w:spacing w:line="440" w:lineRule="exact"/>
        <w:ind w:firstLine="480"/>
        <w:jc w:val="left"/>
      </w:pPr>
      <w:r>
        <w:t>B.</w:t>
      </w:r>
      <w:r>
        <w:t>社会资本方移交项目：重点约定社会资本主体向政府移交项目的过渡期、移交范围和标准、移交程序、质量保证及违约责任等。</w:t>
      </w:r>
    </w:p>
    <w:p w:rsidR="00127BDE" w:rsidRDefault="00127BDE" w:rsidP="00127BDE">
      <w:pPr>
        <w:spacing w:line="440" w:lineRule="exact"/>
        <w:ind w:firstLine="480"/>
        <w:jc w:val="left"/>
      </w:pPr>
      <w:r>
        <w:t>C.</w:t>
      </w:r>
      <w:r>
        <w:t>项目合同应明确各方在移交工作中违约行为的认定和违约责任。可视影响将违约行为划分为重大违约和一般违约，并分别约定违约责任。</w:t>
      </w:r>
    </w:p>
    <w:p w:rsidR="00127BDE" w:rsidRDefault="00127BDE" w:rsidP="00127BDE">
      <w:pPr>
        <w:pStyle w:val="5"/>
      </w:pPr>
      <w:r>
        <w:rPr>
          <w:rFonts w:hint="eastAsia"/>
        </w:rPr>
        <w:t>11</w:t>
      </w:r>
      <w:r>
        <w:rPr>
          <w:rFonts w:hint="eastAsia"/>
        </w:rPr>
        <w:t>）</w:t>
      </w:r>
      <w:r>
        <w:t>担保条款</w:t>
      </w:r>
    </w:p>
    <w:p w:rsidR="00127BDE" w:rsidRDefault="00127BDE" w:rsidP="00127BDE">
      <w:pPr>
        <w:spacing w:line="440" w:lineRule="exact"/>
        <w:ind w:firstLine="480"/>
        <w:jc w:val="left"/>
      </w:pPr>
      <w:r>
        <w:t>A.</w:t>
      </w:r>
      <w:r>
        <w:t>如有必要，可以约定项目合同各方的履约担保事项，明确履约担保的类型、提供方式、提供时间、担保额度、兑取条件和退还等。</w:t>
      </w:r>
    </w:p>
    <w:p w:rsidR="00127BDE" w:rsidRDefault="00127BDE" w:rsidP="00127BDE">
      <w:pPr>
        <w:spacing w:line="440" w:lineRule="exact"/>
        <w:ind w:firstLine="480"/>
        <w:jc w:val="left"/>
      </w:pPr>
      <w:r>
        <w:t>B.</w:t>
      </w:r>
      <w:r>
        <w:t>对于合作周期较长的项目，可分阶段安排履约担保。</w:t>
      </w:r>
    </w:p>
    <w:p w:rsidR="00127BDE" w:rsidRDefault="00127BDE" w:rsidP="00127BDE">
      <w:pPr>
        <w:pStyle w:val="5"/>
      </w:pPr>
      <w:r>
        <w:rPr>
          <w:rFonts w:hint="eastAsia"/>
        </w:rPr>
        <w:t>12</w:t>
      </w:r>
      <w:r>
        <w:rPr>
          <w:rFonts w:hint="eastAsia"/>
        </w:rPr>
        <w:t>）</w:t>
      </w:r>
      <w:r>
        <w:t>保险条款</w:t>
      </w:r>
    </w:p>
    <w:p w:rsidR="00127BDE" w:rsidRDefault="00127BDE" w:rsidP="00127BDE">
      <w:pPr>
        <w:spacing w:line="440" w:lineRule="exact"/>
        <w:ind w:firstLine="480"/>
        <w:jc w:val="left"/>
      </w:pPr>
      <w:r>
        <w:t>A.</w:t>
      </w:r>
      <w:r>
        <w:t>项目合同应约定工程建设期需要投保的险种、保险范围、保险责任期间、保额、投保人、受益人、保险赔偿金的使用等。</w:t>
      </w:r>
    </w:p>
    <w:p w:rsidR="00127BDE" w:rsidRDefault="00127BDE" w:rsidP="00127BDE">
      <w:pPr>
        <w:spacing w:line="440" w:lineRule="exact"/>
        <w:ind w:firstLine="480"/>
        <w:jc w:val="left"/>
      </w:pPr>
      <w:r>
        <w:lastRenderedPageBreak/>
        <w:t>B.</w:t>
      </w:r>
      <w:r>
        <w:t>项目合同应约定运营期需要投保的险种、保险范围、保险责任期间、保额、投保人、受益人、保险赔偿金的使用等。</w:t>
      </w:r>
    </w:p>
    <w:p w:rsidR="00127BDE" w:rsidRDefault="00127BDE" w:rsidP="00127BDE">
      <w:pPr>
        <w:pStyle w:val="5"/>
      </w:pPr>
      <w:r>
        <w:rPr>
          <w:rFonts w:hint="eastAsia"/>
        </w:rPr>
        <w:t>13</w:t>
      </w:r>
      <w:r>
        <w:rPr>
          <w:rFonts w:hint="eastAsia"/>
          <w:highlight w:val="lightGray"/>
        </w:rPr>
        <w:t>）</w:t>
      </w:r>
      <w:r>
        <w:t>信息披露与保密条款</w:t>
      </w:r>
    </w:p>
    <w:p w:rsidR="00127BDE" w:rsidRDefault="00127BDE" w:rsidP="00127BDE">
      <w:pPr>
        <w:spacing w:line="440" w:lineRule="exact"/>
        <w:ind w:firstLine="480"/>
        <w:jc w:val="left"/>
      </w:pPr>
      <w:r>
        <w:t>为维护公共利益、促进依法行政、提高项目透明度，合同各方有义务按照法律法规和项目合同约定，向对方或社会披露相关信息。详细披露事项可在合同附件中明确。</w:t>
      </w:r>
    </w:p>
    <w:p w:rsidR="00127BDE" w:rsidRDefault="00127BDE" w:rsidP="00127BDE">
      <w:pPr>
        <w:spacing w:line="440" w:lineRule="exact"/>
        <w:ind w:firstLine="480"/>
        <w:jc w:val="left"/>
      </w:pPr>
      <w:r>
        <w:t>项目合同应约定保密信息范围、保密措施、保密责任。保密信息通常包括项目涉及国家安全、商业秘密或合同各方约定的其他信息。</w:t>
      </w:r>
    </w:p>
    <w:p w:rsidR="00127BDE" w:rsidRDefault="00127BDE" w:rsidP="00127BDE">
      <w:pPr>
        <w:pStyle w:val="5"/>
      </w:pPr>
      <w:r>
        <w:rPr>
          <w:rFonts w:hint="eastAsia"/>
        </w:rPr>
        <w:t>14</w:t>
      </w:r>
      <w:r>
        <w:rPr>
          <w:rFonts w:hint="eastAsia"/>
        </w:rPr>
        <w:t>）</w:t>
      </w:r>
      <w:r>
        <w:t>廉政与反贿赂条款</w:t>
      </w:r>
    </w:p>
    <w:p w:rsidR="00127BDE" w:rsidRDefault="00127BDE" w:rsidP="00127BDE">
      <w:pPr>
        <w:spacing w:line="440" w:lineRule="exact"/>
        <w:ind w:firstLine="480"/>
        <w:jc w:val="left"/>
      </w:pPr>
      <w:r>
        <w:t>A.</w:t>
      </w:r>
      <w:r>
        <w:t>项目合同应约定各方恪守廉洁从政、廉洁从业和防范腐败的责任。</w:t>
      </w:r>
    </w:p>
    <w:p w:rsidR="00127BDE" w:rsidRDefault="00127BDE" w:rsidP="00127BDE">
      <w:pPr>
        <w:spacing w:line="440" w:lineRule="exact"/>
        <w:ind w:firstLine="480"/>
        <w:jc w:val="left"/>
      </w:pPr>
      <w:r>
        <w:t>B.</w:t>
      </w:r>
      <w:r>
        <w:t>项目合同应约定反不正当竞争和商业贿赂条款，保证项目过程的法治与公平。</w:t>
      </w:r>
    </w:p>
    <w:p w:rsidR="00127BDE" w:rsidRDefault="00127BDE" w:rsidP="00127BDE">
      <w:pPr>
        <w:pStyle w:val="5"/>
      </w:pPr>
      <w:r>
        <w:rPr>
          <w:rFonts w:hint="eastAsia"/>
        </w:rPr>
        <w:t>15</w:t>
      </w:r>
      <w:r>
        <w:rPr>
          <w:rFonts w:hint="eastAsia"/>
        </w:rPr>
        <w:t>）</w:t>
      </w:r>
      <w:r>
        <w:t>合同的变更、修订与转让条款</w:t>
      </w:r>
    </w:p>
    <w:p w:rsidR="00127BDE" w:rsidRDefault="00127BDE" w:rsidP="00127BDE">
      <w:pPr>
        <w:pStyle w:val="40"/>
        <w:spacing w:line="440" w:lineRule="exact"/>
        <w:ind w:firstLine="480"/>
        <w:rPr>
          <w:rFonts w:ascii="Times New Roman" w:eastAsia="宋体" w:hAnsi="Times New Roman"/>
        </w:rPr>
      </w:pPr>
      <w:r>
        <w:rPr>
          <w:rFonts w:ascii="Times New Roman" w:eastAsia="宋体" w:hAnsi="Times New Roman"/>
        </w:rPr>
        <w:t>A.</w:t>
      </w:r>
      <w:r>
        <w:rPr>
          <w:rFonts w:ascii="Times New Roman" w:eastAsia="宋体" w:hAnsi="Times New Roman"/>
        </w:rPr>
        <w:t>项目合同应对合同内容变更或修订的触发条件、变更程序、处理方法等进行约定。</w:t>
      </w:r>
    </w:p>
    <w:p w:rsidR="00127BDE" w:rsidRDefault="00127BDE" w:rsidP="00127BDE">
      <w:pPr>
        <w:spacing w:line="440" w:lineRule="exact"/>
        <w:ind w:firstLine="480"/>
        <w:jc w:val="left"/>
      </w:pPr>
      <w:r>
        <w:t>B.</w:t>
      </w:r>
      <w:r>
        <w:t>项目合同应约定合同权利义务是否允许转让；如允许转让，应约定需满足的条件和程序。</w:t>
      </w:r>
    </w:p>
    <w:p w:rsidR="00127BDE" w:rsidRDefault="00127BDE" w:rsidP="00127BDE">
      <w:pPr>
        <w:pStyle w:val="5"/>
      </w:pPr>
      <w:r>
        <w:rPr>
          <w:rFonts w:hint="eastAsia"/>
        </w:rPr>
        <w:t>16</w:t>
      </w:r>
      <w:r>
        <w:rPr>
          <w:rFonts w:hint="eastAsia"/>
        </w:rPr>
        <w:t>）</w:t>
      </w:r>
      <w:r>
        <w:t>特许经营权条款</w:t>
      </w:r>
    </w:p>
    <w:p w:rsidR="00127BDE" w:rsidRDefault="00127BDE" w:rsidP="00127BDE">
      <w:pPr>
        <w:pStyle w:val="40"/>
        <w:spacing w:line="440" w:lineRule="exact"/>
        <w:ind w:firstLine="480"/>
        <w:rPr>
          <w:rFonts w:ascii="Times New Roman" w:eastAsia="宋体" w:hAnsi="Times New Roman"/>
        </w:rPr>
      </w:pPr>
      <w:r>
        <w:rPr>
          <w:rFonts w:ascii="Times New Roman" w:eastAsia="宋体" w:hAnsi="Times New Roman"/>
        </w:rPr>
        <w:t>A.</w:t>
      </w:r>
      <w:r>
        <w:rPr>
          <w:rFonts w:ascii="Times New Roman" w:eastAsia="宋体" w:hAnsi="Times New Roman"/>
        </w:rPr>
        <w:t>从本质上讲，特许经营模式是将政府的角色从服务提供者变成服务价格和质量的规范者。</w:t>
      </w:r>
    </w:p>
    <w:p w:rsidR="00127BDE" w:rsidRDefault="00127BDE" w:rsidP="00127BDE">
      <w:pPr>
        <w:spacing w:line="440" w:lineRule="exact"/>
        <w:ind w:firstLine="480"/>
        <w:jc w:val="left"/>
      </w:pPr>
      <w:r>
        <w:t>B.</w:t>
      </w:r>
      <w:r>
        <w:t>特许经营权是政府允许社会资本运营商在指定区域内负责全面提供公共服务，同时负责所有资本投资，但在项目合同中必须强化监管措施，防止垄断利益损害。</w:t>
      </w:r>
    </w:p>
    <w:p w:rsidR="00127BDE" w:rsidRDefault="00127BDE" w:rsidP="00127BDE">
      <w:pPr>
        <w:pStyle w:val="5"/>
      </w:pPr>
      <w:r>
        <w:rPr>
          <w:rFonts w:hint="eastAsia"/>
        </w:rPr>
        <w:lastRenderedPageBreak/>
        <w:t>17</w:t>
      </w:r>
      <w:r>
        <w:rPr>
          <w:rFonts w:hint="eastAsia"/>
        </w:rPr>
        <w:t>）</w:t>
      </w:r>
      <w:r>
        <w:t>不可抗力和法律变更</w:t>
      </w:r>
    </w:p>
    <w:p w:rsidR="00127BDE" w:rsidRDefault="00127BDE" w:rsidP="00127BDE">
      <w:pPr>
        <w:pStyle w:val="40"/>
        <w:spacing w:line="440" w:lineRule="exact"/>
        <w:ind w:firstLine="480"/>
        <w:rPr>
          <w:rFonts w:ascii="Times New Roman" w:eastAsia="宋体" w:hAnsi="Times New Roman"/>
        </w:rPr>
      </w:pPr>
      <w:r>
        <w:rPr>
          <w:rFonts w:ascii="Times New Roman" w:eastAsia="宋体" w:hAnsi="Times New Roman"/>
        </w:rPr>
        <w:t>A.</w:t>
      </w:r>
      <w:r>
        <w:rPr>
          <w:rFonts w:ascii="Times New Roman" w:eastAsia="宋体" w:hAnsi="Times New Roman"/>
        </w:rPr>
        <w:t>项目合同应约定不可抗力事件的类型和范围，根据不可抗力事件对合同履行造成的影响程度，分别约定不可抗力事件的处理。</w:t>
      </w:r>
    </w:p>
    <w:p w:rsidR="00127BDE" w:rsidRDefault="00127BDE" w:rsidP="00127BDE">
      <w:pPr>
        <w:spacing w:line="440" w:lineRule="exact"/>
        <w:ind w:firstLine="480"/>
        <w:jc w:val="left"/>
      </w:pPr>
      <w:r>
        <w:t>B.</w:t>
      </w:r>
      <w:r>
        <w:t>项目合同应约定如在项目合同生效后发布新的法律、法规或对法律、法规进行修订，影响项目运行或各方项目收益时，变更项目合同或解除项目合同的触发条件、影响评估、处理程序等原则和事项。</w:t>
      </w:r>
    </w:p>
    <w:p w:rsidR="00127BDE" w:rsidRDefault="00127BDE" w:rsidP="00127BDE">
      <w:pPr>
        <w:pStyle w:val="5"/>
      </w:pPr>
      <w:r>
        <w:rPr>
          <w:rFonts w:hint="eastAsia"/>
        </w:rPr>
        <w:t>18)</w:t>
      </w:r>
      <w:r>
        <w:t>解约条款</w:t>
      </w:r>
    </w:p>
    <w:p w:rsidR="00127BDE" w:rsidRDefault="00127BDE" w:rsidP="00127BDE">
      <w:pPr>
        <w:spacing w:line="440" w:lineRule="exact"/>
        <w:ind w:firstLine="480"/>
        <w:jc w:val="left"/>
      </w:pPr>
      <w:r>
        <w:t>A.</w:t>
      </w:r>
      <w:r>
        <w:t>按照公平合理的原则，重点约定合同的退出机制，即明确合同解除事由、解除程序以及合同解除后的结算、项目移交等事项。</w:t>
      </w:r>
    </w:p>
    <w:p w:rsidR="00127BDE" w:rsidRDefault="00127BDE" w:rsidP="00127BDE">
      <w:pPr>
        <w:spacing w:line="440" w:lineRule="exact"/>
        <w:ind w:firstLine="480"/>
        <w:jc w:val="left"/>
      </w:pPr>
      <w:r>
        <w:t>B.</w:t>
      </w:r>
      <w:r>
        <w:t>结合项目特点和合同解除事由，可分别约定在合同解除时项目接管、项目持续运行、公共利益保护以及其他处置措施等。</w:t>
      </w:r>
    </w:p>
    <w:p w:rsidR="00127BDE" w:rsidRDefault="00127BDE" w:rsidP="00127BDE">
      <w:pPr>
        <w:pStyle w:val="5"/>
      </w:pPr>
      <w:r>
        <w:rPr>
          <w:rFonts w:hint="eastAsia"/>
        </w:rPr>
        <w:t>19</w:t>
      </w:r>
      <w:r>
        <w:rPr>
          <w:rFonts w:hint="eastAsia"/>
        </w:rPr>
        <w:t>）</w:t>
      </w:r>
      <w:r>
        <w:t>违约条款</w:t>
      </w:r>
    </w:p>
    <w:p w:rsidR="00127BDE" w:rsidRDefault="00127BDE" w:rsidP="00127BDE">
      <w:pPr>
        <w:pStyle w:val="40"/>
        <w:spacing w:line="440" w:lineRule="exact"/>
        <w:ind w:firstLine="480"/>
        <w:rPr>
          <w:rFonts w:ascii="Times New Roman" w:eastAsia="宋体" w:hAnsi="Times New Roman"/>
        </w:rPr>
      </w:pPr>
      <w:r>
        <w:rPr>
          <w:rFonts w:ascii="Times New Roman" w:eastAsia="宋体" w:hAnsi="Times New Roman"/>
        </w:rPr>
        <w:t>A.</w:t>
      </w:r>
      <w:r>
        <w:rPr>
          <w:rFonts w:ascii="Times New Roman" w:eastAsia="宋体" w:hAnsi="Times New Roman"/>
        </w:rPr>
        <w:t>其他章节关于违约的未约定事项，在本章中予以约定；或者对于合同中涉及违约的各种情形在合同中予以集中约定，并对相应的违约责任进行明确细化。</w:t>
      </w:r>
    </w:p>
    <w:p w:rsidR="00127BDE" w:rsidRDefault="00127BDE" w:rsidP="00127BDE">
      <w:pPr>
        <w:spacing w:line="440" w:lineRule="exact"/>
        <w:ind w:firstLine="480"/>
        <w:jc w:val="left"/>
      </w:pPr>
      <w:r>
        <w:t>B.</w:t>
      </w:r>
      <w:r>
        <w:t>项目合同应明确各方在各个环节中违约行为的认定和违约责任，可视影响将违约行为划分为重大违约和一般违约，并分别约定违约责任。</w:t>
      </w:r>
    </w:p>
    <w:p w:rsidR="00127BDE" w:rsidRDefault="00127BDE" w:rsidP="00127BDE">
      <w:pPr>
        <w:pStyle w:val="5"/>
      </w:pPr>
      <w:r>
        <w:rPr>
          <w:rFonts w:hint="eastAsia"/>
        </w:rPr>
        <w:t>20</w:t>
      </w:r>
      <w:r>
        <w:rPr>
          <w:rFonts w:hint="eastAsia"/>
        </w:rPr>
        <w:t>）</w:t>
      </w:r>
      <w:r>
        <w:t>纠纷解决条款</w:t>
      </w:r>
    </w:p>
    <w:p w:rsidR="00127BDE" w:rsidRDefault="00127BDE" w:rsidP="00127BDE">
      <w:pPr>
        <w:spacing w:line="440" w:lineRule="exact"/>
        <w:ind w:firstLine="480"/>
        <w:jc w:val="left"/>
      </w:pPr>
      <w:r>
        <w:t>A.</w:t>
      </w:r>
      <w:r>
        <w:t>重点约定争议解决方式，如协商、调解、仲裁或诉讼。</w:t>
      </w:r>
    </w:p>
    <w:p w:rsidR="00127BDE" w:rsidRDefault="00127BDE" w:rsidP="00127BDE">
      <w:pPr>
        <w:spacing w:line="440" w:lineRule="exact"/>
        <w:ind w:firstLine="480"/>
        <w:jc w:val="left"/>
      </w:pPr>
      <w:r>
        <w:t>B.</w:t>
      </w:r>
      <w:r>
        <w:t>项目合同应当约定争议期间的合同履行，除法律规定或另有约定外，任何一方不得以发生争议为由，停止项目运营服务、停止项目运营支持服务或采取其他影响公共利益的措施。</w:t>
      </w:r>
    </w:p>
    <w:p w:rsidR="00127BDE" w:rsidRDefault="00127BDE" w:rsidP="00127BDE">
      <w:pPr>
        <w:pStyle w:val="5"/>
      </w:pPr>
      <w:bookmarkStart w:id="99" w:name="_Toc2801_WPSOffice_Level2"/>
      <w:r>
        <w:rPr>
          <w:rFonts w:hint="eastAsia"/>
        </w:rPr>
        <w:lastRenderedPageBreak/>
        <w:t>21</w:t>
      </w:r>
      <w:r>
        <w:rPr>
          <w:rFonts w:hint="eastAsia"/>
        </w:rPr>
        <w:t>）</w:t>
      </w:r>
      <w:r>
        <w:t>兜底条款</w:t>
      </w:r>
      <w:bookmarkEnd w:id="99"/>
    </w:p>
    <w:p w:rsidR="00127BDE" w:rsidRDefault="00127BDE" w:rsidP="00127BDE">
      <w:pPr>
        <w:spacing w:line="440" w:lineRule="exact"/>
        <w:ind w:firstLine="480"/>
        <w:jc w:val="left"/>
      </w:pPr>
      <w:r>
        <w:t>约定项目合同的其他未尽事项，包括合同适用的法律、语言、货币等事项。</w:t>
      </w:r>
    </w:p>
    <w:p w:rsidR="00127BDE" w:rsidRDefault="00127BDE" w:rsidP="00127BDE">
      <w:pPr>
        <w:spacing w:line="440" w:lineRule="exact"/>
        <w:ind w:firstLine="480"/>
        <w:jc w:val="left"/>
      </w:pPr>
      <w:r>
        <w:t>上述是对</w:t>
      </w:r>
      <w:r>
        <w:t>PPP</w:t>
      </w:r>
      <w:r>
        <w:t>合同核心条款设计的二十一项重点提示，除</w:t>
      </w:r>
      <w:r>
        <w:t>PPP</w:t>
      </w:r>
      <w:r>
        <w:t>交易架构中最核心的政府与社会资本合作合同（《</w:t>
      </w:r>
      <w:r>
        <w:t>PPP</w:t>
      </w:r>
      <w:r>
        <w:t>主合同》）外，</w:t>
      </w:r>
      <w:r>
        <w:t>PPP</w:t>
      </w:r>
      <w:r>
        <w:t>交易架构与关联的其他各种各样的交易安排，也应属于广义</w:t>
      </w:r>
      <w:r>
        <w:t>PPP</w:t>
      </w:r>
      <w:r>
        <w:t>投融资体系的内容，这些内容须遵守和围绕《</w:t>
      </w:r>
      <w:r>
        <w:t>PPP</w:t>
      </w:r>
      <w:r>
        <w:t>主合同》发挥其作用。</w:t>
      </w:r>
    </w:p>
    <w:p w:rsidR="00127BDE" w:rsidRDefault="00127BDE" w:rsidP="00127BDE">
      <w:pPr>
        <w:pStyle w:val="4"/>
      </w:pPr>
      <w:bookmarkStart w:id="100" w:name="_Toc12320_WPSOffice_Level3"/>
      <w:r>
        <w:rPr>
          <w:rFonts w:hint="eastAsia"/>
        </w:rPr>
        <w:t>（</w:t>
      </w:r>
      <w:r>
        <w:rPr>
          <w:rFonts w:hint="eastAsia"/>
        </w:rPr>
        <w:t>3</w:t>
      </w:r>
      <w:r>
        <w:rPr>
          <w:rFonts w:hint="eastAsia"/>
        </w:rPr>
        <w:t>）</w:t>
      </w:r>
      <w:r>
        <w:t>项目谈判</w:t>
      </w:r>
      <w:bookmarkEnd w:id="100"/>
    </w:p>
    <w:p w:rsidR="00127BDE" w:rsidRDefault="00127BDE" w:rsidP="00127BDE">
      <w:pPr>
        <w:spacing w:line="440" w:lineRule="exact"/>
        <w:ind w:firstLine="480"/>
        <w:jc w:val="left"/>
      </w:pPr>
      <w:r>
        <w:t>根据财政部《政府和社会资本合作模式操作指南（试行）》（财金</w:t>
      </w:r>
      <w:r>
        <w:t>[2014]113</w:t>
      </w:r>
      <w:r>
        <w:t>号）文件指导意见，初步对谈判方案做如下部署，具体方案当根据具体项目做补充完善。</w:t>
      </w:r>
    </w:p>
    <w:p w:rsidR="00127BDE" w:rsidRDefault="00127BDE" w:rsidP="00127BDE">
      <w:pPr>
        <w:pStyle w:val="5"/>
      </w:pPr>
      <w:r>
        <w:rPr>
          <w:rFonts w:hint="eastAsia"/>
        </w:rPr>
        <w:t>1</w:t>
      </w:r>
      <w:r>
        <w:rPr>
          <w:rFonts w:hint="eastAsia"/>
        </w:rPr>
        <w:t>）</w:t>
      </w:r>
      <w:r>
        <w:t>谈判准备</w:t>
      </w:r>
    </w:p>
    <w:p w:rsidR="00127BDE" w:rsidRDefault="00127BDE" w:rsidP="00127BDE">
      <w:pPr>
        <w:spacing w:line="440" w:lineRule="exact"/>
        <w:ind w:firstLine="480"/>
        <w:jc w:val="left"/>
      </w:pPr>
      <w:r>
        <w:t>项目实施机构确定采购谈判人员，成立专门的采购结果确认谈判工作组。</w:t>
      </w:r>
    </w:p>
    <w:p w:rsidR="00127BDE" w:rsidRDefault="00127BDE" w:rsidP="00127BDE">
      <w:pPr>
        <w:pStyle w:val="5"/>
      </w:pPr>
      <w:r>
        <w:rPr>
          <w:rFonts w:hint="eastAsia"/>
        </w:rPr>
        <w:t>2</w:t>
      </w:r>
      <w:r>
        <w:rPr>
          <w:rFonts w:hint="eastAsia"/>
        </w:rPr>
        <w:t>）</w:t>
      </w:r>
      <w:r>
        <w:t>制定谈判目标</w:t>
      </w:r>
    </w:p>
    <w:p w:rsidR="00127BDE" w:rsidRDefault="00127BDE" w:rsidP="00127BDE">
      <w:pPr>
        <w:spacing w:line="440" w:lineRule="exact"/>
        <w:ind w:firstLine="480"/>
        <w:jc w:val="left"/>
      </w:pPr>
      <w:r>
        <w:t>设定谈判目标，并针对不可谈判核心条款之外的合同条款（融资、专业技术、供应定价、服务标准等）进行目标区间设置。</w:t>
      </w:r>
    </w:p>
    <w:p w:rsidR="00127BDE" w:rsidRDefault="00127BDE" w:rsidP="00127BDE">
      <w:pPr>
        <w:pStyle w:val="5"/>
      </w:pPr>
      <w:r>
        <w:rPr>
          <w:rFonts w:hint="eastAsia"/>
        </w:rPr>
        <w:t>3</w:t>
      </w:r>
      <w:r>
        <w:rPr>
          <w:rFonts w:hint="eastAsia"/>
        </w:rPr>
        <w:t>）</w:t>
      </w:r>
      <w:r>
        <w:t>组织谈判</w:t>
      </w:r>
    </w:p>
    <w:p w:rsidR="00127BDE" w:rsidRDefault="00127BDE" w:rsidP="00127BDE">
      <w:pPr>
        <w:spacing w:line="440" w:lineRule="exact"/>
        <w:ind w:firstLine="480"/>
        <w:jc w:val="left"/>
      </w:pPr>
      <w:r>
        <w:t>按照候选社会资本的排名，依次与候选社会资本及与其合作的金融机构就合同中可变的细节问题进行合同签署前的确认谈判，率先达成一致的即为中选者。确认谈判不得涉及合同中不可谈判的核心条款，不得与排序在前但已终止谈判的社会资本进行再次谈判。</w:t>
      </w:r>
    </w:p>
    <w:p w:rsidR="00127BDE" w:rsidRDefault="00127BDE" w:rsidP="00127BDE">
      <w:pPr>
        <w:pStyle w:val="5"/>
      </w:pPr>
      <w:r>
        <w:rPr>
          <w:rFonts w:hint="eastAsia"/>
        </w:rPr>
        <w:lastRenderedPageBreak/>
        <w:t>4</w:t>
      </w:r>
      <w:r>
        <w:rPr>
          <w:rFonts w:hint="eastAsia"/>
        </w:rPr>
        <w:t>）</w:t>
      </w:r>
      <w:r>
        <w:t>确认谈判结果</w:t>
      </w:r>
    </w:p>
    <w:p w:rsidR="00127BDE" w:rsidRDefault="00127BDE" w:rsidP="00127BDE">
      <w:pPr>
        <w:spacing w:line="440" w:lineRule="exact"/>
        <w:ind w:firstLine="480"/>
        <w:jc w:val="left"/>
      </w:pPr>
      <w:r>
        <w:t>谈判双方确认谈判完成后，项目实施机构应与中选社会资本签署确认谈判备忘录。</w:t>
      </w:r>
    </w:p>
    <w:p w:rsidR="00127BDE" w:rsidRDefault="00127BDE" w:rsidP="00127BDE">
      <w:pPr>
        <w:pStyle w:val="5"/>
      </w:pPr>
      <w:r>
        <w:rPr>
          <w:rFonts w:hint="eastAsia"/>
        </w:rPr>
        <w:t>5</w:t>
      </w:r>
      <w:r>
        <w:rPr>
          <w:rFonts w:hint="eastAsia"/>
        </w:rPr>
        <w:t>）</w:t>
      </w:r>
      <w:r>
        <w:t>公示采购结果</w:t>
      </w:r>
    </w:p>
    <w:p w:rsidR="00127BDE" w:rsidRDefault="00127BDE" w:rsidP="00127BDE">
      <w:pPr>
        <w:spacing w:line="440" w:lineRule="exact"/>
        <w:ind w:firstLine="480"/>
        <w:jc w:val="left"/>
      </w:pPr>
      <w:r>
        <w:t>将采购结果和根据采购文件、响应文件、补遗文件和确认谈判备忘录拟定的合同文本进行公示，公示期不得少于</w:t>
      </w:r>
      <w:r>
        <w:t>5</w:t>
      </w:r>
      <w:r>
        <w:t>个工作日。合同文本应将中选社会资本响应文件中的重要承诺和技术文件等作为附件。合同文本中涉及国家秘密、商业秘密的内容可以不公示。</w:t>
      </w:r>
    </w:p>
    <w:p w:rsidR="00127BDE" w:rsidRDefault="00127BDE" w:rsidP="00127BDE">
      <w:pPr>
        <w:pStyle w:val="5"/>
      </w:pPr>
      <w:r>
        <w:rPr>
          <w:rFonts w:hint="eastAsia"/>
        </w:rPr>
        <w:t>6</w:t>
      </w:r>
      <w:r>
        <w:rPr>
          <w:rFonts w:hint="eastAsia"/>
        </w:rPr>
        <w:t>）</w:t>
      </w:r>
      <w:r>
        <w:t>签署合同</w:t>
      </w:r>
    </w:p>
    <w:p w:rsidR="00127BDE" w:rsidRDefault="00127BDE" w:rsidP="00127BDE">
      <w:pPr>
        <w:pStyle w:val="Style6"/>
        <w:spacing w:line="440" w:lineRule="exact"/>
        <w:ind w:firstLineChars="0"/>
        <w:jc w:val="left"/>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公示期满无异议的项目合同，应在政府审核同意后，由项目实施机构与中选社会资本签署。</w:t>
      </w:r>
    </w:p>
    <w:p w:rsidR="00127BDE" w:rsidRDefault="00127BDE" w:rsidP="00127BDE">
      <w:pPr>
        <w:pStyle w:val="Style6"/>
        <w:spacing w:line="440" w:lineRule="exact"/>
        <w:ind w:firstLineChars="0"/>
        <w:jc w:val="left"/>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rPr>
        <w:t>需要为项目设立专门项目公司的，待项目公司成立后，由项目公司与项目实施机构重新签署项目合同，或签署关于承继项目合同的补充合同。</w:t>
      </w:r>
    </w:p>
    <w:p w:rsidR="00127BDE" w:rsidRDefault="00127BDE" w:rsidP="00127BDE">
      <w:pPr>
        <w:pStyle w:val="Style6"/>
        <w:spacing w:line="440" w:lineRule="exact"/>
        <w:ind w:firstLineChars="0"/>
        <w:jc w:val="left"/>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rPr>
        <w:t>项目实施机构应在项目合同签订之日起</w:t>
      </w:r>
      <w:r>
        <w:rPr>
          <w:rFonts w:ascii="Times New Roman" w:eastAsia="宋体" w:hAnsi="Times New Roman" w:cs="Times New Roman"/>
        </w:rPr>
        <w:t>2</w:t>
      </w:r>
      <w:r>
        <w:rPr>
          <w:rFonts w:ascii="Times New Roman" w:eastAsia="宋体" w:hAnsi="Times New Roman" w:cs="Times New Roman"/>
        </w:rPr>
        <w:t>个工作日内，将项目合同在省级以上人民政府财政部门指定的媒体上公告，但合同中涉及国家秘密、商业秘密的内容除外。</w:t>
      </w:r>
    </w:p>
    <w:p w:rsidR="00127BDE" w:rsidRDefault="00127BDE" w:rsidP="00127BDE">
      <w:pPr>
        <w:pStyle w:val="3"/>
      </w:pPr>
      <w:bookmarkStart w:id="101" w:name="_Toc18554_WPSOffice_Level2"/>
      <w:bookmarkStart w:id="102" w:name="_Toc5564_WPSOffice_Level2"/>
      <w:bookmarkStart w:id="103" w:name="_Toc528575842"/>
      <w:r>
        <w:rPr>
          <w:rFonts w:hint="eastAsia"/>
        </w:rPr>
        <w:t>7.</w:t>
      </w:r>
      <w:r>
        <w:t>财务</w:t>
      </w:r>
      <w:r>
        <w:rPr>
          <w:rFonts w:hint="eastAsia"/>
        </w:rPr>
        <w:t>测</w:t>
      </w:r>
      <w:r>
        <w:t>算方案</w:t>
      </w:r>
      <w:bookmarkEnd w:id="101"/>
      <w:bookmarkEnd w:id="102"/>
      <w:bookmarkEnd w:id="103"/>
    </w:p>
    <w:p w:rsidR="00127BDE" w:rsidRDefault="00127BDE" w:rsidP="00127BDE">
      <w:pPr>
        <w:spacing w:line="440" w:lineRule="exact"/>
        <w:ind w:firstLine="480"/>
        <w:jc w:val="left"/>
      </w:pPr>
      <w:r>
        <w:t>项目财务预算是对项目资本收益的衡量</w:t>
      </w:r>
      <w:r>
        <w:t xml:space="preserve">, </w:t>
      </w:r>
      <w:r>
        <w:t>是对资金的潜在收益能力的一种评价，用于判断项目值不值得进行投资</w:t>
      </w:r>
      <w:r>
        <w:t>,</w:t>
      </w:r>
      <w:r>
        <w:t>为此</w:t>
      </w:r>
      <w:r>
        <w:t>,</w:t>
      </w:r>
      <w:r>
        <w:t>要计算财务内部收益率、投资回收期、财务净现值等指标。项目财务预算为业主招商提供了指引，也是社会投资者进入项目进行投资的关键因素。</w:t>
      </w:r>
    </w:p>
    <w:p w:rsidR="00127BDE" w:rsidRDefault="00127BDE" w:rsidP="00127BDE">
      <w:pPr>
        <w:pStyle w:val="4"/>
      </w:pPr>
      <w:bookmarkStart w:id="104" w:name="_Toc28372_WPSOffice_Level3"/>
      <w:bookmarkStart w:id="105" w:name="_Toc8589_WPSOffice_Level3"/>
      <w:r>
        <w:rPr>
          <w:rFonts w:hint="eastAsia"/>
        </w:rPr>
        <w:t>（</w:t>
      </w:r>
      <w:r>
        <w:rPr>
          <w:rFonts w:hint="eastAsia"/>
        </w:rPr>
        <w:t>1</w:t>
      </w:r>
      <w:r>
        <w:rPr>
          <w:rFonts w:hint="eastAsia"/>
        </w:rPr>
        <w:t>）</w:t>
      </w:r>
      <w:r>
        <w:t>财务</w:t>
      </w:r>
      <w:r>
        <w:rPr>
          <w:rFonts w:hint="eastAsia"/>
        </w:rPr>
        <w:t>测</w:t>
      </w:r>
      <w:r>
        <w:t>算的目的</w:t>
      </w:r>
      <w:bookmarkEnd w:id="104"/>
      <w:bookmarkEnd w:id="105"/>
    </w:p>
    <w:p w:rsidR="00127BDE" w:rsidRDefault="00127BDE" w:rsidP="00127BDE">
      <w:pPr>
        <w:spacing w:line="440" w:lineRule="exact"/>
        <w:ind w:firstLine="480"/>
        <w:jc w:val="left"/>
      </w:pPr>
      <w:r>
        <w:t>本次财务测算以</w:t>
      </w:r>
      <w:r>
        <w:rPr>
          <w:rFonts w:hint="eastAsia"/>
        </w:rPr>
        <w:t>国道</w:t>
      </w:r>
      <w:r>
        <w:rPr>
          <w:rFonts w:hint="eastAsia"/>
        </w:rPr>
        <w:t>3</w:t>
      </w:r>
      <w:r>
        <w:t>11</w:t>
      </w:r>
      <w:r>
        <w:rPr>
          <w:rFonts w:hint="eastAsia"/>
        </w:rPr>
        <w:t>和省道</w:t>
      </w:r>
      <w:r>
        <w:rPr>
          <w:rFonts w:hint="eastAsia"/>
        </w:rPr>
        <w:t>2</w:t>
      </w:r>
      <w:r>
        <w:t>27</w:t>
      </w:r>
      <w:r>
        <w:rPr>
          <w:rFonts w:hint="eastAsia"/>
        </w:rPr>
        <w:t>许昌城区段改建工程</w:t>
      </w:r>
      <w:r>
        <w:rPr>
          <w:rFonts w:hint="eastAsia"/>
        </w:rPr>
        <w:t>P</w:t>
      </w:r>
      <w:r>
        <w:t>PP</w:t>
      </w:r>
      <w:r>
        <w:rPr>
          <w:rFonts w:hint="eastAsia"/>
        </w:rPr>
        <w:t>项目</w:t>
      </w:r>
      <w:r>
        <w:t>相关调</w:t>
      </w:r>
      <w:r>
        <w:lastRenderedPageBreak/>
        <w:t>研资料及合理假设为基础，评估项目的经济状况，优化本项目的风险分配机制，以便于</w:t>
      </w:r>
      <w:r>
        <w:rPr>
          <w:rFonts w:hint="eastAsia"/>
        </w:rPr>
        <w:t>为社会资本方提供投资参考，为</w:t>
      </w:r>
      <w:r>
        <w:t>政府决策</w:t>
      </w:r>
      <w:r>
        <w:rPr>
          <w:rFonts w:hint="eastAsia"/>
        </w:rPr>
        <w:t>提供依据</w:t>
      </w:r>
      <w:r>
        <w:t>。</w:t>
      </w:r>
    </w:p>
    <w:p w:rsidR="00127BDE" w:rsidRDefault="00127BDE" w:rsidP="00127BDE">
      <w:pPr>
        <w:pStyle w:val="4"/>
      </w:pPr>
      <w:bookmarkStart w:id="106" w:name="_Toc15561_WPSOffice_Level3"/>
      <w:bookmarkStart w:id="107" w:name="_Toc7593_WPSOffice_Level3"/>
      <w:r>
        <w:rPr>
          <w:rFonts w:hint="eastAsia"/>
        </w:rPr>
        <w:t>（</w:t>
      </w:r>
      <w:r>
        <w:rPr>
          <w:rFonts w:hint="eastAsia"/>
        </w:rPr>
        <w:t>2</w:t>
      </w:r>
      <w:r>
        <w:rPr>
          <w:rFonts w:hint="eastAsia"/>
        </w:rPr>
        <w:t>）</w:t>
      </w:r>
      <w:r>
        <w:t>项目财务预算的原则</w:t>
      </w:r>
      <w:bookmarkEnd w:id="106"/>
      <w:bookmarkEnd w:id="107"/>
    </w:p>
    <w:p w:rsidR="00127BDE" w:rsidRDefault="00127BDE" w:rsidP="00127BDE">
      <w:pPr>
        <w:spacing w:line="440" w:lineRule="exact"/>
        <w:ind w:firstLine="562"/>
        <w:jc w:val="left"/>
        <w:rPr>
          <w:rStyle w:val="5Char"/>
        </w:rPr>
      </w:pPr>
      <w:r>
        <w:rPr>
          <w:rStyle w:val="5Char"/>
        </w:rPr>
        <w:fldChar w:fldCharType="begin"/>
      </w:r>
      <w:r>
        <w:rPr>
          <w:rStyle w:val="5Char"/>
        </w:rPr>
        <w:instrText xml:space="preserve"> </w:instrText>
      </w:r>
      <w:r>
        <w:rPr>
          <w:rStyle w:val="5Char"/>
          <w:rFonts w:hint="eastAsia"/>
        </w:rPr>
        <w:instrText>= 1 \* GB3</w:instrText>
      </w:r>
      <w:r>
        <w:rPr>
          <w:rStyle w:val="5Char"/>
        </w:rPr>
        <w:instrText xml:space="preserve"> </w:instrText>
      </w:r>
      <w:r>
        <w:rPr>
          <w:rStyle w:val="5Char"/>
        </w:rPr>
        <w:fldChar w:fldCharType="separate"/>
      </w:r>
      <w:r>
        <w:rPr>
          <w:rStyle w:val="5Char"/>
          <w:rFonts w:hint="eastAsia"/>
        </w:rPr>
        <w:t>①</w:t>
      </w:r>
      <w:r>
        <w:rPr>
          <w:rStyle w:val="5Char"/>
        </w:rPr>
        <w:fldChar w:fldCharType="end"/>
      </w:r>
      <w:r>
        <w:rPr>
          <w:rStyle w:val="5Char"/>
        </w:rPr>
        <w:t>财务预算评价以动态分析为主，静态分析为辅；以定量分析为主，定性分析为辅。</w:t>
      </w:r>
    </w:p>
    <w:p w:rsidR="00127BDE" w:rsidRDefault="00127BDE" w:rsidP="00127BDE">
      <w:pPr>
        <w:spacing w:line="440" w:lineRule="exact"/>
        <w:ind w:firstLine="562"/>
        <w:jc w:val="left"/>
      </w:pPr>
      <w:r>
        <w:rPr>
          <w:rStyle w:val="5Char"/>
        </w:rPr>
        <w:fldChar w:fldCharType="begin"/>
      </w:r>
      <w:r>
        <w:rPr>
          <w:rStyle w:val="5Char"/>
        </w:rPr>
        <w:instrText xml:space="preserve"> = 2 \* GB3 </w:instrText>
      </w:r>
      <w:r>
        <w:rPr>
          <w:rStyle w:val="5Char"/>
        </w:rPr>
        <w:fldChar w:fldCharType="separate"/>
      </w:r>
      <w:r>
        <w:rPr>
          <w:rStyle w:val="5Char"/>
          <w:rFonts w:ascii="宋体" w:hAnsi="宋体" w:cs="宋体" w:hint="eastAsia"/>
        </w:rPr>
        <w:t>②</w:t>
      </w:r>
      <w:r>
        <w:rPr>
          <w:rStyle w:val="5Char"/>
        </w:rPr>
        <w:fldChar w:fldCharType="end"/>
      </w:r>
      <w:r>
        <w:t>财务预算评价遵循效益与费用计算口径对应一致的原则。</w:t>
      </w:r>
      <w:r>
        <w:t xml:space="preserve"> </w:t>
      </w:r>
    </w:p>
    <w:p w:rsidR="00127BDE" w:rsidRDefault="00127BDE" w:rsidP="00127BDE">
      <w:pPr>
        <w:pStyle w:val="4"/>
      </w:pPr>
      <w:bookmarkStart w:id="108" w:name="_Toc25343_WPSOffice_Level3"/>
      <w:bookmarkStart w:id="109" w:name="_Toc26108_WPSOffice_Level3"/>
      <w:r>
        <w:rPr>
          <w:rFonts w:hint="eastAsia"/>
        </w:rPr>
        <w:t>（</w:t>
      </w:r>
      <w:r>
        <w:rPr>
          <w:rFonts w:hint="eastAsia"/>
        </w:rPr>
        <w:t>3</w:t>
      </w:r>
      <w:r>
        <w:rPr>
          <w:rFonts w:hint="eastAsia"/>
        </w:rPr>
        <w:t>）</w:t>
      </w:r>
      <w:r>
        <w:t>财务预算的依据</w:t>
      </w:r>
      <w:bookmarkEnd w:id="108"/>
      <w:bookmarkEnd w:id="109"/>
    </w:p>
    <w:p w:rsidR="00127BDE" w:rsidRDefault="00127BDE" w:rsidP="00127BDE">
      <w:pPr>
        <w:spacing w:line="440" w:lineRule="exact"/>
        <w:ind w:firstLine="562"/>
        <w:jc w:val="left"/>
        <w:rPr>
          <w:rStyle w:val="5Char"/>
        </w:rPr>
      </w:pPr>
      <w:r>
        <w:rPr>
          <w:rStyle w:val="5Char"/>
        </w:rPr>
        <w:fldChar w:fldCharType="begin"/>
      </w:r>
      <w:r>
        <w:rPr>
          <w:rStyle w:val="5Char"/>
        </w:rPr>
        <w:instrText xml:space="preserve"> </w:instrText>
      </w:r>
      <w:r>
        <w:rPr>
          <w:rStyle w:val="5Char"/>
          <w:rFonts w:hint="eastAsia"/>
        </w:rPr>
        <w:instrText>= 1 \* GB3</w:instrText>
      </w:r>
      <w:r>
        <w:rPr>
          <w:rStyle w:val="5Char"/>
        </w:rPr>
        <w:instrText xml:space="preserve"> </w:instrText>
      </w:r>
      <w:r>
        <w:rPr>
          <w:rStyle w:val="5Char"/>
        </w:rPr>
        <w:fldChar w:fldCharType="separate"/>
      </w:r>
      <w:r>
        <w:rPr>
          <w:rStyle w:val="5Char"/>
          <w:rFonts w:hint="eastAsia"/>
        </w:rPr>
        <w:t>①</w:t>
      </w:r>
      <w:r>
        <w:rPr>
          <w:rStyle w:val="5Char"/>
        </w:rPr>
        <w:fldChar w:fldCharType="end"/>
      </w:r>
      <w:r>
        <w:rPr>
          <w:rStyle w:val="5Char"/>
        </w:rPr>
        <w:t>《</w:t>
      </w:r>
      <w:r>
        <w:rPr>
          <w:rStyle w:val="5Char"/>
          <w:rFonts w:hint="eastAsia"/>
        </w:rPr>
        <w:t>国道</w:t>
      </w:r>
      <w:r>
        <w:rPr>
          <w:rStyle w:val="5Char"/>
          <w:rFonts w:hint="eastAsia"/>
        </w:rPr>
        <w:t>311</w:t>
      </w:r>
      <w:r>
        <w:rPr>
          <w:rStyle w:val="5Char"/>
          <w:rFonts w:hint="eastAsia"/>
        </w:rPr>
        <w:t>和省道</w:t>
      </w:r>
      <w:r>
        <w:rPr>
          <w:rStyle w:val="5Char"/>
          <w:rFonts w:hint="eastAsia"/>
        </w:rPr>
        <w:t>227</w:t>
      </w:r>
      <w:r>
        <w:rPr>
          <w:rStyle w:val="5Char"/>
          <w:rFonts w:hint="eastAsia"/>
        </w:rPr>
        <w:t>许昌城区段改建工程</w:t>
      </w:r>
      <w:r>
        <w:rPr>
          <w:rStyle w:val="5Char"/>
          <w:rFonts w:hint="eastAsia"/>
        </w:rPr>
        <w:t>PPP</w:t>
      </w:r>
      <w:r>
        <w:rPr>
          <w:rStyle w:val="5Char"/>
          <w:rFonts w:hint="eastAsia"/>
        </w:rPr>
        <w:t>项目</w:t>
      </w:r>
      <w:r>
        <w:rPr>
          <w:rStyle w:val="5Char"/>
        </w:rPr>
        <w:t>可行性研究报告》；</w:t>
      </w:r>
    </w:p>
    <w:p w:rsidR="00127BDE" w:rsidRDefault="00127BDE" w:rsidP="00127BDE">
      <w:pPr>
        <w:spacing w:line="440" w:lineRule="exact"/>
        <w:ind w:firstLine="562"/>
        <w:jc w:val="left"/>
        <w:rPr>
          <w:rStyle w:val="5Char"/>
        </w:rPr>
      </w:pPr>
      <w:r>
        <w:rPr>
          <w:rStyle w:val="5Char"/>
        </w:rPr>
        <w:fldChar w:fldCharType="begin"/>
      </w:r>
      <w:r>
        <w:rPr>
          <w:rStyle w:val="5Char"/>
        </w:rPr>
        <w:instrText xml:space="preserve"> </w:instrText>
      </w:r>
      <w:r>
        <w:rPr>
          <w:rStyle w:val="5Char"/>
          <w:rFonts w:hint="eastAsia"/>
        </w:rPr>
        <w:instrText>= 2 \* GB3</w:instrText>
      </w:r>
      <w:r>
        <w:rPr>
          <w:rStyle w:val="5Char"/>
        </w:rPr>
        <w:instrText xml:space="preserve"> </w:instrText>
      </w:r>
      <w:r>
        <w:rPr>
          <w:rStyle w:val="5Char"/>
        </w:rPr>
        <w:fldChar w:fldCharType="separate"/>
      </w:r>
      <w:r>
        <w:rPr>
          <w:rStyle w:val="5Char"/>
          <w:rFonts w:hint="eastAsia"/>
        </w:rPr>
        <w:t>②</w:t>
      </w:r>
      <w:r>
        <w:rPr>
          <w:rStyle w:val="5Char"/>
        </w:rPr>
        <w:fldChar w:fldCharType="end"/>
      </w:r>
      <w:r>
        <w:rPr>
          <w:rStyle w:val="5Char"/>
        </w:rPr>
        <w:t>《公路通行费征收管理办法》；</w:t>
      </w:r>
    </w:p>
    <w:p w:rsidR="00127BDE" w:rsidRDefault="00127BDE" w:rsidP="00127BDE">
      <w:pPr>
        <w:spacing w:line="440" w:lineRule="exact"/>
        <w:ind w:firstLine="562"/>
        <w:jc w:val="left"/>
        <w:rPr>
          <w:rStyle w:val="5Char"/>
        </w:rPr>
      </w:pPr>
      <w:r>
        <w:rPr>
          <w:rStyle w:val="5Char"/>
        </w:rPr>
        <w:fldChar w:fldCharType="begin"/>
      </w:r>
      <w:r>
        <w:rPr>
          <w:rStyle w:val="5Char"/>
        </w:rPr>
        <w:instrText xml:space="preserve"> </w:instrText>
      </w:r>
      <w:r>
        <w:rPr>
          <w:rStyle w:val="5Char"/>
          <w:rFonts w:hint="eastAsia"/>
        </w:rPr>
        <w:instrText>= 3 \* GB3</w:instrText>
      </w:r>
      <w:r>
        <w:rPr>
          <w:rStyle w:val="5Char"/>
        </w:rPr>
        <w:instrText xml:space="preserve"> </w:instrText>
      </w:r>
      <w:r>
        <w:rPr>
          <w:rStyle w:val="5Char"/>
        </w:rPr>
        <w:fldChar w:fldCharType="separate"/>
      </w:r>
      <w:r>
        <w:rPr>
          <w:rStyle w:val="5Char"/>
          <w:rFonts w:hint="eastAsia"/>
        </w:rPr>
        <w:t>③</w:t>
      </w:r>
      <w:r>
        <w:rPr>
          <w:rStyle w:val="5Char"/>
        </w:rPr>
        <w:fldChar w:fldCharType="end"/>
      </w:r>
      <w:r>
        <w:rPr>
          <w:rStyle w:val="5Char"/>
        </w:rPr>
        <w:t>《公路工程基本建设项目估算编制办法》（</w:t>
      </w:r>
      <w:r>
        <w:rPr>
          <w:rStyle w:val="5Char"/>
        </w:rPr>
        <w:t>JTG M20-2011</w:t>
      </w:r>
      <w:r>
        <w:rPr>
          <w:rStyle w:val="5Char"/>
        </w:rPr>
        <w:t>）；</w:t>
      </w:r>
    </w:p>
    <w:p w:rsidR="00127BDE" w:rsidRDefault="00127BDE" w:rsidP="00127BDE">
      <w:pPr>
        <w:spacing w:line="440" w:lineRule="exact"/>
        <w:ind w:firstLine="562"/>
        <w:jc w:val="left"/>
        <w:rPr>
          <w:rStyle w:val="5Char"/>
        </w:rPr>
      </w:pPr>
      <w:r>
        <w:rPr>
          <w:rStyle w:val="5Char"/>
        </w:rPr>
        <w:fldChar w:fldCharType="begin"/>
      </w:r>
      <w:r>
        <w:rPr>
          <w:rStyle w:val="5Char"/>
        </w:rPr>
        <w:instrText xml:space="preserve"> </w:instrText>
      </w:r>
      <w:r>
        <w:rPr>
          <w:rStyle w:val="5Char"/>
          <w:rFonts w:hint="eastAsia"/>
        </w:rPr>
        <w:instrText>= 4 \* GB3</w:instrText>
      </w:r>
      <w:r>
        <w:rPr>
          <w:rStyle w:val="5Char"/>
        </w:rPr>
        <w:instrText xml:space="preserve"> </w:instrText>
      </w:r>
      <w:r>
        <w:rPr>
          <w:rStyle w:val="5Char"/>
        </w:rPr>
        <w:fldChar w:fldCharType="separate"/>
      </w:r>
      <w:r>
        <w:rPr>
          <w:rStyle w:val="5Char"/>
          <w:rFonts w:hint="eastAsia"/>
        </w:rPr>
        <w:t>④</w:t>
      </w:r>
      <w:r>
        <w:rPr>
          <w:rStyle w:val="5Char"/>
        </w:rPr>
        <w:fldChar w:fldCharType="end"/>
      </w:r>
      <w:r>
        <w:rPr>
          <w:rStyle w:val="5Char"/>
        </w:rPr>
        <w:t>《建设项目经济评价与参数》（第三版）；</w:t>
      </w:r>
    </w:p>
    <w:p w:rsidR="00127BDE" w:rsidRDefault="00127BDE" w:rsidP="00127BDE">
      <w:pPr>
        <w:spacing w:line="440" w:lineRule="exact"/>
        <w:ind w:firstLine="562"/>
        <w:jc w:val="left"/>
        <w:rPr>
          <w:rStyle w:val="5Char"/>
        </w:rPr>
      </w:pPr>
      <w:r>
        <w:rPr>
          <w:rStyle w:val="5Char"/>
        </w:rPr>
        <w:fldChar w:fldCharType="begin"/>
      </w:r>
      <w:r>
        <w:rPr>
          <w:rStyle w:val="5Char"/>
        </w:rPr>
        <w:instrText xml:space="preserve"> </w:instrText>
      </w:r>
      <w:r>
        <w:rPr>
          <w:rStyle w:val="5Char"/>
          <w:rFonts w:hint="eastAsia"/>
        </w:rPr>
        <w:instrText>= 5 \* GB3</w:instrText>
      </w:r>
      <w:r>
        <w:rPr>
          <w:rStyle w:val="5Char"/>
        </w:rPr>
        <w:instrText xml:space="preserve"> </w:instrText>
      </w:r>
      <w:r>
        <w:rPr>
          <w:rStyle w:val="5Char"/>
        </w:rPr>
        <w:fldChar w:fldCharType="separate"/>
      </w:r>
      <w:r>
        <w:rPr>
          <w:rStyle w:val="5Char"/>
          <w:rFonts w:hint="eastAsia"/>
        </w:rPr>
        <w:t>⑤</w:t>
      </w:r>
      <w:r>
        <w:rPr>
          <w:rStyle w:val="5Char"/>
        </w:rPr>
        <w:fldChar w:fldCharType="end"/>
      </w:r>
      <w:r>
        <w:rPr>
          <w:rStyle w:val="5Char"/>
        </w:rPr>
        <w:t>《公路工程估算指标》（</w:t>
      </w:r>
      <w:r>
        <w:rPr>
          <w:rStyle w:val="5Char"/>
        </w:rPr>
        <w:t>JTG∕TM21-2011</w:t>
      </w:r>
      <w:r>
        <w:rPr>
          <w:rStyle w:val="5Char"/>
        </w:rPr>
        <w:t>）；</w:t>
      </w:r>
    </w:p>
    <w:p w:rsidR="00127BDE" w:rsidRDefault="00127BDE" w:rsidP="00127BDE">
      <w:pPr>
        <w:spacing w:line="440" w:lineRule="exact"/>
        <w:ind w:firstLine="562"/>
        <w:jc w:val="left"/>
        <w:rPr>
          <w:rStyle w:val="5Char"/>
        </w:rPr>
      </w:pPr>
      <w:r>
        <w:rPr>
          <w:rStyle w:val="5Char"/>
        </w:rPr>
        <w:fldChar w:fldCharType="begin"/>
      </w:r>
      <w:r>
        <w:rPr>
          <w:rStyle w:val="5Char"/>
        </w:rPr>
        <w:instrText xml:space="preserve"> </w:instrText>
      </w:r>
      <w:r>
        <w:rPr>
          <w:rStyle w:val="5Char"/>
          <w:rFonts w:hint="eastAsia"/>
        </w:rPr>
        <w:instrText>= 6 \* GB3</w:instrText>
      </w:r>
      <w:r>
        <w:rPr>
          <w:rStyle w:val="5Char"/>
        </w:rPr>
        <w:instrText xml:space="preserve"> </w:instrText>
      </w:r>
      <w:r>
        <w:rPr>
          <w:rStyle w:val="5Char"/>
        </w:rPr>
        <w:fldChar w:fldCharType="separate"/>
      </w:r>
      <w:r>
        <w:rPr>
          <w:rStyle w:val="5Char"/>
          <w:rFonts w:hint="eastAsia"/>
        </w:rPr>
        <w:t>⑥</w:t>
      </w:r>
      <w:r>
        <w:rPr>
          <w:rStyle w:val="5Char"/>
        </w:rPr>
        <w:fldChar w:fldCharType="end"/>
      </w:r>
      <w:r>
        <w:rPr>
          <w:rStyle w:val="5Char"/>
        </w:rPr>
        <w:t>《公路工程概算定额》（</w:t>
      </w:r>
      <w:r>
        <w:rPr>
          <w:rStyle w:val="5Char"/>
        </w:rPr>
        <w:t>JTG/T B06-01—2007</w:t>
      </w:r>
      <w:r>
        <w:rPr>
          <w:rStyle w:val="5Char"/>
        </w:rPr>
        <w:t>）；</w:t>
      </w:r>
    </w:p>
    <w:p w:rsidR="00127BDE" w:rsidRDefault="00127BDE" w:rsidP="00127BDE">
      <w:pPr>
        <w:spacing w:line="440" w:lineRule="exact"/>
        <w:ind w:firstLine="562"/>
        <w:jc w:val="left"/>
        <w:rPr>
          <w:rStyle w:val="5Char"/>
        </w:rPr>
      </w:pPr>
      <w:r>
        <w:rPr>
          <w:rStyle w:val="5Char"/>
        </w:rPr>
        <w:fldChar w:fldCharType="begin"/>
      </w:r>
      <w:r>
        <w:rPr>
          <w:rStyle w:val="5Char"/>
        </w:rPr>
        <w:instrText xml:space="preserve"> </w:instrText>
      </w:r>
      <w:r>
        <w:rPr>
          <w:rStyle w:val="5Char"/>
          <w:rFonts w:hint="eastAsia"/>
        </w:rPr>
        <w:instrText>= 7 \* GB3</w:instrText>
      </w:r>
      <w:r>
        <w:rPr>
          <w:rStyle w:val="5Char"/>
        </w:rPr>
        <w:instrText xml:space="preserve"> </w:instrText>
      </w:r>
      <w:r>
        <w:rPr>
          <w:rStyle w:val="5Char"/>
        </w:rPr>
        <w:fldChar w:fldCharType="separate"/>
      </w:r>
      <w:r>
        <w:rPr>
          <w:rStyle w:val="5Char"/>
          <w:rFonts w:hint="eastAsia"/>
        </w:rPr>
        <w:t>⑦</w:t>
      </w:r>
      <w:r>
        <w:rPr>
          <w:rStyle w:val="5Char"/>
        </w:rPr>
        <w:fldChar w:fldCharType="end"/>
      </w:r>
      <w:r>
        <w:rPr>
          <w:rStyle w:val="5Char"/>
        </w:rPr>
        <w:t>《公路工程预算定额》（</w:t>
      </w:r>
      <w:r>
        <w:rPr>
          <w:rStyle w:val="5Char"/>
        </w:rPr>
        <w:t>JTG/T B06-02—2007</w:t>
      </w:r>
      <w:r>
        <w:rPr>
          <w:rStyle w:val="5Char"/>
        </w:rPr>
        <w:t>）；</w:t>
      </w:r>
    </w:p>
    <w:p w:rsidR="00127BDE" w:rsidRDefault="00127BDE" w:rsidP="00127BDE">
      <w:pPr>
        <w:spacing w:line="440" w:lineRule="exact"/>
        <w:ind w:firstLine="562"/>
        <w:jc w:val="left"/>
        <w:rPr>
          <w:rStyle w:val="5Char"/>
        </w:rPr>
      </w:pPr>
      <w:r>
        <w:rPr>
          <w:rStyle w:val="5Char"/>
        </w:rPr>
        <w:fldChar w:fldCharType="begin"/>
      </w:r>
      <w:r>
        <w:rPr>
          <w:rStyle w:val="5Char"/>
        </w:rPr>
        <w:instrText xml:space="preserve"> </w:instrText>
      </w:r>
      <w:r>
        <w:rPr>
          <w:rStyle w:val="5Char"/>
          <w:rFonts w:hint="eastAsia"/>
        </w:rPr>
        <w:instrText>= 8 \* GB3</w:instrText>
      </w:r>
      <w:r>
        <w:rPr>
          <w:rStyle w:val="5Char"/>
        </w:rPr>
        <w:instrText xml:space="preserve"> </w:instrText>
      </w:r>
      <w:r>
        <w:rPr>
          <w:rStyle w:val="5Char"/>
        </w:rPr>
        <w:fldChar w:fldCharType="separate"/>
      </w:r>
      <w:r>
        <w:rPr>
          <w:rStyle w:val="5Char"/>
          <w:rFonts w:hint="eastAsia"/>
        </w:rPr>
        <w:t>⑧</w:t>
      </w:r>
      <w:r>
        <w:rPr>
          <w:rStyle w:val="5Char"/>
        </w:rPr>
        <w:fldChar w:fldCharType="end"/>
      </w:r>
      <w:r>
        <w:rPr>
          <w:rStyle w:val="5Char"/>
        </w:rPr>
        <w:t>《公路工程机械台班费用定额》（</w:t>
      </w:r>
      <w:r>
        <w:rPr>
          <w:rStyle w:val="5Char"/>
        </w:rPr>
        <w:t>JTG/T B06-03—2007</w:t>
      </w:r>
      <w:r>
        <w:rPr>
          <w:rStyle w:val="5Char"/>
        </w:rPr>
        <w:t>）；</w:t>
      </w:r>
    </w:p>
    <w:p w:rsidR="00127BDE" w:rsidRDefault="00127BDE" w:rsidP="00127BDE">
      <w:pPr>
        <w:spacing w:line="440" w:lineRule="exact"/>
        <w:ind w:firstLine="562"/>
        <w:jc w:val="left"/>
        <w:rPr>
          <w:rStyle w:val="5Char"/>
        </w:rPr>
      </w:pPr>
      <w:r>
        <w:rPr>
          <w:rStyle w:val="5Char"/>
        </w:rPr>
        <w:fldChar w:fldCharType="begin"/>
      </w:r>
      <w:r>
        <w:rPr>
          <w:rStyle w:val="5Char"/>
        </w:rPr>
        <w:instrText xml:space="preserve"> </w:instrText>
      </w:r>
      <w:r>
        <w:rPr>
          <w:rStyle w:val="5Char"/>
          <w:rFonts w:hint="eastAsia"/>
        </w:rPr>
        <w:instrText>= 9 \* GB3</w:instrText>
      </w:r>
      <w:r>
        <w:rPr>
          <w:rStyle w:val="5Char"/>
        </w:rPr>
        <w:instrText xml:space="preserve"> </w:instrText>
      </w:r>
      <w:r>
        <w:rPr>
          <w:rStyle w:val="5Char"/>
        </w:rPr>
        <w:fldChar w:fldCharType="separate"/>
      </w:r>
      <w:r>
        <w:rPr>
          <w:rStyle w:val="5Char"/>
          <w:rFonts w:hint="eastAsia"/>
        </w:rPr>
        <w:t>⑨</w:t>
      </w:r>
      <w:r>
        <w:rPr>
          <w:rStyle w:val="5Char"/>
        </w:rPr>
        <w:fldChar w:fldCharType="end"/>
      </w:r>
      <w:r>
        <w:rPr>
          <w:rStyle w:val="5Char"/>
        </w:rPr>
        <w:t>《关于调整河南省公路工程人工费单价的通知》（豫交规划</w:t>
      </w:r>
      <w:r>
        <w:rPr>
          <w:rStyle w:val="5Char"/>
        </w:rPr>
        <w:t>[2011]118</w:t>
      </w:r>
      <w:r>
        <w:rPr>
          <w:rStyle w:val="5Char"/>
        </w:rPr>
        <w:t>号）；</w:t>
      </w:r>
    </w:p>
    <w:p w:rsidR="00127BDE" w:rsidRDefault="00127BDE" w:rsidP="00127BDE">
      <w:pPr>
        <w:spacing w:line="440" w:lineRule="exact"/>
        <w:ind w:firstLine="562"/>
        <w:jc w:val="left"/>
        <w:rPr>
          <w:rStyle w:val="5Char"/>
        </w:rPr>
      </w:pPr>
      <w:r>
        <w:rPr>
          <w:rStyle w:val="5Char"/>
        </w:rPr>
        <w:t>其他与项目相关的文件资料、调研资料。</w:t>
      </w:r>
    </w:p>
    <w:p w:rsidR="009353FF" w:rsidRPr="00127BDE" w:rsidRDefault="009353FF"/>
    <w:sectPr w:rsidR="009353FF" w:rsidRPr="00127B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D08" w:rsidRDefault="00410D08" w:rsidP="005309BF">
      <w:r>
        <w:separator/>
      </w:r>
    </w:p>
  </w:endnote>
  <w:endnote w:type="continuationSeparator" w:id="0">
    <w:p w:rsidR="00410D08" w:rsidRDefault="00410D08" w:rsidP="0053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D08" w:rsidRDefault="00410D08" w:rsidP="005309BF">
      <w:r>
        <w:separator/>
      </w:r>
    </w:p>
  </w:footnote>
  <w:footnote w:type="continuationSeparator" w:id="0">
    <w:p w:rsidR="00410D08" w:rsidRDefault="00410D08" w:rsidP="005309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0191"/>
    <w:multiLevelType w:val="multilevel"/>
    <w:tmpl w:val="051B0191"/>
    <w:lvl w:ilvl="0">
      <w:start w:val="1"/>
      <w:numFmt w:val="bullet"/>
      <w:lvlText w:val=""/>
      <w:lvlJc w:val="left"/>
      <w:pPr>
        <w:ind w:left="1560" w:hanging="420"/>
      </w:pPr>
      <w:rPr>
        <w:rFonts w:ascii="Wingdings" w:hAnsi="Wingdings" w:hint="default"/>
      </w:rPr>
    </w:lvl>
    <w:lvl w:ilvl="1">
      <w:start w:val="1"/>
      <w:numFmt w:val="bullet"/>
      <w:lvlText w:val=""/>
      <w:lvlJc w:val="left"/>
      <w:pPr>
        <w:ind w:left="1980" w:hanging="420"/>
      </w:pPr>
      <w:rPr>
        <w:rFonts w:ascii="Wingdings" w:hAnsi="Wingdings" w:hint="default"/>
      </w:rPr>
    </w:lvl>
    <w:lvl w:ilvl="2">
      <w:start w:val="1"/>
      <w:numFmt w:val="bullet"/>
      <w:lvlText w:val=""/>
      <w:lvlJc w:val="left"/>
      <w:pPr>
        <w:ind w:left="2400" w:hanging="420"/>
      </w:pPr>
      <w:rPr>
        <w:rFonts w:ascii="Wingdings" w:hAnsi="Wingdings" w:hint="default"/>
      </w:rPr>
    </w:lvl>
    <w:lvl w:ilvl="3">
      <w:start w:val="1"/>
      <w:numFmt w:val="bullet"/>
      <w:lvlText w:val=""/>
      <w:lvlJc w:val="left"/>
      <w:pPr>
        <w:ind w:left="2820" w:hanging="420"/>
      </w:pPr>
      <w:rPr>
        <w:rFonts w:ascii="Wingdings" w:hAnsi="Wingdings" w:hint="default"/>
      </w:rPr>
    </w:lvl>
    <w:lvl w:ilvl="4">
      <w:start w:val="1"/>
      <w:numFmt w:val="bullet"/>
      <w:lvlText w:val=""/>
      <w:lvlJc w:val="left"/>
      <w:pPr>
        <w:ind w:left="3240" w:hanging="420"/>
      </w:pPr>
      <w:rPr>
        <w:rFonts w:ascii="Wingdings" w:hAnsi="Wingdings" w:hint="default"/>
      </w:rPr>
    </w:lvl>
    <w:lvl w:ilvl="5">
      <w:start w:val="1"/>
      <w:numFmt w:val="bullet"/>
      <w:lvlText w:val=""/>
      <w:lvlJc w:val="left"/>
      <w:pPr>
        <w:ind w:left="3660" w:hanging="420"/>
      </w:pPr>
      <w:rPr>
        <w:rFonts w:ascii="Wingdings" w:hAnsi="Wingdings" w:hint="default"/>
      </w:rPr>
    </w:lvl>
    <w:lvl w:ilvl="6">
      <w:start w:val="1"/>
      <w:numFmt w:val="bullet"/>
      <w:lvlText w:val=""/>
      <w:lvlJc w:val="left"/>
      <w:pPr>
        <w:ind w:left="4080" w:hanging="420"/>
      </w:pPr>
      <w:rPr>
        <w:rFonts w:ascii="Wingdings" w:hAnsi="Wingdings" w:hint="default"/>
      </w:rPr>
    </w:lvl>
    <w:lvl w:ilvl="7">
      <w:start w:val="1"/>
      <w:numFmt w:val="bullet"/>
      <w:lvlText w:val=""/>
      <w:lvlJc w:val="left"/>
      <w:pPr>
        <w:ind w:left="4500" w:hanging="420"/>
      </w:pPr>
      <w:rPr>
        <w:rFonts w:ascii="Wingdings" w:hAnsi="Wingdings" w:hint="default"/>
      </w:rPr>
    </w:lvl>
    <w:lvl w:ilvl="8">
      <w:start w:val="1"/>
      <w:numFmt w:val="bullet"/>
      <w:lvlText w:val=""/>
      <w:lvlJc w:val="left"/>
      <w:pPr>
        <w:ind w:left="4920" w:hanging="420"/>
      </w:pPr>
      <w:rPr>
        <w:rFonts w:ascii="Wingdings" w:hAnsi="Wingdings" w:hint="default"/>
      </w:rPr>
    </w:lvl>
  </w:abstractNum>
  <w:abstractNum w:abstractNumId="1" w15:restartNumberingAfterBreak="0">
    <w:nsid w:val="110E6EFD"/>
    <w:multiLevelType w:val="multilevel"/>
    <w:tmpl w:val="110E6EFD"/>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BAC7E62"/>
    <w:multiLevelType w:val="multilevel"/>
    <w:tmpl w:val="3BAC7E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16B4B88"/>
    <w:multiLevelType w:val="multilevel"/>
    <w:tmpl w:val="516B4B88"/>
    <w:lvl w:ilvl="0">
      <w:start w:val="1"/>
      <w:numFmt w:val="bullet"/>
      <w:lvlText w:val=""/>
      <w:lvlJc w:val="left"/>
      <w:pPr>
        <w:ind w:left="1365" w:hanging="420"/>
      </w:pPr>
      <w:rPr>
        <w:rFonts w:ascii="Wingdings" w:hAnsi="Wingdings" w:hint="default"/>
      </w:rPr>
    </w:lvl>
    <w:lvl w:ilvl="1">
      <w:start w:val="1"/>
      <w:numFmt w:val="bullet"/>
      <w:lvlText w:val=""/>
      <w:lvlJc w:val="left"/>
      <w:pPr>
        <w:ind w:left="1785" w:hanging="420"/>
      </w:pPr>
      <w:rPr>
        <w:rFonts w:ascii="Wingdings" w:hAnsi="Wingdings" w:hint="default"/>
      </w:rPr>
    </w:lvl>
    <w:lvl w:ilvl="2">
      <w:start w:val="1"/>
      <w:numFmt w:val="bullet"/>
      <w:lvlText w:val=""/>
      <w:lvlJc w:val="left"/>
      <w:pPr>
        <w:ind w:left="2205" w:hanging="420"/>
      </w:pPr>
      <w:rPr>
        <w:rFonts w:ascii="Wingdings" w:hAnsi="Wingdings" w:hint="default"/>
      </w:rPr>
    </w:lvl>
    <w:lvl w:ilvl="3">
      <w:start w:val="1"/>
      <w:numFmt w:val="bullet"/>
      <w:lvlText w:val=""/>
      <w:lvlJc w:val="left"/>
      <w:pPr>
        <w:ind w:left="2625" w:hanging="420"/>
      </w:pPr>
      <w:rPr>
        <w:rFonts w:ascii="Wingdings" w:hAnsi="Wingdings" w:hint="default"/>
      </w:rPr>
    </w:lvl>
    <w:lvl w:ilvl="4">
      <w:start w:val="1"/>
      <w:numFmt w:val="bullet"/>
      <w:lvlText w:val=""/>
      <w:lvlJc w:val="left"/>
      <w:pPr>
        <w:ind w:left="3045" w:hanging="420"/>
      </w:pPr>
      <w:rPr>
        <w:rFonts w:ascii="Wingdings" w:hAnsi="Wingdings" w:hint="default"/>
      </w:rPr>
    </w:lvl>
    <w:lvl w:ilvl="5">
      <w:start w:val="1"/>
      <w:numFmt w:val="bullet"/>
      <w:lvlText w:val=""/>
      <w:lvlJc w:val="left"/>
      <w:pPr>
        <w:ind w:left="3465" w:hanging="420"/>
      </w:pPr>
      <w:rPr>
        <w:rFonts w:ascii="Wingdings" w:hAnsi="Wingdings" w:hint="default"/>
      </w:rPr>
    </w:lvl>
    <w:lvl w:ilvl="6">
      <w:start w:val="1"/>
      <w:numFmt w:val="bullet"/>
      <w:lvlText w:val=""/>
      <w:lvlJc w:val="left"/>
      <w:pPr>
        <w:ind w:left="3885" w:hanging="420"/>
      </w:pPr>
      <w:rPr>
        <w:rFonts w:ascii="Wingdings" w:hAnsi="Wingdings" w:hint="default"/>
      </w:rPr>
    </w:lvl>
    <w:lvl w:ilvl="7">
      <w:start w:val="1"/>
      <w:numFmt w:val="bullet"/>
      <w:lvlText w:val=""/>
      <w:lvlJc w:val="left"/>
      <w:pPr>
        <w:ind w:left="4305" w:hanging="420"/>
      </w:pPr>
      <w:rPr>
        <w:rFonts w:ascii="Wingdings" w:hAnsi="Wingdings" w:hint="default"/>
      </w:rPr>
    </w:lvl>
    <w:lvl w:ilvl="8">
      <w:start w:val="1"/>
      <w:numFmt w:val="bullet"/>
      <w:lvlText w:val=""/>
      <w:lvlJc w:val="left"/>
      <w:pPr>
        <w:ind w:left="4725" w:hanging="420"/>
      </w:pPr>
      <w:rPr>
        <w:rFonts w:ascii="Wingdings" w:hAnsi="Wingdings" w:hint="default"/>
      </w:rPr>
    </w:lvl>
  </w:abstractNum>
  <w:abstractNum w:abstractNumId="4" w15:restartNumberingAfterBreak="0">
    <w:nsid w:val="52DE5CB4"/>
    <w:multiLevelType w:val="multilevel"/>
    <w:tmpl w:val="52DE5CB4"/>
    <w:lvl w:ilvl="0">
      <w:start w:val="1"/>
      <w:numFmt w:val="bullet"/>
      <w:lvlText w:val=""/>
      <w:lvlJc w:val="left"/>
      <w:pPr>
        <w:ind w:left="1320" w:hanging="420"/>
      </w:pPr>
      <w:rPr>
        <w:rFonts w:ascii="Wingdings" w:hAnsi="Wingdings" w:hint="default"/>
      </w:rPr>
    </w:lvl>
    <w:lvl w:ilvl="1">
      <w:start w:val="1"/>
      <w:numFmt w:val="bullet"/>
      <w:lvlText w:val=""/>
      <w:lvlJc w:val="left"/>
      <w:pPr>
        <w:ind w:left="1740" w:hanging="420"/>
      </w:pPr>
      <w:rPr>
        <w:rFonts w:ascii="Wingdings" w:hAnsi="Wingdings" w:hint="default"/>
      </w:rPr>
    </w:lvl>
    <w:lvl w:ilvl="2">
      <w:start w:val="1"/>
      <w:numFmt w:val="bullet"/>
      <w:lvlText w:val=""/>
      <w:lvlJc w:val="left"/>
      <w:pPr>
        <w:ind w:left="2160" w:hanging="420"/>
      </w:pPr>
      <w:rPr>
        <w:rFonts w:ascii="Wingdings" w:hAnsi="Wingdings" w:hint="default"/>
      </w:rPr>
    </w:lvl>
    <w:lvl w:ilvl="3">
      <w:start w:val="1"/>
      <w:numFmt w:val="bullet"/>
      <w:lvlText w:val=""/>
      <w:lvlJc w:val="left"/>
      <w:pPr>
        <w:ind w:left="2580" w:hanging="420"/>
      </w:pPr>
      <w:rPr>
        <w:rFonts w:ascii="Wingdings" w:hAnsi="Wingdings" w:hint="default"/>
      </w:rPr>
    </w:lvl>
    <w:lvl w:ilvl="4">
      <w:start w:val="1"/>
      <w:numFmt w:val="bullet"/>
      <w:lvlText w:val=""/>
      <w:lvlJc w:val="left"/>
      <w:pPr>
        <w:ind w:left="3000" w:hanging="420"/>
      </w:pPr>
      <w:rPr>
        <w:rFonts w:ascii="Wingdings" w:hAnsi="Wingdings" w:hint="default"/>
      </w:rPr>
    </w:lvl>
    <w:lvl w:ilvl="5">
      <w:start w:val="1"/>
      <w:numFmt w:val="bullet"/>
      <w:lvlText w:val=""/>
      <w:lvlJc w:val="left"/>
      <w:pPr>
        <w:ind w:left="3420" w:hanging="420"/>
      </w:pPr>
      <w:rPr>
        <w:rFonts w:ascii="Wingdings" w:hAnsi="Wingdings" w:hint="default"/>
      </w:rPr>
    </w:lvl>
    <w:lvl w:ilvl="6">
      <w:start w:val="1"/>
      <w:numFmt w:val="bullet"/>
      <w:lvlText w:val=""/>
      <w:lvlJc w:val="left"/>
      <w:pPr>
        <w:ind w:left="3840" w:hanging="420"/>
      </w:pPr>
      <w:rPr>
        <w:rFonts w:ascii="Wingdings" w:hAnsi="Wingdings" w:hint="default"/>
      </w:rPr>
    </w:lvl>
    <w:lvl w:ilvl="7">
      <w:start w:val="1"/>
      <w:numFmt w:val="bullet"/>
      <w:lvlText w:val=""/>
      <w:lvlJc w:val="left"/>
      <w:pPr>
        <w:ind w:left="4260" w:hanging="420"/>
      </w:pPr>
      <w:rPr>
        <w:rFonts w:ascii="Wingdings" w:hAnsi="Wingdings" w:hint="default"/>
      </w:rPr>
    </w:lvl>
    <w:lvl w:ilvl="8">
      <w:start w:val="1"/>
      <w:numFmt w:val="bullet"/>
      <w:lvlText w:val=""/>
      <w:lvlJc w:val="left"/>
      <w:pPr>
        <w:ind w:left="4680" w:hanging="420"/>
      </w:pPr>
      <w:rPr>
        <w:rFonts w:ascii="Wingdings" w:hAnsi="Wingdings" w:hint="default"/>
      </w:rPr>
    </w:lvl>
  </w:abstractNum>
  <w:abstractNum w:abstractNumId="5" w15:restartNumberingAfterBreak="0">
    <w:nsid w:val="59CC268E"/>
    <w:multiLevelType w:val="multilevel"/>
    <w:tmpl w:val="59CC268E"/>
    <w:lvl w:ilvl="0">
      <w:start w:val="1"/>
      <w:numFmt w:val="bullet"/>
      <w:lvlText w:val=""/>
      <w:lvlJc w:val="left"/>
      <w:pPr>
        <w:ind w:left="1380" w:hanging="420"/>
      </w:pPr>
      <w:rPr>
        <w:rFonts w:ascii="Wingdings" w:hAnsi="Wingdings" w:hint="default"/>
      </w:rPr>
    </w:lvl>
    <w:lvl w:ilvl="1">
      <w:start w:val="1"/>
      <w:numFmt w:val="bullet"/>
      <w:lvlText w:val=""/>
      <w:lvlJc w:val="left"/>
      <w:pPr>
        <w:ind w:left="1800" w:hanging="420"/>
      </w:pPr>
      <w:rPr>
        <w:rFonts w:ascii="Wingdings" w:hAnsi="Wingdings" w:hint="default"/>
      </w:rPr>
    </w:lvl>
    <w:lvl w:ilvl="2">
      <w:start w:val="1"/>
      <w:numFmt w:val="bullet"/>
      <w:lvlText w:val=""/>
      <w:lvlJc w:val="left"/>
      <w:pPr>
        <w:ind w:left="2220" w:hanging="420"/>
      </w:pPr>
      <w:rPr>
        <w:rFonts w:ascii="Wingdings" w:hAnsi="Wingdings" w:hint="default"/>
      </w:rPr>
    </w:lvl>
    <w:lvl w:ilvl="3">
      <w:start w:val="1"/>
      <w:numFmt w:val="bullet"/>
      <w:lvlText w:val=""/>
      <w:lvlJc w:val="left"/>
      <w:pPr>
        <w:ind w:left="2640" w:hanging="420"/>
      </w:pPr>
      <w:rPr>
        <w:rFonts w:ascii="Wingdings" w:hAnsi="Wingdings" w:hint="default"/>
      </w:rPr>
    </w:lvl>
    <w:lvl w:ilvl="4">
      <w:start w:val="1"/>
      <w:numFmt w:val="bullet"/>
      <w:lvlText w:val=""/>
      <w:lvlJc w:val="left"/>
      <w:pPr>
        <w:ind w:left="3060" w:hanging="420"/>
      </w:pPr>
      <w:rPr>
        <w:rFonts w:ascii="Wingdings" w:hAnsi="Wingdings" w:hint="default"/>
      </w:rPr>
    </w:lvl>
    <w:lvl w:ilvl="5">
      <w:start w:val="1"/>
      <w:numFmt w:val="bullet"/>
      <w:lvlText w:val=""/>
      <w:lvlJc w:val="left"/>
      <w:pPr>
        <w:ind w:left="3480" w:hanging="420"/>
      </w:pPr>
      <w:rPr>
        <w:rFonts w:ascii="Wingdings" w:hAnsi="Wingdings" w:hint="default"/>
      </w:rPr>
    </w:lvl>
    <w:lvl w:ilvl="6">
      <w:start w:val="1"/>
      <w:numFmt w:val="bullet"/>
      <w:lvlText w:val=""/>
      <w:lvlJc w:val="left"/>
      <w:pPr>
        <w:ind w:left="3900" w:hanging="420"/>
      </w:pPr>
      <w:rPr>
        <w:rFonts w:ascii="Wingdings" w:hAnsi="Wingdings" w:hint="default"/>
      </w:rPr>
    </w:lvl>
    <w:lvl w:ilvl="7">
      <w:start w:val="1"/>
      <w:numFmt w:val="bullet"/>
      <w:lvlText w:val=""/>
      <w:lvlJc w:val="left"/>
      <w:pPr>
        <w:ind w:left="4320" w:hanging="420"/>
      </w:pPr>
      <w:rPr>
        <w:rFonts w:ascii="Wingdings" w:hAnsi="Wingdings" w:hint="default"/>
      </w:rPr>
    </w:lvl>
    <w:lvl w:ilvl="8">
      <w:start w:val="1"/>
      <w:numFmt w:val="bullet"/>
      <w:lvlText w:val=""/>
      <w:lvlJc w:val="left"/>
      <w:pPr>
        <w:ind w:left="4740" w:hanging="42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66"/>
    <w:rsid w:val="00127BDE"/>
    <w:rsid w:val="001A2C66"/>
    <w:rsid w:val="00410D08"/>
    <w:rsid w:val="005309BF"/>
    <w:rsid w:val="00935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0538B4-B405-43D1-9377-A20755B9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9BF"/>
    <w:pPr>
      <w:widowControl w:val="0"/>
      <w:jc w:val="both"/>
    </w:pPr>
    <w:rPr>
      <w:rFonts w:ascii="Times New Roman" w:eastAsia="宋体" w:hAnsi="Times New Roman" w:cs="Times New Roman"/>
      <w:sz w:val="24"/>
      <w:szCs w:val="24"/>
    </w:rPr>
  </w:style>
  <w:style w:type="paragraph" w:styleId="1">
    <w:name w:val="heading 1"/>
    <w:basedOn w:val="a"/>
    <w:next w:val="a"/>
    <w:link w:val="1Char"/>
    <w:qFormat/>
    <w:rsid w:val="005309BF"/>
    <w:pPr>
      <w:keepNext/>
      <w:keepLines/>
      <w:spacing w:before="100" w:after="90"/>
      <w:jc w:val="center"/>
      <w:outlineLvl w:val="0"/>
    </w:pPr>
    <w:rPr>
      <w:b/>
      <w:bCs/>
      <w:kern w:val="44"/>
      <w:sz w:val="32"/>
      <w:szCs w:val="44"/>
    </w:rPr>
  </w:style>
  <w:style w:type="paragraph" w:styleId="2">
    <w:name w:val="heading 2"/>
    <w:basedOn w:val="a"/>
    <w:next w:val="a"/>
    <w:link w:val="2Char"/>
    <w:uiPriority w:val="9"/>
    <w:semiHidden/>
    <w:unhideWhenUsed/>
    <w:qFormat/>
    <w:rsid w:val="00127BD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127BDE"/>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127BD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127BDE"/>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09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09BF"/>
    <w:rPr>
      <w:sz w:val="18"/>
      <w:szCs w:val="18"/>
    </w:rPr>
  </w:style>
  <w:style w:type="paragraph" w:styleId="a4">
    <w:name w:val="footer"/>
    <w:basedOn w:val="a"/>
    <w:link w:val="Char0"/>
    <w:uiPriority w:val="99"/>
    <w:unhideWhenUsed/>
    <w:rsid w:val="005309BF"/>
    <w:pPr>
      <w:tabs>
        <w:tab w:val="center" w:pos="4153"/>
        <w:tab w:val="right" w:pos="8306"/>
      </w:tabs>
      <w:snapToGrid w:val="0"/>
      <w:jc w:val="left"/>
    </w:pPr>
    <w:rPr>
      <w:sz w:val="18"/>
      <w:szCs w:val="18"/>
    </w:rPr>
  </w:style>
  <w:style w:type="character" w:customStyle="1" w:styleId="Char0">
    <w:name w:val="页脚 Char"/>
    <w:basedOn w:val="a0"/>
    <w:link w:val="a4"/>
    <w:uiPriority w:val="99"/>
    <w:rsid w:val="005309BF"/>
    <w:rPr>
      <w:sz w:val="18"/>
      <w:szCs w:val="18"/>
    </w:rPr>
  </w:style>
  <w:style w:type="character" w:customStyle="1" w:styleId="1Char">
    <w:name w:val="标题 1 Char"/>
    <w:basedOn w:val="a0"/>
    <w:link w:val="1"/>
    <w:uiPriority w:val="9"/>
    <w:qFormat/>
    <w:rsid w:val="005309BF"/>
    <w:rPr>
      <w:rFonts w:ascii="Times New Roman" w:eastAsia="宋体" w:hAnsi="Times New Roman" w:cs="Times New Roman"/>
      <w:b/>
      <w:bCs/>
      <w:kern w:val="44"/>
      <w:sz w:val="32"/>
      <w:szCs w:val="44"/>
    </w:rPr>
  </w:style>
  <w:style w:type="character" w:customStyle="1" w:styleId="2Char">
    <w:name w:val="标题 2 Char"/>
    <w:basedOn w:val="a0"/>
    <w:link w:val="2"/>
    <w:uiPriority w:val="9"/>
    <w:semiHidden/>
    <w:rsid w:val="00127BDE"/>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127BDE"/>
    <w:rPr>
      <w:rFonts w:ascii="Times New Roman" w:eastAsia="宋体" w:hAnsi="Times New Roman" w:cs="Times New Roman"/>
      <w:b/>
      <w:bCs/>
      <w:sz w:val="32"/>
      <w:szCs w:val="32"/>
    </w:rPr>
  </w:style>
  <w:style w:type="character" w:customStyle="1" w:styleId="4Char">
    <w:name w:val="标题 4 Char"/>
    <w:basedOn w:val="a0"/>
    <w:link w:val="4"/>
    <w:uiPriority w:val="9"/>
    <w:semiHidden/>
    <w:rsid w:val="00127BDE"/>
    <w:rPr>
      <w:rFonts w:asciiTheme="majorHAnsi" w:eastAsiaTheme="majorEastAsia" w:hAnsiTheme="majorHAnsi" w:cstheme="majorBidi"/>
      <w:b/>
      <w:bCs/>
      <w:sz w:val="28"/>
      <w:szCs w:val="28"/>
    </w:rPr>
  </w:style>
  <w:style w:type="character" w:customStyle="1" w:styleId="5Char">
    <w:name w:val="标题 5 Char"/>
    <w:basedOn w:val="a0"/>
    <w:link w:val="5"/>
    <w:qFormat/>
    <w:rsid w:val="00127BDE"/>
    <w:rPr>
      <w:rFonts w:ascii="Times New Roman" w:eastAsia="宋体" w:hAnsi="Times New Roman" w:cs="Times New Roman"/>
      <w:b/>
      <w:bCs/>
      <w:sz w:val="28"/>
      <w:szCs w:val="28"/>
    </w:rPr>
  </w:style>
  <w:style w:type="paragraph" w:styleId="a5">
    <w:name w:val="Body Text"/>
    <w:basedOn w:val="a"/>
    <w:link w:val="Char1"/>
    <w:uiPriority w:val="99"/>
    <w:semiHidden/>
    <w:unhideWhenUsed/>
    <w:rsid w:val="00127BDE"/>
    <w:pPr>
      <w:spacing w:after="120"/>
    </w:pPr>
  </w:style>
  <w:style w:type="character" w:customStyle="1" w:styleId="Char1">
    <w:name w:val="正文文本 Char"/>
    <w:basedOn w:val="a0"/>
    <w:link w:val="a5"/>
    <w:uiPriority w:val="99"/>
    <w:semiHidden/>
    <w:rsid w:val="00127BDE"/>
    <w:rPr>
      <w:rFonts w:ascii="Times New Roman" w:eastAsia="宋体" w:hAnsi="Times New Roman" w:cs="Times New Roman"/>
      <w:sz w:val="24"/>
      <w:szCs w:val="24"/>
    </w:rPr>
  </w:style>
  <w:style w:type="paragraph" w:styleId="a6">
    <w:name w:val="Body Text First Indent"/>
    <w:basedOn w:val="a5"/>
    <w:link w:val="Char2"/>
    <w:unhideWhenUsed/>
    <w:qFormat/>
    <w:rsid w:val="00127BDE"/>
    <w:pPr>
      <w:ind w:firstLineChars="100" w:firstLine="420"/>
    </w:pPr>
  </w:style>
  <w:style w:type="character" w:customStyle="1" w:styleId="Char2">
    <w:name w:val="正文首行缩进 Char"/>
    <w:basedOn w:val="Char1"/>
    <w:link w:val="a6"/>
    <w:qFormat/>
    <w:rsid w:val="00127BDE"/>
    <w:rPr>
      <w:rFonts w:ascii="Times New Roman" w:eastAsia="宋体" w:hAnsi="Times New Roman" w:cs="Times New Roman"/>
      <w:sz w:val="24"/>
      <w:szCs w:val="24"/>
    </w:rPr>
  </w:style>
  <w:style w:type="paragraph" w:customStyle="1" w:styleId="40">
    <w:name w:val="列出段落4"/>
    <w:basedOn w:val="a"/>
    <w:qFormat/>
    <w:rsid w:val="00127BDE"/>
    <w:pPr>
      <w:widowControl/>
      <w:ind w:firstLineChars="200" w:firstLine="420"/>
      <w:jc w:val="left"/>
    </w:pPr>
    <w:rPr>
      <w:rFonts w:ascii="Calibri" w:eastAsiaTheme="minorEastAsia" w:hAnsi="Calibri"/>
      <w:kern w:val="0"/>
    </w:rPr>
  </w:style>
  <w:style w:type="paragraph" w:customStyle="1" w:styleId="11">
    <w:name w:val="列出段落11"/>
    <w:basedOn w:val="a"/>
    <w:uiPriority w:val="99"/>
    <w:qFormat/>
    <w:rsid w:val="00127BDE"/>
    <w:pPr>
      <w:widowControl/>
      <w:ind w:firstLineChars="200" w:firstLine="420"/>
      <w:jc w:val="left"/>
    </w:pPr>
    <w:rPr>
      <w:rFonts w:ascii="Calibri" w:hAnsi="Calibri"/>
      <w:kern w:val="0"/>
    </w:rPr>
  </w:style>
  <w:style w:type="paragraph" w:customStyle="1" w:styleId="Style6">
    <w:name w:val="_Style 6"/>
    <w:basedOn w:val="a"/>
    <w:rsid w:val="00127BDE"/>
    <w:pPr>
      <w:spacing w:line="360" w:lineRule="auto"/>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33</Pages>
  <Words>3563</Words>
  <Characters>20314</Characters>
  <Application>Microsoft Office Word</Application>
  <DocSecurity>0</DocSecurity>
  <Lines>169</Lines>
  <Paragraphs>47</Paragraphs>
  <ScaleCrop>false</ScaleCrop>
  <Company/>
  <LinksUpToDate>false</LinksUpToDate>
  <CharactersWithSpaces>23830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c:creator>
  <cp:keywords/>
  <dc:description/>
  <cp:lastModifiedBy>KK</cp:lastModifiedBy>
  <cp:revision>2</cp:revision>
  <dcterms:created xsi:type="dcterms:W3CDTF">2018-11-01T01:59:00Z</dcterms:created>
  <dcterms:modified xsi:type="dcterms:W3CDTF">2018-11-01T02:17:00Z</dcterms:modified>
</cp:coreProperties>
</file>