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color w:val="000000"/>
          <w:sz w:val="44"/>
          <w:szCs w:val="44"/>
        </w:rPr>
      </w:pPr>
    </w:p>
    <w:p>
      <w:pPr>
        <w:jc w:val="center"/>
        <w:rPr>
          <w:rFonts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210"/>
        <w:rPr>
          <w:rFonts w:ascii="宋体" w:hAnsi="宋体"/>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ascii="宋体" w:hAnsi="宋体"/>
          <w:sz w:val="44"/>
          <w:szCs w:val="44"/>
        </w:rPr>
      </w:pPr>
    </w:p>
    <w:p>
      <w:pPr>
        <w:pStyle w:val="2"/>
        <w:ind w:firstLine="210"/>
        <w:rPr>
          <w:rFonts w:ascii="宋体" w:hAnsi="宋体"/>
        </w:rPr>
      </w:pPr>
    </w:p>
    <w:p>
      <w:pPr>
        <w:pStyle w:val="2"/>
        <w:ind w:left="0" w:leftChars="0" w:firstLine="0" w:firstLineChars="0"/>
        <w:rPr>
          <w:rFonts w:ascii="宋体" w:hAnsi="宋体"/>
          <w:sz w:val="44"/>
          <w:szCs w:val="44"/>
        </w:rPr>
      </w:pPr>
    </w:p>
    <w:p>
      <w:pPr>
        <w:spacing w:line="660" w:lineRule="exact"/>
        <w:ind w:firstLine="720" w:firstLineChars="200"/>
        <w:rPr>
          <w:rFonts w:hint="eastAsia" w:ascii="宋体" w:hAnsi="宋体" w:cs="Times New Roman"/>
          <w:sz w:val="36"/>
          <w:szCs w:val="36"/>
        </w:rPr>
      </w:pPr>
      <w:r>
        <w:rPr>
          <w:rFonts w:hint="eastAsia" w:ascii="宋体" w:hAnsi="宋体" w:cs="Times New Roman"/>
          <w:sz w:val="36"/>
          <w:szCs w:val="36"/>
        </w:rPr>
        <w:t>项目编号：建安政采公字〔2018〕</w:t>
      </w:r>
      <w:r>
        <w:rPr>
          <w:rFonts w:hint="eastAsia" w:ascii="宋体" w:hAnsi="宋体" w:cs="Times New Roman"/>
          <w:sz w:val="36"/>
          <w:szCs w:val="36"/>
          <w:lang w:val="en-US" w:eastAsia="zh-CN"/>
        </w:rPr>
        <w:t>59</w:t>
      </w:r>
      <w:r>
        <w:rPr>
          <w:rFonts w:hint="eastAsia" w:ascii="宋体" w:hAnsi="宋体" w:cs="Times New Roman"/>
          <w:sz w:val="36"/>
          <w:szCs w:val="36"/>
        </w:rPr>
        <w:t>号</w:t>
      </w:r>
    </w:p>
    <w:p>
      <w:pPr>
        <w:spacing w:line="660" w:lineRule="exact"/>
        <w:ind w:firstLine="720" w:firstLineChars="200"/>
        <w:rPr>
          <w:rFonts w:hint="eastAsia" w:ascii="宋体" w:hAnsi="宋体" w:cs="Times New Roman"/>
          <w:sz w:val="36"/>
          <w:szCs w:val="36"/>
          <w:lang w:val="en-US" w:eastAsia="zh-CN"/>
        </w:rPr>
      </w:pPr>
      <w:r>
        <w:rPr>
          <w:rFonts w:hint="eastAsia" w:ascii="宋体" w:hAnsi="宋体" w:cs="Times New Roman"/>
          <w:sz w:val="36"/>
          <w:szCs w:val="36"/>
        </w:rPr>
        <w:t>项目名称：</w:t>
      </w:r>
      <w:r>
        <w:rPr>
          <w:rFonts w:hint="eastAsia" w:ascii="宋体" w:hAnsi="宋体" w:cs="Times New Roman"/>
          <w:sz w:val="36"/>
          <w:szCs w:val="36"/>
          <w:lang w:val="en-US" w:eastAsia="zh-CN"/>
        </w:rPr>
        <w:t>建安区公路管理局国省干线公路标线</w:t>
      </w:r>
    </w:p>
    <w:p>
      <w:pPr>
        <w:spacing w:line="660" w:lineRule="exact"/>
        <w:ind w:firstLine="720" w:firstLineChars="200"/>
        <w:rPr>
          <w:rFonts w:hint="eastAsia" w:ascii="宋体" w:hAnsi="宋体" w:cs="Times New Roman"/>
          <w:sz w:val="36"/>
          <w:szCs w:val="36"/>
          <w:lang w:val="en-US" w:eastAsia="zh-CN"/>
        </w:rPr>
      </w:pPr>
      <w:r>
        <w:rPr>
          <w:rFonts w:hint="eastAsia" w:ascii="宋体" w:hAnsi="宋体" w:cs="Times New Roman"/>
          <w:sz w:val="36"/>
          <w:szCs w:val="36"/>
        </w:rPr>
        <w:t>采 购 人：</w:t>
      </w:r>
      <w:r>
        <w:rPr>
          <w:rFonts w:hint="eastAsia" w:ascii="宋体" w:hAnsi="宋体" w:cs="Times New Roman"/>
          <w:sz w:val="36"/>
          <w:szCs w:val="36"/>
          <w:lang w:val="en-US" w:eastAsia="zh-CN"/>
        </w:rPr>
        <w:t>许昌市建安区公路管理局</w:t>
      </w:r>
    </w:p>
    <w:p>
      <w:pPr>
        <w:spacing w:line="660" w:lineRule="exact"/>
        <w:ind w:firstLine="720" w:firstLineChars="200"/>
        <w:rPr>
          <w:rFonts w:hint="eastAsia" w:ascii="宋体" w:hAnsi="宋体" w:cs="Times New Roman"/>
          <w:sz w:val="36"/>
          <w:szCs w:val="36"/>
        </w:rPr>
      </w:pPr>
      <w:r>
        <w:rPr>
          <w:rFonts w:hint="eastAsia" w:ascii="宋体" w:hAnsi="宋体" w:cs="Times New Roman"/>
          <w:sz w:val="36"/>
          <w:szCs w:val="36"/>
        </w:rPr>
        <w:t>代理机构：河南</w:t>
      </w:r>
      <w:r>
        <w:rPr>
          <w:rFonts w:hint="eastAsia" w:ascii="宋体" w:hAnsi="宋体" w:cs="Times New Roman"/>
          <w:sz w:val="36"/>
          <w:szCs w:val="36"/>
          <w:lang w:eastAsia="zh-CN"/>
        </w:rPr>
        <w:t>天扬</w:t>
      </w:r>
      <w:r>
        <w:rPr>
          <w:rFonts w:hint="eastAsia" w:ascii="宋体" w:hAnsi="宋体" w:cs="Times New Roman"/>
          <w:sz w:val="36"/>
          <w:szCs w:val="36"/>
        </w:rPr>
        <w:t>工程</w:t>
      </w:r>
      <w:r>
        <w:rPr>
          <w:rFonts w:hint="eastAsia" w:ascii="宋体" w:hAnsi="宋体" w:cs="Times New Roman"/>
          <w:sz w:val="36"/>
          <w:szCs w:val="36"/>
          <w:lang w:eastAsia="zh-CN"/>
        </w:rPr>
        <w:t>项目</w:t>
      </w:r>
      <w:r>
        <w:rPr>
          <w:rFonts w:hint="eastAsia" w:ascii="宋体" w:hAnsi="宋体" w:cs="Times New Roman"/>
          <w:sz w:val="36"/>
          <w:szCs w:val="36"/>
        </w:rPr>
        <w:t>管理有限公司</w:t>
      </w:r>
    </w:p>
    <w:p>
      <w:pPr>
        <w:spacing w:line="660" w:lineRule="exact"/>
        <w:jc w:val="center"/>
        <w:rPr>
          <w:rFonts w:asciiTheme="majorEastAsia" w:hAnsiTheme="majorEastAsia" w:eastAsiaTheme="majorEastAsia" w:cstheme="majorEastAsia"/>
          <w:bCs/>
          <w:color w:val="000000"/>
          <w:sz w:val="36"/>
          <w:szCs w:val="36"/>
        </w:rPr>
      </w:pPr>
      <w:r>
        <w:rPr>
          <w:rFonts w:hint="eastAsia" w:ascii="宋体" w:hAnsi="宋体"/>
          <w:sz w:val="36"/>
          <w:szCs w:val="36"/>
        </w:rPr>
        <w:t>二〇一八年</w:t>
      </w:r>
      <w:r>
        <w:rPr>
          <w:rFonts w:hint="eastAsia" w:ascii="宋体" w:hAnsi="宋体"/>
          <w:sz w:val="36"/>
          <w:szCs w:val="36"/>
          <w:lang w:eastAsia="zh-CN"/>
        </w:rPr>
        <w:t>十</w:t>
      </w:r>
      <w:r>
        <w:rPr>
          <w:rFonts w:hint="eastAsia" w:ascii="宋体" w:hAnsi="宋体"/>
          <w:sz w:val="36"/>
          <w:szCs w:val="36"/>
        </w:rPr>
        <w:t>月</w:t>
      </w:r>
    </w:p>
    <w:p>
      <w:pPr>
        <w:autoSpaceDE w:val="0"/>
        <w:autoSpaceDN w:val="0"/>
        <w:adjustRightInd w:val="0"/>
        <w:spacing w:line="700" w:lineRule="exact"/>
        <w:ind w:firstLine="551"/>
        <w:jc w:val="center"/>
        <w:rPr>
          <w:rFonts w:hint="eastAsia" w:cs="宋体" w:asciiTheme="majorEastAsia" w:hAnsiTheme="majorEastAsia" w:eastAsiaTheme="majorEastAsia"/>
          <w:kern w:val="0"/>
          <w:sz w:val="32"/>
          <w:szCs w:val="32"/>
        </w:rPr>
      </w:pPr>
    </w:p>
    <w:p>
      <w:pPr>
        <w:autoSpaceDE w:val="0"/>
        <w:autoSpaceDN w:val="0"/>
        <w:adjustRightInd w:val="0"/>
        <w:spacing w:line="700" w:lineRule="exact"/>
        <w:ind w:firstLine="551"/>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第三章 </w:t>
      </w:r>
      <w:r>
        <w:rPr>
          <w:rFonts w:hint="eastAsia" w:asciiTheme="majorEastAsia" w:hAnsiTheme="majorEastAsia" w:eastAsiaTheme="majorEastAsia" w:cstheme="majorEastAsia"/>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第四章 </w:t>
      </w:r>
      <w:r>
        <w:rPr>
          <w:rFonts w:hint="eastAsia" w:asciiTheme="majorEastAsia" w:hAnsiTheme="majorEastAsia" w:eastAsiaTheme="majorEastAsia" w:cstheme="majorEastAsia"/>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第五章 </w:t>
      </w:r>
      <w:r>
        <w:rPr>
          <w:rFonts w:hint="eastAsia" w:asciiTheme="majorEastAsia" w:hAnsiTheme="majorEastAsia" w:eastAsiaTheme="majorEastAsia" w:cstheme="majorEastAsia"/>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第六章 </w:t>
      </w:r>
      <w:r>
        <w:rPr>
          <w:rFonts w:hint="eastAsia" w:asciiTheme="majorEastAsia" w:hAnsiTheme="majorEastAsia" w:eastAsiaTheme="majorEastAsia" w:cstheme="majorEastAsia"/>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第七章 </w:t>
      </w:r>
      <w:r>
        <w:rPr>
          <w:rFonts w:hint="eastAsia" w:asciiTheme="majorEastAsia" w:hAnsiTheme="majorEastAsia" w:eastAsiaTheme="majorEastAsia" w:cstheme="majorEastAsia"/>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第八章 </w:t>
      </w:r>
      <w:r>
        <w:rPr>
          <w:rFonts w:hint="eastAsia" w:asciiTheme="majorEastAsia" w:hAnsiTheme="majorEastAsia" w:eastAsiaTheme="majorEastAsia" w:cstheme="majorEastAsia"/>
          <w:kern w:val="0"/>
          <w:sz w:val="30"/>
          <w:szCs w:val="30"/>
        </w:rPr>
        <w:t>投标文件有关格式</w:t>
      </w:r>
    </w:p>
    <w:p>
      <w:pPr>
        <w:autoSpaceDE w:val="0"/>
        <w:autoSpaceDN w:val="0"/>
        <w:adjustRightInd w:val="0"/>
        <w:spacing w:line="700" w:lineRule="exact"/>
        <w:rPr>
          <w:rFonts w:cs="宋体" w:asciiTheme="majorEastAsia" w:hAnsiTheme="majorEastAsia" w:eastAsiaTheme="majorEastAsia"/>
          <w:kern w:val="0"/>
          <w:sz w:val="36"/>
          <w:szCs w:val="36"/>
        </w:rPr>
      </w:pPr>
    </w:p>
    <w:p>
      <w:pPr>
        <w:jc w:val="center"/>
        <w:rPr>
          <w:rFonts w:hint="eastAsia" w:cs="宋体" w:asciiTheme="majorEastAsia" w:hAnsiTheme="majorEastAsia" w:eastAsiaTheme="majorEastAsia"/>
          <w:kern w:val="0"/>
          <w:sz w:val="32"/>
          <w:szCs w:val="32"/>
        </w:rPr>
      </w:pPr>
    </w:p>
    <w:p>
      <w:pPr>
        <w:pStyle w:val="2"/>
        <w:rPr>
          <w:rFonts w:hint="eastAsia"/>
        </w:rPr>
      </w:pPr>
    </w:p>
    <w:p>
      <w:pPr>
        <w:numPr>
          <w:ilvl w:val="0"/>
          <w:numId w:val="4"/>
        </w:numPr>
        <w:jc w:val="center"/>
        <w:rPr>
          <w:rFonts w:hint="eastAsia" w:cs="宋体" w:asciiTheme="majorEastAsia" w:hAnsiTheme="majorEastAsia" w:eastAsiaTheme="majorEastAsia"/>
          <w:kern w:val="0"/>
          <w:sz w:val="36"/>
          <w:szCs w:val="36"/>
        </w:rPr>
      </w:pPr>
      <w:r>
        <w:rPr>
          <w:rFonts w:hint="eastAsia" w:cs="宋体" w:asciiTheme="majorEastAsia" w:hAnsiTheme="majorEastAsia" w:eastAsiaTheme="majorEastAsia"/>
          <w:kern w:val="0"/>
          <w:sz w:val="36"/>
          <w:szCs w:val="36"/>
        </w:rPr>
        <w:t>投标邀请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建安政采公字〔2018〕59号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b w:val="0"/>
          <w:bCs/>
          <w:kern w:val="0"/>
          <w:sz w:val="28"/>
          <w:szCs w:val="28"/>
          <w:lang w:val="en-US" w:eastAsia="zh-CN"/>
        </w:rPr>
      </w:pPr>
      <w:r>
        <w:rPr>
          <w:rFonts w:hint="eastAsia" w:asciiTheme="minorEastAsia" w:hAnsiTheme="minorEastAsia" w:eastAsiaTheme="minorEastAsia" w:cstheme="minorEastAsia"/>
          <w:b w:val="0"/>
          <w:bCs/>
          <w:kern w:val="0"/>
          <w:sz w:val="28"/>
          <w:szCs w:val="28"/>
          <w:lang w:val="en-US" w:eastAsia="zh-CN"/>
        </w:rPr>
        <w:t>许昌市建安区公路管理局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b w:val="0"/>
          <w:bCs/>
          <w:kern w:val="0"/>
          <w:sz w:val="28"/>
          <w:szCs w:val="28"/>
          <w:lang w:val="en-US" w:eastAsia="zh-CN"/>
        </w:rPr>
      </w:pPr>
      <w:r>
        <w:rPr>
          <w:rFonts w:hint="eastAsia" w:asciiTheme="minorEastAsia" w:hAnsiTheme="minorEastAsia" w:eastAsiaTheme="minorEastAsia" w:cstheme="minorEastAsia"/>
          <w:b w:val="0"/>
          <w:bCs/>
          <w:kern w:val="0"/>
          <w:sz w:val="28"/>
          <w:szCs w:val="28"/>
          <w:lang w:val="en-US" w:eastAsia="zh-CN"/>
        </w:rPr>
        <w:t>建安区公路管理局国省干线公路标线</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kern w:val="0"/>
          <w:sz w:val="28"/>
          <w:szCs w:val="28"/>
          <w:lang w:val="en-US" w:eastAsia="zh-CN"/>
        </w:rPr>
        <w:t>公开招标公告</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ascii="宋体" w:hAnsi="宋体" w:cs="黑体"/>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ascii="宋体" w:hAnsi="宋体" w:cs="黑体"/>
          <w:b/>
          <w:bCs/>
          <w:color w:val="000000"/>
          <w:sz w:val="21"/>
          <w:szCs w:val="21"/>
          <w:shd w:val="clear" w:color="auto" w:fill="FFFFFF"/>
        </w:rPr>
        <w:t>一、项目基本情况</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仿宋_GB2312"/>
          <w:color w:val="000000"/>
          <w:kern w:val="2"/>
          <w:sz w:val="21"/>
          <w:szCs w:val="21"/>
          <w:shd w:val="clear" w:color="auto" w:fill="FFFFFF"/>
          <w:lang w:val="en-US" w:eastAsia="zh-CN" w:bidi="ar-SA"/>
        </w:rPr>
      </w:pPr>
      <w:r>
        <w:rPr>
          <w:rFonts w:hint="eastAsia" w:ascii="宋体" w:hAnsi="宋体" w:cs="仿宋_GB2312"/>
          <w:color w:val="000000"/>
          <w:sz w:val="21"/>
          <w:szCs w:val="21"/>
          <w:shd w:val="clear" w:color="auto" w:fill="FFFFFF"/>
        </w:rPr>
        <w:t>（一）项目名称：</w:t>
      </w:r>
      <w:r>
        <w:rPr>
          <w:rFonts w:hint="eastAsia" w:ascii="宋体" w:hAnsi="宋体" w:eastAsia="宋体" w:cs="仿宋_GB2312"/>
          <w:color w:val="000000"/>
          <w:kern w:val="2"/>
          <w:sz w:val="21"/>
          <w:szCs w:val="21"/>
          <w:shd w:val="clear" w:color="auto" w:fill="FFFFFF"/>
          <w:lang w:val="en-US" w:eastAsia="zh-CN" w:bidi="ar-SA"/>
        </w:rPr>
        <w:t>建安区公路管理局国省干线公路标线。</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（二）项目编号：建安政采公字〔2018〕</w:t>
      </w:r>
      <w:r>
        <w:rPr>
          <w:rFonts w:hint="eastAsia" w:ascii="宋体" w:hAnsi="宋体" w:cs="仿宋_GB2312"/>
          <w:color w:val="000000"/>
          <w:sz w:val="21"/>
          <w:szCs w:val="21"/>
          <w:shd w:val="clear" w:color="auto" w:fill="FFFFFF"/>
          <w:lang w:val="en-US" w:eastAsia="zh-CN"/>
        </w:rPr>
        <w:t>59</w:t>
      </w:r>
      <w:r>
        <w:rPr>
          <w:rFonts w:hint="eastAsia" w:ascii="宋体" w:hAnsi="宋体" w:cs="仿宋_GB2312"/>
          <w:color w:val="000000"/>
          <w:sz w:val="21"/>
          <w:szCs w:val="21"/>
          <w:shd w:val="clear" w:color="auto" w:fill="FFFFFF"/>
        </w:rPr>
        <w:t>号</w:t>
      </w:r>
      <w:r>
        <w:rPr>
          <w:rFonts w:hint="eastAsia" w:ascii="宋体" w:hAnsi="宋体" w:cs="仿宋_GB2312"/>
          <w:color w:val="000000"/>
          <w:sz w:val="21"/>
          <w:szCs w:val="21"/>
          <w:shd w:val="clear" w:color="auto" w:fill="FFFFFF"/>
          <w:lang w:eastAsia="zh-CN"/>
        </w:rPr>
        <w:t>。</w:t>
      </w:r>
      <w:r>
        <w:rPr>
          <w:rFonts w:hint="eastAsia" w:ascii="宋体" w:hAnsi="宋体" w:cs="仿宋_GB2312"/>
          <w:color w:val="000000"/>
          <w:sz w:val="21"/>
          <w:szCs w:val="21"/>
          <w:shd w:val="clear" w:color="auto" w:fill="FFFFFF"/>
        </w:rPr>
        <w:t xml:space="preserve">    </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（三）采购方式：公开招标</w:t>
      </w:r>
      <w:r>
        <w:rPr>
          <w:rFonts w:hint="eastAsia" w:ascii="宋体" w:hAnsi="宋体" w:cs="仿宋_GB2312"/>
          <w:color w:val="000000"/>
          <w:sz w:val="21"/>
          <w:szCs w:val="21"/>
          <w:shd w:val="clear" w:color="auto" w:fill="FFFFFF"/>
          <w:lang w:eastAsia="zh-CN"/>
        </w:rPr>
        <w:t>。</w:t>
      </w:r>
      <w:r>
        <w:rPr>
          <w:rFonts w:hint="eastAsia" w:ascii="宋体" w:hAnsi="宋体" w:cs="仿宋_GB2312"/>
          <w:color w:val="000000"/>
          <w:sz w:val="21"/>
          <w:szCs w:val="21"/>
          <w:shd w:val="clear" w:color="auto" w:fill="FFFFFF"/>
        </w:rPr>
        <w:t xml:space="preserve">                                                                                                                          </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eastAsia="宋体" w:cs="仿宋_GB2312"/>
          <w:color w:val="000000"/>
          <w:sz w:val="21"/>
          <w:szCs w:val="21"/>
          <w:shd w:val="clear" w:color="auto" w:fill="FFFFFF"/>
          <w:lang w:eastAsia="zh-CN"/>
        </w:rPr>
      </w:pPr>
      <w:r>
        <w:rPr>
          <w:rFonts w:hint="eastAsia" w:ascii="宋体" w:hAnsi="宋体" w:cs="仿宋_GB2312"/>
          <w:color w:val="000000"/>
          <w:sz w:val="21"/>
          <w:szCs w:val="21"/>
          <w:shd w:val="clear" w:color="auto" w:fill="FFFFFF"/>
        </w:rPr>
        <w:t>（四）采购需求：详见招标文件</w:t>
      </w:r>
      <w:r>
        <w:rPr>
          <w:rFonts w:hint="eastAsia" w:ascii="宋体" w:hAnsi="宋体" w:cs="仿宋_GB2312"/>
          <w:color w:val="000000"/>
          <w:sz w:val="21"/>
          <w:szCs w:val="21"/>
          <w:shd w:val="clear" w:color="auto" w:fill="FFFFFF"/>
          <w:lang w:eastAsia="zh-CN"/>
        </w:rPr>
        <w:t>。</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eastAsia="宋体" w:cs="仿宋_GB2312"/>
          <w:color w:val="000000"/>
          <w:sz w:val="21"/>
          <w:szCs w:val="21"/>
          <w:shd w:val="clear" w:color="auto" w:fill="FFFFFF"/>
          <w:lang w:eastAsia="zh-CN"/>
        </w:rPr>
      </w:pPr>
      <w:r>
        <w:rPr>
          <w:rFonts w:hint="eastAsia" w:ascii="宋体" w:hAnsi="宋体" w:cs="仿宋_GB2312"/>
          <w:color w:val="000000"/>
          <w:sz w:val="21"/>
          <w:szCs w:val="21"/>
          <w:shd w:val="clear" w:color="auto" w:fill="FFFFFF"/>
        </w:rPr>
        <w:t>（五）</w:t>
      </w:r>
      <w:r>
        <w:rPr>
          <w:rFonts w:hint="eastAsia" w:ascii="宋体" w:hAnsi="宋体" w:cs="仿宋_GB2312"/>
          <w:color w:val="000000"/>
          <w:sz w:val="21"/>
          <w:szCs w:val="21"/>
          <w:shd w:val="clear" w:color="auto" w:fill="FFFFFF"/>
          <w:lang w:eastAsia="zh-CN"/>
        </w:rPr>
        <w:t>项目</w:t>
      </w:r>
      <w:r>
        <w:rPr>
          <w:rFonts w:hint="eastAsia" w:ascii="宋体" w:hAnsi="宋体" w:cs="仿宋_GB2312"/>
          <w:color w:val="000000"/>
          <w:sz w:val="21"/>
          <w:szCs w:val="21"/>
          <w:shd w:val="clear" w:color="auto" w:fill="FFFFFF"/>
        </w:rPr>
        <w:t>预算：按实际工作量以最终评审价为准</w:t>
      </w:r>
      <w:r>
        <w:rPr>
          <w:rFonts w:hint="eastAsia" w:ascii="宋体" w:hAnsi="宋体" w:cs="仿宋_GB2312"/>
          <w:color w:val="000000"/>
          <w:sz w:val="21"/>
          <w:szCs w:val="21"/>
          <w:shd w:val="clear" w:color="auto" w:fill="FFFFFF"/>
          <w:lang w:eastAsia="zh-CN"/>
        </w:rPr>
        <w:t>。</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（六）服务</w:t>
      </w:r>
      <w:r>
        <w:rPr>
          <w:rFonts w:hint="eastAsia" w:ascii="宋体" w:hAnsi="宋体" w:cs="仿宋_GB2312"/>
          <w:color w:val="000000"/>
          <w:sz w:val="21"/>
          <w:szCs w:val="21"/>
          <w:shd w:val="clear" w:color="auto" w:fill="FFFFFF"/>
          <w:lang w:eastAsia="zh-CN"/>
        </w:rPr>
        <w:t>期限</w:t>
      </w: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lang w:val="en-US" w:eastAsia="zh-CN"/>
        </w:rPr>
        <w:t>3年</w:t>
      </w:r>
      <w:r>
        <w:rPr>
          <w:rFonts w:hint="eastAsia" w:ascii="宋体" w:hAnsi="宋体" w:cs="仿宋_GB2312"/>
          <w:color w:val="000000"/>
          <w:sz w:val="21"/>
          <w:szCs w:val="21"/>
          <w:shd w:val="clear" w:color="auto" w:fill="FFFFFF"/>
        </w:rPr>
        <w:t>。</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二、需要落实的政府采购政策</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本项目落实</w:t>
      </w:r>
      <w:r>
        <w:rPr>
          <w:rFonts w:hint="eastAsia" w:ascii="宋体" w:hAnsi="宋体" w:cs="仿宋_GB2312"/>
          <w:color w:val="000000"/>
          <w:sz w:val="21"/>
          <w:szCs w:val="21"/>
          <w:u w:val="single"/>
          <w:shd w:val="clear" w:color="auto" w:fill="FFFFFF"/>
        </w:rPr>
        <w:t>节能环保</w:t>
      </w: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u w:val="single"/>
          <w:shd w:val="clear" w:color="auto" w:fill="FFFFFF"/>
        </w:rPr>
        <w:t>中小微型企业</w:t>
      </w: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u w:val="single"/>
          <w:shd w:val="clear" w:color="auto" w:fill="FFFFFF"/>
        </w:rPr>
        <w:t>监狱企业</w:t>
      </w: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u w:val="single"/>
          <w:shd w:val="clear" w:color="auto" w:fill="FFFFFF"/>
        </w:rPr>
        <w:t>残疾人福利性单位</w:t>
      </w:r>
      <w:r>
        <w:rPr>
          <w:rFonts w:hint="eastAsia" w:ascii="宋体" w:hAnsi="宋体" w:cs="仿宋_GB2312"/>
          <w:color w:val="000000"/>
          <w:sz w:val="21"/>
          <w:szCs w:val="21"/>
          <w:shd w:val="clear" w:color="auto" w:fill="FFFFFF"/>
        </w:rPr>
        <w:t>扶持等相关政府采购政策。</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三、投标人资格要求</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（一）符合《中华人民共和国政府采购法》第二十二条之规定；</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rPr>
        <w:t>（二）</w:t>
      </w:r>
      <w:r>
        <w:rPr>
          <w:rFonts w:hint="eastAsia" w:ascii="宋体" w:hAnsi="宋体" w:cs="仿宋_GB2312"/>
          <w:color w:val="000000"/>
          <w:sz w:val="21"/>
          <w:szCs w:val="21"/>
          <w:shd w:val="clear" w:color="auto" w:fill="FFFFFF"/>
          <w:lang w:val="en-US" w:eastAsia="zh-CN"/>
        </w:rPr>
        <w:t>具备独立的法人资格；</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lang w:val="en-US" w:eastAsia="zh-CN"/>
        </w:rPr>
        <w:t>（三）具备有效的营业执照，且包含相应的经营范围，具备公路交通工程（公路安全设施）专业承包一级资质；</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lang w:val="en-US" w:eastAsia="zh-CN"/>
        </w:rPr>
        <w:t xml:space="preserve">（四）未被列入“信用中国”网站(www.creditchina.gov.cn)失信被执行人、重大税收违法案件当事人名单、政府采购严重违法失信名单的投标人；“中国政府采购网”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lang w:eastAsia="zh-CN"/>
        </w:rPr>
        <w:t>五</w:t>
      </w:r>
      <w:r>
        <w:rPr>
          <w:rFonts w:hint="eastAsia" w:ascii="宋体" w:hAnsi="宋体" w:cs="仿宋_GB2312"/>
          <w:color w:val="000000"/>
          <w:sz w:val="21"/>
          <w:szCs w:val="21"/>
          <w:shd w:val="clear" w:color="auto" w:fill="FFFFFF"/>
        </w:rPr>
        <w:t>）本次招标不接受联合体投标。</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四、获取招标文件的时间、方式</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420"/>
        <w:jc w:val="left"/>
        <w:textAlignment w:val="auto"/>
        <w:outlineLvl w:val="9"/>
        <w:rPr>
          <w:rFonts w:ascii="宋体" w:hAnsi="宋体" w:cs="Arial"/>
          <w:color w:val="000000"/>
          <w:kern w:val="0"/>
          <w:szCs w:val="21"/>
          <w:shd w:val="clear" w:color="auto" w:fill="FFFFFF"/>
        </w:rPr>
      </w:pPr>
      <w:r>
        <w:rPr>
          <w:rFonts w:hint="eastAsia" w:ascii="宋体" w:hAnsi="宋体" w:cs="Arial"/>
          <w:color w:val="000000"/>
          <w:kern w:val="0"/>
          <w:szCs w:val="21"/>
          <w:shd w:val="clear" w:color="auto" w:fill="FFFFFF"/>
        </w:rPr>
        <w:t>（</w:t>
      </w:r>
      <w:r>
        <w:rPr>
          <w:rFonts w:hint="eastAsia" w:ascii="宋体" w:hAnsi="宋体" w:cs="Arial"/>
          <w:color w:val="000000"/>
          <w:kern w:val="0"/>
          <w:szCs w:val="21"/>
          <w:shd w:val="clear" w:color="auto" w:fill="FFFFFF"/>
          <w:lang w:eastAsia="zh-CN"/>
        </w:rPr>
        <w:t>一</w:t>
      </w:r>
      <w:r>
        <w:rPr>
          <w:rFonts w:hint="eastAsia" w:ascii="宋体" w:hAnsi="宋体" w:cs="Arial"/>
          <w:color w:val="000000"/>
          <w:kern w:val="0"/>
          <w:szCs w:val="21"/>
          <w:shd w:val="clear" w:color="auto" w:fill="FFFFFF"/>
        </w:rPr>
        <w:t>）网上下载招标文</w:t>
      </w:r>
      <w:bookmarkStart w:id="6" w:name="_GoBack"/>
      <w:bookmarkEnd w:id="6"/>
      <w:r>
        <w:rPr>
          <w:rFonts w:hint="eastAsia" w:ascii="宋体" w:hAnsi="宋体" w:cs="Arial"/>
          <w:color w:val="000000"/>
          <w:kern w:val="0"/>
          <w:szCs w:val="21"/>
          <w:shd w:val="clear" w:color="auto" w:fill="FFFFFF"/>
        </w:rPr>
        <w:t xml:space="preserve">件 </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eastAsia="宋体" w:cs="仿宋_GB2312"/>
          <w:color w:val="000000"/>
          <w:sz w:val="21"/>
          <w:szCs w:val="21"/>
          <w:shd w:val="clear" w:color="auto" w:fill="FFFFFF"/>
          <w:lang w:eastAsia="zh-CN"/>
        </w:rPr>
      </w:pPr>
      <w:r>
        <w:rPr>
          <w:rFonts w:hint="eastAsia" w:ascii="宋体" w:hAnsi="宋体" w:cs="仿宋_GB2312"/>
          <w:color w:val="000000"/>
          <w:sz w:val="21"/>
          <w:szCs w:val="21"/>
          <w:shd w:val="clear" w:color="auto" w:fill="FFFFFF"/>
        </w:rPr>
        <w:t>2、在</w:t>
      </w:r>
      <w:r>
        <w:rPr>
          <w:rFonts w:hint="eastAsia" w:ascii="宋体" w:hAnsi="宋体" w:cs="仿宋_GB2312"/>
          <w:color w:val="000000"/>
          <w:sz w:val="21"/>
          <w:szCs w:val="21"/>
          <w:shd w:val="clear" w:color="auto" w:fill="FFFFFF"/>
          <w:lang w:eastAsia="zh-CN"/>
        </w:rPr>
        <w:t>投标</w:t>
      </w:r>
      <w:r>
        <w:rPr>
          <w:rFonts w:hint="eastAsia" w:ascii="宋体" w:hAnsi="宋体" w:cs="仿宋_GB2312"/>
          <w:color w:val="000000"/>
          <w:sz w:val="21"/>
          <w:szCs w:val="21"/>
          <w:shd w:val="clear" w:color="auto" w:fill="FFFFFF"/>
        </w:rPr>
        <w:t>截止时间前均可登录《全国公共资源交易平台（河南省·许昌市）》“投标人/供应商登录”入口（http://221.14.6.70:8088/ggzy/）自行下载招标文件（详见“常见问题解答-交易系统操作手册”）</w:t>
      </w:r>
      <w:r>
        <w:rPr>
          <w:rFonts w:hint="eastAsia" w:ascii="宋体" w:hAnsi="宋体" w:cs="仿宋_GB2312"/>
          <w:color w:val="000000"/>
          <w:sz w:val="21"/>
          <w:szCs w:val="21"/>
          <w:shd w:val="clear" w:color="auto" w:fill="FFFFFF"/>
          <w:lang w:eastAsia="zh-CN"/>
        </w:rPr>
        <w:t>；</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420"/>
        <w:jc w:val="left"/>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3、未通过《全国公共资源交易平台（河南省·许昌市）》下载招标文件的投标人,拒收其递交的投标文件。</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420"/>
        <w:jc w:val="left"/>
        <w:textAlignment w:val="auto"/>
        <w:outlineLvl w:val="9"/>
      </w:pPr>
      <w:r>
        <w:rPr>
          <w:rFonts w:hint="eastAsia" w:ascii="宋体" w:hAnsi="宋体" w:cs="Arial"/>
          <w:color w:val="000000"/>
          <w:kern w:val="0"/>
          <w:szCs w:val="21"/>
          <w:shd w:val="clear" w:color="auto" w:fill="FFFFFF"/>
          <w:lang w:eastAsia="zh-CN"/>
        </w:rPr>
        <w:t>（二）</w:t>
      </w:r>
      <w:r>
        <w:rPr>
          <w:rFonts w:hint="eastAsia" w:ascii="宋体" w:hAnsi="宋体" w:cs="Arial"/>
          <w:color w:val="000000"/>
          <w:kern w:val="0"/>
          <w:szCs w:val="21"/>
          <w:shd w:val="clear" w:color="auto" w:fill="FFFFFF"/>
        </w:rPr>
        <w:t>招标文件售价300元/套，投标人在递交投标文件时向采购代理机构交纳采购文件费用，售后不退。</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五、投标截止时间、开标时间及地点</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rPr>
      </w:pPr>
      <w:r>
        <w:rPr>
          <w:rFonts w:hint="eastAsia" w:ascii="宋体" w:hAnsi="宋体" w:cs="仿宋_GB2312"/>
          <w:color w:val="000000"/>
          <w:sz w:val="21"/>
          <w:szCs w:val="21"/>
        </w:rPr>
        <w:t>（一）投标截止及开标时间：</w:t>
      </w:r>
      <w:r>
        <w:rPr>
          <w:rFonts w:hint="eastAsia" w:ascii="宋体" w:hAnsi="宋体" w:cs="仿宋_GB2312"/>
          <w:color w:val="000000"/>
          <w:sz w:val="21"/>
          <w:szCs w:val="21"/>
          <w:shd w:val="clear" w:color="auto" w:fill="FFFFFF"/>
        </w:rPr>
        <w:t>2018年</w:t>
      </w:r>
      <w:r>
        <w:rPr>
          <w:rFonts w:hint="eastAsia" w:ascii="宋体" w:hAnsi="宋体" w:cs="仿宋_GB2312"/>
          <w:color w:val="000000"/>
          <w:sz w:val="21"/>
          <w:szCs w:val="21"/>
          <w:shd w:val="clear" w:color="auto" w:fill="FFFFFF"/>
          <w:lang w:val="en-US" w:eastAsia="zh-CN"/>
        </w:rPr>
        <w:t>11</w:t>
      </w:r>
      <w:r>
        <w:rPr>
          <w:rFonts w:hint="eastAsia" w:ascii="宋体" w:hAnsi="宋体" w:cs="仿宋_GB2312"/>
          <w:color w:val="000000"/>
          <w:sz w:val="21"/>
          <w:szCs w:val="21"/>
          <w:shd w:val="clear" w:color="auto" w:fill="FFFFFF"/>
        </w:rPr>
        <w:t>月</w:t>
      </w:r>
      <w:r>
        <w:rPr>
          <w:rFonts w:hint="eastAsia" w:ascii="宋体" w:hAnsi="宋体" w:cs="仿宋_GB2312"/>
          <w:color w:val="000000"/>
          <w:sz w:val="21"/>
          <w:szCs w:val="21"/>
          <w:shd w:val="clear" w:color="auto" w:fill="FFFFFF"/>
          <w:lang w:val="en-US" w:eastAsia="zh-CN"/>
        </w:rPr>
        <w:t>22</w:t>
      </w:r>
      <w:r>
        <w:rPr>
          <w:rFonts w:hint="eastAsia" w:ascii="宋体" w:hAnsi="宋体" w:cs="仿宋_GB2312"/>
          <w:color w:val="000000"/>
          <w:sz w:val="21"/>
          <w:szCs w:val="21"/>
          <w:shd w:val="clear" w:color="auto" w:fill="FFFFFF"/>
        </w:rPr>
        <w:t>日 9 时 30 分（</w:t>
      </w:r>
      <w:r>
        <w:rPr>
          <w:rFonts w:hint="eastAsia" w:ascii="宋体" w:hAnsi="宋体" w:cs="仿宋_GB2312"/>
          <w:color w:val="000000"/>
          <w:sz w:val="21"/>
          <w:szCs w:val="21"/>
        </w:rPr>
        <w:t>北京时间），逾期提交或不符合规定的投标文件不予接受。</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rPr>
      </w:pPr>
      <w:r>
        <w:rPr>
          <w:rFonts w:hint="eastAsia" w:ascii="宋体" w:hAnsi="宋体" w:cs="仿宋_GB2312"/>
          <w:color w:val="000000"/>
          <w:sz w:val="21"/>
          <w:szCs w:val="21"/>
        </w:rPr>
        <w:t>（二）开标地点：建安区新元大道兴业大厦北4楼4165室。</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rPr>
      </w:pPr>
      <w:r>
        <w:rPr>
          <w:rFonts w:hint="eastAsia" w:ascii="宋体" w:hAnsi="宋体" w:cs="仿宋_GB2312"/>
          <w:color w:val="000000"/>
          <w:sz w:val="21"/>
          <w:szCs w:val="21"/>
        </w:rPr>
        <w:t>（三） 本项目为全流程电子化交易项目，投标人须提交电子投标文件和纸质投标文件。</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eastAsia="宋体" w:cs="仿宋_GB2312"/>
          <w:color w:val="000000"/>
          <w:sz w:val="21"/>
          <w:szCs w:val="21"/>
          <w:lang w:eastAsia="zh-CN"/>
        </w:rPr>
      </w:pPr>
      <w:r>
        <w:rPr>
          <w:rFonts w:hint="eastAsia" w:ascii="宋体" w:hAnsi="宋体" w:cs="仿宋_GB2312"/>
          <w:color w:val="000000"/>
          <w:sz w:val="21"/>
          <w:szCs w:val="21"/>
        </w:rPr>
        <w:t>1、加密电子投标文件</w:t>
      </w:r>
      <w:r>
        <w:rPr>
          <w:rFonts w:hint="eastAsia" w:ascii="宋体" w:hAnsi="宋体" w:cs="宋体"/>
          <w:color w:val="000000"/>
          <w:sz w:val="21"/>
          <w:szCs w:val="21"/>
        </w:rPr>
        <w:t>（</w:t>
      </w:r>
      <w:r>
        <w:rPr>
          <w:rFonts w:ascii="宋体" w:hAnsi="宋体"/>
          <w:color w:val="000000"/>
          <w:sz w:val="21"/>
          <w:szCs w:val="21"/>
        </w:rPr>
        <w:t>.file</w:t>
      </w:r>
      <w:r>
        <w:rPr>
          <w:rFonts w:hint="eastAsia" w:ascii="宋体" w:hAnsi="宋体" w:cs="宋体"/>
          <w:color w:val="000000"/>
          <w:sz w:val="21"/>
          <w:szCs w:val="21"/>
        </w:rPr>
        <w:t>格式）须</w:t>
      </w:r>
      <w:r>
        <w:rPr>
          <w:rFonts w:hint="eastAsia" w:ascii="宋体" w:hAnsi="宋体" w:cs="仿宋_GB2312"/>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ascii="宋体" w:hAnsi="宋体" w:cs="仿宋_GB2312"/>
          <w:color w:val="000000"/>
          <w:sz w:val="21"/>
          <w:szCs w:val="21"/>
        </w:rPr>
        <w:t>)》公共资源交易系统成功上传</w:t>
      </w:r>
      <w:r>
        <w:rPr>
          <w:rFonts w:hint="eastAsia" w:ascii="宋体" w:hAnsi="宋体" w:cs="仿宋_GB2312"/>
          <w:color w:val="000000"/>
          <w:sz w:val="21"/>
          <w:szCs w:val="21"/>
          <w:lang w:eastAsia="zh-CN"/>
        </w:rPr>
        <w:t>；</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pct10" w:color="auto" w:fill="FFFFFF"/>
        </w:rPr>
      </w:pPr>
      <w:r>
        <w:rPr>
          <w:rFonts w:hint="eastAsia" w:ascii="宋体" w:hAnsi="宋体" w:cs="仿宋_GB2312"/>
          <w:color w:val="000000"/>
          <w:sz w:val="21"/>
          <w:szCs w:val="21"/>
        </w:rPr>
        <w:t>2、纸质投标文件（正本1份、副本4份）和备份文件1份</w:t>
      </w:r>
      <w:r>
        <w:rPr>
          <w:rFonts w:hint="eastAsia" w:hAnsi="宋体"/>
          <w:color w:val="000000"/>
          <w:sz w:val="21"/>
          <w:szCs w:val="21"/>
        </w:rPr>
        <w:t>（使用电子介质存储）</w:t>
      </w:r>
      <w:r>
        <w:rPr>
          <w:rFonts w:hint="eastAsia" w:ascii="宋体" w:hAnsi="宋体" w:cs="仿宋_GB2312"/>
          <w:color w:val="000000"/>
          <w:sz w:val="21"/>
          <w:szCs w:val="21"/>
        </w:rPr>
        <w:t>在投标截止时间（开标时间）前递交至本项目开标地点。</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六、本次招标公告同时在《中国政府采购网》、《河南省政府采购网》、《许昌市政府采购网》、《许昌市建安区人民政府网》《全国公共资源交易平台（河南省·许昌市）》发布。</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七、公告期限</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rPr>
      </w:pPr>
      <w:r>
        <w:rPr>
          <w:rFonts w:hint="eastAsia" w:ascii="宋体" w:hAnsi="宋体" w:cs="仿宋_GB2312"/>
          <w:color w:val="000000"/>
          <w:sz w:val="21"/>
          <w:szCs w:val="21"/>
        </w:rPr>
        <w:t>本招标公告自发布之日起公告期限为5个工作日。</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rPr>
      </w:pPr>
      <w:r>
        <w:rPr>
          <w:rFonts w:hint="eastAsia" w:ascii="宋体" w:hAnsi="宋体" w:cs="黑体"/>
          <w:b/>
          <w:bCs/>
          <w:color w:val="000000"/>
          <w:sz w:val="21"/>
          <w:szCs w:val="21"/>
        </w:rPr>
        <w:t>八、联系方式</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cs="仿宋_GB2312"/>
          <w:color w:val="000000"/>
          <w:sz w:val="21"/>
          <w:szCs w:val="21"/>
          <w:lang w:eastAsia="zh-CN"/>
        </w:rPr>
      </w:pPr>
      <w:r>
        <w:rPr>
          <w:rFonts w:hint="eastAsia" w:ascii="宋体" w:hAnsi="宋体" w:cs="仿宋_GB2312"/>
          <w:color w:val="000000"/>
          <w:sz w:val="21"/>
          <w:szCs w:val="21"/>
        </w:rPr>
        <w:t>采购单位：许昌市建安区</w:t>
      </w:r>
      <w:r>
        <w:rPr>
          <w:rFonts w:hint="eastAsia" w:ascii="宋体" w:hAnsi="宋体" w:cs="仿宋_GB2312"/>
          <w:color w:val="000000"/>
          <w:sz w:val="21"/>
          <w:szCs w:val="21"/>
          <w:lang w:eastAsia="zh-CN"/>
        </w:rPr>
        <w:t>公路管理局</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cs="仿宋_GB2312"/>
          <w:color w:val="000000"/>
          <w:sz w:val="21"/>
          <w:szCs w:val="21"/>
          <w:lang w:val="en-US" w:eastAsia="zh-CN"/>
        </w:rPr>
      </w:pPr>
      <w:r>
        <w:rPr>
          <w:rFonts w:hint="eastAsia" w:ascii="宋体" w:hAnsi="宋体" w:cs="仿宋_GB2312"/>
          <w:color w:val="000000"/>
          <w:sz w:val="21"/>
          <w:szCs w:val="21"/>
        </w:rPr>
        <w:t>项目负责人：</w:t>
      </w:r>
      <w:r>
        <w:rPr>
          <w:rFonts w:hint="eastAsia" w:ascii="宋体" w:hAnsi="宋体" w:cs="仿宋_GB2312"/>
          <w:color w:val="000000"/>
          <w:sz w:val="21"/>
          <w:szCs w:val="21"/>
          <w:lang w:eastAsia="zh-CN"/>
        </w:rPr>
        <w:t>任铁军</w:t>
      </w:r>
      <w:r>
        <w:rPr>
          <w:rFonts w:hint="eastAsia" w:ascii="宋体" w:hAnsi="宋体" w:cs="仿宋_GB2312"/>
          <w:color w:val="000000"/>
          <w:sz w:val="21"/>
          <w:szCs w:val="21"/>
        </w:rPr>
        <w:t xml:space="preserve">  </w:t>
      </w:r>
      <w:r>
        <w:rPr>
          <w:rFonts w:hint="eastAsia" w:ascii="宋体" w:hAnsi="宋体" w:cs="仿宋_GB2312"/>
          <w:color w:val="000000"/>
          <w:sz w:val="21"/>
          <w:szCs w:val="21"/>
          <w:lang w:val="en-US" w:eastAsia="zh-CN"/>
        </w:rPr>
        <w:t>15939955562</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cs="仿宋_GB2312"/>
          <w:color w:val="000000"/>
          <w:sz w:val="21"/>
          <w:szCs w:val="21"/>
        </w:rPr>
      </w:pPr>
      <w:r>
        <w:rPr>
          <w:rFonts w:hint="eastAsia" w:ascii="宋体" w:hAnsi="宋体" w:cs="仿宋_GB2312"/>
          <w:color w:val="000000"/>
          <w:sz w:val="21"/>
          <w:szCs w:val="21"/>
        </w:rPr>
        <w:t>代理机构：河南</w:t>
      </w:r>
      <w:r>
        <w:rPr>
          <w:rFonts w:hint="eastAsia" w:ascii="宋体" w:hAnsi="宋体" w:cs="仿宋_GB2312"/>
          <w:color w:val="000000"/>
          <w:sz w:val="21"/>
          <w:szCs w:val="21"/>
          <w:lang w:eastAsia="zh-CN"/>
        </w:rPr>
        <w:t>天扬工程项目</w:t>
      </w:r>
      <w:r>
        <w:rPr>
          <w:rFonts w:hint="eastAsia" w:ascii="宋体" w:hAnsi="宋体" w:cs="仿宋_GB2312"/>
          <w:color w:val="000000"/>
          <w:sz w:val="21"/>
          <w:szCs w:val="21"/>
        </w:rPr>
        <w:t>管理有限公司</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cs="仿宋_GB2312"/>
          <w:color w:val="000000"/>
          <w:sz w:val="21"/>
          <w:szCs w:val="21"/>
          <w:lang w:val="en-US" w:eastAsia="zh-CN"/>
        </w:rPr>
      </w:pPr>
      <w:r>
        <w:rPr>
          <w:rFonts w:hint="eastAsia" w:ascii="宋体" w:hAnsi="宋体" w:cs="仿宋_GB2312"/>
          <w:color w:val="000000"/>
          <w:sz w:val="21"/>
          <w:szCs w:val="21"/>
        </w:rPr>
        <w:t>项目负责人：</w:t>
      </w:r>
      <w:r>
        <w:rPr>
          <w:rFonts w:hint="eastAsia" w:ascii="宋体" w:hAnsi="宋体" w:cs="仿宋_GB2312"/>
          <w:color w:val="000000"/>
          <w:sz w:val="21"/>
          <w:szCs w:val="21"/>
          <w:lang w:eastAsia="zh-CN"/>
        </w:rPr>
        <w:t>宋易琳</w:t>
      </w:r>
      <w:r>
        <w:rPr>
          <w:rFonts w:hint="eastAsia" w:ascii="宋体" w:hAnsi="宋体" w:cs="仿宋_GB2312"/>
          <w:color w:val="000000"/>
          <w:sz w:val="21"/>
          <w:szCs w:val="21"/>
        </w:rPr>
        <w:t xml:space="preserve">  137</w:t>
      </w:r>
      <w:r>
        <w:rPr>
          <w:rFonts w:hint="eastAsia" w:ascii="宋体" w:hAnsi="宋体" w:cs="仿宋_GB2312"/>
          <w:color w:val="000000"/>
          <w:sz w:val="21"/>
          <w:szCs w:val="21"/>
          <w:lang w:val="en-US" w:eastAsia="zh-CN"/>
        </w:rPr>
        <w:t>33627299</w:t>
      </w:r>
    </w:p>
    <w:p>
      <w:pPr>
        <w:pStyle w:val="20"/>
        <w:widowControl/>
        <w:shd w:val="clear" w:color="auto"/>
        <w:spacing w:line="360" w:lineRule="auto"/>
        <w:ind w:firstLine="420"/>
        <w:contextualSpacing/>
        <w:jc w:val="right"/>
        <w:rPr>
          <w:rFonts w:hint="eastAsia" w:ascii="宋体" w:hAnsi="宋体" w:cs="仿宋_GB2312"/>
          <w:color w:val="000000"/>
          <w:sz w:val="21"/>
          <w:szCs w:val="21"/>
        </w:rPr>
      </w:pPr>
    </w:p>
    <w:p>
      <w:pPr>
        <w:pStyle w:val="20"/>
        <w:widowControl/>
        <w:shd w:val="clear" w:color="auto"/>
        <w:spacing w:line="360" w:lineRule="auto"/>
        <w:ind w:firstLine="420"/>
        <w:contextualSpacing/>
        <w:jc w:val="right"/>
        <w:rPr>
          <w:rFonts w:hint="eastAsia" w:ascii="宋体" w:hAnsi="宋体" w:cs="仿宋_GB2312"/>
          <w:color w:val="000000"/>
          <w:sz w:val="21"/>
          <w:szCs w:val="21"/>
        </w:rPr>
      </w:pPr>
    </w:p>
    <w:p>
      <w:pPr>
        <w:pStyle w:val="20"/>
        <w:widowControl/>
        <w:shd w:val="clear" w:color="auto"/>
        <w:spacing w:line="360" w:lineRule="auto"/>
        <w:ind w:firstLine="420"/>
        <w:contextualSpacing/>
        <w:jc w:val="right"/>
        <w:rPr>
          <w:rFonts w:hint="eastAsia" w:ascii="宋体" w:hAnsi="宋体" w:cs="仿宋_GB2312"/>
          <w:color w:val="000000"/>
          <w:sz w:val="21"/>
          <w:szCs w:val="21"/>
        </w:rPr>
      </w:pPr>
    </w:p>
    <w:p>
      <w:pPr>
        <w:pStyle w:val="20"/>
        <w:widowControl/>
        <w:shd w:val="clear" w:color="auto"/>
        <w:spacing w:line="360" w:lineRule="auto"/>
        <w:ind w:firstLine="420"/>
        <w:contextualSpacing/>
        <w:jc w:val="right"/>
        <w:rPr>
          <w:rFonts w:hint="eastAsia" w:ascii="宋体" w:hAnsi="宋体" w:cs="仿宋_GB2312"/>
          <w:color w:val="000000"/>
          <w:sz w:val="21"/>
          <w:szCs w:val="21"/>
          <w:lang w:eastAsia="zh-CN"/>
        </w:rPr>
      </w:pPr>
      <w:r>
        <w:rPr>
          <w:rFonts w:hint="eastAsia" w:ascii="宋体" w:hAnsi="宋体" w:cs="仿宋_GB2312"/>
          <w:color w:val="000000"/>
          <w:sz w:val="21"/>
          <w:szCs w:val="21"/>
        </w:rPr>
        <w:t>许昌市建安区</w:t>
      </w:r>
      <w:r>
        <w:rPr>
          <w:rFonts w:hint="eastAsia" w:ascii="宋体" w:hAnsi="宋体" w:cs="仿宋_GB2312"/>
          <w:color w:val="000000"/>
          <w:sz w:val="21"/>
          <w:szCs w:val="21"/>
          <w:lang w:eastAsia="zh-CN"/>
        </w:rPr>
        <w:t>公路管理局</w:t>
      </w:r>
    </w:p>
    <w:p>
      <w:pPr>
        <w:pStyle w:val="20"/>
        <w:widowControl/>
        <w:shd w:val="clear" w:color="auto"/>
        <w:spacing w:line="360" w:lineRule="auto"/>
        <w:ind w:firstLine="420"/>
        <w:contextualSpacing/>
        <w:jc w:val="right"/>
        <w:rPr>
          <w:rFonts w:hint="eastAsia" w:ascii="宋体" w:hAnsi="宋体" w:cs="仿宋_GB2312"/>
          <w:color w:val="000000"/>
          <w:sz w:val="21"/>
          <w:szCs w:val="21"/>
        </w:rPr>
      </w:pPr>
      <w:r>
        <w:rPr>
          <w:rFonts w:hint="eastAsia" w:ascii="宋体" w:hAnsi="宋体" w:cs="仿宋_GB2312"/>
          <w:color w:val="000000"/>
          <w:sz w:val="21"/>
          <w:szCs w:val="21"/>
        </w:rPr>
        <w:t>2018年</w:t>
      </w:r>
      <w:r>
        <w:rPr>
          <w:rFonts w:hint="eastAsia" w:ascii="宋体" w:hAnsi="宋体" w:cs="仿宋_GB2312"/>
          <w:color w:val="000000"/>
          <w:sz w:val="21"/>
          <w:szCs w:val="21"/>
          <w:lang w:val="en-US" w:eastAsia="zh-CN"/>
        </w:rPr>
        <w:t xml:space="preserve"> 10</w:t>
      </w:r>
      <w:r>
        <w:rPr>
          <w:rFonts w:hint="eastAsia" w:ascii="宋体" w:hAnsi="宋体" w:cs="仿宋_GB2312"/>
          <w:color w:val="000000"/>
          <w:sz w:val="21"/>
          <w:szCs w:val="21"/>
        </w:rPr>
        <w:t>月</w:t>
      </w:r>
      <w:r>
        <w:rPr>
          <w:rFonts w:hint="eastAsia" w:ascii="宋体" w:hAnsi="宋体" w:cs="仿宋_GB2312"/>
          <w:color w:val="000000"/>
          <w:sz w:val="21"/>
          <w:szCs w:val="21"/>
          <w:lang w:val="en-US" w:eastAsia="zh-CN"/>
        </w:rPr>
        <w:t>30</w:t>
      </w:r>
      <w:r>
        <w:rPr>
          <w:rFonts w:hint="eastAsia" w:ascii="宋体" w:hAnsi="宋体" w:cs="仿宋_GB2312"/>
          <w:color w:val="000000"/>
          <w:sz w:val="21"/>
          <w:szCs w:val="21"/>
        </w:rPr>
        <w:t>日</w:t>
      </w: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Ansi="宋体"/>
          <w:sz w:val="28"/>
          <w:szCs w:val="28"/>
        </w:rPr>
      </w:pPr>
      <w:r>
        <w:rPr>
          <w:rFonts w:hint="eastAsia" w:hAnsi="宋体"/>
          <w:sz w:val="28"/>
          <w:szCs w:val="28"/>
        </w:rPr>
        <w:t>温馨提示：</w:t>
      </w:r>
    </w:p>
    <w:p>
      <w:pPr>
        <w:spacing w:line="360" w:lineRule="auto"/>
        <w:ind w:firstLine="560" w:firstLineChars="200"/>
        <w:rPr>
          <w:rFonts w:ascii="仿宋_GB2312" w:eastAsia="仿宋_GB2312"/>
          <w:sz w:val="32"/>
          <w:szCs w:val="32"/>
        </w:rPr>
      </w:pPr>
      <w:r>
        <w:rPr>
          <w:rFonts w:hint="eastAsia" w:hAnsi="宋体"/>
          <w:sz w:val="28"/>
          <w:szCs w:val="28"/>
        </w:rPr>
        <w:t>本项目为全流程电子化交易项目，请认真阅读招标文件，并注意以下事项。</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1.</w:t>
      </w:r>
      <w:r>
        <w:rPr>
          <w:rFonts w:hint="eastAsia" w:hAnsi="宋体"/>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hAnsi="宋体"/>
          <w:color w:val="000000"/>
          <w:szCs w:val="21"/>
        </w:rPr>
        <w:t>电子文件下载、制作、提交期间和开标（</w:t>
      </w:r>
      <w:r>
        <w:rPr>
          <w:rFonts w:hint="eastAsia" w:hAnsi="宋体"/>
          <w:szCs w:val="21"/>
        </w:rPr>
        <w:t>电子投标文件的解密</w:t>
      </w:r>
      <w:r>
        <w:rPr>
          <w:rFonts w:hint="eastAsia" w:hAnsi="宋体"/>
          <w:color w:val="000000"/>
          <w:szCs w:val="21"/>
        </w:rPr>
        <w:t>）环节，投标人须使用</w:t>
      </w:r>
      <w:r>
        <w:rPr>
          <w:rFonts w:hAnsi="宋体"/>
          <w:color w:val="000000"/>
          <w:szCs w:val="21"/>
        </w:rPr>
        <w:t>CA数字证书</w:t>
      </w:r>
      <w:r>
        <w:rPr>
          <w:rFonts w:hint="eastAsia" w:hAnsi="宋体"/>
          <w:color w:val="000000"/>
          <w:szCs w:val="21"/>
        </w:rPr>
        <w:t>（证书须在有效期内）</w:t>
      </w:r>
      <w:r>
        <w:rPr>
          <w:rFonts w:hAnsi="宋体"/>
          <w:color w:val="000000"/>
          <w:szCs w:val="21"/>
        </w:rPr>
        <w:t>。</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hint="eastAsia" w:hAnsi="宋体"/>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color w:val="000000"/>
        </w:rPr>
        <w:t>http://221.14.6.70:8088/ggzy/</w:t>
      </w:r>
      <w:r>
        <w:rPr>
          <w:color w:val="000000"/>
        </w:rPr>
        <w:fldChar w:fldCharType="end"/>
      </w:r>
      <w:r>
        <w:rPr>
          <w:rFonts w:hint="eastAsia" w:hAnsi="宋体"/>
          <w:color w:val="000000"/>
          <w:szCs w:val="21"/>
        </w:rPr>
        <w:t>）下载“许昌投标文件制作系统SEARUN V1.</w:t>
      </w:r>
      <w:r>
        <w:rPr>
          <w:rFonts w:hint="eastAsia" w:hAnsi="宋体"/>
          <w:color w:val="000000"/>
          <w:szCs w:val="21"/>
          <w:lang w:val="en-US" w:eastAsia="zh-CN"/>
        </w:rPr>
        <w:t>1</w:t>
      </w:r>
      <w:r>
        <w:rPr>
          <w:rFonts w:hint="eastAsia" w:hAnsi="宋体"/>
          <w:color w:val="000000"/>
          <w:szCs w:val="21"/>
        </w:rPr>
        <w:t>”，按招标文件要求制作电子投标文件。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.加密</w:t>
      </w:r>
      <w:r>
        <w:rPr>
          <w:rFonts w:hint="eastAsia" w:hAnsi="宋体"/>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color w:val="000000"/>
        </w:rPr>
        <w:t>http://221.14.6.70:8088/ggzy/</w:t>
      </w:r>
      <w:r>
        <w:rPr>
          <w:color w:val="000000"/>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5</w:t>
      </w:r>
      <w:r>
        <w:rPr>
          <w:rFonts w:hint="eastAsia" w:asciiTheme="minorEastAsia" w:hAnsiTheme="minorEastAsia"/>
          <w:color w:val="000000"/>
          <w:szCs w:val="21"/>
        </w:rPr>
        <w:t>.</w:t>
      </w:r>
      <w:r>
        <w:rPr>
          <w:rFonts w:hint="eastAsia" w:hAnsi="宋体"/>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left="0" w:leftChars="0" w:firstLine="0" w:firstLineChars="0"/>
      </w:pPr>
    </w:p>
    <w:p>
      <w:pPr>
        <w:numPr>
          <w:ilvl w:val="0"/>
          <w:numId w:val="0"/>
        </w:numPr>
        <w:ind w:firstLine="3200" w:firstLineChars="1000"/>
        <w:jc w:val="both"/>
      </w:pPr>
      <w:r>
        <w:rPr>
          <w:rFonts w:hint="eastAsia" w:cs="宋体" w:asciiTheme="majorEastAsia" w:hAnsiTheme="majorEastAsia" w:eastAsiaTheme="majorEastAsia"/>
          <w:color w:val="auto"/>
          <w:kern w:val="0"/>
          <w:sz w:val="32"/>
          <w:szCs w:val="32"/>
          <w:lang w:val="en-US" w:eastAsia="zh-CN"/>
        </w:rPr>
        <w:t xml:space="preserve">第二章 </w:t>
      </w:r>
      <w:r>
        <w:rPr>
          <w:rFonts w:hint="eastAsia" w:cs="宋体" w:asciiTheme="majorEastAsia" w:hAnsiTheme="majorEastAsia" w:eastAsiaTheme="majorEastAsia"/>
          <w:color w:val="auto"/>
          <w:kern w:val="0"/>
          <w:sz w:val="32"/>
          <w:szCs w:val="32"/>
        </w:rPr>
        <w:t>项目需求</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hint="eastAsia" w:cs="宋体" w:asciiTheme="minorEastAsia" w:hAnsiTheme="minorEastAsia"/>
          <w:color w:val="000000" w:themeColor="text1"/>
          <w:kern w:val="0"/>
          <w:szCs w:val="21"/>
          <w:lang w:val="zh-CN"/>
        </w:rPr>
      </w:pPr>
      <w:r>
        <w:rPr>
          <w:rFonts w:hint="eastAsia" w:cs="宋体" w:asciiTheme="minorEastAsia" w:hAnsiTheme="minorEastAsia"/>
          <w:color w:val="000000" w:themeColor="text1"/>
          <w:kern w:val="0"/>
          <w:szCs w:val="21"/>
          <w:lang w:val="zh-CN" w:eastAsia="zh-CN"/>
        </w:rPr>
        <w:t>一、</w:t>
      </w:r>
      <w:r>
        <w:rPr>
          <w:rFonts w:hint="eastAsia" w:cs="宋体" w:asciiTheme="minorEastAsia" w:hAnsiTheme="minorEastAsia"/>
          <w:color w:val="000000" w:themeColor="text1"/>
          <w:kern w:val="0"/>
          <w:szCs w:val="21"/>
          <w:lang w:val="zh-CN"/>
        </w:rPr>
        <w:t>本项目需实现的功能或者目标</w:t>
      </w:r>
    </w:p>
    <w:p>
      <w:pPr>
        <w:pStyle w:val="2"/>
        <w:keepNext w:val="0"/>
        <w:keepLines w:val="0"/>
        <w:pageBreakBefore w:val="0"/>
        <w:numPr>
          <w:ilvl w:val="0"/>
          <w:numId w:val="0"/>
        </w:numPr>
        <w:shd w:val="clear"/>
        <w:kinsoku/>
        <w:wordWrap/>
        <w:overflowPunct/>
        <w:topLinePunct w:val="0"/>
        <w:bidi w:val="0"/>
        <w:snapToGrid/>
        <w:spacing w:line="520" w:lineRule="exact"/>
        <w:textAlignment w:val="auto"/>
        <w:outlineLvl w:val="9"/>
        <w:rPr>
          <w:rFonts w:hint="eastAsia" w:cs="宋体" w:asciiTheme="minorEastAsia" w:hAnsiTheme="minorEastAsia" w:eastAsiaTheme="minorEastAsia"/>
          <w:color w:val="000000" w:themeColor="text1"/>
          <w:kern w:val="0"/>
          <w:sz w:val="21"/>
          <w:szCs w:val="21"/>
          <w:lang w:val="en-US" w:eastAsia="zh-CN" w:bidi="ar-SA"/>
        </w:rPr>
      </w:pPr>
      <w:r>
        <w:rPr>
          <w:rFonts w:hint="eastAsia"/>
          <w:lang w:val="en-US" w:eastAsia="zh-CN"/>
        </w:rPr>
        <w:t xml:space="preserve">    </w:t>
      </w:r>
      <w:r>
        <w:rPr>
          <w:rFonts w:hint="eastAsia" w:cs="宋体" w:asciiTheme="minorEastAsia" w:hAnsiTheme="minorEastAsia" w:eastAsiaTheme="minorEastAsia"/>
          <w:color w:val="000000" w:themeColor="text1"/>
          <w:kern w:val="0"/>
          <w:sz w:val="21"/>
          <w:szCs w:val="21"/>
          <w:lang w:val="en-US" w:eastAsia="zh-CN" w:bidi="ar-SA"/>
        </w:rPr>
        <w:t xml:space="preserve"> 按照我区有关迎检、观摩活动要求，为保障所辖干线公路的安全畅通，营造良好的公路交通环境，需及时对公路路面进行标线。项目的预算金额</w:t>
      </w:r>
      <w:r>
        <w:rPr>
          <w:rFonts w:hint="eastAsia" w:cs="宋体" w:asciiTheme="minorEastAsia" w:hAnsiTheme="minorEastAsia" w:eastAsiaTheme="minorEastAsia"/>
          <w:color w:val="000000" w:themeColor="text1"/>
          <w:kern w:val="0"/>
          <w:sz w:val="21"/>
          <w:szCs w:val="21"/>
          <w:lang w:val="zh-CN" w:eastAsia="zh-CN" w:bidi="ar-SA"/>
        </w:rPr>
        <w:t>按实际工作量以最终评审价为准。</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cs="宋体" w:asciiTheme="minorEastAsia" w:hAnsiTheme="minorEastAsia"/>
          <w:color w:val="000000" w:themeColor="text1"/>
          <w:kern w:val="0"/>
          <w:szCs w:val="21"/>
          <w:lang w:val="zh-CN"/>
        </w:rPr>
      </w:pPr>
      <w:r>
        <w:rPr>
          <w:rFonts w:hint="eastAsia" w:cs="宋体" w:asciiTheme="minorEastAsia" w:hAnsiTheme="minorEastAsia"/>
          <w:color w:val="000000" w:themeColor="text1"/>
          <w:kern w:val="0"/>
          <w:szCs w:val="21"/>
          <w:lang w:val="zh-CN"/>
        </w:rPr>
        <w:t>二、验收标准</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cs="宋体" w:asciiTheme="minorEastAsia" w:hAnsiTheme="minorEastAsia"/>
          <w:color w:val="000000" w:themeColor="text1"/>
          <w:kern w:val="0"/>
          <w:szCs w:val="21"/>
          <w:lang w:val="zh-CN"/>
        </w:rPr>
      </w:pPr>
      <w:r>
        <w:rPr>
          <w:rFonts w:hint="eastAsia" w:cs="宋体" w:asciiTheme="minorEastAsia" w:hAnsiTheme="minorEastAsia"/>
          <w:color w:val="000000" w:themeColor="text1"/>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cs="宋体" w:asciiTheme="minorEastAsia" w:hAnsiTheme="minorEastAsia"/>
          <w:color w:val="000000" w:themeColor="text1"/>
          <w:kern w:val="0"/>
          <w:szCs w:val="21"/>
          <w:lang w:val="zh-CN"/>
        </w:rPr>
      </w:pPr>
      <w:r>
        <w:rPr>
          <w:rFonts w:hint="eastAsia" w:cs="宋体" w:asciiTheme="minorEastAsia" w:hAnsiTheme="minorEastAsia"/>
          <w:color w:val="000000" w:themeColor="text1"/>
          <w:kern w:val="0"/>
          <w:szCs w:val="21"/>
          <w:lang w:val="zh-CN"/>
        </w:rPr>
        <w:t>2、按照招标文件要求、投标文件响应和承诺验收。</w:t>
      </w:r>
    </w:p>
    <w:p>
      <w:pPr>
        <w:pStyle w:val="20"/>
        <w:keepNext w:val="0"/>
        <w:keepLines w:val="0"/>
        <w:pageBreakBefore w:val="0"/>
        <w:widowControl/>
        <w:shd w:val="clear" w:color="auto"/>
        <w:kinsoku/>
        <w:wordWrap/>
        <w:overflowPunct/>
        <w:topLinePunct w:val="0"/>
        <w:bidi w:val="0"/>
        <w:snapToGrid/>
        <w:spacing w:line="520" w:lineRule="exact"/>
        <w:ind w:firstLine="420"/>
        <w:contextualSpacing/>
        <w:jc w:val="left"/>
        <w:textAlignment w:val="auto"/>
        <w:outlineLvl w:val="9"/>
        <w:rPr>
          <w:rFonts w:hint="eastAsia" w:cs="宋体" w:asciiTheme="minorEastAsia" w:hAnsiTheme="minorEastAsia" w:eastAsiaTheme="minorEastAsia"/>
          <w:color w:val="000000" w:themeColor="text1"/>
          <w:kern w:val="0"/>
          <w:sz w:val="21"/>
          <w:szCs w:val="21"/>
          <w:lang w:val="zh-CN"/>
        </w:rPr>
      </w:pPr>
      <w:r>
        <w:rPr>
          <w:rFonts w:hint="eastAsia" w:cs="宋体" w:asciiTheme="minorEastAsia" w:hAnsiTheme="minorEastAsia" w:eastAsiaTheme="minorEastAsia"/>
          <w:color w:val="000000" w:themeColor="text1"/>
          <w:kern w:val="0"/>
          <w:sz w:val="21"/>
          <w:szCs w:val="21"/>
          <w:lang w:val="zh-CN"/>
        </w:rPr>
        <w:t>三、</w:t>
      </w:r>
      <w:r>
        <w:rPr>
          <w:rFonts w:hint="eastAsia" w:cs="宋体" w:asciiTheme="minorEastAsia" w:hAnsiTheme="minorEastAsia" w:eastAsiaTheme="minorEastAsia"/>
          <w:color w:val="000000" w:themeColor="text1"/>
          <w:kern w:val="0"/>
          <w:sz w:val="21"/>
          <w:szCs w:val="21"/>
          <w:lang w:val="en-US" w:eastAsia="zh-CN"/>
        </w:rPr>
        <w:t>依</w:t>
      </w:r>
      <w:r>
        <w:rPr>
          <w:rFonts w:hint="eastAsia" w:cs="宋体" w:asciiTheme="minorEastAsia" w:hAnsiTheme="minorEastAsia" w:eastAsiaTheme="minorEastAsia"/>
          <w:color w:val="000000" w:themeColor="text1"/>
          <w:kern w:val="0"/>
          <w:sz w:val="21"/>
          <w:szCs w:val="21"/>
          <w:lang w:val="zh-CN"/>
        </w:rPr>
        <w:t>据许昌市建安区公路管理局文件</w:t>
      </w:r>
      <w:r>
        <w:rPr>
          <w:rFonts w:hint="eastAsia" w:cs="宋体" w:asciiTheme="minorEastAsia" w:hAnsiTheme="minorEastAsia" w:eastAsiaTheme="minorEastAsia"/>
          <w:color w:val="000000" w:themeColor="text1"/>
          <w:kern w:val="0"/>
          <w:sz w:val="21"/>
          <w:szCs w:val="21"/>
          <w:lang w:val="en-US" w:eastAsia="zh-CN"/>
        </w:rPr>
        <w:t>(</w:t>
      </w:r>
      <w:r>
        <w:rPr>
          <w:rFonts w:hint="eastAsia" w:cs="宋体" w:asciiTheme="minorEastAsia" w:hAnsiTheme="minorEastAsia" w:eastAsiaTheme="minorEastAsia"/>
          <w:color w:val="000000" w:themeColor="text1"/>
          <w:kern w:val="0"/>
          <w:sz w:val="21"/>
          <w:szCs w:val="21"/>
          <w:lang w:val="zh-CN"/>
        </w:rPr>
        <w:t>建安路</w:t>
      </w:r>
      <w:r>
        <w:rPr>
          <w:rFonts w:hint="eastAsia" w:ascii="宋体" w:hAnsi="宋体" w:eastAsia="宋体" w:cs="宋体"/>
          <w:color w:val="000000" w:themeColor="text1"/>
          <w:kern w:val="0"/>
          <w:sz w:val="21"/>
          <w:szCs w:val="21"/>
          <w:lang w:val="zh-CN"/>
        </w:rPr>
        <w:t>［</w:t>
      </w:r>
      <w:r>
        <w:rPr>
          <w:rFonts w:hint="eastAsia" w:ascii="宋体" w:hAnsi="宋体" w:cs="宋体"/>
          <w:color w:val="000000" w:themeColor="text1"/>
          <w:kern w:val="0"/>
          <w:sz w:val="21"/>
          <w:szCs w:val="21"/>
          <w:lang w:val="en-US" w:eastAsia="zh-CN"/>
        </w:rPr>
        <w:t>2018</w:t>
      </w:r>
      <w:r>
        <w:rPr>
          <w:rFonts w:hint="eastAsia" w:ascii="宋体" w:hAnsi="宋体" w:eastAsia="宋体" w:cs="宋体"/>
          <w:color w:val="000000" w:themeColor="text1"/>
          <w:kern w:val="0"/>
          <w:sz w:val="21"/>
          <w:szCs w:val="21"/>
          <w:lang w:val="zh-CN"/>
        </w:rPr>
        <w:t>］</w:t>
      </w:r>
      <w:r>
        <w:rPr>
          <w:rFonts w:hint="eastAsia" w:ascii="宋体" w:hAnsi="宋体" w:cs="宋体"/>
          <w:color w:val="000000" w:themeColor="text1"/>
          <w:kern w:val="0"/>
          <w:sz w:val="21"/>
          <w:szCs w:val="21"/>
          <w:lang w:val="en-US" w:eastAsia="zh-CN"/>
        </w:rPr>
        <w:t>59号)的要求，经许昌市建安区财政局投资评审中心对建安区公路管理局国省干线公路标线项目的评审，最终审定该</w:t>
      </w:r>
      <w:r>
        <w:rPr>
          <w:rFonts w:hint="eastAsia" w:cs="宋体" w:asciiTheme="minorEastAsia" w:hAnsiTheme="minorEastAsia" w:eastAsiaTheme="minorEastAsia"/>
          <w:color w:val="000000" w:themeColor="text1"/>
          <w:kern w:val="0"/>
          <w:sz w:val="21"/>
          <w:szCs w:val="21"/>
          <w:lang w:val="zh-CN"/>
        </w:rPr>
        <w:t>项目预算金额：</w:t>
      </w:r>
      <w:r>
        <w:rPr>
          <w:rFonts w:hint="eastAsia" w:ascii="宋体" w:hAnsi="宋体" w:cs="仿宋_GB2312"/>
          <w:color w:val="000000"/>
          <w:sz w:val="21"/>
          <w:szCs w:val="21"/>
          <w:shd w:val="clear" w:color="auto" w:fill="FFFFFF"/>
        </w:rPr>
        <w:t>按实际工作量以最终评审价为准</w:t>
      </w:r>
      <w:r>
        <w:rPr>
          <w:rFonts w:hint="eastAsia" w:cs="宋体" w:asciiTheme="minorEastAsia" w:hAnsiTheme="minorEastAsia" w:eastAsiaTheme="minorEastAsia"/>
          <w:color w:val="000000" w:themeColor="text1"/>
          <w:kern w:val="0"/>
          <w:sz w:val="21"/>
          <w:szCs w:val="21"/>
          <w:lang w:val="zh-CN"/>
        </w:rPr>
        <w:t>。</w:t>
      </w:r>
    </w:p>
    <w:p>
      <w:pPr>
        <w:pStyle w:val="20"/>
        <w:keepNext w:val="0"/>
        <w:keepLines w:val="0"/>
        <w:pageBreakBefore w:val="0"/>
        <w:widowControl/>
        <w:shd w:val="clear" w:color="auto"/>
        <w:kinsoku/>
        <w:wordWrap/>
        <w:overflowPunct/>
        <w:topLinePunct w:val="0"/>
        <w:bidi w:val="0"/>
        <w:snapToGrid/>
        <w:spacing w:line="520" w:lineRule="exact"/>
        <w:ind w:firstLine="420"/>
        <w:contextualSpacing/>
        <w:jc w:val="left"/>
        <w:textAlignment w:val="auto"/>
        <w:outlineLvl w:val="9"/>
        <w:rPr>
          <w:rFonts w:hint="eastAsia" w:eastAsia="宋体" w:cs="宋体" w:asciiTheme="minorEastAsia" w:hAnsiTheme="minorEastAsia"/>
          <w:b/>
          <w:bCs/>
          <w:color w:val="000000" w:themeColor="text1"/>
          <w:kern w:val="0"/>
          <w:sz w:val="21"/>
          <w:szCs w:val="21"/>
          <w:lang w:val="zh-CN" w:eastAsia="zh-CN" w:bidi="ar-SA"/>
        </w:rPr>
      </w:pPr>
      <w:r>
        <w:rPr>
          <w:rFonts w:hint="eastAsia" w:cs="宋体" w:asciiTheme="minorEastAsia" w:hAnsiTheme="minorEastAsia" w:eastAsiaTheme="minorEastAsia"/>
          <w:b/>
          <w:bCs/>
          <w:color w:val="000000" w:themeColor="text1"/>
          <w:kern w:val="0"/>
          <w:sz w:val="21"/>
          <w:szCs w:val="21"/>
          <w:lang w:val="en-US" w:eastAsia="zh-CN" w:bidi="ar-SA"/>
        </w:rPr>
        <w:t>注：</w:t>
      </w:r>
      <w:r>
        <w:rPr>
          <w:rFonts w:hint="eastAsia" w:cs="宋体" w:asciiTheme="minorEastAsia" w:hAnsiTheme="minorEastAsia" w:eastAsiaTheme="minorEastAsia"/>
          <w:b/>
          <w:bCs/>
          <w:color w:val="000000" w:themeColor="text1"/>
          <w:kern w:val="0"/>
          <w:sz w:val="21"/>
          <w:szCs w:val="21"/>
          <w:lang w:val="zh-CN" w:eastAsia="zh-CN" w:bidi="ar-SA"/>
        </w:rPr>
        <w:t>投标企业的报价须响应和承诺“按实际工作量</w:t>
      </w:r>
      <w:r>
        <w:rPr>
          <w:rFonts w:hint="eastAsia" w:ascii="宋体" w:hAnsi="宋体" w:cs="仿宋_GB2312"/>
          <w:b/>
          <w:bCs/>
          <w:color w:val="000000"/>
          <w:sz w:val="21"/>
          <w:szCs w:val="21"/>
          <w:shd w:val="clear" w:color="auto" w:fill="FFFFFF"/>
        </w:rPr>
        <w:t>以最终评审价为准</w:t>
      </w:r>
      <w:r>
        <w:rPr>
          <w:rFonts w:hint="eastAsia" w:cs="宋体" w:asciiTheme="minorEastAsia" w:hAnsiTheme="minorEastAsia" w:eastAsiaTheme="minorEastAsia"/>
          <w:b/>
          <w:bCs/>
          <w:color w:val="000000" w:themeColor="text1"/>
          <w:kern w:val="0"/>
          <w:sz w:val="21"/>
          <w:szCs w:val="21"/>
          <w:lang w:val="zh-CN" w:eastAsia="zh-CN" w:bidi="ar-SA"/>
        </w:rPr>
        <w:t>”，未响应和承诺</w:t>
      </w:r>
      <w:r>
        <w:rPr>
          <w:rFonts w:hint="eastAsia" w:ascii="宋体" w:hAnsi="宋体" w:cs="仿宋_GB2312"/>
          <w:b/>
          <w:bCs/>
          <w:color w:val="000000"/>
          <w:sz w:val="21"/>
          <w:szCs w:val="21"/>
          <w:shd w:val="clear" w:color="auto" w:fill="FFFFFF"/>
          <w:lang w:eastAsia="zh-CN"/>
        </w:rPr>
        <w:t>的为无效投标。</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hint="eastAsia" w:cs="宋体" w:asciiTheme="minorEastAsia" w:hAnsiTheme="minorEastAsia" w:eastAsiaTheme="minorEastAsia"/>
          <w:color w:val="000000" w:themeColor="text1"/>
          <w:kern w:val="0"/>
          <w:sz w:val="21"/>
          <w:szCs w:val="21"/>
          <w:lang w:val="zh-CN" w:eastAsia="zh-CN" w:bidi="ar-SA"/>
        </w:rPr>
      </w:pPr>
      <w:r>
        <w:rPr>
          <w:rFonts w:hint="eastAsia" w:cs="宋体" w:asciiTheme="minorEastAsia" w:hAnsiTheme="minorEastAsia"/>
          <w:color w:val="000000" w:themeColor="text1"/>
          <w:kern w:val="0"/>
          <w:sz w:val="21"/>
          <w:szCs w:val="21"/>
          <w:lang w:val="zh-CN" w:eastAsia="zh-CN" w:bidi="ar-SA"/>
        </w:rPr>
        <w:t>四</w:t>
      </w:r>
      <w:r>
        <w:rPr>
          <w:rFonts w:hint="eastAsia" w:cs="宋体" w:asciiTheme="minorEastAsia" w:hAnsiTheme="minorEastAsia" w:eastAsiaTheme="minorEastAsia"/>
          <w:color w:val="000000" w:themeColor="text1"/>
          <w:kern w:val="0"/>
          <w:sz w:val="21"/>
          <w:szCs w:val="21"/>
          <w:lang w:val="zh-CN" w:eastAsia="zh-CN" w:bidi="ar-SA"/>
        </w:rPr>
        <w:t xml:space="preserve"> 、资金支付</w:t>
      </w:r>
    </w:p>
    <w:p>
      <w:pPr>
        <w:pStyle w:val="20"/>
        <w:keepNext w:val="0"/>
        <w:keepLines w:val="0"/>
        <w:pageBreakBefore w:val="0"/>
        <w:widowControl/>
        <w:shd w:val="clear" w:color="auto"/>
        <w:kinsoku/>
        <w:wordWrap/>
        <w:overflowPunct/>
        <w:topLinePunct w:val="0"/>
        <w:bidi w:val="0"/>
        <w:snapToGrid/>
        <w:spacing w:line="520" w:lineRule="exact"/>
        <w:ind w:firstLine="420"/>
        <w:contextualSpacing/>
        <w:jc w:val="left"/>
        <w:textAlignment w:val="auto"/>
        <w:outlineLvl w:val="9"/>
        <w:rPr>
          <w:rFonts w:hint="eastAsia" w:cs="宋体" w:asciiTheme="minorEastAsia" w:hAnsiTheme="minorEastAsia" w:eastAsiaTheme="minorEastAsia"/>
          <w:color w:val="000000" w:themeColor="text1"/>
          <w:kern w:val="0"/>
          <w:sz w:val="21"/>
          <w:szCs w:val="21"/>
          <w:lang w:val="zh-CN" w:eastAsia="zh-CN" w:bidi="ar-SA"/>
        </w:rPr>
      </w:pPr>
      <w:r>
        <w:rPr>
          <w:rFonts w:hint="eastAsia" w:cs="宋体" w:asciiTheme="minorEastAsia" w:hAnsiTheme="minorEastAsia" w:eastAsiaTheme="minorEastAsia"/>
          <w:color w:val="000000" w:themeColor="text1"/>
          <w:kern w:val="0"/>
          <w:sz w:val="21"/>
          <w:szCs w:val="21"/>
          <w:lang w:val="zh-CN" w:eastAsia="zh-CN" w:bidi="ar-SA"/>
        </w:rPr>
        <w:t>支付时间及条件：工程施工完毕后五日内验收，经验收合格后,一次性支付工程款总金额的95%，剩余5%在该产品使用一年后支付。</w:t>
      </w:r>
    </w:p>
    <w:p>
      <w:pPr>
        <w:keepNext w:val="0"/>
        <w:keepLines w:val="0"/>
        <w:pageBreakBefore w:val="0"/>
        <w:shd w:val="clear"/>
        <w:kinsoku/>
        <w:wordWrap/>
        <w:overflowPunct/>
        <w:topLinePunct w:val="0"/>
        <w:autoSpaceDE w:val="0"/>
        <w:autoSpaceDN w:val="0"/>
        <w:bidi w:val="0"/>
        <w:adjustRightInd w:val="0"/>
        <w:snapToGrid/>
        <w:spacing w:line="520" w:lineRule="exact"/>
        <w:jc w:val="center"/>
        <w:textAlignment w:val="auto"/>
        <w:outlineLvl w:val="9"/>
        <w:rPr>
          <w:rFonts w:hint="eastAsia" w:cs="宋体" w:asciiTheme="minorEastAsia" w:hAnsiTheme="minorEastAsia" w:eastAsiaTheme="minorEastAsia"/>
          <w:color w:val="000000" w:themeColor="text1"/>
          <w:kern w:val="0"/>
          <w:sz w:val="21"/>
          <w:szCs w:val="21"/>
          <w:lang w:val="zh-CN" w:eastAsia="zh-CN" w:bidi="ar-SA"/>
        </w:rPr>
      </w:pPr>
    </w:p>
    <w:p>
      <w:pPr>
        <w:pStyle w:val="2"/>
        <w:shd w:val="clear"/>
        <w:ind w:left="0" w:leftChars="0" w:firstLine="0" w:firstLineChars="0"/>
      </w:pPr>
    </w:p>
    <w:p>
      <w:pPr>
        <w:pStyle w:val="20"/>
        <w:widowControl/>
        <w:shd w:val="clear" w:color="auto"/>
        <w:spacing w:line="360" w:lineRule="auto"/>
        <w:ind w:firstLine="420"/>
        <w:contextualSpacing/>
        <w:jc w:val="right"/>
        <w:rPr>
          <w:rFonts w:hint="eastAsia" w:ascii="宋体" w:hAnsi="宋体" w:cs="仿宋_GB2312"/>
          <w:color w:val="000000"/>
          <w:sz w:val="21"/>
          <w:szCs w:val="21"/>
          <w:lang w:eastAsia="zh-CN"/>
        </w:rPr>
      </w:pPr>
      <w:r>
        <w:rPr>
          <w:rFonts w:hint="eastAsia" w:ascii="宋体" w:hAnsi="宋体" w:cs="仿宋_GB2312"/>
          <w:color w:val="000000"/>
          <w:sz w:val="21"/>
          <w:szCs w:val="21"/>
        </w:rPr>
        <w:t>许昌市建安区</w:t>
      </w:r>
      <w:r>
        <w:rPr>
          <w:rFonts w:hint="eastAsia" w:ascii="宋体" w:hAnsi="宋体" w:cs="仿宋_GB2312"/>
          <w:color w:val="000000"/>
          <w:sz w:val="21"/>
          <w:szCs w:val="21"/>
          <w:lang w:eastAsia="zh-CN"/>
        </w:rPr>
        <w:t>公路管理局</w:t>
      </w:r>
    </w:p>
    <w:p>
      <w:pPr>
        <w:pStyle w:val="2"/>
        <w:shd w:val="clear"/>
      </w:pPr>
    </w:p>
    <w:p>
      <w:pPr>
        <w:pStyle w:val="2"/>
      </w:pPr>
    </w:p>
    <w:p>
      <w:pPr>
        <w:pStyle w:val="2"/>
        <w:ind w:left="0" w:leftChars="0" w:firstLine="0" w:firstLineChars="0"/>
      </w:pPr>
    </w:p>
    <w:p>
      <w:pPr>
        <w:widowControl/>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第三章 投标人须知前附表</w:t>
      </w:r>
    </w:p>
    <w:p>
      <w:pPr>
        <w:autoSpaceDE w:val="0"/>
        <w:autoSpaceDN w:val="0"/>
        <w:adjustRightInd w:val="0"/>
        <w:spacing w:line="360" w:lineRule="auto"/>
        <w:ind w:right="-11"/>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招标文件中凡标有★条款均为实质性要求条款，投标文件须完全响应，未实质响应的，按照无效投标处理。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w:t>
            </w:r>
            <w:r>
              <w:rPr>
                <w:rFonts w:hint="eastAsia"/>
                <w:lang w:eastAsia="zh-CN"/>
              </w:rPr>
              <w:t>建安区公路管理局国省干线公路标线</w:t>
            </w:r>
          </w:p>
          <w:p>
            <w:pPr>
              <w:autoSpaceDE w:val="0"/>
              <w:autoSpaceDN w:val="0"/>
              <w:adjustRightInd w:val="0"/>
              <w:spacing w:line="360" w:lineRule="auto"/>
              <w:jc w:val="left"/>
            </w:pPr>
            <w:r>
              <w:rPr>
                <w:rFonts w:hint="eastAsia"/>
              </w:rPr>
              <w:t>项目编号：建安政采公字〔2018〕</w:t>
            </w:r>
            <w:r>
              <w:rPr>
                <w:rFonts w:hint="eastAsia"/>
                <w:lang w:val="en-US" w:eastAsia="zh-CN"/>
              </w:rPr>
              <w:t>59</w:t>
            </w:r>
            <w:r>
              <w:rPr>
                <w:rFonts w:hint="eastAsia"/>
              </w:rPr>
              <w:t>号</w:t>
            </w:r>
          </w:p>
          <w:p>
            <w:pPr>
              <w:autoSpaceDE w:val="0"/>
              <w:autoSpaceDN w:val="0"/>
              <w:adjustRightInd w:val="0"/>
              <w:spacing w:line="360" w:lineRule="auto"/>
              <w:jc w:val="left"/>
              <w:rPr>
                <w:rFonts w:hint="eastAsia" w:eastAsiaTheme="minorEastAsia"/>
                <w:lang w:eastAsia="zh-CN"/>
              </w:rPr>
            </w:pPr>
            <w:r>
              <w:rPr>
                <w:rFonts w:hint="eastAsia"/>
              </w:rPr>
              <w:t>项目内容：详见</w:t>
            </w:r>
            <w:r>
              <w:rPr>
                <w:rFonts w:hint="eastAsia"/>
                <w:lang w:eastAsia="zh-CN"/>
              </w:rPr>
              <w:t>招标文件</w:t>
            </w:r>
          </w:p>
          <w:p>
            <w:pPr>
              <w:autoSpaceDE w:val="0"/>
              <w:autoSpaceDN w:val="0"/>
              <w:adjustRightInd w:val="0"/>
              <w:spacing w:line="360" w:lineRule="auto"/>
              <w:jc w:val="left"/>
            </w:pPr>
            <w:r>
              <w:rPr>
                <w:rFonts w:hint="eastAsia"/>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lang w:eastAsia="zh-CN"/>
              </w:rPr>
            </w:pPr>
            <w:r>
              <w:rPr>
                <w:rFonts w:hint="eastAsia"/>
              </w:rPr>
              <w:t>名称：许昌市建安区</w:t>
            </w:r>
            <w:r>
              <w:rPr>
                <w:rFonts w:hint="eastAsia"/>
                <w:lang w:eastAsia="zh-CN"/>
              </w:rPr>
              <w:t>公路管理局</w:t>
            </w:r>
          </w:p>
          <w:p>
            <w:pPr>
              <w:autoSpaceDE w:val="0"/>
              <w:autoSpaceDN w:val="0"/>
              <w:adjustRightInd w:val="0"/>
              <w:spacing w:line="360" w:lineRule="auto"/>
              <w:jc w:val="left"/>
              <w:rPr>
                <w:rFonts w:hint="eastAsia"/>
              </w:rPr>
            </w:pPr>
            <w:r>
              <w:rPr>
                <w:rFonts w:hint="eastAsia"/>
              </w:rPr>
              <w:t>地址：许昌市建安区</w:t>
            </w:r>
          </w:p>
          <w:p>
            <w:pPr>
              <w:autoSpaceDE w:val="0"/>
              <w:autoSpaceDN w:val="0"/>
              <w:adjustRightInd w:val="0"/>
              <w:spacing w:line="360" w:lineRule="auto"/>
              <w:jc w:val="left"/>
              <w:rPr>
                <w:rFonts w:hint="eastAsia"/>
              </w:rPr>
            </w:pPr>
            <w:r>
              <w:rPr>
                <w:rFonts w:hint="eastAsia"/>
              </w:rPr>
              <w:t>联系人：</w:t>
            </w:r>
            <w:r>
              <w:rPr>
                <w:rFonts w:hint="eastAsia"/>
                <w:lang w:eastAsia="zh-CN"/>
              </w:rPr>
              <w:t>任铁军</w:t>
            </w:r>
            <w:r>
              <w:rPr>
                <w:rFonts w:hint="eastAsia"/>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rPr>
              <w:t>电话：</w:t>
            </w:r>
            <w:r>
              <w:rPr>
                <w:rFonts w:hint="eastAsia"/>
                <w:lang w:val="en-US" w:eastAsia="zh-CN"/>
              </w:rPr>
              <w:t>15939955562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3</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代理机构</w:t>
            </w:r>
          </w:p>
        </w:tc>
        <w:tc>
          <w:tcPr>
            <w:tcW w:w="6813" w:type="dxa"/>
            <w:vAlign w:val="center"/>
          </w:tcPr>
          <w:p>
            <w:pPr>
              <w:autoSpaceDE w:val="0"/>
              <w:autoSpaceDN w:val="0"/>
              <w:adjustRightInd w:val="0"/>
              <w:spacing w:line="440" w:lineRule="exact"/>
              <w:jc w:val="left"/>
              <w:rPr>
                <w:rFonts w:hint="eastAsia"/>
              </w:rPr>
            </w:pPr>
            <w:r>
              <w:rPr>
                <w:rFonts w:hint="eastAsia"/>
              </w:rPr>
              <w:t>名</w:t>
            </w:r>
            <w:r>
              <w:rPr>
                <w:rFonts w:hint="eastAsia"/>
                <w:lang w:val="en-US" w:eastAsia="zh-CN"/>
              </w:rPr>
              <w:t xml:space="preserve"> </w:t>
            </w:r>
            <w:r>
              <w:rPr>
                <w:rFonts w:hint="eastAsia"/>
              </w:rPr>
              <w:t>称：河南</w:t>
            </w:r>
            <w:r>
              <w:rPr>
                <w:rFonts w:hint="eastAsia"/>
                <w:lang w:eastAsia="zh-CN"/>
              </w:rPr>
              <w:t>天扬工程项目</w:t>
            </w:r>
            <w:r>
              <w:rPr>
                <w:rFonts w:hint="eastAsia"/>
              </w:rPr>
              <w:t>管理有限公司</w:t>
            </w:r>
          </w:p>
          <w:p>
            <w:pPr>
              <w:autoSpaceDE w:val="0"/>
              <w:autoSpaceDN w:val="0"/>
              <w:adjustRightInd w:val="0"/>
              <w:spacing w:line="440" w:lineRule="exact"/>
              <w:jc w:val="left"/>
              <w:rPr>
                <w:rFonts w:hint="eastAsia"/>
                <w:lang w:eastAsia="zh-CN"/>
              </w:rPr>
            </w:pPr>
            <w:r>
              <w:rPr>
                <w:rFonts w:hint="eastAsia"/>
              </w:rPr>
              <w:t>联系人：</w:t>
            </w:r>
            <w:r>
              <w:rPr>
                <w:rFonts w:hint="eastAsia"/>
                <w:lang w:eastAsia="zh-CN"/>
              </w:rPr>
              <w:t>宋易琳</w:t>
            </w:r>
          </w:p>
          <w:p>
            <w:pPr>
              <w:autoSpaceDE w:val="0"/>
              <w:autoSpaceDN w:val="0"/>
              <w:adjustRightInd w:val="0"/>
              <w:spacing w:line="440" w:lineRule="exact"/>
              <w:jc w:val="left"/>
              <w:rPr>
                <w:rFonts w:hint="eastAsia" w:cs="仿宋_GB2312" w:asciiTheme="minorEastAsia" w:hAnsiTheme="minorEastAsia"/>
                <w:szCs w:val="21"/>
              </w:rPr>
            </w:pPr>
            <w:r>
              <w:rPr>
                <w:rFonts w:hint="eastAsia"/>
              </w:rPr>
              <w:t>电</w:t>
            </w:r>
            <w:r>
              <w:rPr>
                <w:rFonts w:hint="eastAsia"/>
                <w:lang w:val="en-US" w:eastAsia="zh-CN"/>
              </w:rPr>
              <w:t xml:space="preserve"> </w:t>
            </w:r>
            <w:r>
              <w:rPr>
                <w:rFonts w:hint="eastAsia"/>
              </w:rPr>
              <w:t>话：137</w:t>
            </w:r>
            <w:r>
              <w:rPr>
                <w:rFonts w:hint="eastAsia"/>
                <w:lang w:val="en-US" w:eastAsia="zh-CN"/>
              </w:rPr>
              <w:t>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一、</w:t>
            </w:r>
            <w:r>
              <w:rPr>
                <w:rFonts w:cs="宋体" w:asciiTheme="minorEastAsia" w:hAnsiTheme="minorEastAsia"/>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szCs w:val="21"/>
              </w:rPr>
            </w:pPr>
            <w:r>
              <w:rPr>
                <w:rFonts w:hint="eastAsia" w:cs="仿宋_GB2312" w:asciiTheme="minorEastAsia" w:hAnsiTheme="minorEastAsia"/>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kern w:val="0"/>
                <w:szCs w:val="21"/>
              </w:rPr>
              <w:t>六、</w:t>
            </w:r>
            <w:r>
              <w:rPr>
                <w:rFonts w:cs="宋体" w:asciiTheme="minorEastAsia" w:hAnsiTheme="minorEastAsia"/>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r>
              <w:rPr>
                <w:rFonts w:hint="eastAsia" w:cs="仿宋_GB2312" w:asciiTheme="minorEastAsia" w:hAnsiTheme="minorEastAsia"/>
                <w:color w:val="000000"/>
                <w:szCs w:val="21"/>
                <w:shd w:val="clear" w:color="auto" w:fill="FFFFFF"/>
              </w:rPr>
              <w:t> </w:t>
            </w:r>
          </w:p>
          <w:p>
            <w:pPr>
              <w:autoSpaceDE w:val="0"/>
              <w:autoSpaceDN w:val="0"/>
              <w:spacing w:line="360" w:lineRule="auto"/>
              <w:contextualSpacing/>
              <w:jc w:val="left"/>
              <w:rPr>
                <w:rFonts w:hint="eastAsia" w:cs="宋体" w:asciiTheme="minorEastAsia" w:hAnsiTheme="minorEastAsia"/>
                <w:bCs/>
                <w:szCs w:val="21"/>
                <w:lang w:val="zh-CN"/>
              </w:rPr>
            </w:pPr>
            <w:r>
              <w:rPr>
                <w:rFonts w:hint="eastAsia" w:cs="宋体" w:asciiTheme="minorEastAsia" w:hAnsiTheme="minorEastAsia"/>
                <w:bCs/>
                <w:szCs w:val="21"/>
                <w:lang w:val="zh-CN"/>
              </w:rPr>
              <w:t>七、</w:t>
            </w:r>
            <w:r>
              <w:rPr>
                <w:rFonts w:hint="eastAsia" w:cs="宋体" w:asciiTheme="minorEastAsia" w:hAnsiTheme="minorEastAsia"/>
                <w:bCs/>
                <w:szCs w:val="21"/>
                <w:lang w:val="en-US" w:eastAsia="zh-CN"/>
              </w:rPr>
              <w:t xml:space="preserve">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和</w:t>
            </w:r>
            <w:r>
              <w:rPr>
                <w:rFonts w:hint="eastAsia" w:cs="宋体" w:asciiTheme="minorEastAsia" w:hAnsiTheme="minorEastAsia"/>
                <w:bCs/>
                <w:szCs w:val="21"/>
                <w:lang w:val="en-US" w:eastAsia="zh-CN"/>
              </w:rPr>
              <w:t>国家企业信用信息公示系统”网站（www.gsxt.gov.cn）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按实际工作量以最终评审价为准，超出最高限价的投标无效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不允许    □</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不允许   □</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2018年</w:t>
            </w:r>
            <w:r>
              <w:rPr>
                <w:rFonts w:hint="eastAsia" w:cs="仿宋_GB2312" w:asciiTheme="minorEastAsia" w:hAnsiTheme="minorEastAsia"/>
                <w:szCs w:val="21"/>
                <w:lang w:val="en-US" w:eastAsia="zh-CN"/>
              </w:rPr>
              <w:t>11</w:t>
            </w:r>
            <w:r>
              <w:rPr>
                <w:rFonts w:hint="eastAsia" w:cs="仿宋_GB2312" w:asciiTheme="minorEastAsia" w:hAnsiTheme="minorEastAsia"/>
                <w:szCs w:val="21"/>
                <w:lang w:val="zh-CN"/>
              </w:rPr>
              <w:t>月</w:t>
            </w:r>
            <w:r>
              <w:rPr>
                <w:rFonts w:hint="eastAsia" w:cs="仿宋_GB2312" w:asciiTheme="minorEastAsia" w:hAnsiTheme="minorEastAsia"/>
                <w:szCs w:val="21"/>
                <w:lang w:val="en-US" w:eastAsia="zh-CN"/>
              </w:rPr>
              <w:t>22</w:t>
            </w:r>
            <w:r>
              <w:rPr>
                <w:rFonts w:hint="eastAsia" w:cs="仿宋_GB2312" w:asciiTheme="minorEastAsia" w:hAnsiTheme="minorEastAsia"/>
                <w:szCs w:val="21"/>
                <w:lang w:val="zh-CN"/>
              </w:rPr>
              <w:t>日9 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建安区新元大道兴业大厦北4楼4165室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金额：壹万元整（¥</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000.00）</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正本一份，副本四份。使用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w:t>
            </w:r>
            <w:r>
              <w:rPr>
                <w:rFonts w:hint="eastAsia" w:ascii="宋体" w:hAnsi="宋体" w:cs="仿宋_GB2312"/>
                <w:szCs w:val="21"/>
                <w:lang w:val="zh-CN"/>
              </w:rPr>
              <w:t>建安区公共资源交易中心四楼电子监督室</w:t>
            </w:r>
            <w:r>
              <w:rPr>
                <w:rFonts w:hint="eastAsia" w:cs="仿宋_GB2312" w:asciiTheme="minorEastAsia" w:hAnsiTheme="minorEastAsia"/>
                <w:szCs w:val="21"/>
                <w:lang w:val="zh-CN"/>
              </w:rPr>
              <w:t>，并向采购代理机构出具授权函，且不得超过2人。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sym w:font="Wingdings 2" w:char="0052"/>
            </w:r>
            <w:r>
              <w:rPr>
                <w:rFonts w:hint="eastAsia" w:cs="宋体" w:asciiTheme="minorEastAsia" w:hAnsiTheme="minorEastAsia"/>
                <w:bCs/>
                <w:szCs w:val="21"/>
                <w:lang w:val="zh-CN"/>
              </w:rPr>
              <w:t>收取中标人。□收取采购人。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中标人在接到中标通知时，须向代理机构发送投标报价及分项报价一览表（包含主要中标标的的名称、规格型号、数量、单价、服务要求等）电子文档，并同时通知代理机构联系人，电话:0374-51</w:t>
            </w:r>
            <w:r>
              <w:rPr>
                <w:rFonts w:hint="eastAsia" w:ascii="宋体" w:hAnsi="宋体" w:cs="宋体"/>
                <w:bCs/>
                <w:szCs w:val="21"/>
                <w:lang w:val="en-US" w:eastAsia="zh-CN"/>
              </w:rPr>
              <w:t>50092</w:t>
            </w:r>
            <w:r>
              <w:rPr>
                <w:rFonts w:hint="eastAsia" w:ascii="宋体" w:hAnsi="宋体" w:cs="宋体"/>
                <w:bCs/>
                <w:szCs w:val="21"/>
                <w:lang w:val="zh-CN"/>
              </w:rPr>
              <w:t>,邮箱：hndb3067@163.com。</w:t>
            </w:r>
            <w:r>
              <w:rPr>
                <w:rFonts w:ascii="宋体" w:hAnsi="宋体" w:cs="宋体"/>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投标人投标时须提供加密电子投标文件、备份文件（使用电子介质存储）、纸质投标文件。投标人资质、业绩、荣誉及相关人员证明材料等资料原件开标现场须提供。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6"/>
          <w:szCs w:val="36"/>
        </w:rPr>
      </w:pPr>
    </w:p>
    <w:p>
      <w:pPr>
        <w:tabs>
          <w:tab w:val="left" w:pos="1260"/>
        </w:tabs>
        <w:autoSpaceDE w:val="0"/>
        <w:autoSpaceDN w:val="0"/>
        <w:adjustRightInd w:val="0"/>
        <w:spacing w:line="360" w:lineRule="auto"/>
        <w:contextualSpacing/>
        <w:rPr>
          <w:rFonts w:ascii="宋体" w:hAnsi="宋体" w:cs="宋体"/>
          <w:kern w:val="0"/>
          <w:sz w:val="32"/>
          <w:szCs w:val="32"/>
        </w:rPr>
      </w:pPr>
    </w:p>
    <w:p>
      <w:pPr>
        <w:tabs>
          <w:tab w:val="left" w:pos="1260"/>
        </w:tabs>
        <w:autoSpaceDE w:val="0"/>
        <w:autoSpaceDN w:val="0"/>
        <w:adjustRightInd w:val="0"/>
        <w:spacing w:line="360" w:lineRule="auto"/>
        <w:contextualSpacing/>
        <w:rPr>
          <w:rFonts w:ascii="宋体" w:hAnsi="宋体" w:cs="宋体"/>
          <w:kern w:val="0"/>
          <w:sz w:val="32"/>
          <w:szCs w:val="32"/>
        </w:rPr>
      </w:pPr>
    </w:p>
    <w:p>
      <w:pPr>
        <w:tabs>
          <w:tab w:val="left" w:pos="1260"/>
        </w:tabs>
        <w:autoSpaceDE w:val="0"/>
        <w:autoSpaceDN w:val="0"/>
        <w:adjustRightInd w:val="0"/>
        <w:spacing w:line="360" w:lineRule="auto"/>
        <w:contextualSpacing/>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tabs>
          <w:tab w:val="left" w:pos="1260"/>
        </w:tabs>
        <w:autoSpaceDE w:val="0"/>
        <w:autoSpaceDN w:val="0"/>
        <w:adjustRightInd w:val="0"/>
        <w:spacing w:line="360" w:lineRule="auto"/>
        <w:contextualSpacing/>
        <w:jc w:val="center"/>
        <w:rPr>
          <w:rFonts w:ascii="宋体" w:hAnsi="宋体" w:cs="宋体"/>
          <w:kern w:val="0"/>
          <w:sz w:val="28"/>
          <w:szCs w:val="28"/>
        </w:rPr>
      </w:pPr>
      <w:r>
        <w:rPr>
          <w:rFonts w:hint="eastAsia" w:ascii="宋体" w:hAnsi="宋体" w:cs="宋体"/>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kern w:val="0"/>
          <w:szCs w:val="21"/>
        </w:rPr>
      </w:pPr>
      <w:r>
        <w:rPr>
          <w:rFonts w:hint="eastAsia" w:ascii="宋体" w:hAnsi="宋体" w:cs="宋体"/>
          <w:kern w:val="0"/>
          <w:szCs w:val="21"/>
        </w:rPr>
        <w:t>一、概念释义</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适用范围</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本招标文件仅适用于本次“投标邀请”中所述采购项目。</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1.2</w:t>
      </w:r>
      <w:r>
        <w:rPr>
          <w:rFonts w:hint="eastAsia" w:ascii="宋体" w:hAnsi="宋体" w:cs="宋体"/>
          <w:kern w:val="0"/>
          <w:szCs w:val="21"/>
        </w:rPr>
        <w:t>本招标文件解释权属于“投标邀请”所述的采购人。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定义</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2.1</w:t>
      </w:r>
      <w:r>
        <w:rPr>
          <w:rFonts w:hint="eastAsia" w:ascii="宋体" w:hAnsi="宋体" w:cs="宋体"/>
          <w:kern w:val="0"/>
          <w:szCs w:val="21"/>
        </w:rPr>
        <w:t>“采购项目”：“投标人须知前附表”中所述的采购项目。</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2.2</w:t>
      </w:r>
      <w:r>
        <w:rPr>
          <w:rFonts w:hint="eastAsia" w:ascii="宋体" w:hAnsi="宋体" w:cs="宋体"/>
          <w:kern w:val="0"/>
          <w:szCs w:val="21"/>
        </w:rPr>
        <w:t>“招标人”：“投标人须知前附表”中所述的组织本次招标的代理机构和采购人。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2.3</w:t>
      </w:r>
      <w:r>
        <w:rPr>
          <w:rFonts w:hint="eastAsia" w:ascii="宋体" w:hAnsi="宋体" w:cs="宋体"/>
          <w:kern w:val="0"/>
          <w:szCs w:val="21"/>
        </w:rPr>
        <w:t>“采购人”：是指依法进行政府采购的国家机关、事业单位、团体组织。采购人名称、地</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址、电话、联系人见“投标人须知前附表”。</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2.4</w:t>
      </w:r>
      <w:r>
        <w:rPr>
          <w:rFonts w:hint="eastAsia" w:ascii="宋体" w:hAnsi="宋体" w:cs="宋体"/>
          <w:kern w:val="0"/>
          <w:szCs w:val="21"/>
        </w:rPr>
        <w:t>“代理机构”：接受采购人委托，代理采购项目的采购代理机构。代理机构名称、地址、 电话、联系人见“投标人须知前附表”。</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2.7</w:t>
      </w:r>
      <w:r>
        <w:rPr>
          <w:rFonts w:hint="eastAsia" w:ascii="宋体" w:hAnsi="宋体" w:cs="宋体"/>
          <w:kern w:val="0"/>
          <w:szCs w:val="21"/>
        </w:rPr>
        <w:t>“节能产品”或者“环保产品”：财政部发布的《节能产品政府采购清单》或者《环境标志产品政府采购清单》的产品。</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2.8</w:t>
      </w: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2.8.1</w:t>
      </w:r>
      <w:r>
        <w:rPr>
          <w:rFonts w:ascii="宋体" w:hAnsi="宋体" w:cs="宋体"/>
          <w:kern w:val="0"/>
          <w:szCs w:val="21"/>
        </w:rPr>
        <w:t>招标文件列明不允许或未列明允许进口产品参加投标的，均视为拒绝进口产品参加投标。</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2.8.2</w:t>
      </w:r>
      <w:r>
        <w:rPr>
          <w:rFonts w:ascii="宋体" w:hAnsi="宋体" w:cs="宋体"/>
          <w:kern w:val="0"/>
          <w:szCs w:val="21"/>
        </w:rPr>
        <w:t>如</w:t>
      </w:r>
      <w:r>
        <w:rPr>
          <w:rFonts w:hint="eastAsia" w:ascii="宋体" w:hAnsi="宋体" w:cs="宋体"/>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2.9</w:t>
      </w:r>
      <w:r>
        <w:rPr>
          <w:rFonts w:hint="eastAsia" w:ascii="宋体" w:hAnsi="宋体" w:cs="宋体"/>
          <w:kern w:val="0"/>
          <w:szCs w:val="21"/>
        </w:rPr>
        <w:t>招标文件中凡标有“★”的条款均系实质性要求条款。</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合格的投标人</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3.1</w:t>
      </w: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3.2</w:t>
      </w:r>
      <w:r>
        <w:rPr>
          <w:rFonts w:hint="eastAsia" w:ascii="宋体" w:hAnsi="宋体" w:cs="宋体"/>
          <w:kern w:val="0"/>
          <w:szCs w:val="21"/>
        </w:rPr>
        <w:t>符合本项目“投标邀请”和“投标人须知前附表”中规定的合格投标人所必须具备的条件。</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3.3</w:t>
      </w:r>
      <w:r>
        <w:rPr>
          <w:rFonts w:hint="eastAsia" w:ascii="宋体" w:hAnsi="宋体" w:cs="宋体"/>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仿宋_GB2312"/>
          <w:color w:val="000000"/>
          <w:szCs w:val="21"/>
          <w:shd w:val="clear" w:color="auto" w:fill="FFFFFF"/>
        </w:rPr>
        <w:t>、</w:t>
      </w:r>
      <w:r>
        <w:rPr>
          <w:rFonts w:hint="eastAsia" w:ascii="宋体" w:hAnsi="宋体" w:cs="宋体"/>
          <w:kern w:val="0"/>
          <w:szCs w:val="21"/>
        </w:rPr>
        <w:t>政府采购严重违法失信行为记录名单（联合体形式投标的，联合体成员存在不良信用记录，视同联合体存在不良信用记录）。</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3.4</w:t>
      </w:r>
      <w:r>
        <w:rPr>
          <w:rFonts w:hint="eastAsia" w:ascii="宋体" w:hAnsi="宋体" w:cs="宋体"/>
          <w:kern w:val="0"/>
          <w:szCs w:val="21"/>
        </w:rPr>
        <w:t>单位负责人为同一人或者存在直接控股、管理关系的不同供应商，不得参加同一合同项下的政府采购活动；</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3.5</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3.6</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7"/>
        <w:numPr>
          <w:ilvl w:val="0"/>
          <w:numId w:val="5"/>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rPr>
        <w:t>在投标文件中向采购人提交联合体协议书，明确联合体各方承担的工作和义务；</w:t>
      </w:r>
    </w:p>
    <w:p>
      <w:pPr>
        <w:pStyle w:val="37"/>
        <w:numPr>
          <w:ilvl w:val="0"/>
          <w:numId w:val="5"/>
        </w:numPr>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联合体中有同类资质的供应商按联合体分工承担相同工作的，应当按照资质等级较低的供应商确定资质等级；</w:t>
      </w:r>
    </w:p>
    <w:p>
      <w:pPr>
        <w:pStyle w:val="37"/>
        <w:numPr>
          <w:ilvl w:val="0"/>
          <w:numId w:val="5"/>
        </w:numPr>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招标人根据采购项目的特殊要求规定投标人特定条件的，联合体各方中至少应当有一方</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符合采购规定的特定条件。</w:t>
      </w:r>
    </w:p>
    <w:p>
      <w:pPr>
        <w:pStyle w:val="37"/>
        <w:numPr>
          <w:ilvl w:val="0"/>
          <w:numId w:val="5"/>
        </w:numPr>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联合体各方不得再单独参加或者与其他供应商另外组成联合体参加同一合同项下的政府采购活动。</w:t>
      </w:r>
    </w:p>
    <w:p>
      <w:pPr>
        <w:pStyle w:val="37"/>
        <w:numPr>
          <w:ilvl w:val="0"/>
          <w:numId w:val="5"/>
        </w:numPr>
        <w:autoSpaceDE w:val="0"/>
        <w:autoSpaceDN w:val="0"/>
        <w:spacing w:line="360" w:lineRule="auto"/>
        <w:ind w:left="0" w:leftChars="0" w:firstLine="420" w:firstLineChars="200"/>
        <w:contextualSpacing/>
        <w:rPr>
          <w:rFonts w:ascii="宋体" w:hAnsi="宋体" w:cs="宋体"/>
          <w:kern w:val="0"/>
          <w:szCs w:val="21"/>
        </w:rPr>
      </w:pP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w:t>
      </w:r>
    </w:p>
    <w:p>
      <w:pPr>
        <w:pStyle w:val="37"/>
        <w:numPr>
          <w:ilvl w:val="0"/>
          <w:numId w:val="0"/>
        </w:numPr>
        <w:autoSpaceDE w:val="0"/>
        <w:autoSpaceDN w:val="0"/>
        <w:spacing w:line="360" w:lineRule="auto"/>
        <w:contextualSpacing/>
        <w:rPr>
          <w:rFonts w:ascii="宋体" w:hAnsi="宋体" w:cs="宋体"/>
          <w:kern w:val="0"/>
          <w:szCs w:val="21"/>
        </w:rPr>
      </w:pPr>
      <w:r>
        <w:rPr>
          <w:rFonts w:ascii="宋体" w:hAnsi="宋体" w:cs="宋体"/>
          <w:kern w:val="0"/>
          <w:szCs w:val="21"/>
        </w:rPr>
        <w:t>责任</w:t>
      </w:r>
      <w:r>
        <w:rPr>
          <w:rFonts w:ascii="宋体" w:hAnsi="宋体" w:cs="宋体"/>
          <w:kern w:val="0"/>
          <w:szCs w:val="21"/>
        </w:rPr>
        <w:fldChar w:fldCharType="end"/>
      </w:r>
      <w:r>
        <w:rPr>
          <w:rFonts w:ascii="宋体" w:hAnsi="宋体" w:cs="宋体"/>
          <w:kern w:val="0"/>
          <w:szCs w:val="21"/>
        </w:rPr>
        <w:t>。</w:t>
      </w:r>
    </w:p>
    <w:p>
      <w:pPr>
        <w:pStyle w:val="37"/>
        <w:numPr>
          <w:ilvl w:val="0"/>
          <w:numId w:val="0"/>
        </w:numPr>
        <w:autoSpaceDE w:val="0"/>
        <w:autoSpaceDN w:val="0"/>
        <w:spacing w:line="360" w:lineRule="auto"/>
        <w:ind w:firstLine="630" w:firstLineChars="300"/>
        <w:contextualSpacing/>
        <w:rPr>
          <w:rFonts w:ascii="宋体" w:hAnsi="宋体" w:cs="宋体"/>
          <w:kern w:val="0"/>
          <w:szCs w:val="21"/>
        </w:rPr>
      </w:pPr>
      <w:r>
        <w:rPr>
          <w:rFonts w:hint="eastAsia" w:ascii="宋体" w:hAnsi="宋体" w:cs="宋体"/>
          <w:kern w:val="0"/>
          <w:szCs w:val="21"/>
          <w:lang w:val="en-US" w:eastAsia="zh-CN"/>
        </w:rPr>
        <w:t>3.7</w:t>
      </w:r>
      <w:r>
        <w:rPr>
          <w:rFonts w:hint="eastAsia" w:ascii="宋体" w:hAnsi="宋体" w:cs="宋体"/>
          <w:kern w:val="0"/>
          <w:szCs w:val="21"/>
        </w:rPr>
        <w:t>法律、行政法规规定的其他条件。</w:t>
      </w:r>
    </w:p>
    <w:p>
      <w:pPr>
        <w:pStyle w:val="37"/>
        <w:numPr>
          <w:ilvl w:val="0"/>
          <w:numId w:val="0"/>
        </w:numPr>
        <w:autoSpaceDE w:val="0"/>
        <w:autoSpaceDN w:val="0"/>
        <w:spacing w:line="360" w:lineRule="auto"/>
        <w:ind w:leftChars="200"/>
        <w:contextualSpacing/>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合格的货物和服务</w:t>
      </w:r>
    </w:p>
    <w:p>
      <w:pPr>
        <w:pStyle w:val="37"/>
        <w:numPr>
          <w:ilvl w:val="0"/>
          <w:numId w:val="0"/>
        </w:numPr>
        <w:autoSpaceDE w:val="0"/>
        <w:autoSpaceDN w:val="0"/>
        <w:spacing w:line="360" w:lineRule="auto"/>
        <w:ind w:leftChars="200"/>
        <w:contextualSpacing/>
        <w:rPr>
          <w:rFonts w:hint="eastAsia" w:ascii="宋体" w:hAnsi="宋体" w:cs="宋体"/>
          <w:kern w:val="0"/>
          <w:szCs w:val="21"/>
        </w:rPr>
      </w:pPr>
      <w:r>
        <w:rPr>
          <w:rFonts w:hint="eastAsia" w:ascii="宋体" w:hAnsi="宋体" w:cs="宋体"/>
          <w:kern w:val="0"/>
          <w:szCs w:val="21"/>
          <w:lang w:val="en-US" w:eastAsia="zh-CN"/>
        </w:rPr>
        <w:t>4.1</w:t>
      </w:r>
      <w:r>
        <w:rPr>
          <w:rFonts w:hint="eastAsia" w:ascii="宋体" w:hAnsi="宋体" w:cs="宋体"/>
          <w:kern w:val="0"/>
          <w:szCs w:val="21"/>
        </w:rPr>
        <w:t>投标人提供的货物应当符合招标文件的要求，并且其质量完全符合国家标准、行业标准或</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地方标准，均有标准的以高（严格）者为准。没有国家标准、行业标准和企业标准的，按照通常标准或者符合采购目的的特定标准确定。</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4.2</w:t>
      </w:r>
      <w:r>
        <w:rPr>
          <w:rFonts w:hint="eastAsia" w:ascii="宋体" w:hAnsi="宋体" w:cs="宋体"/>
          <w:kern w:val="0"/>
          <w:szCs w:val="21"/>
        </w:rPr>
        <w:t>投标人所提供的服务应当没有侵犯任何第三方的知识产权、技术秘密等合法权利。</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4.3</w:t>
      </w:r>
      <w:r>
        <w:rPr>
          <w:rFonts w:hint="eastAsia" w:ascii="宋体" w:hAnsi="宋体" w:cs="宋体"/>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4.4</w:t>
      </w:r>
      <w:r>
        <w:rPr>
          <w:rFonts w:hint="eastAsia" w:ascii="宋体" w:hAnsi="宋体" w:cs="宋体"/>
          <w:kern w:val="0"/>
          <w:szCs w:val="21"/>
        </w:rPr>
        <w:t>投标人所投产品如被列入财政部与国家主管部门颁发的节能产品目录或环境标志产品目录，应提供相关证明，在评标时予以优先采购。</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4.5</w:t>
      </w:r>
      <w:r>
        <w:rPr>
          <w:rFonts w:hint="eastAsia" w:ascii="宋体" w:hAnsi="宋体" w:cs="宋体"/>
          <w:kern w:val="0"/>
          <w:szCs w:val="21"/>
        </w:rPr>
        <w:t>如投标人所投产品被列入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4.6</w:t>
      </w:r>
      <w:r>
        <w:rPr>
          <w:rFonts w:hint="eastAsia" w:ascii="宋体" w:hAnsi="宋体" w:cs="宋体"/>
          <w:kern w:val="0"/>
          <w:szCs w:val="21"/>
        </w:rPr>
        <w:t>投标人所投产品如被列入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37"/>
        <w:numPr>
          <w:ilvl w:val="0"/>
          <w:numId w:val="6"/>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rPr>
        <w:t>投标费用</w:t>
      </w:r>
    </w:p>
    <w:p>
      <w:pPr>
        <w:pStyle w:val="37"/>
        <w:numPr>
          <w:ilvl w:val="0"/>
          <w:numId w:val="0"/>
        </w:numPr>
        <w:autoSpaceDE w:val="0"/>
        <w:autoSpaceDN w:val="0"/>
        <w:spacing w:line="360" w:lineRule="auto"/>
        <w:ind w:leftChars="200"/>
        <w:contextualSpacing/>
        <w:rPr>
          <w:rFonts w:hint="eastAsia"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下均无义务和责任承担这些费用。</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信息发布</w:t>
      </w:r>
    </w:p>
    <w:p>
      <w:pPr>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采购代理机构代理费用收取标准和方式</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7.1</w:t>
      </w:r>
      <w:r>
        <w:rPr>
          <w:rFonts w:hint="eastAsia" w:ascii="宋体" w:hAnsi="宋体" w:cs="宋体"/>
          <w:kern w:val="0"/>
          <w:szCs w:val="21"/>
        </w:rPr>
        <w:t>收取标准:按照中标合同金额的比例收取。详见投标人须知前附表。</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7.2</w:t>
      </w:r>
      <w:r>
        <w:rPr>
          <w:rFonts w:hint="eastAsia" w:ascii="宋体" w:hAnsi="宋体" w:cs="宋体"/>
          <w:kern w:val="0"/>
          <w:szCs w:val="21"/>
        </w:rPr>
        <w:t>收取方式：一次性以银行划账、电汇、汇票或支票的形式支付。</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其他</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二、招标文件说明</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招标文件构成</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9.1</w:t>
      </w: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（1）投标邀请（招标公告）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（2）项目需求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（4）投标人须知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（6）资格审查与评标</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（8）投标文件有关格式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（9）本项目招标文件的澄清、答复、修改、补充内容（如有的话）</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9.2</w:t>
      </w:r>
      <w:r>
        <w:rPr>
          <w:rFonts w:hint="eastAsia" w:ascii="宋体" w:hAnsi="宋体" w:cs="宋体"/>
          <w:kern w:val="0"/>
          <w:szCs w:val="21"/>
        </w:rPr>
        <w:t>投标人应认真阅读、并充分理解招标文件的全部内容（包括所有的补充、修改内容、重要</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事项、格式、条款和技术规范、参数及要求等），按招标文件要求和规定编制投标文件，并保证所提供的全部资料的真实性，否则有可能导致投标被拒绝，其风险由投标人自行承担。</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9.3</w:t>
      </w:r>
      <w:r>
        <w:rPr>
          <w:rFonts w:hint="eastAsia" w:ascii="宋体" w:hAnsi="宋体" w:cs="宋体"/>
          <w:kern w:val="0"/>
          <w:szCs w:val="21"/>
        </w:rPr>
        <w:t>投标人应认真了解本次招标的具体工作要求、工作范围以及职责，了解一切可能影响投标</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报价的资料。一经中标，不得以不完全了解项目要求、项目情况等为借口而提出额外补偿等要求，否则，由此引起的一切后果由中标人负责。</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现场考察、开标前答疑会</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10.1</w:t>
      </w:r>
      <w:r>
        <w:rPr>
          <w:rFonts w:hint="eastAsia" w:ascii="宋体" w:hAnsi="宋体" w:cs="宋体"/>
          <w:kern w:val="0"/>
          <w:szCs w:val="21"/>
        </w:rPr>
        <w:t>招标人根据采购项目的具体情况，可以在招标文件公告期满后，组织已获取招标文件的</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潜在投标人现场考察或者召开开标前答疑会。</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10.2</w:t>
      </w:r>
      <w:r>
        <w:rPr>
          <w:rFonts w:hint="eastAsia" w:ascii="宋体" w:hAnsi="宋体" w:cs="宋体"/>
          <w:kern w:val="0"/>
          <w:szCs w:val="21"/>
        </w:rPr>
        <w:t>招标人组织现场考察或者召开答疑会的，应当在招标文件中载明，或者在招标文件公告</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期满后在财政部门指定的政府采购信息发布媒体和《全国公共资源交易平台（河南省·许昌市）》发布更正公告。</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10.3</w:t>
      </w:r>
      <w:r>
        <w:rPr>
          <w:rFonts w:hint="eastAsia" w:ascii="宋体" w:hAnsi="宋体" w:cs="宋体"/>
          <w:kern w:val="0"/>
          <w:szCs w:val="21"/>
        </w:rPr>
        <w:t>招标人在考察现场和开标前答疑会口头介绍的情况，除招标人事后形成书面记录、并以</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澄清或修改公告的形式发布、构成招标文件的组成部分以外，其他内容仅供投标人在编制投标文件时参考，招标人不对投标人据此作出的判断和决策负责。</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10.4</w:t>
      </w:r>
      <w:r>
        <w:rPr>
          <w:rFonts w:hint="eastAsia" w:ascii="宋体" w:hAnsi="宋体" w:cs="宋体"/>
          <w:kern w:val="0"/>
          <w:szCs w:val="21"/>
        </w:rPr>
        <w:t>现场考察及参加开标前答疑会所发生的费用及一切责任由投标人自行承担。</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招标文件的澄清或修改</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11.1</w:t>
      </w:r>
      <w:r>
        <w:rPr>
          <w:rFonts w:hint="eastAsia" w:ascii="宋体" w:hAnsi="宋体" w:cs="宋体"/>
          <w:kern w:val="0"/>
          <w:szCs w:val="21"/>
        </w:rPr>
        <w:t>在投标截止期前，无论出于何种原因，招标人可主动地或在解答潜在投标人提出的澄清</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问题时对招标文件进行修改。</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11.2</w:t>
      </w:r>
      <w:r>
        <w:rPr>
          <w:rFonts w:hint="eastAsia" w:ascii="宋体" w:hAnsi="宋体" w:cs="宋体"/>
          <w:kern w:val="0"/>
          <w:szCs w:val="21"/>
        </w:rPr>
        <w:t>招标人可以对已发出的招标文件进行必要的澄清或者修改。澄清或者修改的内容可能影</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11.3</w:t>
      </w:r>
      <w:r>
        <w:rPr>
          <w:rFonts w:hint="eastAsia" w:ascii="宋体" w:hAnsi="宋体" w:cs="宋体"/>
          <w:kern w:val="0"/>
          <w:szCs w:val="21"/>
        </w:rPr>
        <w:t>澄清或修改公告的内容为招标文件的组成部分，并对投标人具有约束力。当招标文件与</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澄清或修改公告就同一内容的表述不一致时，以最后发出的文件内容为准。</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11.4</w:t>
      </w:r>
      <w:r>
        <w:rPr>
          <w:rFonts w:hint="eastAsia" w:ascii="宋体" w:hAnsi="宋体" w:cs="宋体"/>
          <w:kern w:val="0"/>
          <w:szCs w:val="21"/>
        </w:rPr>
        <w:t>如果澄清或者修改发出的时间距规定的投标截止时间不足15日，招标人将顺延提交投标</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文件的截止时间。</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三、投标文件的编制</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12.</w:t>
      </w:r>
      <w:r>
        <w:rPr>
          <w:rFonts w:hint="eastAsia" w:ascii="宋体" w:hAnsi="宋体" w:cs="宋体"/>
          <w:kern w:val="0"/>
          <w:szCs w:val="21"/>
        </w:rPr>
        <w:t>投标的语言及计量单位</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12.1</w:t>
      </w:r>
      <w:r>
        <w:rPr>
          <w:rFonts w:hint="eastAsia" w:ascii="宋体" w:hAnsi="宋体" w:cs="宋体"/>
          <w:kern w:val="0"/>
          <w:szCs w:val="21"/>
        </w:rPr>
        <w:t>投标人提交的投标文件以及投标人与招标人就有关投标事宜的所有来往书面文件均应使</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用中文。除签名、盖章、专用名称等特殊情形外，以中文以外的文字表述的投标文件视同未提供。</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12.2</w:t>
      </w:r>
      <w:r>
        <w:rPr>
          <w:rFonts w:hint="eastAsia" w:ascii="宋体" w:hAnsi="宋体" w:cs="宋体"/>
          <w:kern w:val="0"/>
          <w:szCs w:val="21"/>
        </w:rPr>
        <w:t>投标计量单位，招标文件已有明确规定的，使用招标文件规定的计量单位；招标文件没</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有规定的，一律采用中华人民共和国法定计量单位。</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13.</w:t>
      </w:r>
      <w:r>
        <w:rPr>
          <w:rFonts w:hint="eastAsia" w:ascii="宋体" w:hAnsi="宋体" w:cs="宋体"/>
          <w:kern w:val="0"/>
          <w:szCs w:val="21"/>
        </w:rPr>
        <w:t>投标报价</w:t>
      </w:r>
      <w:r>
        <w:rPr>
          <w:rFonts w:ascii="宋体" w:hAnsi="宋体" w:cs="宋体"/>
          <w:kern w:val="0"/>
          <w:szCs w:val="21"/>
        </w:rPr>
        <w:t xml:space="preserve"> </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13.1</w:t>
      </w:r>
      <w:r>
        <w:rPr>
          <w:rFonts w:hint="eastAsia" w:ascii="宋体" w:hAnsi="宋体" w:cs="宋体"/>
          <w:kern w:val="0"/>
          <w:szCs w:val="21"/>
        </w:rPr>
        <w:t>本次招标项目的投标均以人民币为计算单位。</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13.2</w:t>
      </w:r>
      <w:r>
        <w:rPr>
          <w:rFonts w:hint="eastAsia" w:ascii="宋体" w:hAnsi="宋体" w:cs="宋体"/>
          <w:kern w:val="0"/>
          <w:szCs w:val="21"/>
        </w:rPr>
        <w:t>采购人不得向投标人索要或者接受其给予的赠品、回扣或者与采购无关的其他商品、服</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务。</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13.3</w:t>
      </w:r>
      <w:r>
        <w:rPr>
          <w:rFonts w:hint="eastAsia" w:ascii="宋体" w:hAnsi="宋体" w:cs="宋体"/>
          <w:kern w:val="0"/>
          <w:szCs w:val="21"/>
        </w:rPr>
        <w:t>投标人应对项目要求的全部内容进行报价，少报漏报将导致其投标为非实质性响应予以</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拒绝。</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13.4</w:t>
      </w:r>
      <w:r>
        <w:rPr>
          <w:rFonts w:hint="eastAsia" w:ascii="宋体" w:hAnsi="宋体" w:cs="宋体"/>
          <w:kern w:val="0"/>
          <w:szCs w:val="21"/>
        </w:rPr>
        <w:t>投标人应当按照国家相关规定，结合自身服务水平和承受能力进行报价。投标报价应是</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13.5</w:t>
      </w:r>
      <w:r>
        <w:rPr>
          <w:rFonts w:hint="eastAsia" w:ascii="宋体" w:hAnsi="宋体" w:cs="宋体"/>
          <w:kern w:val="0"/>
          <w:szCs w:val="21"/>
        </w:rPr>
        <w:t>本项目所涉及的运输、施工、安装、集成、调试、验收、备品和工具等费用均包含在投</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标报价中。</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13.6</w:t>
      </w:r>
      <w:r>
        <w:rPr>
          <w:rFonts w:hint="eastAsia" w:ascii="宋体" w:hAnsi="宋体" w:cs="宋体"/>
          <w:kern w:val="0"/>
          <w:szCs w:val="21"/>
        </w:rPr>
        <w:t>本次招标不接受可选择或可调整的投标方案和报价，任何有选择的或可调整的投标方案</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和报价将被视为非实质性响应投标而作无效投标处理。</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13.7</w:t>
      </w:r>
      <w:r>
        <w:rPr>
          <w:rFonts w:hint="eastAsia" w:ascii="宋体" w:hAnsi="宋体" w:cs="宋体"/>
          <w:kern w:val="0"/>
          <w:szCs w:val="21"/>
        </w:rPr>
        <w:t>报价不得高于本项目最高限价，且不低于成本价。本次招标实行“最高限价（项目控制</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金额上限）”,投标人的投标报价高于最高限价（项目控制金额上限）的，该投标人的投标文件将被视为非实质性响应予以拒绝。</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13.8</w:t>
      </w:r>
      <w:r>
        <w:rPr>
          <w:rFonts w:hint="eastAsia" w:ascii="宋体" w:hAnsi="宋体" w:cs="宋体"/>
          <w:kern w:val="0"/>
          <w:szCs w:val="21"/>
        </w:rPr>
        <w:t>最低报价不能作为中标的保证。</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14.</w:t>
      </w:r>
      <w:r>
        <w:rPr>
          <w:rFonts w:hint="eastAsia" w:ascii="宋体" w:hAnsi="宋体" w:cs="宋体"/>
          <w:kern w:val="0"/>
          <w:szCs w:val="21"/>
        </w:rPr>
        <w:t>投标有效期</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14.1</w:t>
      </w:r>
      <w:r>
        <w:rPr>
          <w:rFonts w:hint="eastAsia" w:ascii="宋体" w:hAnsi="宋体" w:cs="宋体"/>
          <w:kern w:val="0"/>
          <w:szCs w:val="21"/>
        </w:rPr>
        <w:t>投标有效期从提交投标文件的截止之日起算。本项目投标有效期详见投标人须知前附表。</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14.2</w:t>
      </w:r>
      <w:r>
        <w:rPr>
          <w:rFonts w:hint="eastAsia" w:ascii="宋体" w:hAnsi="宋体" w:cs="宋体"/>
          <w:kern w:val="0"/>
          <w:szCs w:val="21"/>
        </w:rPr>
        <w:t>投标有效期内投标人撤销投标文件的，招标人将不退还投标保证金。</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14.3</w:t>
      </w:r>
      <w:r>
        <w:rPr>
          <w:rFonts w:hint="eastAsia" w:ascii="宋体" w:hAnsi="宋体" w:cs="宋体"/>
          <w:kern w:val="0"/>
          <w:szCs w:val="21"/>
        </w:rPr>
        <w:t>特殊情况下，在原投标有效期截止之前，招标人可要求投标人延长投标有效期。这种要</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14.4</w:t>
      </w:r>
      <w:r>
        <w:rPr>
          <w:rFonts w:hint="eastAsia" w:ascii="宋体" w:hAnsi="宋体" w:cs="宋体"/>
          <w:kern w:val="0"/>
          <w:szCs w:val="21"/>
        </w:rPr>
        <w:t>中标人的投标文件作为项目合同的附件，其有效期至中标人全部合同义务履行完毕为止。</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15.</w:t>
      </w:r>
      <w:r>
        <w:rPr>
          <w:rFonts w:hint="eastAsia" w:ascii="宋体" w:hAnsi="宋体" w:cs="宋体"/>
          <w:kern w:val="0"/>
          <w:szCs w:val="21"/>
        </w:rPr>
        <w:t>投标文件构成</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15.1</w:t>
      </w:r>
      <w:r>
        <w:rPr>
          <w:rFonts w:hint="eastAsia" w:ascii="宋体" w:hAnsi="宋体" w:cs="宋体"/>
          <w:kern w:val="0"/>
          <w:szCs w:val="21"/>
        </w:rPr>
        <w:t>投标文件的构成应符合法律法规及招标文件的要求。</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15.2</w:t>
      </w:r>
      <w:r>
        <w:rPr>
          <w:rFonts w:hint="eastAsia" w:ascii="宋体" w:hAnsi="宋体" w:cs="宋体"/>
          <w:kern w:val="0"/>
          <w:szCs w:val="21"/>
        </w:rPr>
        <w:t>投标人应当按照招标文件的要求编制投标文件。投标文件应当对招标文件提出的要求和</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条件作出明确响应。</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15.3</w:t>
      </w:r>
      <w:r>
        <w:rPr>
          <w:rFonts w:hint="eastAsia" w:ascii="宋体" w:hAnsi="宋体" w:cs="宋体"/>
          <w:kern w:val="0"/>
          <w:szCs w:val="21"/>
        </w:rPr>
        <w:t>投标文件由资格证明材料、符合性证明材料、其它材料等组成。</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15.4</w:t>
      </w:r>
      <w:r>
        <w:rPr>
          <w:rFonts w:hint="eastAsia" w:ascii="宋体" w:hAnsi="宋体" w:cs="宋体"/>
          <w:kern w:val="0"/>
          <w:szCs w:val="21"/>
        </w:rPr>
        <w:t>投标人根据招标文件的规定和采购项目的实际情况，拟在中标后将中标项目的非主体、</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非关键性工作分包的，应当在投标文件中载明分包承担主体，分包承担主体应当具备相应资质条件且不得再次分包。</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15.5</w:t>
      </w:r>
      <w:r>
        <w:rPr>
          <w:rFonts w:hint="eastAsia" w:ascii="宋体" w:hAnsi="宋体" w:cs="宋体"/>
          <w:kern w:val="0"/>
          <w:szCs w:val="21"/>
        </w:rPr>
        <w:t>投标人登录许昌公共资源交易系统下载“许昌投标文件制作系统SEARUN V1.0”，按招标</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电子投标文件制作技术咨询：0374-2961598。</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16.</w:t>
      </w:r>
      <w:r>
        <w:rPr>
          <w:rFonts w:hint="eastAsia" w:ascii="宋体" w:hAnsi="宋体" w:cs="宋体"/>
          <w:kern w:val="0"/>
          <w:szCs w:val="21"/>
        </w:rPr>
        <w:t>投标文件格式</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16.1</w:t>
      </w:r>
      <w:r>
        <w:rPr>
          <w:rFonts w:hint="eastAsia" w:ascii="宋体" w:hAnsi="宋体" w:cs="宋体"/>
          <w:kern w:val="0"/>
          <w:szCs w:val="21"/>
        </w:rPr>
        <w:t>投标文件应参照招标文件第七部分（投标文件有关格式）的内容要求、编排顺序和格式</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要求，投标人应按照以上要求将投标文件编上唯一的连贯页码并以A4幅面装订成册，并在投标文件封面上注明：正本/副本、所投项目名称、项目编号、投标人名称、日期等字样。</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16.2</w:t>
      </w:r>
      <w:r>
        <w:rPr>
          <w:rFonts w:hint="eastAsia" w:ascii="宋体" w:hAnsi="宋体" w:cs="宋体"/>
          <w:kern w:val="0"/>
          <w:szCs w:val="21"/>
        </w:rPr>
        <w:t>投标人应按招标文件提供的格式编写投标文件。招标文件未提供标准格式的投标人可自</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行拟定。</w:t>
      </w:r>
    </w:p>
    <w:p>
      <w:pPr>
        <w:pStyle w:val="37"/>
        <w:numPr>
          <w:ilvl w:val="0"/>
          <w:numId w:val="0"/>
        </w:numPr>
        <w:autoSpaceDE w:val="0"/>
        <w:autoSpaceDN w:val="0"/>
        <w:spacing w:line="360" w:lineRule="auto"/>
        <w:ind w:leftChars="0" w:firstLine="420" w:firstLineChars="200"/>
        <w:contextualSpacing/>
        <w:rPr>
          <w:rFonts w:ascii="宋体" w:hAnsi="宋体" w:cs="宋体"/>
          <w:color w:val="000000"/>
          <w:kern w:val="0"/>
          <w:szCs w:val="21"/>
        </w:rPr>
      </w:pPr>
      <w:r>
        <w:rPr>
          <w:rFonts w:hint="eastAsia" w:ascii="宋体" w:hAnsi="宋体" w:cs="宋体"/>
          <w:color w:val="000000"/>
          <w:kern w:val="0"/>
          <w:szCs w:val="21"/>
          <w:lang w:val="en-US" w:eastAsia="zh-CN"/>
        </w:rPr>
        <w:t>17.</w:t>
      </w:r>
      <w:r>
        <w:rPr>
          <w:rFonts w:hint="eastAsia" w:ascii="宋体" w:hAnsi="宋体" w:cs="宋体"/>
          <w:color w:val="000000"/>
          <w:kern w:val="0"/>
          <w:szCs w:val="21"/>
        </w:rPr>
        <w:t>投标保证金</w:t>
      </w:r>
    </w:p>
    <w:p>
      <w:pPr>
        <w:pStyle w:val="37"/>
        <w:numPr>
          <w:ilvl w:val="0"/>
          <w:numId w:val="0"/>
        </w:numPr>
        <w:autoSpaceDE w:val="0"/>
        <w:autoSpaceDN w:val="0"/>
        <w:spacing w:line="360" w:lineRule="auto"/>
        <w:ind w:left="420" w:leftChars="0"/>
        <w:contextualSpacing/>
        <w:rPr>
          <w:rFonts w:ascii="宋体" w:hAnsi="宋体" w:cs="宋体"/>
          <w:color w:val="000000"/>
          <w:kern w:val="0"/>
          <w:szCs w:val="21"/>
        </w:rPr>
      </w:pPr>
      <w:r>
        <w:rPr>
          <w:rFonts w:hint="eastAsia" w:ascii="宋体" w:hAnsi="宋体" w:cs="宋体"/>
          <w:color w:val="000000"/>
          <w:kern w:val="0"/>
          <w:szCs w:val="21"/>
          <w:lang w:val="en-US" w:eastAsia="zh-CN"/>
        </w:rPr>
        <w:t>17.1</w:t>
      </w:r>
      <w:r>
        <w:rPr>
          <w:rFonts w:hint="eastAsia" w:ascii="宋体" w:hAnsi="宋体" w:cs="宋体"/>
          <w:color w:val="000000"/>
          <w:kern w:val="0"/>
          <w:szCs w:val="21"/>
        </w:rPr>
        <w:t>投标保证金的缴纳</w:t>
      </w:r>
    </w:p>
    <w:p>
      <w:pPr>
        <w:numPr>
          <w:ilvl w:val="0"/>
          <w:numId w:val="0"/>
        </w:num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（2）投标保证金用于避免和减少本次招标由于投标人的行为而给采购人带来的损失。</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 xml:space="preserve">（3）投标保证金的递交方式：银行转帐、银行电汇（均需从投标人注册银行账户转出），不接受以现金方式缴纳的投标保证金。凡以现金方式缴纳投标保证金而影响其投标结果的，由投标人自行负责。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（5）投标保证金缴纳方式：</w:t>
      </w:r>
    </w:p>
    <w:p>
      <w:pPr>
        <w:autoSpaceDE w:val="0"/>
        <w:autoSpaceDN w:val="0"/>
        <w:spacing w:line="360" w:lineRule="auto"/>
        <w:ind w:left="964"/>
        <w:contextualSpacing/>
        <w:rPr>
          <w:rFonts w:hint="eastAsia" w:ascii="宋体" w:hAnsi="宋体" w:cs="宋体"/>
          <w:color w:val="000000"/>
          <w:kern w:val="0"/>
          <w:szCs w:val="21"/>
        </w:rPr>
      </w:pPr>
      <w:r>
        <w:rPr>
          <w:rFonts w:hint="eastAsia" w:ascii="宋体" w:hAnsi="宋体" w:cs="宋体"/>
          <w:color w:val="000000"/>
          <w:kern w:val="0"/>
          <w:szCs w:val="21"/>
        </w:rPr>
        <w:t>a. 投标人网上下载招标文件后，登录</w:t>
      </w:r>
      <w:r>
        <w:fldChar w:fldCharType="begin"/>
      </w:r>
      <w:r>
        <w:instrText xml:space="preserve"> HYPERLINK "http://221.14.6.70:8088/ggzy" </w:instrText>
      </w:r>
      <w:r>
        <w:fldChar w:fldCharType="separate"/>
      </w:r>
      <w:r>
        <w:rPr>
          <w:rFonts w:hint="eastAsia" w:ascii="宋体" w:hAnsi="宋体" w:cs="宋体"/>
          <w:color w:val="000000"/>
          <w:kern w:val="0"/>
          <w:szCs w:val="21"/>
        </w:rPr>
        <w:t>http://221.14.6.70:8088/ggzy</w:t>
      </w:r>
      <w:r>
        <w:rPr>
          <w:rFonts w:hint="eastAsia" w:ascii="宋体" w:hAnsi="宋体" w:cs="宋体"/>
          <w:color w:val="000000"/>
          <w:kern w:val="0"/>
          <w:szCs w:val="21"/>
        </w:rPr>
        <w:fldChar w:fldCharType="end"/>
      </w:r>
      <w:r>
        <w:rPr>
          <w:rFonts w:hint="eastAsia" w:ascii="宋体" w:hAnsi="宋体" w:cs="宋体"/>
          <w:color w:val="000000"/>
          <w:kern w:val="0"/>
          <w:szCs w:val="21"/>
        </w:rPr>
        <w:t>系统，依次点击</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“会员向导”→“参与投标”→“费用缴纳说明”→“保证金缴纳说明单”，获取缴费说明单，根据每个标段的缴纳说明单在缴纳截止时间前缴纳；</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b. 成功缴纳后重新登录前述系统，依次点击“会员向导”→“参与投标”→“保证金绑定”→“绑定”进行投标保证金绑定。</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c. 《保证金缴纳绑定操作指南》获取方法：登录许昌公共资源交易系统-组件下载-《保证金缴纳绑定操作指南》。</w:t>
      </w:r>
    </w:p>
    <w:p>
      <w:pPr>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宋体"/>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（6） 每个投标人每个项目每个标段只有唯一缴纳账号，切勿重复缴纳或错误缴纳。</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（8） 不同投标人的投标保证金不得从同一单位或者个人的账户转出。</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（9） 未按上述规定操作引起的无效投标，由投标人自行负责。</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（10） 汇款凭证无需备注项目编号和项目名称。</w:t>
      </w:r>
    </w:p>
    <w:p>
      <w:pPr>
        <w:pStyle w:val="37"/>
        <w:numPr>
          <w:ilvl w:val="0"/>
          <w:numId w:val="0"/>
        </w:numPr>
        <w:autoSpaceDE w:val="0"/>
        <w:autoSpaceDN w:val="0"/>
        <w:spacing w:line="360" w:lineRule="auto"/>
        <w:ind w:left="420" w:leftChars="0"/>
        <w:contextualSpacing/>
        <w:rPr>
          <w:rFonts w:ascii="宋体" w:hAnsi="宋体" w:cs="宋体"/>
          <w:color w:val="000000"/>
          <w:kern w:val="0"/>
          <w:szCs w:val="21"/>
        </w:rPr>
      </w:pPr>
      <w:r>
        <w:rPr>
          <w:rFonts w:hint="eastAsia" w:ascii="宋体" w:hAnsi="宋体" w:cs="宋体"/>
          <w:color w:val="000000"/>
          <w:kern w:val="0"/>
          <w:szCs w:val="21"/>
          <w:lang w:val="en-US" w:eastAsia="zh-CN"/>
        </w:rPr>
        <w:t>17.2</w:t>
      </w:r>
      <w:r>
        <w:rPr>
          <w:rFonts w:hint="eastAsia" w:ascii="宋体" w:hAnsi="宋体" w:cs="宋体"/>
          <w:color w:val="000000"/>
          <w:kern w:val="0"/>
          <w:szCs w:val="21"/>
        </w:rPr>
        <w:t>投标保证金的退还</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（1） 退还投标保证金时，区别中标与否，按不同时序由银行按来款途径退还原账户。</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a. 自中标通知书发出之日起，5个工作日内退还非中标人投标保证金及银行同期活期存款利息。</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b. 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c. 项目废标或招标人终止招标的，在此后5个工作日内退还投标保证金及银行同期活期存利息。</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d. 投标活动中出现质疑、投诉的，中标候选人、质疑人和被质疑人、投诉人和被投诉人的投标保证金暂停退还。</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e. 相关投标人有违法违规行为的项目，其投标保证金暂不退还，待行政监督部门对相关情况处置后，按照有关规定办理。</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f. 退还投标保证金，除另有规定外，一般以转账方式一次性退还至投标保证金的原提交账户。</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（2） 有下列情形之一的，投标保证金不予退还</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a. 在招标文件要求提交投标文件的截止时间后至投标文件有效期满前撤回投标的；</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 xml:space="preserve">b. 中标通知书发出后，中标人无故放弃中标项目或无正当理由在规定时间内不与招标人签订合同或未按招标文件规定提交履约担保的； </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c. 将中标项目转让给他人，或者在投标文件中未说明，且未经招标人同意，将中标项目分包给他人的；</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d. 投标人在招投标活动中弄虚作假、围标串标，骗取中标并经招投标行政监督部门调查核实的；</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e. 拒绝履行合同义务的；</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f. 相关法律、法规规定不予退还的其它情形。</w:t>
      </w:r>
    </w:p>
    <w:p>
      <w:pPr>
        <w:pStyle w:val="37"/>
        <w:numPr>
          <w:ilvl w:val="0"/>
          <w:numId w:val="0"/>
        </w:numPr>
        <w:autoSpaceDE w:val="0"/>
        <w:autoSpaceDN w:val="0"/>
        <w:spacing w:line="360" w:lineRule="auto"/>
        <w:ind w:left="420" w:leftChars="0"/>
        <w:contextualSpacing/>
        <w:rPr>
          <w:rFonts w:hint="eastAsia" w:ascii="宋体" w:hAnsi="宋体" w:cs="宋体"/>
          <w:color w:val="000000"/>
          <w:kern w:val="0"/>
          <w:szCs w:val="21"/>
        </w:rPr>
      </w:pPr>
      <w:r>
        <w:rPr>
          <w:rFonts w:hint="eastAsia" w:ascii="宋体" w:hAnsi="宋体" w:cs="宋体"/>
          <w:color w:val="000000"/>
          <w:kern w:val="0"/>
          <w:szCs w:val="21"/>
          <w:lang w:val="en-US" w:eastAsia="zh-CN"/>
        </w:rPr>
        <w:t>17.3</w:t>
      </w:r>
      <w:r>
        <w:rPr>
          <w:rFonts w:hint="eastAsia" w:ascii="宋体" w:hAnsi="宋体" w:cs="宋体"/>
          <w:color w:val="000000"/>
          <w:kern w:val="0"/>
          <w:szCs w:val="21"/>
        </w:rPr>
        <w:t>凡投标人投标保证金交纳至同一标段相同子账号的，保证金暂不予退还，并依照《许昌</w:t>
      </w:r>
    </w:p>
    <w:p>
      <w:pPr>
        <w:pStyle w:val="37"/>
        <w:numPr>
          <w:ilvl w:val="0"/>
          <w:numId w:val="0"/>
        </w:numPr>
        <w:autoSpaceDE w:val="0"/>
        <w:autoSpaceDN w:val="0"/>
        <w:spacing w:line="360" w:lineRule="auto"/>
        <w:contextualSpacing/>
        <w:rPr>
          <w:rFonts w:hint="eastAsia" w:ascii="方正小标宋简体" w:hAnsi="宋体" w:eastAsia="方正小标宋简体" w:cs="宋体"/>
          <w:sz w:val="36"/>
          <w:szCs w:val="36"/>
        </w:rPr>
      </w:pPr>
      <w:r>
        <w:rPr>
          <w:rFonts w:hint="eastAsia" w:ascii="宋体" w:hAnsi="宋体" w:cs="宋体"/>
          <w:color w:val="000000"/>
          <w:kern w:val="0"/>
          <w:szCs w:val="21"/>
        </w:rPr>
        <w:t>市公共资源交易当事人不良行为管理暂行办法》（许公管委〔2017〕1号）规定，进行调查、认定、记录，并予以公示公告。对涉嫌串通投标，经调查核实后，记录不良行为，移交有关部门进行查处，不予退还的保证金上缴国库。</w:t>
      </w: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5"/>
        <w:tblpPr w:leftFromText="180" w:rightFromText="180" w:vertAnchor="text" w:horzAnchor="margin" w:tblpXSpec="center" w:tblpY="555"/>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3785"/>
        <w:gridCol w:w="360"/>
        <w:gridCol w:w="362"/>
        <w:gridCol w:w="1079"/>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5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4"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5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9840"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9840"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spacing w:line="360" w:lineRule="auto"/>
        <w:contextualSpacing/>
        <w:rPr>
          <w:rFonts w:ascii="宋体" w:hAnsi="宋体" w:cs="宋体"/>
          <w:color w:val="FF0000"/>
          <w:kern w:val="0"/>
          <w:szCs w:val="21"/>
        </w:rPr>
      </w:pPr>
    </w:p>
    <w:p>
      <w:pPr>
        <w:pStyle w:val="37"/>
        <w:numPr>
          <w:ilvl w:val="0"/>
          <w:numId w:val="0"/>
        </w:numPr>
        <w:autoSpaceDE w:val="0"/>
        <w:autoSpaceDN w:val="0"/>
        <w:spacing w:line="360" w:lineRule="auto"/>
        <w:ind w:leftChars="0"/>
        <w:contextualSpacing/>
        <w:rPr>
          <w:rFonts w:ascii="宋体" w:hAnsi="宋体" w:cs="宋体"/>
          <w:kern w:val="0"/>
          <w:szCs w:val="21"/>
        </w:rPr>
      </w:pPr>
      <w:r>
        <w:rPr>
          <w:rFonts w:hint="eastAsia" w:ascii="宋体" w:hAnsi="宋体" w:cs="宋体"/>
          <w:kern w:val="0"/>
          <w:szCs w:val="21"/>
          <w:lang w:val="en-US" w:eastAsia="zh-CN"/>
        </w:rPr>
        <w:t>18.</w:t>
      </w:r>
      <w:r>
        <w:rPr>
          <w:rFonts w:hint="eastAsia" w:ascii="宋体" w:hAnsi="宋体" w:cs="宋体"/>
          <w:kern w:val="0"/>
          <w:szCs w:val="21"/>
        </w:rPr>
        <w:t>投标文件的数量和签署盖章</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18.1</w:t>
      </w:r>
      <w:r>
        <w:rPr>
          <w:rFonts w:hint="eastAsia" w:ascii="宋体" w:hAnsi="宋体" w:cs="宋体"/>
          <w:kern w:val="0"/>
          <w:szCs w:val="21"/>
        </w:rPr>
        <w:t>投标人应提交投标文件份数见“投标人须知前附表”。</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18.2</w:t>
      </w:r>
      <w:r>
        <w:rPr>
          <w:rFonts w:hint="eastAsia" w:ascii="宋体" w:hAnsi="宋体" w:cs="宋体"/>
          <w:kern w:val="0"/>
          <w:szCs w:val="21"/>
        </w:rPr>
        <w:t>在招标文件中已明示需盖章及签名之处，电子投标文件应按招标文件要求加盖投标人电</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子印章和法人电子印章或授权代表电子印章。</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18.3</w:t>
      </w:r>
      <w:r>
        <w:rPr>
          <w:rFonts w:hint="eastAsia" w:ascii="宋体" w:hAnsi="宋体" w:cs="宋体"/>
          <w:kern w:val="0"/>
          <w:szCs w:val="21"/>
        </w:rPr>
        <w:t>纸质投标文件是指投标人电子投标文件制作完成后生成的后缀名为“.PDF”的文件打印</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的投标文件。纸质投标文件正本和副本封面上应清楚标明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18.4</w:t>
      </w: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四、投标文件的递交</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19.</w:t>
      </w:r>
      <w:r>
        <w:rPr>
          <w:rFonts w:hint="eastAsia" w:ascii="宋体" w:hAnsi="宋体" w:cs="宋体"/>
          <w:kern w:val="0"/>
          <w:szCs w:val="21"/>
        </w:rPr>
        <w:t>投标文件的密封</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19.1</w:t>
      </w:r>
      <w:r>
        <w:rPr>
          <w:rFonts w:hint="eastAsia" w:ascii="宋体" w:hAnsi="宋体" w:cs="宋体"/>
          <w:kern w:val="0"/>
          <w:szCs w:val="21"/>
        </w:rPr>
        <w:t>投标人应将纸质投标文件“正本”、“ 副本”密封包装。使用电子介质存储的投标文件</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单独密封包装，并随纸质投标文件一并提交。</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19.2</w:t>
      </w:r>
      <w:r>
        <w:rPr>
          <w:rFonts w:hint="eastAsia" w:ascii="宋体" w:hAnsi="宋体" w:cs="宋体"/>
          <w:kern w:val="0"/>
          <w:szCs w:val="21"/>
        </w:rPr>
        <w:t>投标文件如果未按规定密封，招标人将拒绝接收。</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20.</w:t>
      </w:r>
      <w:r>
        <w:rPr>
          <w:rFonts w:hint="eastAsia" w:ascii="宋体" w:hAnsi="宋体" w:cs="宋体"/>
          <w:kern w:val="0"/>
          <w:szCs w:val="21"/>
        </w:rPr>
        <w:t>投标截止时间</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20.1</w:t>
      </w:r>
      <w:r>
        <w:rPr>
          <w:rFonts w:hint="eastAsia" w:ascii="宋体" w:hAnsi="宋体" w:cs="宋体"/>
          <w:kern w:val="0"/>
          <w:szCs w:val="21"/>
        </w:rPr>
        <w:t>投标人必须在“投标邀请”和“投标人须知前附表”中规定的投标截止时间前，将所有</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投标文件送达招标文件指定的开标地点。</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20.2</w:t>
      </w:r>
      <w:r>
        <w:rPr>
          <w:rFonts w:hint="eastAsia" w:ascii="宋体" w:hAnsi="宋体" w:cs="宋体"/>
          <w:kern w:val="0"/>
          <w:szCs w:val="21"/>
        </w:rPr>
        <w:t>招标人收到投标文件后，应当如实记载投标文件的送达时间和密封情况，签收保存，并</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向投标人出具签收回执。任何单位和个人不得在开标前开启投标文件。</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20.3</w:t>
      </w:r>
      <w:r>
        <w:rPr>
          <w:rFonts w:hint="eastAsia" w:ascii="宋体" w:hAnsi="宋体" w:cs="宋体"/>
          <w:kern w:val="0"/>
          <w:szCs w:val="21"/>
        </w:rPr>
        <w:t>招标人可以按本须知第1</w:t>
      </w:r>
      <w:r>
        <w:rPr>
          <w:rFonts w:hint="eastAsia" w:ascii="宋体" w:hAnsi="宋体" w:cs="宋体"/>
          <w:kern w:val="0"/>
          <w:szCs w:val="21"/>
          <w:lang w:val="en-US" w:eastAsia="zh-CN"/>
        </w:rPr>
        <w:t>1</w:t>
      </w:r>
      <w:r>
        <w:rPr>
          <w:rFonts w:hint="eastAsia" w:ascii="宋体" w:hAnsi="宋体" w:cs="宋体"/>
          <w:kern w:val="0"/>
          <w:szCs w:val="21"/>
        </w:rPr>
        <w:t>条规定，通过修改招标文件自行决定酌情延长投标截止期。在</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此情况下，招标人和投标人受投标截止期制约的所有权利和义务均应延长至新的截止日期和时间。投标人按招标人修改通知规定的时间递交投标文件。</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21.</w:t>
      </w:r>
      <w:r>
        <w:rPr>
          <w:rFonts w:hint="eastAsia" w:ascii="宋体" w:hAnsi="宋体" w:cs="宋体"/>
          <w:kern w:val="0"/>
          <w:szCs w:val="21"/>
        </w:rPr>
        <w:t>迟交的投标文件</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投标截止时间之后送达/上传的投标文件，招标人将拒绝接收。</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22.</w:t>
      </w:r>
      <w:r>
        <w:rPr>
          <w:rFonts w:hint="eastAsia" w:ascii="宋体" w:hAnsi="宋体" w:cs="宋体"/>
          <w:kern w:val="0"/>
          <w:szCs w:val="21"/>
        </w:rPr>
        <w:t>投标文件的修改和撤回</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22.1</w:t>
      </w:r>
      <w:r>
        <w:rPr>
          <w:rFonts w:hint="eastAsia" w:ascii="宋体" w:hAnsi="宋体" w:cs="宋体"/>
          <w:kern w:val="0"/>
          <w:szCs w:val="21"/>
        </w:rPr>
        <w:t>投标人在投标截止时间前，对所递交的纸质投标文件进行补充、修改或者撤回的，须书</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面通知招标人。</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22.2</w:t>
      </w:r>
      <w:r>
        <w:rPr>
          <w:rFonts w:hint="eastAsia" w:ascii="宋体" w:hAnsi="宋体" w:cs="宋体"/>
          <w:kern w:val="0"/>
          <w:szCs w:val="21"/>
        </w:rPr>
        <w:t>投标人补充、修改的内容并作为投标文件的组成部分。补充或修改应当按招标文件要求</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22.3</w:t>
      </w:r>
      <w:r>
        <w:rPr>
          <w:rFonts w:hint="eastAsia" w:ascii="宋体" w:hAnsi="宋体" w:cs="宋体"/>
          <w:kern w:val="0"/>
          <w:szCs w:val="21"/>
        </w:rPr>
        <w:t>投标人在递交纸质投标文件后，可以撤回其投标，但投标人必须在规定的投标截止时间</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前以书面形式告知招标人。</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22.4</w:t>
      </w:r>
      <w:r>
        <w:rPr>
          <w:rFonts w:hint="eastAsia" w:ascii="宋体" w:hAnsi="宋体" w:cs="宋体"/>
          <w:kern w:val="0"/>
          <w:szCs w:val="21"/>
        </w:rPr>
        <w:t>投标人不得在投标有效期内撤销投标文件，否则招标人将不退还其投标保证金。</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23.</w:t>
      </w:r>
      <w:r>
        <w:rPr>
          <w:rFonts w:hint="eastAsia" w:ascii="宋体" w:hAnsi="宋体" w:cs="宋体"/>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五、开标和评标</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24.</w:t>
      </w:r>
      <w:r>
        <w:rPr>
          <w:rFonts w:hint="eastAsia" w:ascii="宋体" w:hAnsi="宋体" w:cs="宋体"/>
          <w:kern w:val="0"/>
          <w:szCs w:val="21"/>
        </w:rPr>
        <w:t>开标</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24.1</w:t>
      </w:r>
      <w:r>
        <w:rPr>
          <w:rFonts w:hint="eastAsia" w:ascii="宋体" w:hAnsi="宋体" w:cs="宋体"/>
          <w:kern w:val="0"/>
          <w:szCs w:val="21"/>
        </w:rPr>
        <w:t>招标人将按招标文件规定的时间和地点组织公开开标。开标由代理机构主持，邀请投标</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 xml:space="preserve">人参加。 </w:t>
      </w:r>
      <w:r>
        <w:rPr>
          <w:rFonts w:hint="eastAsia"/>
        </w:rPr>
        <w:t>投标人全权代表必须到场并签名以证明其出席；采购人将对其进行身份的符合性检查，即出席代表、被授权人开标现场递交与投标文件中一致的授权委托书、身份证原件和投标保证金缴纳回执。评标委员会成员不得参加开标活动。</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24.2</w:t>
      </w:r>
      <w:r>
        <w:rPr>
          <w:rFonts w:hint="eastAsia" w:ascii="宋体" w:hAnsi="宋体" w:cs="宋体"/>
          <w:kern w:val="0"/>
          <w:szCs w:val="21"/>
        </w:rPr>
        <w:t>招标人应当对开标、评标现场活动进行全程录音录像。录音录像应当清晰可辨，音像资</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料作为采购文件一并存档。</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24.3</w:t>
      </w:r>
      <w:r>
        <w:rPr>
          <w:rFonts w:hint="eastAsia" w:ascii="宋体" w:hAnsi="宋体" w:cs="宋体"/>
          <w:kern w:val="0"/>
          <w:szCs w:val="21"/>
        </w:rPr>
        <w:t>开标时，由投标人或者其推选的代表检查纸质投标文件和备份文件（使用电子介质存储）</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（1）电子投标文件的解密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b. 代理机构解密：代理机构</w:t>
      </w:r>
      <w:r>
        <w:rPr>
          <w:rFonts w:ascii="宋体" w:hAnsi="宋体" w:cs="宋体"/>
          <w:kern w:val="0"/>
          <w:szCs w:val="21"/>
        </w:rPr>
        <w:t>按</w:t>
      </w:r>
      <w:r>
        <w:rPr>
          <w:rFonts w:hint="eastAsia" w:ascii="宋体" w:hAnsi="宋体" w:cs="宋体"/>
          <w:kern w:val="0"/>
          <w:szCs w:val="21"/>
        </w:rPr>
        <w:t>电子</w:t>
      </w:r>
      <w:r>
        <w:rPr>
          <w:rFonts w:ascii="宋体" w:hAnsi="宋体" w:cs="宋体"/>
          <w:kern w:val="0"/>
          <w:szCs w:val="21"/>
        </w:rPr>
        <w:t>投标</w:t>
      </w:r>
      <w:r>
        <w:rPr>
          <w:rFonts w:hint="eastAsia" w:ascii="宋体" w:hAnsi="宋体" w:cs="宋体"/>
          <w:kern w:val="0"/>
          <w:szCs w:val="21"/>
        </w:rPr>
        <w:t>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电子投标文件解密异常情况处理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a. 因电子交易系统异常无法解密电子投标文件的，使用纸质投标文件以人工方式进行。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24.4</w:t>
      </w:r>
      <w:r>
        <w:rPr>
          <w:rFonts w:hint="eastAsia" w:ascii="宋体" w:hAnsi="宋体" w:cs="宋体"/>
          <w:kern w:val="0"/>
          <w:szCs w:val="21"/>
        </w:rPr>
        <w:t>投标人不足3家的，不得开标。</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24.5</w:t>
      </w:r>
      <w:r>
        <w:rPr>
          <w:rFonts w:hint="eastAsia" w:ascii="宋体" w:hAnsi="宋体" w:cs="宋体"/>
          <w:kern w:val="0"/>
          <w:szCs w:val="21"/>
        </w:rPr>
        <w:t>开标过程由采购代理机构负责记录，由参加开标的各投标人代表和相关工作人员签字确</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认后随采购文件一并存档。</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24.6</w:t>
      </w:r>
      <w:r>
        <w:rPr>
          <w:rFonts w:hint="eastAsia" w:ascii="宋体" w:hAnsi="宋体" w:cs="宋体"/>
          <w:kern w:val="0"/>
          <w:szCs w:val="21"/>
        </w:rPr>
        <w:t>投标人代表对开标过程和开标记录有疑义，以及认为采购人、采购代理机构相关工作人</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员有需要回避的情形的，应当场提出询问或者回避申请。采购人、采购代理机构对投标人代表提出的询问或者回避申请应当及时处理。</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24.7</w:t>
      </w:r>
      <w:r>
        <w:rPr>
          <w:rFonts w:hint="eastAsia" w:ascii="宋体" w:hAnsi="宋体" w:cs="宋体"/>
          <w:kern w:val="0"/>
          <w:szCs w:val="21"/>
        </w:rPr>
        <w:t>投标人未参加开标的，视同认可开标结果。</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资格审查</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开标结束后，采购人依法对投标人的资格进行审查。合格投标人不足3家的，不得评标。</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评标委员会的组成</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26.1</w:t>
      </w:r>
      <w:r>
        <w:rPr>
          <w:rFonts w:hint="eastAsia" w:ascii="宋体" w:hAnsi="宋体" w:cs="宋体"/>
          <w:kern w:val="0"/>
          <w:szCs w:val="21"/>
        </w:rPr>
        <w:t>招标人将依法组建评标委员会，评标委员会由采购人代表和评审专家组成，成员人数应</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当为5人以上单数，其中评审专家的人数不少于评标委员会成员总数的三分之二。评审专家依法从政府采购评审专家库中随机抽取。</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采购项目符合下列情形之一的，评标委员会成员人数应当为7人以上单数：</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（1）采购预算金额在1000万元以上；</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（2）技术复杂；</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（3）社会影响较大。</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26.2</w:t>
      </w:r>
      <w:r>
        <w:rPr>
          <w:rFonts w:hint="eastAsia" w:ascii="宋体" w:hAnsi="宋体" w:cs="宋体"/>
          <w:kern w:val="0"/>
          <w:szCs w:val="21"/>
        </w:rPr>
        <w:t>评审专家对本单位的采购项目只能作为采购人代表参与评标。采购代理机构工作人员不</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得参加由本机构代理的政府采购项目的评标。</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26.3</w:t>
      </w:r>
      <w:r>
        <w:rPr>
          <w:rFonts w:hint="eastAsia" w:ascii="宋体" w:hAnsi="宋体" w:cs="宋体"/>
          <w:kern w:val="0"/>
          <w:szCs w:val="21"/>
        </w:rPr>
        <w:t>评审专家与投标人存在下列利害关系之一的,应当回避:</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（1）参加采购活动前三年内,与供应商存在劳动关系,或者担任过供应商的董事、监事,或者是供应商的控股股东或实际控制人；</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（2）与供应商的法定代表人或者负责人有夫妻、直系血亲、三代以内旁系血亲或者近姻亲关系；</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（3）与供应商有其他可能影响政府采购活动公平、公正进行的关系。</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26.4</w:t>
      </w:r>
      <w:r>
        <w:rPr>
          <w:rFonts w:hint="eastAsia" w:ascii="宋体" w:hAnsi="宋体" w:cs="宋体"/>
          <w:kern w:val="0"/>
          <w:szCs w:val="21"/>
        </w:rPr>
        <w:t>评审专家发现本人与参加采购活动的供应商有利害关系的,应当主动提出回避。采购人或</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者代理机构发现评审专家与参加采购活动的供应商有利害关系的,应当要求其回避。</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26.5</w:t>
      </w:r>
      <w:r>
        <w:rPr>
          <w:rFonts w:hint="eastAsia" w:ascii="宋体" w:hAnsi="宋体" w:cs="宋体"/>
          <w:kern w:val="0"/>
          <w:szCs w:val="21"/>
        </w:rPr>
        <w:t>采购人不得担任评标小组长。</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26.6</w:t>
      </w:r>
      <w:r>
        <w:rPr>
          <w:rFonts w:hint="eastAsia" w:ascii="宋体" w:hAnsi="宋体" w:cs="宋体"/>
          <w:kern w:val="0"/>
          <w:szCs w:val="21"/>
        </w:rPr>
        <w:t>采购人可以在评标前说明项目背景和采购需求，说明内容不得含有歧视性、倾向性意见，</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不得超出招标文件所述范围。说明应当提交书面材料，并随采购文件一并存档。</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26.7</w:t>
      </w:r>
      <w:r>
        <w:rPr>
          <w:rFonts w:hint="eastAsia" w:ascii="宋体" w:hAnsi="宋体" w:cs="宋体"/>
          <w:kern w:val="0"/>
          <w:szCs w:val="21"/>
        </w:rPr>
        <w:t>评标委员会成员名单在评标结果公告前应当保密。</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27.</w:t>
      </w:r>
      <w:r>
        <w:rPr>
          <w:rFonts w:hint="eastAsia" w:ascii="宋体" w:hAnsi="宋体" w:cs="宋体"/>
          <w:kern w:val="0"/>
          <w:szCs w:val="21"/>
        </w:rPr>
        <w:t>符合性审查</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27.1</w:t>
      </w:r>
      <w:r>
        <w:rPr>
          <w:rFonts w:hint="eastAsia" w:ascii="宋体" w:hAnsi="宋体" w:cs="宋体"/>
          <w:kern w:val="0"/>
          <w:szCs w:val="21"/>
        </w:rPr>
        <w:t>评标委员会依据有关法律法规和招标文件的规定，对符合资格的投标人的投标文件进行</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符合性审查，以确定其是否满足招标文件的实质性要求。</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27.2</w:t>
      </w:r>
      <w:r>
        <w:rPr>
          <w:rFonts w:hint="eastAsia" w:ascii="宋体" w:hAnsi="宋体" w:cs="宋体"/>
          <w:kern w:val="0"/>
          <w:szCs w:val="21"/>
        </w:rPr>
        <w:t>审查、评价投标文件是否符合招标文件的商务、技术等实质性要求。</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27.3</w:t>
      </w:r>
      <w:r>
        <w:rPr>
          <w:rFonts w:hint="eastAsia" w:ascii="宋体" w:hAnsi="宋体" w:cs="宋体"/>
          <w:kern w:val="0"/>
          <w:szCs w:val="21"/>
        </w:rPr>
        <w:t>可要求投标人对投标文件有关事项作出澄清或者说明。</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28.</w:t>
      </w:r>
      <w:r>
        <w:rPr>
          <w:rFonts w:hint="eastAsia" w:ascii="宋体" w:hAnsi="宋体" w:cs="宋体"/>
          <w:kern w:val="0"/>
          <w:szCs w:val="21"/>
        </w:rPr>
        <w:t>投标文件的澄清</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28.1</w:t>
      </w:r>
      <w:r>
        <w:rPr>
          <w:rFonts w:hint="eastAsia" w:ascii="宋体" w:hAnsi="宋体" w:cs="宋体"/>
          <w:kern w:val="0"/>
          <w:szCs w:val="21"/>
        </w:rPr>
        <w:t>对于投标文件中含义不明确、同类问题表述不一致或者有明显文字和计算错误的内容，</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评标委员会应当以书面形式要求投标人作出必要的澄清、说明或者补正。</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28.2</w:t>
      </w:r>
      <w:r>
        <w:rPr>
          <w:rFonts w:hint="eastAsia" w:ascii="宋体" w:hAnsi="宋体" w:cs="宋体"/>
          <w:kern w:val="0"/>
          <w:szCs w:val="21"/>
        </w:rPr>
        <w:t>投标人的澄清、说明或者补正应当采用书面形式，并加盖公章，或者由法定代表人或其</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授权的代表签字。投标人的澄清、说明或者补正不得超出投标文件的范围或者改变投标文件的实质性内容。</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28.3</w:t>
      </w:r>
      <w:r>
        <w:rPr>
          <w:rFonts w:hint="eastAsia" w:ascii="宋体" w:hAnsi="宋体" w:cs="宋体"/>
          <w:kern w:val="0"/>
          <w:szCs w:val="21"/>
        </w:rPr>
        <w:t>投标人的澄清文件是其投标文件的组成部分。</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29.</w:t>
      </w:r>
      <w:r>
        <w:rPr>
          <w:rFonts w:hint="eastAsia" w:ascii="宋体" w:hAnsi="宋体" w:cs="宋体"/>
          <w:kern w:val="0"/>
          <w:szCs w:val="21"/>
        </w:rPr>
        <w:t>投标文件报价出现前后不一致的修正</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（2）大写金额和小写金额不一致的，以大写金额为准；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单价金额小数点或者百分比有明显错位的，以开标一览表的总价为准，并修改单价；</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30.</w:t>
      </w:r>
      <w:r>
        <w:rPr>
          <w:rFonts w:hint="eastAsia" w:ascii="宋体" w:hAnsi="宋体" w:cs="宋体"/>
          <w:kern w:val="0"/>
          <w:szCs w:val="21"/>
        </w:rPr>
        <w:t>投标无效情形</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30.1</w:t>
      </w:r>
      <w:r>
        <w:rPr>
          <w:rFonts w:hint="eastAsia" w:ascii="宋体" w:hAnsi="宋体" w:cs="宋体"/>
          <w:kern w:val="0"/>
          <w:szCs w:val="21"/>
        </w:rPr>
        <w:t>投标文件属下列情况之一的，按照无效投标处理：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（1）未按照招标文件的规定提交投标保证金的；</w:t>
      </w:r>
      <w:r>
        <w:rPr>
          <w:rFonts w:ascii="宋体" w:hAnsi="宋体" w:cs="宋体"/>
          <w:kern w:val="0"/>
          <w:szCs w:val="21"/>
        </w:rPr>
        <w:t xml:space="preserve"> </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投标文件未按招标文件要求签署、盖章的；</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不具备招标文件中规定的资格要求的；</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报价超过招标文件中规定的预算金额或者最高限价的；</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（5） </w:t>
      </w:r>
      <w:r>
        <w:rPr>
          <w:rFonts w:ascii="宋体" w:hAnsi="宋体" w:cs="宋体"/>
          <w:kern w:val="0"/>
          <w:szCs w:val="21"/>
        </w:rPr>
        <w:t>投标文件含有采购人不能接受的附加条件的</w:t>
      </w:r>
      <w:r>
        <w:rPr>
          <w:rFonts w:hint="eastAsia" w:ascii="宋体" w:hAnsi="宋体" w:cs="宋体"/>
          <w:kern w:val="0"/>
          <w:szCs w:val="21"/>
        </w:rPr>
        <w:t>。</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30.2</w:t>
      </w:r>
      <w:r>
        <w:rPr>
          <w:rFonts w:hint="eastAsia" w:ascii="宋体" w:hAnsi="宋体" w:cs="宋体"/>
          <w:kern w:val="0"/>
          <w:szCs w:val="21"/>
        </w:rPr>
        <w:t>有下列情形之一的，视为投标人串通投标，其投标无效：</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不同投标人的投标文件由同一单位或者个人编制；</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不同投标人委托同一单位或者个人办理投标事宜；</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不同投标人的投标文件载明的项目管理成员或者联系人员为同一人；</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不同投标人的投标文件异常一致或者投标报价呈规律性差异；</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（5） 不同投标人的投标文件相互混装；</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（6） 不同投标人的投标保证金从同一单位或者个人的账户转出。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30.3</w:t>
      </w:r>
      <w:r>
        <w:rPr>
          <w:rFonts w:hint="eastAsia" w:ascii="宋体" w:hAnsi="宋体" w:cs="宋体"/>
          <w:kern w:val="0"/>
          <w:szCs w:val="21"/>
        </w:rPr>
        <w:t>投标人应当遵循公平竞争的原则，不得恶意串通，不得妨碍其他投标人的竞争行为，不</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得损害采购人或者其他投标人的合法权益。在评标过程中发现投标人有上述情形的，评标委员会应当认定其投标无效，并书面报告本级财政部门。</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30.4</w:t>
      </w:r>
      <w:r>
        <w:rPr>
          <w:rFonts w:hint="eastAsia" w:ascii="宋体" w:hAnsi="宋体" w:cs="宋体"/>
          <w:kern w:val="0"/>
          <w:szCs w:val="21"/>
        </w:rPr>
        <w:t>评标委员会认为投标人的报价明显低于其他通过符合性审查投标人的报价，有可能影响</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30.5</w:t>
      </w:r>
      <w:r>
        <w:rPr>
          <w:rFonts w:ascii="宋体" w:hAnsi="宋体" w:cs="宋体"/>
          <w:kern w:val="0"/>
          <w:szCs w:val="21"/>
        </w:rPr>
        <w:t>法律、法规和招标文件规定的其他无效情形。</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36.</w:t>
      </w:r>
      <w:r>
        <w:rPr>
          <w:rFonts w:hint="eastAsia" w:ascii="宋体" w:hAnsi="宋体" w:cs="宋体"/>
          <w:kern w:val="0"/>
          <w:szCs w:val="21"/>
        </w:rPr>
        <w:t>相同品牌投标人的认定</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36.1</w:t>
      </w:r>
      <w:r>
        <w:rPr>
          <w:rFonts w:hint="eastAsia" w:ascii="宋体" w:hAnsi="宋体" w:cs="宋体"/>
          <w:kern w:val="0"/>
          <w:szCs w:val="21"/>
        </w:rPr>
        <w:t>采用最低评标价法的采购项目，提供相同品牌产品的不同投标人参加同一合同项下投标</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36.2</w:t>
      </w:r>
      <w:r>
        <w:rPr>
          <w:rFonts w:hint="eastAsia" w:ascii="宋体" w:hAnsi="宋体" w:cs="宋体"/>
          <w:kern w:val="0"/>
          <w:szCs w:val="21"/>
        </w:rPr>
        <w:t>使用综合评分法的采购项目，提供相同品牌产品且通过资格审查、符合性审查的不同投</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37.</w:t>
      </w:r>
      <w:r>
        <w:rPr>
          <w:rFonts w:hint="eastAsia" w:ascii="宋体" w:hAnsi="宋体" w:cs="宋体"/>
          <w:kern w:val="0"/>
          <w:szCs w:val="21"/>
        </w:rPr>
        <w:t>投标文件的比较与评价</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38.</w:t>
      </w:r>
      <w:r>
        <w:rPr>
          <w:rFonts w:hint="eastAsia" w:ascii="宋体" w:hAnsi="宋体" w:cs="宋体"/>
          <w:kern w:val="0"/>
          <w:szCs w:val="21"/>
        </w:rPr>
        <w:t>评标方法、评标标准</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38.1</w:t>
      </w:r>
      <w:r>
        <w:rPr>
          <w:rFonts w:hint="eastAsia" w:ascii="宋体" w:hAnsi="宋体" w:cs="宋体"/>
          <w:kern w:val="0"/>
          <w:szCs w:val="21"/>
        </w:rPr>
        <w:t>评标方法分为最低评标价法和综合评分法。</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最低评标价法</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a. 最低评标价法，是指投标文件满足招标文件全部实质性要求，且投标报价最低的投标人为中标候选人的评标方法。</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综合评分法，是指投标文件满足招标文件全部实质性要求，且按照评审因素的量化指标评审得分最高的投标人为中标候选人的评标方法。</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38.2</w:t>
      </w:r>
      <w:r>
        <w:rPr>
          <w:rFonts w:hint="eastAsia" w:ascii="宋体" w:hAnsi="宋体" w:cs="宋体"/>
          <w:kern w:val="0"/>
          <w:szCs w:val="21"/>
        </w:rPr>
        <w:t>价格分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评标总得分=F1×A1+F2×A2+……+Fn×An</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评标过程中，不得去掉报价中的最高报价和最低报价。</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因落实政府采购政策进行价格调整的，以调整后的价格计算评标基准价和投标报价。</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38.3</w:t>
      </w:r>
      <w:r>
        <w:rPr>
          <w:rFonts w:hint="eastAsia" w:ascii="宋体" w:hAnsi="宋体" w:cs="宋体"/>
          <w:kern w:val="0"/>
          <w:szCs w:val="21"/>
        </w:rPr>
        <w:t>本次评标具体评标方法、评标标准见（第六章 资格审查与评标）。</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推荐中标候选人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39.1</w:t>
      </w:r>
      <w:r>
        <w:rPr>
          <w:rFonts w:hint="eastAsia" w:ascii="宋体" w:hAnsi="宋体" w:cs="宋体"/>
          <w:kern w:val="0"/>
          <w:szCs w:val="21"/>
        </w:rPr>
        <w:t>采用最低评标价法的，评标结果按投标报价由低到高顺序排列。投标报价相同的并列。</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投标文件满足招标文件全部实质性要求且投标报价最低的投标人为排名第一的中标候选人。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39.2</w:t>
      </w:r>
      <w:r>
        <w:rPr>
          <w:rFonts w:hint="eastAsia" w:ascii="宋体" w:hAnsi="宋体" w:cs="宋体"/>
          <w:kern w:val="0"/>
          <w:szCs w:val="21"/>
        </w:rPr>
        <w:t>采用综合评分法的，评标结果按评审后得分由高到低顺序排列。得分相同的，按投标报</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价由低到高顺序排列。得分且投标报价相同的并列。投标文件满足招标文件全部实质性要求，且按照评审因素的量化指标评审得分最高的投标人为排名第一的中标候选人。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40.</w:t>
      </w:r>
      <w:r>
        <w:rPr>
          <w:rFonts w:hint="eastAsia" w:ascii="宋体" w:hAnsi="宋体" w:cs="宋体"/>
          <w:kern w:val="0"/>
          <w:szCs w:val="21"/>
        </w:rPr>
        <w:t>评审意见无效情形</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确定参与评标至评标结束前私自接触投标人；</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接受投标人提出的与投标文件不一致的澄清或者说明，《投标人须知》26条规定的情形除外；</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违反评标纪律发表倾向性意见或者征询采购人的倾向性意见；</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对需要专业判断的主观评审因素协商评分；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（5） 在评标过程中擅离职守，影响评标程序正常进行的；</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（6） 记录、复制或者带走任何评标资料；</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（7） 其他不遵守评标纪律的行为。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41.</w:t>
      </w:r>
      <w:r>
        <w:rPr>
          <w:rFonts w:hint="eastAsia" w:ascii="宋体" w:hAnsi="宋体" w:cs="宋体"/>
          <w:kern w:val="0"/>
          <w:szCs w:val="21"/>
        </w:rPr>
        <w:t>保密</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41.1</w:t>
      </w:r>
      <w:r>
        <w:rPr>
          <w:rFonts w:hint="eastAsia" w:ascii="宋体" w:hAnsi="宋体" w:cs="宋体"/>
          <w:kern w:val="0"/>
          <w:szCs w:val="21"/>
        </w:rPr>
        <w:t>评审专家应当遵守评审工作纪律，不得泄露评审文件、评审情况和评审中获悉的商业秘</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密。</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41.2</w:t>
      </w:r>
      <w:r>
        <w:rPr>
          <w:rFonts w:hint="eastAsia" w:ascii="宋体" w:hAnsi="宋体" w:cs="宋体"/>
          <w:kern w:val="0"/>
          <w:szCs w:val="21"/>
        </w:rPr>
        <w:t>采购人、采购代理机构应当采取必要措施，保证评标在严格保密的情况下进行。有关人</w:t>
      </w:r>
    </w:p>
    <w:p>
      <w:pPr>
        <w:pStyle w:val="37"/>
        <w:numPr>
          <w:ilvl w:val="0"/>
          <w:numId w:val="0"/>
        </w:numPr>
        <w:autoSpaceDE w:val="0"/>
        <w:autoSpaceDN w:val="0"/>
        <w:spacing w:line="360" w:lineRule="auto"/>
        <w:contextualSpacing/>
        <w:rPr>
          <w:rFonts w:ascii="宋体" w:hAnsi="宋体" w:cs="仿宋_GB2312"/>
          <w:szCs w:val="21"/>
          <w:lang w:val="zh-CN"/>
        </w:rPr>
      </w:pPr>
      <w:r>
        <w:rPr>
          <w:rFonts w:hint="eastAsia" w:ascii="宋体" w:hAnsi="宋体" w:cs="宋体"/>
          <w:kern w:val="0"/>
          <w:szCs w:val="21"/>
        </w:rPr>
        <w:t>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六、定标和授予合同</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42.</w:t>
      </w:r>
      <w:r>
        <w:rPr>
          <w:rFonts w:hint="eastAsia" w:ascii="宋体" w:hAnsi="宋体" w:cs="宋体"/>
          <w:kern w:val="0"/>
          <w:szCs w:val="21"/>
        </w:rPr>
        <w:t>确定中标人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42.1</w:t>
      </w:r>
      <w:r>
        <w:rPr>
          <w:rFonts w:hint="eastAsia" w:ascii="宋体" w:hAnsi="宋体" w:cs="宋体"/>
          <w:kern w:val="0"/>
          <w:szCs w:val="21"/>
        </w:rPr>
        <w:t>采购人应当自收到评标报告之日起5个工作日内，在评标报告确定的中标候选人名单中按</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顺序确定中标人。中标候选人并列的，由采购人采取随机抽取的方式确定。</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42.2</w:t>
      </w:r>
      <w:r>
        <w:rPr>
          <w:rFonts w:hint="eastAsia" w:ascii="宋体" w:hAnsi="宋体" w:cs="宋体"/>
          <w:kern w:val="0"/>
          <w:szCs w:val="21"/>
        </w:rPr>
        <w:t>采购人在收到评标报告5个工作日内未按评标报告推荐的中标候选人顺序确定中标人，又</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不能说明合法理由的，视同按评标报告推荐的顺序确定排名第一的中标候选人为中标人。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43.</w:t>
      </w:r>
      <w:r>
        <w:rPr>
          <w:rFonts w:hint="eastAsia" w:ascii="宋体" w:hAnsi="宋体" w:cs="宋体"/>
          <w:kern w:val="0"/>
          <w:szCs w:val="21"/>
        </w:rPr>
        <w:t>中标公告、发出中标通知书</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43.1</w:t>
      </w:r>
      <w:r>
        <w:rPr>
          <w:rFonts w:hint="eastAsia" w:ascii="宋体" w:hAnsi="宋体" w:cs="宋体"/>
          <w:kern w:val="0"/>
          <w:szCs w:val="21"/>
        </w:rPr>
        <w:t>采购人确认中标人后，招标人在公告中标结果的同时，向中标人发出中标通知书。</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43.2</w:t>
      </w:r>
      <w:r>
        <w:rPr>
          <w:rFonts w:hint="eastAsia" w:ascii="宋体" w:hAnsi="宋体" w:cs="宋体"/>
          <w:kern w:val="0"/>
          <w:szCs w:val="21"/>
        </w:rPr>
        <w:t>中标通知书发出后，采购人不得违法改变中标结果，中标人无正当理由不得放弃中标。</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43.3</w:t>
      </w:r>
      <w:r>
        <w:rPr>
          <w:rFonts w:hint="eastAsia" w:ascii="宋体" w:hAnsi="宋体" w:cs="宋体"/>
          <w:kern w:val="0"/>
          <w:szCs w:val="21"/>
        </w:rPr>
        <w:t>中标人在接到中标通知时，须向代理机构发送投标报价及分项报价一览表（包含主要中</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标标的的名称、规格型号、数量、单价、服务要求等）电子文档，并同时通知代理机构联系人。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44.</w:t>
      </w:r>
      <w:r>
        <w:rPr>
          <w:rFonts w:hint="eastAsia" w:ascii="宋体" w:hAnsi="宋体" w:cs="宋体"/>
          <w:kern w:val="0"/>
          <w:szCs w:val="21"/>
        </w:rPr>
        <w:t>质疑提出与答复</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44.1</w:t>
      </w:r>
      <w:r>
        <w:rPr>
          <w:rFonts w:hint="eastAsia" w:ascii="宋体" w:hAnsi="宋体" w:cs="宋体"/>
          <w:kern w:val="0"/>
          <w:szCs w:val="21"/>
        </w:rPr>
        <w:t>供应商认为采购文件、采购过程和中标结果使自己的权益受到损害的，可以依法向采购</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人、采购代理机构提出质疑。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对采购文件提出质疑的，</w:t>
      </w:r>
      <w:r>
        <w:rPr>
          <w:rFonts w:ascii="宋体" w:hAnsi="宋体" w:cs="宋体"/>
          <w:kern w:val="0"/>
          <w:szCs w:val="21"/>
        </w:rPr>
        <w:t>潜在</w:t>
      </w:r>
      <w:r>
        <w:rPr>
          <w:rFonts w:hint="eastAsia" w:ascii="宋体" w:hAnsi="宋体" w:cs="宋体"/>
          <w:kern w:val="0"/>
          <w:szCs w:val="21"/>
        </w:rPr>
        <w:t>投标人应</w:t>
      </w:r>
      <w:r>
        <w:rPr>
          <w:rFonts w:ascii="宋体" w:hAnsi="宋体" w:cs="宋体"/>
          <w:kern w:val="0"/>
          <w:szCs w:val="21"/>
        </w:rPr>
        <w:t>已依法获取采购文件</w:t>
      </w:r>
      <w:r>
        <w:rPr>
          <w:rFonts w:hint="eastAsia" w:ascii="宋体" w:hAnsi="宋体" w:cs="宋体"/>
          <w:kern w:val="0"/>
          <w:szCs w:val="21"/>
        </w:rPr>
        <w:t>，且应当在</w:t>
      </w:r>
      <w:r>
        <w:rPr>
          <w:rFonts w:ascii="宋体" w:hAnsi="宋体" w:cs="宋体"/>
          <w:kern w:val="0"/>
          <w:szCs w:val="21"/>
        </w:rPr>
        <w:t>获取采购文件或者采购文件公告期限届满之日起7个工作日内</w:t>
      </w:r>
      <w:r>
        <w:rPr>
          <w:rFonts w:hint="eastAsia" w:ascii="宋体" w:hAnsi="宋体" w:cs="宋体"/>
          <w:kern w:val="0"/>
          <w:szCs w:val="21"/>
        </w:rPr>
        <w:t>通过《全国公共资源交易平台（河南省·许昌市）》一次性提出，如未提出视为全面接受；</w:t>
      </w:r>
      <w:r>
        <w:rPr>
          <w:rFonts w:hint="eastAsia" w:ascii="宋体" w:hAnsi="宋体" w:cs="宋体"/>
          <w:kern w:val="0"/>
          <w:szCs w:val="21"/>
        </w:rPr>
        <w:br w:type="textWrapping"/>
      </w:r>
      <w:r>
        <w:rPr>
          <w:rFonts w:hint="eastAsia" w:ascii="宋体" w:hAnsi="宋体" w:cs="宋体"/>
          <w:kern w:val="0"/>
          <w:szCs w:val="21"/>
          <w:lang w:val="en-US" w:eastAsia="zh-CN"/>
        </w:rPr>
        <w:t xml:space="preserve">    </w:t>
      </w:r>
      <w:r>
        <w:rPr>
          <w:rFonts w:hint="eastAsia" w:ascii="宋体" w:hAnsi="宋体" w:cs="宋体"/>
          <w:kern w:val="0"/>
          <w:szCs w:val="21"/>
        </w:rPr>
        <w:t>（2） 对采购过程提出质疑的，为各采购程序环节结束之日起七个工作日内，以书面形式向采购人和采购代理机构一次性提出；</w:t>
      </w:r>
      <w:r>
        <w:rPr>
          <w:rFonts w:hint="eastAsia" w:ascii="宋体" w:hAnsi="宋体" w:cs="宋体"/>
          <w:kern w:val="0"/>
          <w:szCs w:val="21"/>
        </w:rPr>
        <w:br w:type="textWrapping"/>
      </w:r>
      <w:r>
        <w:rPr>
          <w:rFonts w:hint="eastAsia" w:ascii="宋体" w:hAnsi="宋体" w:cs="宋体"/>
          <w:kern w:val="0"/>
          <w:szCs w:val="21"/>
          <w:lang w:val="en-US" w:eastAsia="zh-CN"/>
        </w:rPr>
        <w:t xml:space="preserve">    </w:t>
      </w:r>
      <w:r>
        <w:rPr>
          <w:rFonts w:hint="eastAsia" w:ascii="宋体" w:hAnsi="宋体" w:cs="宋体"/>
          <w:kern w:val="0"/>
          <w:szCs w:val="21"/>
        </w:rPr>
        <w:t>（3） 对中标结果提出质疑的，为中标结果公告期限届满之日起七个工作日内，以书面形式向采购人和采购代理机构一次性提出。</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44.2</w:t>
      </w:r>
      <w:r>
        <w:rPr>
          <w:rFonts w:ascii="宋体" w:hAnsi="宋体" w:cs="宋体"/>
          <w:kern w:val="0"/>
          <w:szCs w:val="21"/>
        </w:rPr>
        <w:t>采购人、采购代理机构认为供应商质疑不成立，或者成立但未对中标结果构成影响的，</w:t>
      </w:r>
    </w:p>
    <w:p>
      <w:pPr>
        <w:pStyle w:val="37"/>
        <w:numPr>
          <w:ilvl w:val="0"/>
          <w:numId w:val="0"/>
        </w:numPr>
        <w:autoSpaceDE w:val="0"/>
        <w:autoSpaceDN w:val="0"/>
        <w:spacing w:line="360" w:lineRule="auto"/>
        <w:contextualSpacing/>
        <w:rPr>
          <w:rFonts w:ascii="宋体" w:hAnsi="宋体" w:cs="宋体"/>
          <w:kern w:val="0"/>
          <w:szCs w:val="21"/>
        </w:rPr>
      </w:pPr>
      <w:r>
        <w:rPr>
          <w:rFonts w:ascii="宋体" w:hAnsi="宋体" w:cs="宋体"/>
          <w:kern w:val="0"/>
          <w:szCs w:val="21"/>
        </w:rPr>
        <w:t>继续开展采购活动；认为供应商质疑成立且影响或者可能影响中标结果的，按照下列情况处理：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（2） </w:t>
      </w:r>
      <w:r>
        <w:rPr>
          <w:rFonts w:ascii="宋体" w:hAnsi="宋体" w:cs="宋体"/>
          <w:kern w:val="0"/>
          <w:szCs w:val="21"/>
        </w:rPr>
        <w:t>对采购过程、中标结果提出的质疑，合格供应商符合法定数量时，可以从合格的中标</w:t>
      </w:r>
      <w:r>
        <w:rPr>
          <w:rFonts w:hint="eastAsia" w:ascii="宋体" w:hAnsi="宋体" w:cs="宋体"/>
          <w:kern w:val="0"/>
          <w:szCs w:val="21"/>
        </w:rPr>
        <w:t>候选人</w:t>
      </w:r>
      <w:r>
        <w:rPr>
          <w:rFonts w:ascii="宋体" w:hAnsi="宋体" w:cs="宋体"/>
          <w:kern w:val="0"/>
          <w:szCs w:val="21"/>
        </w:rPr>
        <w:t>中另行确定中标供应商的，应当依法另行确定中标供应商；否则应当重新开展采购活动。</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45.</w:t>
      </w:r>
      <w:r>
        <w:rPr>
          <w:rFonts w:hint="eastAsia" w:ascii="宋体" w:hAnsi="宋体" w:cs="宋体"/>
          <w:kern w:val="0"/>
          <w:szCs w:val="21"/>
        </w:rPr>
        <w:t>签订合同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46.</w:t>
      </w:r>
      <w:r>
        <w:rPr>
          <w:rFonts w:hint="eastAsia" w:ascii="宋体" w:hAnsi="宋体" w:cs="宋体"/>
          <w:kern w:val="0"/>
          <w:szCs w:val="21"/>
        </w:rPr>
        <w:t>履约保证金</w:t>
      </w:r>
    </w:p>
    <w:p>
      <w:pPr>
        <w:autoSpaceDE w:val="0"/>
        <w:autoSpaceDN w:val="0"/>
        <w:spacing w:line="360" w:lineRule="auto"/>
        <w:ind w:firstLine="420" w:firstLineChars="200"/>
        <w:contextualSpacing/>
        <w:rPr>
          <w:rFonts w:ascii="宋体" w:hAnsi="宋体" w:cs="宋体"/>
          <w:kern w:val="0"/>
          <w:sz w:val="32"/>
          <w:szCs w:val="32"/>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ascii="宋体" w:hAnsi="宋体" w:cs="宋体"/>
          <w:kern w:val="0"/>
          <w:sz w:val="36"/>
          <w:szCs w:val="36"/>
        </w:rPr>
      </w:pPr>
      <w:r>
        <w:rPr>
          <w:rFonts w:hint="eastAsia" w:ascii="宋体" w:hAnsi="宋体" w:cs="宋体"/>
          <w:kern w:val="0"/>
          <w:sz w:val="32"/>
          <w:szCs w:val="32"/>
        </w:rPr>
        <w:t>第五章 政府采购政策功能</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一、节能能源、保护环境</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hAnsi="宋体" w:eastAsia="宋体" w:cs="仿宋_GB2312"/>
          <w:szCs w:val="21"/>
        </w:rPr>
      </w:pPr>
      <w:r>
        <w:rPr>
          <w:rFonts w:hint="eastAsia" w:ascii="宋体" w:hAnsi="宋体" w:eastAsia="宋体" w:cs="仿宋_GB2312"/>
          <w:szCs w:val="21"/>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hAnsi="宋体" w:eastAsia="宋体" w:cs="仿宋_GB2312"/>
          <w:szCs w:val="21"/>
        </w:rPr>
      </w:pPr>
      <w:r>
        <w:rPr>
          <w:rFonts w:hint="eastAsia" w:ascii="宋体" w:hAnsi="宋体" w:eastAsia="宋体" w:cs="仿宋_GB2312"/>
          <w:szCs w:val="21"/>
        </w:rPr>
        <w:t>3、对于同时列入环保清单和节能产品政府采购清单的产品，应当优先于只列入其中一个清单的产品。</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4、上述“节能产品政府采购清单”、“环境标志产品政府采购清单”，在采购公告发布前已经过期的以及尚在公示期的均不得作为评标时的依据。</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二、促进中小企业发展</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三、支持监狱企业发展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0" w:name="OLE_LINK6"/>
      <w:r>
        <w:rPr>
          <w:rFonts w:hint="eastAsia" w:ascii="宋体" w:hAnsi="宋体" w:cs="仿宋_GB2312"/>
          <w:szCs w:val="21"/>
          <w:lang w:val="zh-CN"/>
        </w:rPr>
        <w:t>财库[2014]68号</w:t>
      </w:r>
      <w:bookmarkEnd w:id="0"/>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四、促进残疾人就业</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kern w:val="0"/>
          <w:sz w:val="32"/>
          <w:szCs w:val="32"/>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kern w:val="0"/>
          <w:sz w:val="32"/>
          <w:szCs w:val="32"/>
        </w:rPr>
        <w:t>第六章 资格审查与评标</w:t>
      </w:r>
    </w:p>
    <w:p>
      <w:pPr>
        <w:pStyle w:val="13"/>
        <w:spacing w:line="360" w:lineRule="auto"/>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szCs w:val="21"/>
              </w:rPr>
            </w:pPr>
            <w:r>
              <w:rPr>
                <w:rFonts w:hint="eastAsia" w:asciiTheme="minorEastAsia" w:hAnsiTheme="minorEastAsia"/>
                <w:szCs w:val="21"/>
              </w:rPr>
              <w:t>资格审查</w:t>
            </w:r>
            <w:r>
              <w:rPr>
                <w:rFonts w:asciiTheme="minorEastAsia" w:hAnsiTheme="minorEastAsia"/>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szCs w:val="21"/>
              </w:rPr>
            </w:pPr>
            <w:r>
              <w:rPr>
                <w:rFonts w:hint="eastAsia" w:asciiTheme="minorEastAsia" w:hAnsiTheme="minorEastAsia"/>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4、依法缴纳税收相关材料</w:t>
            </w:r>
          </w:p>
          <w:p>
            <w:pPr>
              <w:spacing w:line="360" w:lineRule="auto"/>
              <w:rPr>
                <w:rFonts w:asciiTheme="minorEastAsia" w:hAnsiTheme="minorEastAsia"/>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6、履行合同所必须的设备和专业技术能力的证明材料</w:t>
            </w:r>
          </w:p>
          <w:p>
            <w:pPr>
              <w:spacing w:line="360" w:lineRule="auto"/>
              <w:rPr>
                <w:rFonts w:asciiTheme="minorEastAsia" w:hAnsiTheme="minorEastAsia"/>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7"/>
              </w:numPr>
              <w:spacing w:line="360" w:lineRule="auto"/>
              <w:rPr>
                <w:rFonts w:hint="eastAsia" w:ascii="宋体" w:hAnsi="宋体" w:eastAsia="宋体" w:cs="仿宋_GB2312"/>
                <w:color w:val="000000"/>
                <w:kern w:val="2"/>
                <w:sz w:val="21"/>
                <w:szCs w:val="21"/>
                <w:shd w:val="clear" w:color="auto" w:fill="FFFFFF"/>
                <w:lang w:val="en-US" w:eastAsia="zh-CN" w:bidi="ar-SA"/>
              </w:rPr>
            </w:pPr>
            <w:r>
              <w:rPr>
                <w:rFonts w:hint="eastAsia" w:ascii="宋体" w:hAnsi="宋体" w:eastAsia="宋体" w:cs="仿宋_GB2312"/>
                <w:color w:val="000000"/>
                <w:kern w:val="2"/>
                <w:sz w:val="21"/>
                <w:szCs w:val="21"/>
                <w:shd w:val="clear" w:color="auto" w:fill="FFFFFF"/>
                <w:lang w:val="en-US" w:eastAsia="zh-CN" w:bidi="ar-SA"/>
              </w:rPr>
              <w:t xml:space="preserve">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numPr>
                <w:ilvl w:val="0"/>
                <w:numId w:val="0"/>
              </w:num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w:t>
            </w:r>
            <w:r>
              <w:rPr>
                <w:rFonts w:hint="eastAsia" w:asciiTheme="minorEastAsia" w:hAnsiTheme="minorEastAsia"/>
                <w:bCs/>
                <w:szCs w:val="21"/>
                <w:lang w:eastAsia="zh-CN"/>
              </w:rPr>
              <w:t>、</w:t>
            </w:r>
            <w:r>
              <w:rPr>
                <w:rFonts w:hint="eastAsia" w:asciiTheme="minorEastAsia" w:hAnsiTheme="minorEastAsia"/>
                <w:bCs/>
                <w:szCs w:val="21"/>
              </w:rPr>
              <w:t>“中国政府采购网”（www.ccgp.gov.cn）</w:t>
            </w:r>
            <w:r>
              <w:rPr>
                <w:rFonts w:hint="eastAsia" w:asciiTheme="minorEastAsia" w:hAnsiTheme="minorEastAsia"/>
                <w:bCs/>
                <w:szCs w:val="21"/>
                <w:lang w:eastAsia="zh-CN"/>
              </w:rPr>
              <w:t>、</w:t>
            </w:r>
            <w:r>
              <w:rPr>
                <w:rFonts w:hint="eastAsia" w:ascii="宋体" w:hAnsi="宋体" w:eastAsia="宋体" w:cs="仿宋_GB2312"/>
                <w:color w:val="000000"/>
                <w:kern w:val="2"/>
                <w:sz w:val="21"/>
                <w:szCs w:val="21"/>
                <w:shd w:val="clear" w:color="auto" w:fill="FFFFFF"/>
                <w:lang w:val="en-US" w:eastAsia="zh-CN" w:bidi="ar-SA"/>
              </w:rPr>
              <w:t>“国家企业信用信息公示系统”网站（www.gsxt.gov.cn）；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Cs w:val="21"/>
                <w:lang w:val="zh-CN"/>
              </w:rPr>
            </w:pPr>
            <w:r>
              <w:rPr>
                <w:rFonts w:hint="eastAsia" w:asciiTheme="minorEastAsia" w:hAnsiTheme="minorEastAsia"/>
                <w:bCs/>
                <w:szCs w:val="21"/>
              </w:rPr>
              <w:t>9、</w:t>
            </w:r>
            <w:r>
              <w:rPr>
                <w:rFonts w:hint="eastAsia" w:cs="仿宋_GB2312" w:asciiTheme="minorEastAsia" w:hAnsiTheme="minorEastAsia"/>
                <w:szCs w:val="21"/>
                <w:lang w:val="zh-CN"/>
              </w:rPr>
              <w:t>报价</w:t>
            </w:r>
          </w:p>
          <w:p>
            <w:pPr>
              <w:spacing w:line="360" w:lineRule="auto"/>
              <w:rPr>
                <w:rFonts w:asciiTheme="minorEastAsia" w:hAnsiTheme="minorEastAsia"/>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10、联合体协议</w:t>
            </w:r>
          </w:p>
          <w:p>
            <w:pPr>
              <w:spacing w:line="360" w:lineRule="auto"/>
              <w:rPr>
                <w:rFonts w:asciiTheme="minorEastAsia" w:hAnsiTheme="minorEastAsia"/>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szCs w:val="21"/>
              </w:rPr>
            </w:pPr>
            <w:r>
              <w:rPr>
                <w:rFonts w:hint="eastAsia" w:asciiTheme="minorEastAsia" w:hAnsiTheme="minorEastAsia"/>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szCs w:val="21"/>
              </w:rPr>
            </w:pPr>
            <w:r>
              <w:rPr>
                <w:rFonts w:hint="eastAsia" w:asciiTheme="minorEastAsia" w:hAnsiTheme="minorEastAsia"/>
                <w:szCs w:val="21"/>
              </w:rPr>
              <w:t>12、法定代表人身份证明或提供法定代表人授权委托书及被授权人身份证明。</w:t>
            </w:r>
          </w:p>
        </w:tc>
      </w:tr>
    </w:tbl>
    <w:p>
      <w:pPr>
        <w:pStyle w:val="13"/>
        <w:spacing w:line="360" w:lineRule="auto"/>
        <w:ind w:firstLine="480" w:firstLineChars="200"/>
        <w:contextualSpacing/>
        <w:rPr>
          <w:rFonts w:cs="仿宋_GB2312" w:asciiTheme="minorEastAsia" w:hAnsiTheme="minorEastAsia" w:eastAsiaTheme="minorEastAsia"/>
          <w:szCs w:val="24"/>
          <w:lang w:val="zh-CN"/>
        </w:rPr>
      </w:pPr>
    </w:p>
    <w:p>
      <w:pPr>
        <w:pStyle w:val="13"/>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二、评标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（二）</w:t>
      </w:r>
      <w:r>
        <w:rPr>
          <w:rFonts w:cs="仿宋_GB2312" w:asciiTheme="minorEastAsia" w:hAnsiTheme="minorEastAsia" w:eastAsiaTheme="minorEastAsia"/>
          <w:sz w:val="21"/>
          <w:szCs w:val="21"/>
          <w:lang w:val="zh-CN"/>
        </w:rPr>
        <w:t>评标委员会负责具体评标事务，并独立履行下列职责</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w:t>
      </w:r>
      <w:r>
        <w:rPr>
          <w:rFonts w:cs="仿宋_GB2312" w:asciiTheme="minorEastAsia" w:hAnsiTheme="minorEastAsia" w:eastAsiaTheme="minorEastAsia"/>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cs="仿宋_GB2312" w:asciiTheme="minorEastAsia" w:hAnsiTheme="minorEastAsia" w:eastAsiaTheme="minorEastAsia"/>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w:t>
      </w:r>
      <w:r>
        <w:rPr>
          <w:rFonts w:cs="仿宋_GB2312" w:asciiTheme="minorEastAsia" w:hAnsiTheme="minorEastAsia" w:eastAsiaTheme="minorEastAsia"/>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w:t>
      </w:r>
      <w:r>
        <w:rPr>
          <w:rFonts w:cs="仿宋_GB2312" w:asciiTheme="minorEastAsia" w:hAnsiTheme="minorEastAsia" w:eastAsiaTheme="minorEastAsia"/>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（4）关于强制性产品认证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2)投标人所投产品如被列入</w:t>
      </w:r>
      <w:r>
        <w:rPr>
          <w:rFonts w:cs="仿宋_GB2312" w:asciiTheme="minorEastAsia" w:hAnsiTheme="minorEastAsia"/>
          <w:szCs w:val="21"/>
          <w:lang w:val="zh-CN"/>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中国信息安全认证中心官网（</w:t>
      </w:r>
      <w:r>
        <w:rPr>
          <w:rFonts w:cs="仿宋_GB2312" w:asciiTheme="minorEastAsia" w:hAnsiTheme="minorEastAsia"/>
          <w:szCs w:val="21"/>
          <w:lang w:val="zh-CN"/>
        </w:rPr>
        <w:t>http://www.isccc.gov.cn/index.shtml</w:t>
      </w:r>
      <w:r>
        <w:rPr>
          <w:rFonts w:hint="eastAsia" w:cs="仿宋_GB2312" w:asciiTheme="minorEastAsia" w:hAnsiTheme="minorEastAsia"/>
          <w:szCs w:val="21"/>
          <w:lang w:val="zh-CN"/>
        </w:rPr>
        <w:t>）产品查询结果截图并加盖投标人公章或中国信息安全认证中心颁发的《中国国家信息安全产品认证证书》加盖投标人公章的原件扫描件（或图片）。</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widowControl/>
        <w:shd w:val="clear" w:color="auto"/>
        <w:spacing w:line="360" w:lineRule="atLeast"/>
        <w:ind w:firstLine="315" w:firstLineChars="150"/>
        <w:jc w:val="left"/>
        <w:rPr>
          <w:rFonts w:cs="仿宋_GB2312" w:asciiTheme="minorEastAsia" w:hAnsiTheme="minorEastAsia"/>
          <w:sz w:val="24"/>
          <w:szCs w:val="24"/>
          <w:lang w:val="zh-CN"/>
        </w:rPr>
      </w:pPr>
      <w:r>
        <w:rPr>
          <w:rFonts w:hint="eastAsia" w:cs="仿宋_GB2312" w:asciiTheme="minorEastAsia" w:hAnsiTheme="minorEastAsia"/>
          <w:szCs w:val="21"/>
          <w:lang w:val="zh-CN"/>
        </w:rPr>
        <w:t>（6）评标标准</w:t>
      </w:r>
    </w:p>
    <w:p>
      <w:pPr>
        <w:tabs>
          <w:tab w:val="left" w:pos="1260"/>
        </w:tabs>
        <w:autoSpaceDE w:val="0"/>
        <w:autoSpaceDN w:val="0"/>
        <w:spacing w:line="360" w:lineRule="auto"/>
        <w:ind w:firstLine="480" w:firstLineChars="200"/>
        <w:contextualSpacing/>
        <w:rPr>
          <w:rFonts w:hint="eastAsia" w:cs="仿宋_GB2312" w:asciiTheme="minorEastAsia" w:hAnsiTheme="minorEastAsia"/>
          <w:szCs w:val="21"/>
          <w:lang w:val="zh-CN"/>
        </w:rPr>
      </w:pPr>
      <w:r>
        <w:rPr>
          <w:rFonts w:cs="仿宋_GB2312" w:asciiTheme="minorEastAsia" w:hAnsiTheme="minorEastAsia"/>
          <w:sz w:val="24"/>
          <w:szCs w:val="24"/>
          <w:lang w:val="zh-CN"/>
        </w:rPr>
        <w:t>（</w:t>
      </w:r>
      <w:r>
        <w:rPr>
          <w:rFonts w:hint="eastAsia" w:cs="仿宋_GB2312" w:asciiTheme="minorEastAsia" w:hAnsiTheme="minorEastAsia"/>
          <w:szCs w:val="21"/>
          <w:lang w:val="zh-CN"/>
        </w:rPr>
        <w:t>一）评标方法：最低评标价法□ 综合评分法☑</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（二）综合评分法评标标准：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046" w:type="dxa"/>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6920" w:type="dxa"/>
            <w:gridSpan w:val="2"/>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价格分值：30分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45</w:t>
            </w:r>
            <w:r>
              <w:rPr>
                <w:rFonts w:hint="eastAsia" w:cs="仿宋_GB2312" w:asciiTheme="minorEastAsia" w:hAnsiTheme="minorEastAsia"/>
                <w:szCs w:val="21"/>
                <w:lang w:val="zh-CN"/>
              </w:rPr>
              <w:t>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25</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5953"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67"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2046"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5953" w:type="dxa"/>
            <w:tcBorders>
              <w:top w:val="single" w:color="auto" w:sz="4" w:space="0"/>
            </w:tcBorders>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依据许昌市建安区公路管理局文件（建安路［</w:t>
            </w:r>
            <w:r>
              <w:rPr>
                <w:rFonts w:hint="eastAsia" w:cs="仿宋_GB2312" w:asciiTheme="minorEastAsia" w:hAnsiTheme="minorEastAsia"/>
                <w:szCs w:val="21"/>
                <w:lang w:val="en-US" w:eastAsia="zh-CN"/>
              </w:rPr>
              <w:t>2018</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59号</w:t>
            </w:r>
            <w:r>
              <w:rPr>
                <w:rFonts w:hint="eastAsia" w:cs="仿宋_GB2312" w:asciiTheme="minorEastAsia" w:hAnsiTheme="minorEastAsia"/>
                <w:szCs w:val="21"/>
                <w:lang w:val="zh-CN" w:eastAsia="zh-CN"/>
              </w:rPr>
              <w:t>）的要求</w:t>
            </w:r>
            <w:r>
              <w:rPr>
                <w:rFonts w:hint="eastAsia" w:cs="仿宋_GB2312" w:asciiTheme="minorEastAsia" w:hAnsiTheme="minorEastAsia"/>
                <w:szCs w:val="21"/>
                <w:lang w:val="en-US" w:eastAsia="zh-CN"/>
              </w:rPr>
              <w:t>，经许昌市建安区财政局投资评审中心对该项目的评审，最终审定建安区公路管理局国省干线公路标线的</w:t>
            </w:r>
            <w:r>
              <w:rPr>
                <w:rFonts w:hint="eastAsia" w:cs="仿宋_GB2312" w:asciiTheme="minorEastAsia" w:hAnsiTheme="minorEastAsia"/>
                <w:szCs w:val="21"/>
                <w:lang w:val="zh-CN" w:eastAsia="zh-CN"/>
              </w:rPr>
              <w:t>预算金额</w:t>
            </w:r>
            <w:r>
              <w:rPr>
                <w:rFonts w:hint="eastAsia" w:cs="仿宋_GB2312" w:asciiTheme="minorEastAsia" w:hAnsiTheme="minorEastAsia"/>
                <w:szCs w:val="21"/>
                <w:lang w:val="en-US" w:eastAsia="zh-CN"/>
              </w:rPr>
              <w:t>按实际工作量以最终评审价为准。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投标报价：</w:t>
            </w:r>
            <w:r>
              <w:rPr>
                <w:rFonts w:hint="eastAsia" w:cs="仿宋_GB2312" w:asciiTheme="minorEastAsia" w:hAnsiTheme="minorEastAsia"/>
                <w:b/>
                <w:bCs/>
                <w:szCs w:val="21"/>
                <w:lang w:val="zh-CN" w:eastAsia="zh-CN"/>
              </w:rPr>
              <w:t>按实际工作量以最终评审价为准</w:t>
            </w:r>
            <w:r>
              <w:rPr>
                <w:rFonts w:hint="eastAsia" w:cs="仿宋_GB2312" w:asciiTheme="minorEastAsia" w:hAnsiTheme="minorEastAsia"/>
                <w:szCs w:val="21"/>
                <w:lang w:val="zh-CN" w:eastAsia="zh-CN"/>
              </w:rPr>
              <w:t>。未响应的为无效投标。</w:t>
            </w:r>
          </w:p>
        </w:tc>
        <w:tc>
          <w:tcPr>
            <w:tcW w:w="967"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45</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bottom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信誉状况</w:t>
            </w:r>
          </w:p>
          <w:p>
            <w:pPr>
              <w:tabs>
                <w:tab w:val="left" w:pos="1260"/>
              </w:tabs>
              <w:autoSpaceDE w:val="0"/>
              <w:autoSpaceDN w:val="0"/>
              <w:spacing w:line="360" w:lineRule="auto"/>
              <w:contextualSpacing/>
              <w:rPr>
                <w:rFonts w:hint="eastAsia" w:cs="仿宋_GB2312" w:asciiTheme="minorEastAsia" w:hAnsiTheme="minorEastAsia"/>
                <w:szCs w:val="21"/>
                <w:lang w:val="zh-CN"/>
              </w:rPr>
            </w:pP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1、投标人提供有工商企业信用信息公示报告（国家企业信用信息公示系统http://www.gsxt.gov.cn）并不存在不良信息者得2分。（以网页截图为准）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2、投标人提供有企业所在地税务主管部门出具的纳税情况证明并不存在不良信息者得1分，未提供或有不良信息者不得分。（提供近三个月的纳税证明）</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3.企业信用评价（1分）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信用等级评为AAA级的，得1分；信用等级评为AA级的，得0.5分，其他等级不得分。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注：信用等级以信用评估报告为准，信用评估报告在报价文件中提供复印件，要求如下：</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河南省供应商应提供经河南省信用建设促进会备案认可的信用评级机构出具的信用评估报告原件；信用评级机构以“信用河南网”（网址http://www.xyhnw.com/）公布的“河南省社会信用服务机构备案及考评合格机构公告”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（2）外省供应商应提供经省级以上社会信用管理部门备案认可的信用评级机构出具的信用评估报告原件，并同时出具信用评级机构相应的资质材料。</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en-US" w:eastAsia="zh-CN"/>
              </w:rPr>
              <w:t>不符合以上要求的，不得分。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人员配备</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1、具有公路工程专业二级及以上注册建造师资格的得2分。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2、项目技术负责人为中级工程师并提供缴纳社保证明的得2分。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3、人员配备（八大员）：具有材料员、安全员、预算员、质检员、施工员、资料员、机械员、劳务员，每有一项并提供缴纳社保证明的得0.5分，满分4分。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专业设备配备：提供交通标线施工机械（2万元以上）每台1分，最高2分（交通标线施工机械生产厂家需提供营业执照、产品宣传页及书面承诺所投入本项目的设备数量；非交通标线施工机械生产厂家的，需提供购买原始发票）。</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5、供应商自有的交通标线厚度检测设备（或仪器）和逆反射系数检测设备的，有一项得1分，共2分，须提供购买原始发票。</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企业业绩</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投标人2015年以来具有交通标线业绩合同且合同金额不低于200万元的，每有一项得1分，最多得3分。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企业实力</w:t>
            </w:r>
          </w:p>
          <w:p>
            <w:pPr>
              <w:tabs>
                <w:tab w:val="left" w:pos="1260"/>
              </w:tabs>
              <w:autoSpaceDE w:val="0"/>
              <w:autoSpaceDN w:val="0"/>
              <w:spacing w:line="360" w:lineRule="auto"/>
              <w:contextualSpacing/>
              <w:rPr>
                <w:rFonts w:hint="eastAsia" w:cs="仿宋_GB2312" w:asciiTheme="minorEastAsia" w:hAnsiTheme="minorEastAsia"/>
                <w:szCs w:val="21"/>
                <w:lang w:val="zh-CN"/>
              </w:rPr>
            </w:pP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1、通过 ISO9001：2008质量管理体系认证,认证范围应包含：公路交通工程（公路安全设施）。（1分）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2、通过 ISO14001：2004环境管理体系认证,认证范围应包含：公路交通工程（公路安全设施）。（1分）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3、通过职业健康安全管理体系认证，认证范围应包含：公路交通工程（公路安全设施）。（1分）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4、提供连续两年的国家安全设施质量监督检测中心或交通运输部科学研究院颁发的标线涂料（白色、黄色）检测报告及批量生产合格证书。（2分）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5.提供所承接的交通设施工程获得的相关主管部门荣誉证书，每一项得0.5分，最高得2分。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6、投标单位是标线涂料的生产厂家的得3分，非生产厂家的不得分。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7、热熔反光型涂料性能（以最近一次检测报告为准）7分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检测报告检测参数中技术指标要求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（1）密度≥1.8得0.2分；密度≥1.9得0.4分；密度≥1.95得0.7分；密度≥2.0得1分。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（2）软化点90~得0.4分；软化点94（含）~105得0.6分，软化点105（含）~125得1分。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（3）抗压强度≥12得0.3分；抗压强度≥15得0.6分；抗压强度≥20得1分。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（4）白色：亮度因数≥0.35得0.4分；亮度因数≥0.5得0.8分；亮度因数≥0.4得1.2分；亮度因数≥0.75得1.5分。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（5）黄色：亮度因数≥0.27得0.4分；亮度因数≥0.3得0.8分；亮度因数≥0.35得1.2分；亮度因数≥0.45得1.5分。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（6）耐磨性≤75得0.3分；耐磨性≤65得0.6分；耐磨性≤60得1分。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8、常温反光型涂料性能（以最近一次检测报告为准）5分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（1）粘度≥101得0.2分，粘度≥131得0.4分，粘度≥161得0.6分，粘度≥191得0.8分，粘度≥231得1分。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（2）密度≥1.2得0.5分；密度≥1.4得1分。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（3）白色涂料亮度因数≥0.76得0.3分，白色涂料亮度因数≥0.81得0.6分，白色涂料亮度因数≥0.86得1分。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（4）耐磨性≤39得0.2分；耐磨性≤34得0.4分；耐磨性≤29得0.6分，耐磨性≤24得0.8分，耐磨性≤20得1分。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（5）固体含量≥61得0.3分，固体含量≥66得0.5分，固体含量≥71得0.8分，固体含量≥76得1分。</w:t>
            </w:r>
          </w:p>
        </w:tc>
        <w:tc>
          <w:tcPr>
            <w:tcW w:w="967"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pStyle w:val="2"/>
              <w:ind w:firstLine="630" w:firstLineChars="300"/>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服务承诺</w:t>
            </w:r>
          </w:p>
          <w:p>
            <w:pPr>
              <w:spacing w:line="360" w:lineRule="exact"/>
              <w:jc w:val="center"/>
              <w:rPr>
                <w:rFonts w:hint="eastAsia" w:cs="仿宋_GB2312" w:asciiTheme="minorEastAsia" w:hAnsiTheme="minorEastAsia" w:eastAsiaTheme="minorEastAsia"/>
                <w:kern w:val="2"/>
                <w:sz w:val="21"/>
                <w:szCs w:val="21"/>
                <w:lang w:val="en-US" w:eastAsia="zh-CN" w:bidi="ar-SA"/>
              </w:rPr>
            </w:pP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1、投标人针对招标项目的特点和要求，结合自身条件和潜力为招标人排忧解难；由评委根据标书的具体内容在0-2分区间酌情打分。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2、具有本地化的售后服务得2分（投标人注册地不在许昌市，需有本地化的售后服务机构，否则不得分）</w:t>
            </w:r>
          </w:p>
        </w:tc>
        <w:tc>
          <w:tcPr>
            <w:tcW w:w="967" w:type="dxa"/>
            <w:vAlign w:val="center"/>
          </w:tcPr>
          <w:p>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（三）技术部分（满分25分）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评分因素</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评分标准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投标文件</w:t>
            </w:r>
          </w:p>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规范程度</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1、装订规范、文字清晰、无差错 3分。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2、所提供资料准确完整 2 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en-US" w:eastAsia="zh-CN" w:bidi="ar-SA"/>
              </w:rPr>
              <w:t>5</w:t>
            </w:r>
            <w:r>
              <w:rPr>
                <w:rFonts w:hint="eastAsia" w:cs="仿宋_GB2312" w:asciiTheme="minorEastAsia" w:hAnsiTheme="minorEastAsia" w:eastAsiaTheme="minorEastAsia"/>
                <w:kern w:val="2"/>
                <w:sz w:val="21"/>
                <w:szCs w:val="21"/>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kern w:val="2"/>
                <w:sz w:val="21"/>
                <w:szCs w:val="21"/>
                <w:lang w:val="en-US" w:eastAsia="zh-CN" w:bidi="ar-SA"/>
              </w:rPr>
              <w:t>项目实施方案</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1、符合环保施工要求的。依据施工组织方案里的不适用的漆桶密封完好情况、确保标线之外涂料不散落措施、垃圾清理措施等（0-4分）。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2、施工保通措施科学的。依据施工组织方案里的高峰时期不施工，其他根据交通流量科学施工等措施（0-4分）。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3、旧标线清除方法科学的。依据施工组织方案里的旧标线清除彻底又对路面损害小的措施（0-4分）。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4、施工安全措施科学的，依据施工组织方案里的施工安全要求，既能保证施工人员安全又能保证他人安全措施（0-4分）。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5、确保施划标线符合国标要求的。依据施工组织方案国标要求施划标线措施及确保施标线科学的措施（0-4分）。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en-US" w:eastAsia="zh-CN" w:bidi="ar-SA"/>
              </w:rPr>
              <w:t>20</w:t>
            </w:r>
            <w:r>
              <w:rPr>
                <w:rFonts w:hint="eastAsia" w:cs="仿宋_GB2312" w:asciiTheme="minorEastAsia" w:hAnsiTheme="minorEastAsia" w:eastAsiaTheme="minorEastAsia"/>
                <w:kern w:val="2"/>
                <w:sz w:val="21"/>
                <w:szCs w:val="21"/>
                <w:lang w:val="zh-CN" w:eastAsia="zh-CN" w:bidi="ar-SA"/>
              </w:rPr>
              <w:t>分</w:t>
            </w:r>
          </w:p>
        </w:tc>
      </w:tr>
    </w:tbl>
    <w:p>
      <w:pPr>
        <w:pStyle w:val="13"/>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序号</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情形</w:t>
            </w:r>
          </w:p>
        </w:tc>
        <w:tc>
          <w:tcPr>
            <w:tcW w:w="2552" w:type="dxa"/>
            <w:vAlign w:val="center"/>
          </w:tcPr>
          <w:p>
            <w:pPr>
              <w:jc w:val="center"/>
              <w:rPr>
                <w:rFonts w:ascii="宋体" w:hAnsi="宋体"/>
                <w:color w:val="000000"/>
                <w:szCs w:val="21"/>
                <w:lang w:val="en-GB"/>
              </w:rPr>
            </w:pPr>
            <w:r>
              <w:rPr>
                <w:rFonts w:hint="eastAsia" w:ascii="宋体" w:hAnsi="宋体"/>
                <w:color w:val="000000"/>
                <w:szCs w:val="21"/>
              </w:rPr>
              <w:t>价格扣除</w:t>
            </w:r>
            <w:r>
              <w:rPr>
                <w:rFonts w:hint="eastAsia" w:ascii="宋体" w:hAnsi="宋体"/>
                <w:color w:val="000000"/>
                <w:szCs w:val="21"/>
                <w:lang w:val="en-GB"/>
              </w:rPr>
              <w:t>比例</w:t>
            </w:r>
          </w:p>
        </w:tc>
        <w:tc>
          <w:tcPr>
            <w:tcW w:w="2835" w:type="dxa"/>
            <w:vAlign w:val="center"/>
          </w:tcPr>
          <w:p>
            <w:pPr>
              <w:jc w:val="center"/>
              <w:rPr>
                <w:rFonts w:ascii="宋体" w:hAnsi="宋体"/>
                <w:color w:val="000000"/>
                <w:szCs w:val="21"/>
                <w:lang w:val="en-GB"/>
              </w:rPr>
            </w:pPr>
            <w:r>
              <w:rPr>
                <w:rFonts w:hint="eastAsia" w:ascii="宋体" w:hAnsi="宋体"/>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2</w:t>
            </w:r>
          </w:p>
        </w:tc>
        <w:tc>
          <w:tcPr>
            <w:tcW w:w="2823" w:type="dxa"/>
            <w:vAlign w:val="center"/>
          </w:tcPr>
          <w:p>
            <w:pPr>
              <w:jc w:val="center"/>
              <w:rPr>
                <w:rFonts w:ascii="宋体" w:hAnsi="宋体"/>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3</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备注：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a、不接受联合体投标的项目，本表中第2项、第3项情形不适用。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d、残疾人福利性单位属于小型、微型企业的，不重复享受政策。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（7）</w:t>
      </w:r>
      <w:r>
        <w:rPr>
          <w:rFonts w:cs="仿宋_GB2312" w:asciiTheme="minorEastAsia" w:hAnsiTheme="minorEastAsia" w:eastAsiaTheme="minorEastAsia"/>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w:t>
      </w:r>
      <w:r>
        <w:rPr>
          <w:rFonts w:cs="仿宋_GB2312" w:asciiTheme="minorEastAsia" w:hAnsiTheme="minorEastAsia"/>
          <w:szCs w:val="21"/>
          <w:lang w:val="zh-CN"/>
        </w:rPr>
        <w:t>评标委员会</w:t>
      </w:r>
      <w:r>
        <w:rPr>
          <w:rFonts w:hint="eastAsia" w:cs="仿宋_GB2312" w:asciiTheme="minorEastAsia" w:hAnsiTheme="minorEastAsia"/>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cs="宋体" w:asciiTheme="majorEastAsia" w:hAnsiTheme="majorEastAsia" w:eastAsiaTheme="majorEastAsia"/>
          <w:kern w:val="0"/>
          <w:sz w:val="32"/>
          <w:szCs w:val="32"/>
        </w:rPr>
      </w:pPr>
      <w:r>
        <w:rPr>
          <w:rFonts w:hint="eastAsia" w:cs="仿宋_GB2312" w:asciiTheme="minorEastAsia" w:hAnsiTheme="minorEastAsia"/>
          <w:szCs w:val="21"/>
          <w:lang w:val="zh-CN"/>
        </w:rPr>
        <w:t>4、</w:t>
      </w:r>
      <w:r>
        <w:rPr>
          <w:rFonts w:cs="仿宋_GB2312" w:asciiTheme="minorEastAsia" w:hAnsiTheme="minorEastAsia"/>
          <w:szCs w:val="21"/>
          <w:lang w:val="zh-CN"/>
        </w:rPr>
        <w:t>确定中标候选人名单，以及根据采购人委托直接确定中标人</w:t>
      </w:r>
      <w:r>
        <w:rPr>
          <w:rFonts w:hint="eastAsia" w:cs="仿宋_GB2312" w:asciiTheme="minorEastAsia" w:hAnsiTheme="minorEastAsia"/>
          <w:szCs w:val="21"/>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6"/>
          <w:szCs w:val="36"/>
        </w:rPr>
      </w:pPr>
      <w:r>
        <w:rPr>
          <w:rFonts w:hint="eastAsia" w:cs="宋体" w:asciiTheme="majorEastAsia" w:hAnsiTheme="majorEastAsia" w:eastAsiaTheme="majorEastAsia"/>
          <w:kern w:val="0"/>
          <w:sz w:val="32"/>
          <w:szCs w:val="32"/>
        </w:rPr>
        <w:t>第七章 合同条款及格式</w:t>
      </w:r>
    </w:p>
    <w:p>
      <w:pPr>
        <w:spacing w:line="360" w:lineRule="auto"/>
        <w:jc w:val="center"/>
        <w:rPr>
          <w:rFonts w:ascii="宋体" w:hAnsi="宋体" w:cs="微软雅黑"/>
          <w:bCs/>
          <w:szCs w:val="21"/>
        </w:rPr>
      </w:pPr>
      <w:r>
        <w:rPr>
          <w:rFonts w:hint="eastAsia" w:ascii="宋体" w:hAnsi="宋体" w:cs="微软雅黑"/>
          <w:bCs/>
          <w:szCs w:val="21"/>
        </w:rPr>
        <w:t>（此合同仅供参考。以最终采购人与中标人签定的合同条款为准进行公示，</w:t>
      </w:r>
    </w:p>
    <w:p>
      <w:pPr>
        <w:spacing w:line="360" w:lineRule="auto"/>
        <w:jc w:val="center"/>
        <w:rPr>
          <w:rFonts w:ascii="宋体" w:hAnsi="宋体" w:cs="微软雅黑"/>
          <w:bCs/>
          <w:szCs w:val="21"/>
        </w:rPr>
      </w:pPr>
      <w:r>
        <w:rPr>
          <w:rFonts w:hint="eastAsia" w:ascii="宋体" w:hAnsi="宋体" w:cs="微软雅黑"/>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tabs>
          <w:tab w:val="left" w:pos="1260"/>
        </w:tabs>
        <w:autoSpaceDE w:val="0"/>
        <w:autoSpaceDN w:val="0"/>
        <w:adjustRightInd w:val="0"/>
        <w:spacing w:line="360" w:lineRule="auto"/>
        <w:contextualSpacing/>
        <w:rPr>
          <w:rFonts w:cs="宋体" w:asciiTheme="majorEastAsia" w:hAnsiTheme="majorEastAsia" w:eastAsiaTheme="majorEastAsia"/>
          <w:kern w:val="0"/>
          <w:sz w:val="32"/>
          <w:szCs w:val="32"/>
        </w:rPr>
      </w:pPr>
    </w:p>
    <w:p>
      <w:pPr>
        <w:pStyle w:val="2"/>
        <w:ind w:left="0" w:leftChars="0" w:firstLine="0" w:firstLineChars="0"/>
        <w:rPr>
          <w:rFonts w:cs="宋体" w:asciiTheme="majorEastAsia" w:hAnsiTheme="majorEastAsia" w:eastAsiaTheme="majorEastAsia"/>
          <w:kern w:val="0"/>
          <w:sz w:val="32"/>
          <w:szCs w:val="32"/>
        </w:rPr>
      </w:pPr>
    </w:p>
    <w:p>
      <w:pPr>
        <w:pStyle w:val="2"/>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numPr>
          <w:ilvl w:val="0"/>
          <w:numId w:val="0"/>
        </w:numPr>
        <w:tabs>
          <w:tab w:val="left" w:pos="1260"/>
        </w:tabs>
        <w:autoSpaceDE w:val="0"/>
        <w:autoSpaceDN w:val="0"/>
        <w:adjustRightInd w:val="0"/>
        <w:spacing w:line="360" w:lineRule="auto"/>
        <w:contextualSpacing/>
        <w:jc w:val="both"/>
        <w:rPr>
          <w:rFonts w:hint="eastAsia" w:ascii="Calibri" w:hAnsi="Calibri" w:eastAsia="宋体" w:cs="Times New Roman"/>
          <w:b/>
          <w:bCs w:val="0"/>
          <w:kern w:val="44"/>
          <w:sz w:val="44"/>
          <w:szCs w:val="20"/>
          <w:lang w:val="en-US" w:eastAsia="zh-CN" w:bidi="ar-SA"/>
        </w:rPr>
      </w:pPr>
    </w:p>
    <w:p>
      <w:pPr>
        <w:numPr>
          <w:ilvl w:val="0"/>
          <w:numId w:val="8"/>
        </w:numPr>
        <w:tabs>
          <w:tab w:val="left" w:pos="1260"/>
        </w:tabs>
        <w:autoSpaceDE w:val="0"/>
        <w:autoSpaceDN w:val="0"/>
        <w:adjustRightInd w:val="0"/>
        <w:spacing w:line="360" w:lineRule="auto"/>
        <w:contextualSpacing/>
        <w:jc w:val="center"/>
        <w:rPr>
          <w:rFonts w:hint="eastAsia" w:ascii="Calibri" w:hAnsi="Calibri" w:eastAsia="宋体" w:cs="Times New Roman"/>
          <w:b/>
          <w:bCs w:val="0"/>
          <w:kern w:val="44"/>
          <w:sz w:val="44"/>
          <w:szCs w:val="20"/>
          <w:lang w:val="en-US" w:eastAsia="zh-CN" w:bidi="ar-SA"/>
        </w:rPr>
      </w:pPr>
      <w:r>
        <w:rPr>
          <w:rFonts w:hint="eastAsia" w:ascii="Calibri" w:hAnsi="Calibri" w:eastAsia="宋体" w:cs="Times New Roman"/>
          <w:b/>
          <w:bCs w:val="0"/>
          <w:kern w:val="44"/>
          <w:sz w:val="44"/>
          <w:szCs w:val="20"/>
          <w:lang w:val="en-US" w:eastAsia="zh-CN" w:bidi="ar-SA"/>
        </w:rPr>
        <w:t>投标文件有关格式</w:t>
      </w: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spacing w:line="1200" w:lineRule="exact"/>
        <w:jc w:val="center"/>
        <w:rPr>
          <w:rFonts w:hint="eastAsia" w:ascii="Calibri" w:hAnsi="Calibri" w:eastAsia="黑体" w:cs="Times New Roman"/>
          <w:sz w:val="72"/>
          <w:szCs w:val="72"/>
        </w:rPr>
      </w:pPr>
    </w:p>
    <w:p>
      <w:pPr>
        <w:spacing w:line="1200" w:lineRule="exact"/>
        <w:jc w:val="center"/>
        <w:rPr>
          <w:rFonts w:hint="eastAsia" w:ascii="Calibri" w:hAnsi="Calibri" w:eastAsia="黑体" w:cs="Times New Roman"/>
          <w:sz w:val="72"/>
          <w:szCs w:val="72"/>
        </w:rPr>
      </w:pPr>
    </w:p>
    <w:p>
      <w:pPr>
        <w:spacing w:line="1200" w:lineRule="exact"/>
        <w:jc w:val="center"/>
        <w:rPr>
          <w:rFonts w:ascii="Calibri" w:hAnsi="Calibri" w:eastAsia="黑体" w:cs="Times New Roman"/>
          <w:sz w:val="72"/>
          <w:szCs w:val="72"/>
        </w:rPr>
      </w:pPr>
      <w:r>
        <w:rPr>
          <w:rFonts w:hint="eastAsia" w:ascii="Calibri" w:hAnsi="Calibri" w:eastAsia="黑体" w:cs="Times New Roman"/>
          <w:sz w:val="72"/>
          <w:szCs w:val="72"/>
        </w:rPr>
        <w:t>建安区</w:t>
      </w:r>
      <w:r>
        <w:rPr>
          <w:rFonts w:ascii="Calibri" w:hAnsi="Calibri" w:eastAsia="黑体" w:cs="Times New Roman"/>
          <w:sz w:val="72"/>
          <w:szCs w:val="72"/>
        </w:rPr>
        <w:t>政府采购</w:t>
      </w:r>
    </w:p>
    <w:p>
      <w:pPr>
        <w:jc w:val="center"/>
        <w:rPr>
          <w:rFonts w:ascii="Calibri" w:hAnsi="Calibri" w:eastAsia="黑体" w:cs="Times New Roman"/>
          <w:sz w:val="72"/>
          <w:szCs w:val="72"/>
        </w:rPr>
      </w:pP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投</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标</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文</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件</w:t>
      </w:r>
    </w:p>
    <w:p>
      <w:pPr>
        <w:jc w:val="center"/>
        <w:rPr>
          <w:rFonts w:ascii="Calibri" w:hAnsi="Calibri" w:eastAsia="黑体" w:cs="Times New Roman"/>
          <w:sz w:val="28"/>
          <w:szCs w:val="28"/>
        </w:rPr>
      </w:pPr>
    </w:p>
    <w:p>
      <w:pPr>
        <w:jc w:val="center"/>
        <w:rPr>
          <w:rFonts w:ascii="Calibri" w:hAnsi="Calibri" w:eastAsia="黑体" w:cs="Times New Roman"/>
          <w:sz w:val="52"/>
          <w:szCs w:val="52"/>
        </w:rPr>
      </w:pPr>
      <w:r>
        <w:rPr>
          <w:rFonts w:ascii="Calibri" w:hAnsi="Calibri" w:eastAsia="黑体" w:cs="Times New Roman"/>
          <w:sz w:val="52"/>
          <w:szCs w:val="52"/>
        </w:rPr>
        <w:t>（正本/副本）</w:t>
      </w:r>
    </w:p>
    <w:p>
      <w:pPr>
        <w:jc w:val="center"/>
        <w:rPr>
          <w:rFonts w:ascii="Calibri" w:hAnsi="Calibri" w:eastAsia="黑体" w:cs="Times New Roman"/>
          <w:sz w:val="44"/>
          <w:szCs w:val="44"/>
        </w:rPr>
      </w:pPr>
    </w:p>
    <w:p>
      <w:pPr>
        <w:ind w:firstLine="440" w:firstLineChars="100"/>
        <w:rPr>
          <w:rFonts w:ascii="Calibri" w:hAnsi="Calibri" w:eastAsia="黑体" w:cs="Times New Roman"/>
          <w:sz w:val="44"/>
          <w:szCs w:val="44"/>
        </w:rPr>
      </w:pPr>
      <w:r>
        <w:rPr>
          <w:rFonts w:ascii="Calibri" w:hAnsi="Calibri" w:eastAsia="黑体" w:cs="Times New Roman"/>
          <w:sz w:val="44"/>
          <w:szCs w:val="44"/>
        </w:rPr>
        <w:t xml:space="preserve">项目编号： </w:t>
      </w:r>
    </w:p>
    <w:p>
      <w:pPr>
        <w:tabs>
          <w:tab w:val="center" w:pos="5039"/>
        </w:tabs>
        <w:ind w:firstLine="440" w:firstLineChars="100"/>
        <w:rPr>
          <w:rFonts w:ascii="Calibri" w:hAnsi="Calibri" w:eastAsia="黑体" w:cs="Times New Roman"/>
          <w:sz w:val="44"/>
          <w:szCs w:val="44"/>
        </w:rPr>
      </w:pPr>
      <w:r>
        <w:rPr>
          <w:rFonts w:ascii="Calibri" w:hAnsi="Calibri" w:eastAsia="黑体" w:cs="Times New Roman"/>
          <w:sz w:val="44"/>
          <w:szCs w:val="44"/>
        </w:rPr>
        <w:t>项目名称：</w:t>
      </w:r>
      <w:r>
        <w:rPr>
          <w:rFonts w:ascii="Calibri" w:hAnsi="Calibri" w:eastAsia="黑体" w:cs="Times New Roman"/>
          <w:sz w:val="44"/>
          <w:szCs w:val="44"/>
        </w:rPr>
        <w:tab/>
      </w:r>
    </w:p>
    <w:p>
      <w:pPr>
        <w:rPr>
          <w:rFonts w:ascii="Calibri" w:hAnsi="Calibri" w:eastAsia="黑体" w:cs="Times New Roman"/>
          <w:sz w:val="44"/>
          <w:szCs w:val="44"/>
        </w:rPr>
      </w:pPr>
      <w:r>
        <w:rPr>
          <w:rFonts w:ascii="Calibri" w:hAnsi="Calibri" w:eastAsia="黑体" w:cs="Times New Roman"/>
          <w:sz w:val="44"/>
          <w:szCs w:val="44"/>
        </w:rPr>
        <w:t xml:space="preserve">  投标单位：</w:t>
      </w:r>
    </w:p>
    <w:p>
      <w:pPr>
        <w:jc w:val="center"/>
        <w:rPr>
          <w:rFonts w:ascii="Calibri" w:hAnsi="Calibri" w:eastAsia="黑体" w:cs="Times New Roman"/>
          <w:sz w:val="44"/>
          <w:szCs w:val="44"/>
        </w:rPr>
      </w:pPr>
      <w:r>
        <w:rPr>
          <w:rFonts w:ascii="Calibri" w:hAnsi="Calibri" w:eastAsia="黑体" w:cs="Times New Roman"/>
          <w:sz w:val="44"/>
          <w:szCs w:val="44"/>
        </w:rPr>
        <w:t>（盖章）</w:t>
      </w:r>
    </w:p>
    <w:p>
      <w:pPr>
        <w:pStyle w:val="13"/>
        <w:spacing w:line="360" w:lineRule="auto"/>
        <w:rPr>
          <w:rFonts w:asciiTheme="majorEastAsia" w:hAnsiTheme="majorEastAsia" w:eastAsiaTheme="majorEastAsia"/>
          <w:snapToGrid w:val="0"/>
          <w:kern w:val="0"/>
          <w:sz w:val="28"/>
          <w:szCs w:val="28"/>
        </w:rPr>
      </w:pPr>
    </w:p>
    <w:p>
      <w:pPr>
        <w:pStyle w:val="13"/>
        <w:spacing w:line="360" w:lineRule="auto"/>
        <w:rPr>
          <w:rFonts w:asciiTheme="majorEastAsia" w:hAnsiTheme="majorEastAsia" w:eastAsiaTheme="majorEastAsia"/>
          <w:snapToGrid w:val="0"/>
          <w:kern w:val="0"/>
          <w:sz w:val="28"/>
          <w:szCs w:val="28"/>
        </w:rPr>
      </w:pPr>
    </w:p>
    <w:p>
      <w:pPr>
        <w:pStyle w:val="13"/>
        <w:spacing w:line="360" w:lineRule="auto"/>
        <w:jc w:val="center"/>
        <w:rPr>
          <w:rFonts w:hint="eastAsia" w:asciiTheme="majorEastAsia" w:hAnsiTheme="majorEastAsia" w:eastAsiaTheme="majorEastAsia"/>
          <w:snapToGrid w:val="0"/>
          <w:color w:val="0C0C0C" w:themeColor="text1" w:themeTint="F2"/>
          <w:kern w:val="0"/>
          <w:sz w:val="28"/>
          <w:szCs w:val="28"/>
        </w:rPr>
      </w:pPr>
    </w:p>
    <w:p>
      <w:pPr>
        <w:pStyle w:val="13"/>
        <w:spacing w:line="360" w:lineRule="auto"/>
        <w:jc w:val="center"/>
        <w:rPr>
          <w:rFonts w:asciiTheme="majorEastAsia" w:hAnsiTheme="majorEastAsia" w:eastAsiaTheme="majorEastAsia"/>
          <w:snapToGrid w:val="0"/>
          <w:color w:val="0C0C0C" w:themeColor="text1" w:themeTint="F2"/>
          <w:kern w:val="0"/>
          <w:sz w:val="28"/>
          <w:szCs w:val="28"/>
        </w:rPr>
      </w:pPr>
      <w:r>
        <w:rPr>
          <w:rFonts w:hint="eastAsia" w:asciiTheme="majorEastAsia" w:hAnsiTheme="majorEastAsia" w:eastAsiaTheme="majorEastAsia"/>
          <w:snapToGrid w:val="0"/>
          <w:color w:val="0C0C0C" w:themeColor="text1" w:themeTint="F2"/>
          <w:kern w:val="0"/>
          <w:sz w:val="28"/>
          <w:szCs w:val="28"/>
        </w:rPr>
        <w:t>一、开标一览表</w:t>
      </w:r>
    </w:p>
    <w:p>
      <w:pPr>
        <w:pStyle w:val="13"/>
        <w:spacing w:line="360" w:lineRule="auto"/>
        <w:jc w:val="center"/>
        <w:rPr>
          <w:rFonts w:asciiTheme="majorEastAsia" w:hAnsiTheme="majorEastAsia" w:eastAsiaTheme="majorEastAsia"/>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p>
    <w:tbl>
      <w:tblPr>
        <w:tblStyle w:val="25"/>
        <w:tblW w:w="9488" w:type="dxa"/>
        <w:tblInd w:w="0" w:type="dxa"/>
        <w:tblLayout w:type="fixed"/>
        <w:tblCellMar>
          <w:top w:w="0" w:type="dxa"/>
          <w:left w:w="108" w:type="dxa"/>
          <w:bottom w:w="0" w:type="dxa"/>
          <w:right w:w="108" w:type="dxa"/>
        </w:tblCellMar>
      </w:tblPr>
      <w:tblGrid>
        <w:gridCol w:w="700"/>
        <w:gridCol w:w="1636"/>
        <w:gridCol w:w="2050"/>
        <w:gridCol w:w="2472"/>
        <w:gridCol w:w="1525"/>
        <w:gridCol w:w="1105"/>
      </w:tblGrid>
      <w:tr>
        <w:tblPrEx>
          <w:tblLayout w:type="fixed"/>
          <w:tblCellMar>
            <w:top w:w="0" w:type="dxa"/>
            <w:left w:w="108" w:type="dxa"/>
            <w:bottom w:w="0" w:type="dxa"/>
            <w:right w:w="108" w:type="dxa"/>
          </w:tblCellMar>
        </w:tblPrEx>
        <w:trPr>
          <w:trHeight w:val="851" w:hRule="atLeast"/>
        </w:trPr>
        <w:tc>
          <w:tcPr>
            <w:tcW w:w="7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标段</w:t>
            </w:r>
          </w:p>
        </w:tc>
        <w:tc>
          <w:tcPr>
            <w:tcW w:w="163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项目名称</w:t>
            </w:r>
          </w:p>
        </w:tc>
        <w:tc>
          <w:tcPr>
            <w:tcW w:w="20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投标报价</w:t>
            </w:r>
          </w:p>
        </w:tc>
        <w:tc>
          <w:tcPr>
            <w:tcW w:w="247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eastAsia" w:cs="宋体" w:asciiTheme="minorEastAsia" w:hAnsiTheme="minorEastAsia"/>
                <w:szCs w:val="21"/>
                <w:lang w:val="zh-CN"/>
              </w:rPr>
            </w:pPr>
            <w:r>
              <w:rPr>
                <w:rFonts w:hint="eastAsia" w:cs="宋体" w:asciiTheme="minorEastAsia" w:hAnsiTheme="minorEastAsia"/>
                <w:szCs w:val="21"/>
                <w:lang w:val="en-US" w:eastAsia="zh-CN"/>
              </w:rPr>
              <w:t>投标</w:t>
            </w:r>
            <w:r>
              <w:rPr>
                <w:rFonts w:hint="eastAsia" w:cs="宋体" w:asciiTheme="minorEastAsia" w:hAnsiTheme="minorEastAsia"/>
                <w:szCs w:val="21"/>
                <w:lang w:val="zh-CN"/>
              </w:rPr>
              <w:t>报价承诺</w:t>
            </w:r>
          </w:p>
          <w:p>
            <w:pPr>
              <w:autoSpaceDE w:val="0"/>
              <w:autoSpaceDN w:val="0"/>
              <w:adjustRightInd w:val="0"/>
              <w:spacing w:line="48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（响应或不响应招标文件要求）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服务期限</w:t>
            </w:r>
          </w:p>
        </w:tc>
        <w:tc>
          <w:tcPr>
            <w:tcW w:w="110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备注</w:t>
            </w:r>
          </w:p>
        </w:tc>
      </w:tr>
      <w:tr>
        <w:tblPrEx>
          <w:tblLayout w:type="fixed"/>
          <w:tblCellMar>
            <w:top w:w="0" w:type="dxa"/>
            <w:left w:w="108" w:type="dxa"/>
            <w:bottom w:w="0" w:type="dxa"/>
            <w:right w:w="108" w:type="dxa"/>
          </w:tblCellMar>
        </w:tblPrEx>
        <w:trPr>
          <w:trHeight w:val="851" w:hRule="atLeast"/>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6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　　　　　</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Cs w:val="21"/>
                <w:lang w:val="zh-CN"/>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cs="宋体" w:asciiTheme="minorEastAsia" w:hAnsiTheme="minorEastAsia" w:eastAsiaTheme="minorEastAsia"/>
                <w:szCs w:val="21"/>
                <w:lang w:val="en-US" w:eastAsia="zh-CN"/>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hint="eastAsia" w:cs="宋体" w:asciiTheme="minorEastAsia" w:hAnsiTheme="minorEastAsia" w:eastAsiaTheme="minorEastAsia"/>
          <w:szCs w:val="21"/>
          <w:lang w:val="zh-CN" w:eastAsia="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en-US" w:eastAsia="zh-CN"/>
        </w:rPr>
        <w:t>日</w:t>
      </w:r>
    </w:p>
    <w:p>
      <w:pPr>
        <w:autoSpaceDE w:val="0"/>
        <w:autoSpaceDN w:val="0"/>
        <w:adjustRightInd w:val="0"/>
        <w:spacing w:line="360" w:lineRule="auto"/>
        <w:rPr>
          <w:rFonts w:hint="eastAsia" w:ascii="仿宋_GB2312" w:hAnsi="宋体" w:eastAsia="仿宋_GB2312"/>
          <w:sz w:val="24"/>
          <w:szCs w:val="24"/>
          <w:lang w:eastAsia="zh-CN"/>
        </w:rPr>
      </w:pPr>
      <w:r>
        <w:rPr>
          <w:rFonts w:hint="eastAsia" w:ascii="宋体" w:hAnsi="宋体"/>
          <w:b/>
          <w:bCs/>
          <w:sz w:val="30"/>
          <w:szCs w:val="30"/>
          <w:lang w:val="zh-CN"/>
        </w:rPr>
        <w:t>说明：</w:t>
      </w:r>
      <w:r>
        <w:rPr>
          <w:rFonts w:hint="eastAsia" w:ascii="仿宋_GB2312" w:hAnsi="宋体" w:eastAsia="仿宋_GB2312"/>
          <w:bCs/>
          <w:sz w:val="24"/>
          <w:szCs w:val="24"/>
          <w:lang w:val="zh-CN"/>
        </w:rPr>
        <w:t>1、</w:t>
      </w:r>
      <w:r>
        <w:rPr>
          <w:rFonts w:hint="eastAsia" w:ascii="仿宋_GB2312" w:hAnsi="宋体" w:eastAsia="仿宋_GB2312"/>
          <w:bCs/>
          <w:sz w:val="24"/>
          <w:szCs w:val="24"/>
          <w:lang w:val="en-US" w:eastAsia="zh-CN"/>
        </w:rPr>
        <w:t>日期后</w:t>
      </w:r>
      <w:r>
        <w:rPr>
          <w:rFonts w:hint="eastAsia" w:ascii="仿宋_GB2312" w:hAnsi="宋体" w:eastAsia="仿宋_GB2312"/>
          <w:bCs/>
          <w:sz w:val="24"/>
          <w:szCs w:val="24"/>
          <w:lang w:val="zh-CN"/>
        </w:rPr>
        <w:t>“</w:t>
      </w:r>
      <w:r>
        <w:rPr>
          <w:rFonts w:hint="eastAsia" w:ascii="仿宋_GB2312" w:hAnsi="宋体" w:eastAsia="仿宋_GB2312"/>
          <w:bCs/>
          <w:sz w:val="24"/>
          <w:szCs w:val="24"/>
          <w:lang w:val="en-US" w:eastAsia="zh-CN"/>
        </w:rPr>
        <w:t>年</w:t>
      </w:r>
      <w:r>
        <w:rPr>
          <w:rFonts w:hint="eastAsia" w:ascii="仿宋_GB2312" w:hAnsi="宋体" w:eastAsia="仿宋_GB2312"/>
          <w:bCs/>
          <w:sz w:val="24"/>
          <w:szCs w:val="24"/>
          <w:lang w:val="zh-CN"/>
        </w:rPr>
        <w:t>”</w:t>
      </w:r>
      <w:r>
        <w:rPr>
          <w:rFonts w:hint="eastAsia" w:ascii="仿宋_GB2312" w:hAnsi="宋体" w:eastAsia="仿宋_GB2312"/>
          <w:sz w:val="24"/>
          <w:szCs w:val="24"/>
        </w:rPr>
        <w:t>一栏为报价型须在“年”前面填写相应的阿拉伯数字</w:t>
      </w:r>
      <w:r>
        <w:rPr>
          <w:rFonts w:hint="eastAsia" w:ascii="仿宋_GB2312" w:hAnsi="宋体" w:eastAsia="仿宋_GB2312"/>
          <w:sz w:val="24"/>
          <w:szCs w:val="24"/>
          <w:lang w:eastAsia="zh-CN"/>
        </w:rPr>
        <w:t>。</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hint="eastAsia" w:cs="黑体" w:asciiTheme="minorEastAsia" w:hAnsiTheme="minorEastAsia"/>
          <w:bCs/>
          <w:sz w:val="28"/>
          <w:szCs w:val="28"/>
          <w:lang w:val="zh-CN"/>
        </w:rPr>
      </w:pPr>
    </w:p>
    <w:p>
      <w:pPr>
        <w:pStyle w:val="2"/>
        <w:rPr>
          <w:rFonts w:hint="eastAsia" w:cs="黑体" w:asciiTheme="minorEastAsia" w:hAnsiTheme="minorEastAsia"/>
          <w:bCs/>
          <w:sz w:val="28"/>
          <w:szCs w:val="28"/>
          <w:lang w:val="zh-CN"/>
        </w:rPr>
      </w:pPr>
    </w:p>
    <w:p>
      <w:pPr>
        <w:pStyle w:val="2"/>
        <w:ind w:left="0" w:leftChars="0" w:firstLine="0" w:firstLineChars="0"/>
        <w:rPr>
          <w:rFonts w:hint="eastAsia" w:cs="黑体" w:asciiTheme="minorEastAsia" w:hAnsiTheme="minorEastAsia"/>
          <w:bCs/>
          <w:sz w:val="28"/>
          <w:szCs w:val="28"/>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二、资格审查证明材料</w:t>
      </w:r>
    </w:p>
    <w:p>
      <w:pPr>
        <w:pStyle w:val="13"/>
        <w:spacing w:line="360" w:lineRule="auto"/>
        <w:jc w:val="center"/>
        <w:rPr>
          <w:rFonts w:asciiTheme="majorEastAsia" w:hAnsiTheme="majorEastAsia" w:eastAsiaTheme="majorEastAsia"/>
          <w:snapToGrid w:val="0"/>
          <w:kern w:val="0"/>
          <w:szCs w:val="24"/>
        </w:rPr>
      </w:pPr>
      <w:r>
        <w:rPr>
          <w:rFonts w:hint="eastAsia" w:asciiTheme="majorEastAsia" w:hAnsiTheme="majorEastAsia" w:eastAsiaTheme="majorEastAsia"/>
          <w:snapToGrid w:val="0"/>
          <w:kern w:val="0"/>
          <w:szCs w:val="24"/>
        </w:rPr>
        <w:t>2.1 投 标 函</w:t>
      </w:r>
    </w:p>
    <w:p>
      <w:pPr>
        <w:pStyle w:val="13"/>
        <w:spacing w:line="360" w:lineRule="auto"/>
        <w:jc w:val="center"/>
        <w:rPr>
          <w:rFonts w:asciiTheme="majorEastAsia" w:hAnsiTheme="majorEastAsia" w:eastAsiaTheme="majorEastAsia"/>
          <w:snapToGrid w:val="0"/>
          <w:kern w:val="0"/>
          <w:sz w:val="28"/>
          <w:szCs w:val="28"/>
        </w:rPr>
      </w:pPr>
    </w:p>
    <w:p>
      <w:pPr>
        <w:adjustRightInd w:val="0"/>
        <w:spacing w:line="360" w:lineRule="auto"/>
        <w:contextualSpacing/>
        <w:rPr>
          <w:rFonts w:asciiTheme="minorEastAsia" w:hAnsiTheme="minorEastAsia"/>
          <w:snapToGrid w:val="0"/>
          <w:kern w:val="0"/>
          <w:szCs w:val="21"/>
        </w:rPr>
      </w:pPr>
      <w:r>
        <w:rPr>
          <w:rFonts w:hint="eastAsia" w:asciiTheme="minorEastAsia" w:hAnsiTheme="minorEastAsia"/>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jc w:val="right"/>
        <w:rPr>
          <w:rFonts w:cs="宋体" w:asciiTheme="minorEastAsia" w:hAnsiTheme="minorEastAsia"/>
          <w:szCs w:val="21"/>
        </w:rPr>
      </w:pPr>
    </w:p>
    <w:p>
      <w:pPr>
        <w:adjustRightInd w:val="0"/>
        <w:snapToGrid w:val="0"/>
        <w:spacing w:line="360" w:lineRule="auto"/>
        <w:jc w:val="right"/>
        <w:rPr>
          <w:rFonts w:cs="宋体" w:asciiTheme="minorEastAsia" w:hAnsiTheme="minorEastAsia"/>
          <w:szCs w:val="21"/>
        </w:rPr>
      </w:pPr>
      <w:r>
        <w:rPr>
          <w:rFonts w:hint="eastAsia" w:cs="宋体" w:asciiTheme="minorEastAsia" w:hAnsiTheme="minorEastAsia"/>
          <w:szCs w:val="21"/>
        </w:rPr>
        <w:t>日期：    年    月    日</w:t>
      </w:r>
    </w:p>
    <w:p>
      <w:pPr>
        <w:pStyle w:val="2"/>
        <w:ind w:left="0" w:leftChars="0" w:firstLine="0" w:firstLineChars="0"/>
        <w:rPr>
          <w:rFonts w:hint="eastAsia" w:asciiTheme="majorEastAsia" w:hAnsiTheme="majorEastAsia" w:eastAsiaTheme="majorEastAsia"/>
          <w:bCs/>
          <w:color w:val="000000"/>
          <w:sz w:val="24"/>
          <w:szCs w:val="24"/>
        </w:rPr>
      </w:pPr>
    </w:p>
    <w:p>
      <w:pPr>
        <w:pStyle w:val="2"/>
        <w:rPr>
          <w:rFonts w:hint="eastAsia" w:asciiTheme="majorEastAsia" w:hAnsiTheme="majorEastAsia" w:eastAsiaTheme="majorEastAsia"/>
          <w:bCs/>
          <w:color w:val="000000"/>
          <w:sz w:val="24"/>
          <w:szCs w:val="24"/>
        </w:rPr>
      </w:pPr>
    </w:p>
    <w:p>
      <w:pPr>
        <w:spacing w:line="480" w:lineRule="exact"/>
        <w:jc w:val="center"/>
        <w:rPr>
          <w:rFonts w:hint="eastAsia" w:asciiTheme="majorEastAsia" w:hAnsiTheme="majorEastAsia" w:eastAsiaTheme="majorEastAsia"/>
          <w:bCs/>
          <w:color w:val="000000"/>
          <w:sz w:val="24"/>
          <w:szCs w:val="24"/>
        </w:rPr>
      </w:pPr>
    </w:p>
    <w:p>
      <w:pPr>
        <w:spacing w:line="480" w:lineRule="exact"/>
        <w:jc w:val="center"/>
        <w:rPr>
          <w:rFonts w:hint="eastAsia" w:asciiTheme="majorEastAsia" w:hAnsiTheme="majorEastAsia" w:eastAsiaTheme="majorEastAsia"/>
          <w:bCs/>
          <w:color w:val="000000"/>
          <w:sz w:val="24"/>
          <w:szCs w:val="24"/>
        </w:rPr>
      </w:pPr>
    </w:p>
    <w:p>
      <w:pPr>
        <w:spacing w:line="480" w:lineRule="exact"/>
        <w:jc w:val="center"/>
        <w:rPr>
          <w:rFonts w:asciiTheme="majorEastAsia" w:hAnsiTheme="majorEastAsia" w:eastAsiaTheme="majorEastAsia"/>
          <w:bCs/>
          <w:color w:val="000000"/>
          <w:sz w:val="24"/>
          <w:szCs w:val="24"/>
        </w:rPr>
      </w:pPr>
      <w:r>
        <w:rPr>
          <w:rFonts w:hint="eastAsia" w:asciiTheme="majorEastAsia" w:hAnsiTheme="majorEastAsia" w:eastAsiaTheme="majorEastAsia"/>
          <w:bCs/>
          <w:color w:val="000000"/>
          <w:sz w:val="24"/>
          <w:szCs w:val="24"/>
        </w:rPr>
        <w:t>2.2 法定代表人</w:t>
      </w:r>
      <w:r>
        <w:rPr>
          <w:rFonts w:asciiTheme="majorEastAsia" w:hAnsiTheme="majorEastAsia" w:eastAsiaTheme="majorEastAsia"/>
          <w:bCs/>
          <w:color w:val="000000"/>
          <w:sz w:val="24"/>
          <w:szCs w:val="24"/>
        </w:rPr>
        <w:t>资</w:t>
      </w:r>
      <w:r>
        <w:rPr>
          <w:rFonts w:hint="eastAsia" w:asciiTheme="majorEastAsia" w:hAnsiTheme="majorEastAsia" w:eastAsiaTheme="majorEastAsia"/>
          <w:bCs/>
          <w:color w:val="000000"/>
          <w:sz w:val="24"/>
          <w:szCs w:val="24"/>
        </w:rPr>
        <w:t>格</w:t>
      </w:r>
      <w:r>
        <w:rPr>
          <w:rFonts w:asciiTheme="majorEastAsia" w:hAnsiTheme="majorEastAsia" w:eastAsiaTheme="majorEastAsia"/>
          <w:bCs/>
          <w:color w:val="000000"/>
          <w:sz w:val="24"/>
          <w:szCs w:val="24"/>
        </w:rPr>
        <w:t>证</w:t>
      </w:r>
      <w:r>
        <w:rPr>
          <w:rFonts w:hint="eastAsia" w:asciiTheme="majorEastAsia" w:hAnsiTheme="majorEastAsia" w:eastAsiaTheme="majorEastAsia"/>
          <w:bCs/>
          <w:color w:val="000000"/>
          <w:sz w:val="24"/>
          <w:szCs w:val="24"/>
        </w:rPr>
        <w:t>明</w:t>
      </w:r>
      <w:r>
        <w:rPr>
          <w:rFonts w:asciiTheme="majorEastAsia" w:hAnsiTheme="majorEastAsia" w:eastAsiaTheme="majorEastAsia"/>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宋体" w:hAnsi="宋体"/>
          <w:bCs/>
          <w:color w:val="000000"/>
          <w:sz w:val="24"/>
          <w:szCs w:val="24"/>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hint="eastAsia" w:ascii="宋体" w:hAnsi="宋体"/>
          <w:bCs/>
          <w:color w:val="000000"/>
          <w:sz w:val="24"/>
          <w:szCs w:val="24"/>
        </w:rPr>
      </w:pPr>
    </w:p>
    <w:p>
      <w:pPr>
        <w:spacing w:line="480" w:lineRule="exact"/>
        <w:jc w:val="center"/>
        <w:rPr>
          <w:rFonts w:ascii="宋体" w:hAnsi="宋体"/>
          <w:bCs/>
          <w:color w:val="000000"/>
          <w:sz w:val="24"/>
          <w:szCs w:val="24"/>
        </w:rPr>
      </w:pPr>
      <w:r>
        <w:rPr>
          <w:rFonts w:hint="eastAsia" w:ascii="宋体" w:hAnsi="宋体"/>
          <w:bCs/>
          <w:color w:val="000000"/>
          <w:sz w:val="24"/>
          <w:szCs w:val="24"/>
        </w:rPr>
        <w:t>2.3 法定代表人授权书</w:t>
      </w:r>
    </w:p>
    <w:p>
      <w:pPr>
        <w:spacing w:line="480" w:lineRule="exact"/>
        <w:jc w:val="center"/>
        <w:rPr>
          <w:rFonts w:ascii="宋体" w:hAnsi="宋体"/>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 w:name="_资格证明文件"/>
            <w:bookmarkEnd w:id="1"/>
            <w:bookmarkStart w:id="2" w:name="_Toc364329026"/>
            <w:r>
              <w:rPr>
                <w:rFonts w:hint="eastAsia" w:asciiTheme="minorEastAsia" w:hAnsiTheme="minorEastAsia"/>
                <w:szCs w:val="21"/>
              </w:rPr>
              <w:t>法定代表人授权代表身份证（正面）</w:t>
            </w:r>
            <w:bookmarkEnd w:id="2"/>
          </w:p>
        </w:tc>
        <w:tc>
          <w:tcPr>
            <w:tcW w:w="4492" w:type="dxa"/>
            <w:gridSpan w:val="2"/>
            <w:vAlign w:val="center"/>
          </w:tcPr>
          <w:p>
            <w:pPr>
              <w:jc w:val="center"/>
              <w:rPr>
                <w:rFonts w:asciiTheme="minorEastAsia" w:hAnsiTheme="minorEastAsia"/>
                <w:szCs w:val="21"/>
              </w:rPr>
            </w:pPr>
            <w:bookmarkStart w:id="3" w:name="_Toc364329027"/>
            <w:r>
              <w:rPr>
                <w:rFonts w:hint="eastAsia" w:asciiTheme="minorEastAsia" w:hAnsiTheme="minorEastAsia"/>
                <w:szCs w:val="21"/>
              </w:rPr>
              <w:t>法定代表人授权代表身份证（反面）</w:t>
            </w:r>
            <w:bookmarkEnd w:id="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int="eastAsia" w:ascii="宋体" w:hAnsi="宋体"/>
          <w:bCs/>
          <w:color w:val="000000"/>
          <w:sz w:val="24"/>
          <w:szCs w:val="24"/>
        </w:rPr>
      </w:pPr>
    </w:p>
    <w:p>
      <w:pPr>
        <w:widowControl/>
        <w:spacing w:before="100" w:beforeAutospacing="1" w:after="100" w:afterAutospacing="1" w:line="360" w:lineRule="auto"/>
        <w:jc w:val="center"/>
        <w:rPr>
          <w:rFonts w:ascii="宋体" w:hAnsi="宋体"/>
          <w:bCs/>
          <w:color w:val="000000"/>
          <w:sz w:val="24"/>
          <w:szCs w:val="24"/>
        </w:rPr>
      </w:pPr>
      <w:r>
        <w:rPr>
          <w:rFonts w:hint="eastAsia" w:ascii="宋体" w:hAnsi="宋体"/>
          <w:bCs/>
          <w:color w:val="000000"/>
          <w:sz w:val="24"/>
          <w:szCs w:val="24"/>
        </w:rPr>
        <w:t>2.4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2.5 投标保证金</w:t>
      </w: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（注：开标现场单独提供一份“许昌市建安区公共资源交易中心保证金缴纳回执”以备查询）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hint="eastAsia" w:cs="宋体" w:asciiTheme="minorEastAsia" w:hAnsiTheme="minorEastAsia"/>
          <w:sz w:val="24"/>
          <w:szCs w:val="24"/>
          <w:lang w:val="en-US" w:eastAsia="zh-CN"/>
        </w:rPr>
      </w:pPr>
    </w:p>
    <w:p>
      <w:pPr>
        <w:autoSpaceDE w:val="0"/>
        <w:autoSpaceDN w:val="0"/>
        <w:adjustRightInd w:val="0"/>
        <w:spacing w:line="360" w:lineRule="auto"/>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2.6 企业实力</w:t>
      </w:r>
    </w:p>
    <w:p>
      <w:pPr>
        <w:autoSpaceDE w:val="0"/>
        <w:autoSpaceDN w:val="0"/>
        <w:adjustRightInd w:val="0"/>
        <w:spacing w:line="360" w:lineRule="auto"/>
        <w:outlineLvl w:val="0"/>
        <w:rPr>
          <w:rFonts w:ascii="宋体" w:cs="宋体"/>
          <w:sz w:val="24"/>
          <w:lang w:val="zh-CN"/>
        </w:rPr>
      </w:pPr>
    </w:p>
    <w:p>
      <w:pPr>
        <w:pStyle w:val="2"/>
        <w:rPr>
          <w:lang w:val="zh-CN"/>
        </w:rPr>
      </w:pPr>
    </w:p>
    <w:p>
      <w:pPr>
        <w:pStyle w:val="2"/>
        <w:rPr>
          <w:lang w:val="zh-CN"/>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2.</w:t>
      </w:r>
      <w:r>
        <w:rPr>
          <w:rFonts w:hint="eastAsia" w:ascii="宋体" w:hAnsi="宋体"/>
          <w:bCs/>
          <w:color w:val="000000"/>
          <w:sz w:val="24"/>
          <w:szCs w:val="24"/>
          <w:lang w:val="en-US" w:eastAsia="zh-CN"/>
        </w:rPr>
        <w:t>7</w:t>
      </w:r>
      <w:r>
        <w:rPr>
          <w:rFonts w:hint="eastAsia" w:ascii="宋体" w:hAnsi="宋体"/>
          <w:bCs/>
          <w:color w:val="000000"/>
          <w:sz w:val="24"/>
          <w:szCs w:val="24"/>
        </w:rPr>
        <w:t xml:space="preserve">其他资格证书或材料 </w:t>
      </w: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both"/>
        <w:rPr>
          <w:rFonts w:cs="黑体" w:asciiTheme="minorEastAsia" w:hAnsiTheme="minorEastAsia"/>
          <w:bCs/>
          <w:sz w:val="44"/>
          <w:szCs w:val="44"/>
          <w:lang w:val="zh-CN"/>
        </w:rPr>
      </w:pPr>
    </w:p>
    <w:p>
      <w:pPr>
        <w:autoSpaceDE w:val="0"/>
        <w:autoSpaceDN w:val="0"/>
        <w:adjustRightInd w:val="0"/>
        <w:spacing w:line="360" w:lineRule="auto"/>
        <w:jc w:val="both"/>
        <w:rPr>
          <w:rFonts w:cs="黑体" w:asciiTheme="minorEastAsia" w:hAnsiTheme="minorEastAsia"/>
          <w:bCs/>
          <w:sz w:val="44"/>
          <w:szCs w:val="44"/>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三、符合性审查证明材料</w:t>
      </w: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both"/>
        <w:outlineLvl w:val="0"/>
        <w:rPr>
          <w:rFonts w:ascii="宋体" w:hAnsi="宋体"/>
          <w:bCs/>
          <w:color w:val="000000"/>
          <w:sz w:val="24"/>
          <w:szCs w:val="24"/>
        </w:rPr>
      </w:pPr>
    </w:p>
    <w:p>
      <w:pPr>
        <w:pStyle w:val="2"/>
        <w:rPr>
          <w:rFonts w:ascii="宋体" w:hAnsi="宋体"/>
          <w:bCs/>
          <w:color w:val="000000"/>
          <w:sz w:val="24"/>
          <w:szCs w:val="24"/>
        </w:rPr>
      </w:pPr>
    </w:p>
    <w:p>
      <w:pPr>
        <w:pStyle w:val="2"/>
        <w:rPr>
          <w:rFonts w:ascii="宋体" w:hAnsi="宋体"/>
          <w:bCs/>
          <w:color w:val="000000"/>
          <w:sz w:val="24"/>
          <w:szCs w:val="24"/>
        </w:rPr>
      </w:pPr>
    </w:p>
    <w:p>
      <w:pPr>
        <w:pStyle w:val="2"/>
        <w:rPr>
          <w:rFonts w:ascii="宋体" w:hAnsi="宋体"/>
          <w:bCs/>
          <w:color w:val="000000"/>
          <w:sz w:val="24"/>
          <w:szCs w:val="24"/>
        </w:rPr>
      </w:pPr>
    </w:p>
    <w:p>
      <w:pPr>
        <w:pStyle w:val="2"/>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r>
        <w:rPr>
          <w:rFonts w:hint="eastAsia" w:ascii="宋体" w:hAnsi="宋体"/>
          <w:bCs/>
          <w:color w:val="000000"/>
          <w:sz w:val="24"/>
          <w:szCs w:val="24"/>
        </w:rPr>
        <w:t>3.1本项目</w:t>
      </w:r>
      <w:r>
        <w:rPr>
          <w:rFonts w:hint="eastAsia" w:ascii="宋体" w:hAnsi="宋体"/>
          <w:bCs/>
          <w:color w:val="000000"/>
          <w:sz w:val="24"/>
          <w:szCs w:val="24"/>
          <w:lang w:eastAsia="zh-CN"/>
        </w:rPr>
        <w:t>组成</w:t>
      </w:r>
      <w:r>
        <w:rPr>
          <w:rFonts w:hint="eastAsia" w:ascii="宋体" w:hAnsi="宋体"/>
          <w:bCs/>
          <w:color w:val="000000"/>
          <w:sz w:val="24"/>
          <w:szCs w:val="24"/>
        </w:rPr>
        <w:t>人员情况一览表</w:t>
      </w:r>
    </w:p>
    <w:p>
      <w:pPr>
        <w:tabs>
          <w:tab w:val="left" w:pos="525"/>
          <w:tab w:val="left" w:pos="1155"/>
        </w:tabs>
        <w:adjustRightInd w:val="0"/>
        <w:spacing w:line="500" w:lineRule="exact"/>
        <w:ind w:left="103"/>
        <w:jc w:val="center"/>
        <w:rPr>
          <w:rFonts w:ascii="宋体" w:hAnsi="宋体"/>
          <w:b/>
          <w:szCs w:val="28"/>
        </w:rPr>
      </w:pPr>
    </w:p>
    <w:tbl>
      <w:tblPr>
        <w:tblStyle w:val="25"/>
        <w:tblW w:w="9086"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54"/>
        <w:gridCol w:w="739"/>
        <w:gridCol w:w="762"/>
        <w:gridCol w:w="763"/>
        <w:gridCol w:w="1192"/>
        <w:gridCol w:w="1287"/>
        <w:gridCol w:w="127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序号</w:t>
            </w:r>
          </w:p>
        </w:tc>
        <w:tc>
          <w:tcPr>
            <w:tcW w:w="1054"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姓名</w:t>
            </w:r>
          </w:p>
        </w:tc>
        <w:tc>
          <w:tcPr>
            <w:tcW w:w="739"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性别</w:t>
            </w:r>
          </w:p>
        </w:tc>
        <w:tc>
          <w:tcPr>
            <w:tcW w:w="762"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年龄</w:t>
            </w:r>
          </w:p>
        </w:tc>
        <w:tc>
          <w:tcPr>
            <w:tcW w:w="763"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学历</w:t>
            </w:r>
          </w:p>
        </w:tc>
        <w:tc>
          <w:tcPr>
            <w:tcW w:w="1192"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职称或</w:t>
            </w:r>
          </w:p>
          <w:p>
            <w:pPr>
              <w:tabs>
                <w:tab w:val="left" w:pos="525"/>
                <w:tab w:val="left" w:pos="1155"/>
              </w:tabs>
              <w:adjustRightInd w:val="0"/>
              <w:spacing w:line="500" w:lineRule="exact"/>
              <w:jc w:val="center"/>
              <w:rPr>
                <w:rFonts w:ascii="宋体" w:hAnsi="宋体"/>
                <w:sz w:val="24"/>
              </w:rPr>
            </w:pPr>
            <w:r>
              <w:rPr>
                <w:rFonts w:hint="eastAsia" w:ascii="宋体" w:hAnsi="宋体"/>
                <w:sz w:val="24"/>
              </w:rPr>
              <w:t>资格证书</w:t>
            </w:r>
          </w:p>
        </w:tc>
        <w:tc>
          <w:tcPr>
            <w:tcW w:w="1287"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从事工作时间</w:t>
            </w:r>
          </w:p>
        </w:tc>
        <w:tc>
          <w:tcPr>
            <w:tcW w:w="1278"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拟任职务</w:t>
            </w:r>
          </w:p>
        </w:tc>
        <w:tc>
          <w:tcPr>
            <w:tcW w:w="1296"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注册情况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bl>
    <w:p>
      <w:pPr>
        <w:tabs>
          <w:tab w:val="left" w:pos="525"/>
          <w:tab w:val="left" w:pos="1155"/>
        </w:tabs>
        <w:adjustRightInd w:val="0"/>
        <w:spacing w:line="500" w:lineRule="exact"/>
        <w:rPr>
          <w:rFonts w:ascii="宋体" w:hAnsi="宋体"/>
          <w:sz w:val="24"/>
        </w:rPr>
      </w:pPr>
      <w:r>
        <w:rPr>
          <w:rFonts w:hint="eastAsia" w:ascii="宋体" w:hAnsi="宋体"/>
          <w:sz w:val="24"/>
        </w:rPr>
        <w:t>注：1、须提供项目专职人员学历证或学位证、职称证（如有）、资格证的复印件（资格证原件评标时备查）。</w:t>
      </w:r>
    </w:p>
    <w:p>
      <w:pPr>
        <w:tabs>
          <w:tab w:val="left" w:pos="525"/>
          <w:tab w:val="left" w:pos="1155"/>
        </w:tabs>
        <w:adjustRightInd w:val="0"/>
        <w:spacing w:line="500" w:lineRule="exact"/>
        <w:rPr>
          <w:rFonts w:ascii="宋体" w:hAnsi="宋体"/>
          <w:sz w:val="24"/>
        </w:rPr>
      </w:pPr>
      <w:r>
        <w:rPr>
          <w:rFonts w:hint="eastAsia" w:ascii="宋体" w:hAnsi="宋体"/>
          <w:sz w:val="24"/>
        </w:rPr>
        <w:t>2、投标人可根据实际情况自行添加表格内容。</w:t>
      </w:r>
    </w:p>
    <w:p>
      <w:pPr>
        <w:spacing w:line="360" w:lineRule="auto"/>
        <w:ind w:firstLine="5280" w:firstLineChars="2200"/>
        <w:rPr>
          <w:sz w:val="24"/>
          <w:szCs w:val="24"/>
        </w:rPr>
      </w:pPr>
      <w:r>
        <w:rPr>
          <w:rFonts w:hint="eastAsia"/>
          <w:sz w:val="24"/>
          <w:szCs w:val="24"/>
        </w:rPr>
        <w:t>投标人（盖章）：</w:t>
      </w:r>
    </w:p>
    <w:p>
      <w:pPr>
        <w:spacing w:line="360" w:lineRule="auto"/>
        <w:ind w:firstLine="5280" w:firstLineChars="2200"/>
        <w:rPr>
          <w:sz w:val="24"/>
          <w:szCs w:val="24"/>
        </w:rPr>
      </w:pPr>
      <w:r>
        <w:rPr>
          <w:rFonts w:hint="eastAsia"/>
          <w:sz w:val="24"/>
          <w:szCs w:val="24"/>
        </w:rPr>
        <w:t>法定代表人或授权委托人（签字）：</w:t>
      </w:r>
    </w:p>
    <w:p>
      <w:pPr>
        <w:spacing w:line="360" w:lineRule="auto"/>
        <w:ind w:right="480" w:firstLine="5400" w:firstLineChars="2250"/>
        <w:rPr>
          <w:sz w:val="24"/>
          <w:szCs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 xml:space="preserve"> 3.</w:t>
      </w:r>
      <w:r>
        <w:rPr>
          <w:rFonts w:hint="eastAsia" w:ascii="宋体" w:hAnsi="宋体"/>
          <w:bCs/>
          <w:color w:val="000000"/>
          <w:sz w:val="24"/>
          <w:szCs w:val="24"/>
          <w:lang w:val="en-US" w:eastAsia="zh-CN"/>
        </w:rPr>
        <w:t>2</w:t>
      </w:r>
      <w:r>
        <w:rPr>
          <w:rFonts w:hint="eastAsia" w:ascii="宋体" w:hAnsi="宋体"/>
          <w:bCs/>
          <w:color w:val="000000"/>
          <w:sz w:val="24"/>
          <w:szCs w:val="24"/>
        </w:rPr>
        <w:t xml:space="preserve"> 技术方案（实施方案）</w:t>
      </w:r>
    </w:p>
    <w:p>
      <w:pPr>
        <w:snapToGrid w:val="0"/>
        <w:spacing w:line="360" w:lineRule="auto"/>
        <w:jc w:val="center"/>
        <w:rPr>
          <w:rFonts w:hAnsi="宋体" w:eastAsia="宋体"/>
          <w:snapToGrid w:val="0"/>
          <w:kern w:val="0"/>
          <w:sz w:val="36"/>
          <w:szCs w:val="36"/>
        </w:rPr>
      </w:pPr>
    </w:p>
    <w:p>
      <w:pPr>
        <w:autoSpaceDE w:val="0"/>
        <w:autoSpaceDN w:val="0"/>
        <w:adjustRightInd w:val="0"/>
        <w:spacing w:line="360" w:lineRule="auto"/>
        <w:jc w:val="center"/>
        <w:rPr>
          <w:rFonts w:hAnsi="宋体" w:eastAsia="宋体"/>
          <w:snapToGrid w:val="0"/>
          <w:kern w:val="0"/>
          <w:sz w:val="36"/>
          <w:szCs w:val="36"/>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snapToGrid w:val="0"/>
          <w:kern w:val="0"/>
          <w:sz w:val="36"/>
          <w:szCs w:val="36"/>
        </w:rPr>
      </w:pPr>
    </w:p>
    <w:p>
      <w:pPr>
        <w:snapToGrid w:val="0"/>
        <w:spacing w:line="360" w:lineRule="auto"/>
        <w:jc w:val="center"/>
        <w:rPr>
          <w:rFonts w:hAnsi="宋体" w:eastAsia="宋体"/>
          <w:snapToGrid w:val="0"/>
          <w:kern w:val="0"/>
          <w:sz w:val="36"/>
          <w:szCs w:val="36"/>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3</w:t>
      </w:r>
      <w:r>
        <w:rPr>
          <w:rFonts w:hint="eastAsia" w:ascii="宋体" w:hAnsi="宋体"/>
          <w:bCs/>
          <w:color w:val="000000"/>
          <w:sz w:val="24"/>
          <w:szCs w:val="24"/>
        </w:rPr>
        <w:t xml:space="preserve"> 业绩情况表</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序号</w:t>
            </w:r>
          </w:p>
        </w:tc>
        <w:tc>
          <w:tcPr>
            <w:tcW w:w="1808"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客户单位名称</w:t>
            </w:r>
          </w:p>
        </w:tc>
        <w:tc>
          <w:tcPr>
            <w:tcW w:w="3579"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项目名称及主要内容</w:t>
            </w:r>
          </w:p>
        </w:tc>
        <w:tc>
          <w:tcPr>
            <w:tcW w:w="1440"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合同金额</w:t>
            </w:r>
          </w:p>
          <w:p>
            <w:pPr>
              <w:pStyle w:val="9"/>
              <w:jc w:val="center"/>
              <w:rPr>
                <w:rFonts w:ascii="宋体" w:hAnsi="宋体" w:eastAsia="宋体" w:cs="Times New Roman"/>
                <w:bCs/>
                <w:sz w:val="21"/>
                <w:szCs w:val="21"/>
              </w:rPr>
            </w:pPr>
            <w:r>
              <w:rPr>
                <w:rFonts w:hint="eastAsia" w:ascii="宋体" w:hAnsi="宋体" w:eastAsia="宋体" w:cs="宋体"/>
                <w:bCs/>
                <w:sz w:val="21"/>
                <w:szCs w:val="21"/>
              </w:rPr>
              <w:t>（万元）</w:t>
            </w:r>
          </w:p>
        </w:tc>
        <w:tc>
          <w:tcPr>
            <w:tcW w:w="1706"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pPr>
      <w:r>
        <w:rPr>
          <w:rFonts w:hint="eastAsia" w:ascii="宋体" w:hAnsi="宋体"/>
          <w:bCs/>
          <w:color w:val="000000"/>
          <w:sz w:val="24"/>
          <w:szCs w:val="24"/>
        </w:rPr>
        <w:t>3.</w:t>
      </w:r>
      <w:r>
        <w:rPr>
          <w:rFonts w:hint="eastAsia" w:ascii="宋体" w:hAnsi="宋体"/>
          <w:bCs/>
          <w:color w:val="000000"/>
          <w:sz w:val="24"/>
          <w:szCs w:val="24"/>
          <w:lang w:val="en-US" w:eastAsia="zh-CN"/>
        </w:rPr>
        <w:t>4</w:t>
      </w:r>
      <w:r>
        <w:rPr>
          <w:rFonts w:hint="eastAsia" w:ascii="宋体" w:hAnsi="宋体"/>
          <w:bCs/>
          <w:color w:val="000000"/>
          <w:sz w:val="24"/>
          <w:szCs w:val="24"/>
        </w:rPr>
        <w:t xml:space="preserve"> 售后服务方案</w:t>
      </w: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5</w:t>
      </w:r>
      <w:r>
        <w:rPr>
          <w:rFonts w:hint="eastAsia" w:ascii="宋体" w:hAnsi="宋体"/>
          <w:bCs/>
          <w:color w:val="000000"/>
          <w:sz w:val="24"/>
          <w:szCs w:val="24"/>
        </w:rPr>
        <w:t>“节能产品政府采购清单”强制节能产品情况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节字标志认证证书号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提供节能产品所在页</w:t>
            </w:r>
          </w:p>
          <w:p>
            <w:pPr>
              <w:pStyle w:val="9"/>
              <w:jc w:val="center"/>
              <w:rPr>
                <w:rFonts w:ascii="宋体" w:hAnsi="宋体" w:eastAsia="宋体" w:cs="宋体"/>
                <w:bCs/>
                <w:sz w:val="21"/>
                <w:szCs w:val="21"/>
              </w:rPr>
            </w:pPr>
            <w:r>
              <w:rPr>
                <w:rFonts w:hint="eastAsia" w:ascii="宋体" w:hAnsi="宋体" w:eastAsia="宋体" w:cs="宋体"/>
                <w:bCs/>
                <w:sz w:val="21"/>
                <w:szCs w:val="21"/>
              </w:rPr>
              <w:t>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both"/>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6</w:t>
      </w:r>
      <w:r>
        <w:rPr>
          <w:rFonts w:hint="eastAsia" w:ascii="宋体" w:hAnsi="宋体"/>
          <w:bCs/>
          <w:color w:val="000000"/>
          <w:sz w:val="24"/>
          <w:szCs w:val="24"/>
        </w:rPr>
        <w:t>“节能产品政府采购清单”优先采购产品情况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节字标志认证证书号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提供节能产品所在页</w:t>
            </w:r>
          </w:p>
          <w:p>
            <w:pPr>
              <w:pStyle w:val="9"/>
              <w:jc w:val="center"/>
              <w:rPr>
                <w:rFonts w:ascii="宋体" w:hAnsi="宋体" w:eastAsia="宋体" w:cs="宋体"/>
                <w:bCs/>
                <w:sz w:val="21"/>
                <w:szCs w:val="21"/>
              </w:rPr>
            </w:pPr>
            <w:r>
              <w:rPr>
                <w:rFonts w:hint="eastAsia" w:ascii="宋体" w:hAnsi="宋体" w:eastAsia="宋体" w:cs="宋体"/>
                <w:bCs/>
                <w:sz w:val="21"/>
                <w:szCs w:val="21"/>
              </w:rPr>
              <w:t>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both"/>
        <w:rPr>
          <w:rFonts w:ascii="宋体" w:hAnsi="宋体"/>
          <w:bCs/>
          <w:color w:val="000000"/>
          <w:sz w:val="36"/>
          <w:szCs w:val="36"/>
        </w:rPr>
      </w:pPr>
    </w:p>
    <w:p>
      <w:pPr>
        <w:spacing w:line="360" w:lineRule="auto"/>
        <w:jc w:val="center"/>
        <w:rPr>
          <w:rFonts w:ascii="宋体" w:hAnsi="宋体"/>
          <w:bCs/>
          <w:color w:val="000000"/>
          <w:sz w:val="36"/>
          <w:szCs w:val="36"/>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7</w:t>
      </w:r>
      <w:r>
        <w:rPr>
          <w:rFonts w:hint="eastAsia" w:ascii="宋体" w:hAnsi="宋体"/>
          <w:bCs/>
          <w:color w:val="000000"/>
          <w:sz w:val="24"/>
          <w:szCs w:val="24"/>
        </w:rPr>
        <w:t>“环境标志产品政府采购清单”优先采购产品情况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中国环境标志认证证书编号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提供环境标志产品所在页复印件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both"/>
        <w:rPr>
          <w:rFonts w:ascii="宋体" w:hAnsi="宋体"/>
          <w:bCs/>
          <w:color w:val="000000"/>
          <w:sz w:val="36"/>
          <w:szCs w:val="36"/>
        </w:rPr>
      </w:pPr>
    </w:p>
    <w:p>
      <w:pPr>
        <w:spacing w:line="360" w:lineRule="auto"/>
        <w:jc w:val="center"/>
        <w:rPr>
          <w:rFonts w:ascii="宋体" w:hAnsi="宋体"/>
          <w:bCs/>
          <w:color w:val="000000"/>
          <w:sz w:val="36"/>
          <w:szCs w:val="36"/>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8</w:t>
      </w:r>
      <w:r>
        <w:rPr>
          <w:rFonts w:hint="eastAsia" w:ascii="宋体" w:hAnsi="宋体"/>
          <w:bCs/>
          <w:color w:val="000000"/>
          <w:sz w:val="24"/>
          <w:szCs w:val="24"/>
        </w:rPr>
        <w:t>中小企业声明函</w:t>
      </w:r>
    </w:p>
    <w:p>
      <w:pPr>
        <w:spacing w:line="360" w:lineRule="auto"/>
        <w:jc w:val="center"/>
        <w:rPr>
          <w:rFonts w:ascii="宋体" w:hAnsi="宋体"/>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outlineLvl w:val="0"/>
        <w:rPr>
          <w:rFonts w:hint="eastAsia" w:ascii="宋体" w:hAnsi="宋体"/>
          <w:bCs/>
          <w:color w:val="000000"/>
          <w:sz w:val="24"/>
          <w:szCs w:val="24"/>
        </w:rPr>
      </w:pPr>
      <w:bookmarkStart w:id="4" w:name="OLE_LINK13"/>
      <w:bookmarkStart w:id="5" w:name="OLE_LINK14"/>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9</w:t>
      </w:r>
      <w:r>
        <w:rPr>
          <w:rFonts w:hint="eastAsia" w:ascii="宋体" w:hAnsi="宋体"/>
          <w:bCs/>
          <w:color w:val="000000"/>
          <w:sz w:val="24"/>
          <w:szCs w:val="24"/>
        </w:rPr>
        <w:t xml:space="preserve"> 残疾人福利性单位声明函</w:t>
      </w:r>
    </w:p>
    <w:bookmarkEnd w:id="4"/>
    <w:bookmarkEnd w:id="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3.1</w:t>
      </w:r>
      <w:r>
        <w:rPr>
          <w:rFonts w:hint="eastAsia" w:ascii="宋体" w:hAnsi="宋体"/>
          <w:bCs/>
          <w:color w:val="000000"/>
          <w:sz w:val="24"/>
          <w:szCs w:val="24"/>
          <w:lang w:val="en-US" w:eastAsia="zh-CN"/>
        </w:rPr>
        <w:t>0</w:t>
      </w:r>
      <w:r>
        <w:rPr>
          <w:rFonts w:hint="eastAsia" w:ascii="宋体" w:hAnsi="宋体"/>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Cs/>
          <w:color w:val="000000"/>
          <w:sz w:val="36"/>
          <w:szCs w:val="36"/>
        </w:rPr>
      </w:pPr>
    </w:p>
    <w:p>
      <w:pPr>
        <w:autoSpaceDE w:val="0"/>
        <w:autoSpaceDN w:val="0"/>
        <w:adjustRightInd w:val="0"/>
        <w:spacing w:line="360" w:lineRule="auto"/>
        <w:jc w:val="center"/>
        <w:rPr>
          <w:rFonts w:hint="eastAsia" w:ascii="宋体" w:hAnsi="宋体"/>
          <w:bCs/>
          <w:color w:val="000000"/>
          <w:sz w:val="36"/>
          <w:szCs w:val="36"/>
        </w:rPr>
      </w:pPr>
    </w:p>
    <w:p>
      <w:pPr>
        <w:autoSpaceDE w:val="0"/>
        <w:autoSpaceDN w:val="0"/>
        <w:adjustRightInd w:val="0"/>
        <w:spacing w:line="360" w:lineRule="auto"/>
        <w:jc w:val="center"/>
        <w:rPr>
          <w:rFonts w:cs="黑体" w:asciiTheme="minorEastAsia" w:hAnsiTheme="minorEastAsia"/>
          <w:bCs/>
          <w:sz w:val="44"/>
          <w:szCs w:val="44"/>
          <w:lang w:val="zh-CN"/>
        </w:rPr>
      </w:pPr>
    </w:p>
    <w:p>
      <w:pPr>
        <w:autoSpaceDE w:val="0"/>
        <w:autoSpaceDN w:val="0"/>
        <w:adjustRightInd w:val="0"/>
        <w:spacing w:line="360" w:lineRule="auto"/>
        <w:jc w:val="center"/>
        <w:rPr>
          <w:rFonts w:hint="eastAsia" w:cs="黑体" w:asciiTheme="minorEastAsia" w:hAnsiTheme="minorEastAsia"/>
          <w:bCs/>
          <w:sz w:val="28"/>
          <w:szCs w:val="28"/>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四、</w:t>
      </w:r>
      <w:r>
        <w:rPr>
          <w:rFonts w:cs="黑体" w:asciiTheme="minorEastAsia" w:hAnsiTheme="minorEastAsia"/>
          <w:bCs/>
          <w:sz w:val="28"/>
          <w:szCs w:val="28"/>
          <w:lang w:val="zh-CN"/>
        </w:rPr>
        <w:t>其他资料（若有）</w:t>
      </w:r>
    </w:p>
    <w:p/>
    <w:p/>
    <w:p/>
    <w:p>
      <w:pPr>
        <w:spacing w:line="360" w:lineRule="auto"/>
        <w:jc w:val="center"/>
        <w:rPr>
          <w:rFonts w:ascii="宋体" w:hAnsi="宋体"/>
          <w:bCs/>
          <w:color w:val="000000"/>
          <w:sz w:val="28"/>
          <w:szCs w:val="28"/>
        </w:rPr>
      </w:pPr>
      <w:r>
        <w:rPr>
          <w:rFonts w:ascii="宋体" w:hAnsi="宋体"/>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Cs/>
          <w:color w:val="000000"/>
          <w:sz w:val="28"/>
          <w:szCs w:val="28"/>
        </w:rPr>
      </w:pPr>
      <w:r>
        <w:rPr>
          <w:rFonts w:ascii="宋体" w:hAnsi="宋体"/>
          <w:bCs/>
          <w:color w:val="000000"/>
          <w:sz w:val="28"/>
          <w:szCs w:val="28"/>
        </w:rPr>
        <w:t> </w:t>
      </w:r>
    </w:p>
    <w:p/>
    <w:p/>
    <w:p/>
    <w:p/>
    <w:p/>
    <w:p/>
    <w:p/>
    <w:p/>
    <w:p/>
    <w:p/>
    <w:sectPr>
      <w:footerReference r:id="rId3" w:type="default"/>
      <w:pgSz w:w="11906" w:h="16838"/>
      <w:pgMar w:top="147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4097" o:spt="202" type="#_x0000_t202" style="position:absolute;left:0pt;margin-top:0pt;height:11pt;width:9.1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18D21"/>
    <w:multiLevelType w:val="singleLevel"/>
    <w:tmpl w:val="BF618D21"/>
    <w:lvl w:ilvl="0" w:tentative="0">
      <w:start w:val="8"/>
      <w:numFmt w:val="decimal"/>
      <w:suff w:val="nothing"/>
      <w:lvlText w:val="%1、"/>
      <w:lvlJc w:val="left"/>
    </w:lvl>
  </w:abstractNum>
  <w:abstractNum w:abstractNumId="1">
    <w:nsid w:val="CBA08015"/>
    <w:multiLevelType w:val="singleLevel"/>
    <w:tmpl w:val="CBA08015"/>
    <w:lvl w:ilvl="0" w:tentative="0">
      <w:start w:val="5"/>
      <w:numFmt w:val="decimal"/>
      <w:lvlText w:val="%1."/>
      <w:lvlJc w:val="left"/>
      <w:pPr>
        <w:tabs>
          <w:tab w:val="left" w:pos="312"/>
        </w:tabs>
      </w:pPr>
    </w:lvl>
  </w:abstractNum>
  <w:abstractNum w:abstractNumId="2">
    <w:nsid w:val="D7A32A7E"/>
    <w:multiLevelType w:val="singleLevel"/>
    <w:tmpl w:val="D7A32A7E"/>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2C7A01"/>
    <w:multiLevelType w:val="singleLevel"/>
    <w:tmpl w:val="0F2C7A01"/>
    <w:lvl w:ilvl="0" w:tentative="0">
      <w:start w:val="1"/>
      <w:numFmt w:val="chineseCounting"/>
      <w:suff w:val="space"/>
      <w:lvlText w:val="第%1章"/>
      <w:lvlJc w:val="left"/>
      <w:rPr>
        <w:rFonts w:hint="eastAsia"/>
      </w:rPr>
    </w:lvl>
  </w:abstractNum>
  <w:abstractNum w:abstractNumId="6">
    <w:nsid w:val="33B41FCF"/>
    <w:multiLevelType w:val="singleLevel"/>
    <w:tmpl w:val="33B41FCF"/>
    <w:lvl w:ilvl="0" w:tentative="0">
      <w:start w:val="8"/>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48"/>
      <w:suff w:val="nothing"/>
      <w:lvlText w:val="%1、"/>
      <w:lvlJc w:val="left"/>
    </w:lvl>
  </w:abstractNum>
  <w:num w:numId="1">
    <w:abstractNumId w:val="3"/>
  </w:num>
  <w:num w:numId="2">
    <w:abstractNumId w:val="4"/>
  </w:num>
  <w:num w:numId="3">
    <w:abstractNumId w:val="7"/>
  </w:num>
  <w:num w:numId="4">
    <w:abstractNumId w:val="5"/>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2F8F"/>
    <w:rsid w:val="00033D27"/>
    <w:rsid w:val="00034324"/>
    <w:rsid w:val="00051632"/>
    <w:rsid w:val="000548CA"/>
    <w:rsid w:val="000554D6"/>
    <w:rsid w:val="00061EBD"/>
    <w:rsid w:val="00066076"/>
    <w:rsid w:val="00073ED4"/>
    <w:rsid w:val="00074086"/>
    <w:rsid w:val="00086AFB"/>
    <w:rsid w:val="000915B6"/>
    <w:rsid w:val="000938BE"/>
    <w:rsid w:val="000A7A0E"/>
    <w:rsid w:val="000B0639"/>
    <w:rsid w:val="000B2FC9"/>
    <w:rsid w:val="000B76FE"/>
    <w:rsid w:val="000C15AC"/>
    <w:rsid w:val="000C5472"/>
    <w:rsid w:val="000D0962"/>
    <w:rsid w:val="000D24B4"/>
    <w:rsid w:val="000D3714"/>
    <w:rsid w:val="000D4F8E"/>
    <w:rsid w:val="000D56C3"/>
    <w:rsid w:val="000E102E"/>
    <w:rsid w:val="000E3244"/>
    <w:rsid w:val="000F3964"/>
    <w:rsid w:val="00113A6C"/>
    <w:rsid w:val="00114F7B"/>
    <w:rsid w:val="00120A65"/>
    <w:rsid w:val="001309C7"/>
    <w:rsid w:val="00134D89"/>
    <w:rsid w:val="0013622E"/>
    <w:rsid w:val="001413B0"/>
    <w:rsid w:val="001416AD"/>
    <w:rsid w:val="0014292A"/>
    <w:rsid w:val="001453AC"/>
    <w:rsid w:val="00153973"/>
    <w:rsid w:val="00157BFD"/>
    <w:rsid w:val="0016162A"/>
    <w:rsid w:val="00162961"/>
    <w:rsid w:val="001729F5"/>
    <w:rsid w:val="00175E00"/>
    <w:rsid w:val="001812E3"/>
    <w:rsid w:val="001937A0"/>
    <w:rsid w:val="001A1B6C"/>
    <w:rsid w:val="001A3B00"/>
    <w:rsid w:val="001A3DE4"/>
    <w:rsid w:val="001A440A"/>
    <w:rsid w:val="001B3201"/>
    <w:rsid w:val="001B3B1F"/>
    <w:rsid w:val="001B3FA7"/>
    <w:rsid w:val="001C128F"/>
    <w:rsid w:val="001D0FCE"/>
    <w:rsid w:val="001D1F28"/>
    <w:rsid w:val="001D2862"/>
    <w:rsid w:val="001D6D29"/>
    <w:rsid w:val="001E3E55"/>
    <w:rsid w:val="002050D9"/>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5F0"/>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4508"/>
    <w:rsid w:val="00355A48"/>
    <w:rsid w:val="00356391"/>
    <w:rsid w:val="00361029"/>
    <w:rsid w:val="00361EF7"/>
    <w:rsid w:val="00365D02"/>
    <w:rsid w:val="0037403C"/>
    <w:rsid w:val="00380D7C"/>
    <w:rsid w:val="00383B76"/>
    <w:rsid w:val="003A3736"/>
    <w:rsid w:val="003B47AA"/>
    <w:rsid w:val="003B602C"/>
    <w:rsid w:val="003B6371"/>
    <w:rsid w:val="003D2B2F"/>
    <w:rsid w:val="003D37DB"/>
    <w:rsid w:val="003D3FB5"/>
    <w:rsid w:val="003E149A"/>
    <w:rsid w:val="003E2DBE"/>
    <w:rsid w:val="0040063C"/>
    <w:rsid w:val="0041124B"/>
    <w:rsid w:val="00412829"/>
    <w:rsid w:val="00414486"/>
    <w:rsid w:val="00415A4E"/>
    <w:rsid w:val="00416BAE"/>
    <w:rsid w:val="00417373"/>
    <w:rsid w:val="004212CB"/>
    <w:rsid w:val="0042172E"/>
    <w:rsid w:val="004226E9"/>
    <w:rsid w:val="00422916"/>
    <w:rsid w:val="00425942"/>
    <w:rsid w:val="00436090"/>
    <w:rsid w:val="00445971"/>
    <w:rsid w:val="00447141"/>
    <w:rsid w:val="00453CFB"/>
    <w:rsid w:val="00457D84"/>
    <w:rsid w:val="00471D9E"/>
    <w:rsid w:val="0048788B"/>
    <w:rsid w:val="004A3EBE"/>
    <w:rsid w:val="004B2239"/>
    <w:rsid w:val="004B22D3"/>
    <w:rsid w:val="004B29C4"/>
    <w:rsid w:val="004B6F46"/>
    <w:rsid w:val="004B7646"/>
    <w:rsid w:val="004B7F50"/>
    <w:rsid w:val="004C3729"/>
    <w:rsid w:val="004C488A"/>
    <w:rsid w:val="004D339F"/>
    <w:rsid w:val="004D3824"/>
    <w:rsid w:val="004E0761"/>
    <w:rsid w:val="004E2C91"/>
    <w:rsid w:val="004E4FBA"/>
    <w:rsid w:val="004E6481"/>
    <w:rsid w:val="004E7596"/>
    <w:rsid w:val="004F1DBB"/>
    <w:rsid w:val="004F5BE4"/>
    <w:rsid w:val="004F617D"/>
    <w:rsid w:val="005020CD"/>
    <w:rsid w:val="00512A12"/>
    <w:rsid w:val="00521E2C"/>
    <w:rsid w:val="00522091"/>
    <w:rsid w:val="00522697"/>
    <w:rsid w:val="005341BE"/>
    <w:rsid w:val="00544270"/>
    <w:rsid w:val="00547C51"/>
    <w:rsid w:val="00554142"/>
    <w:rsid w:val="005549F8"/>
    <w:rsid w:val="00561C5B"/>
    <w:rsid w:val="00562433"/>
    <w:rsid w:val="00573D06"/>
    <w:rsid w:val="005768AB"/>
    <w:rsid w:val="00577061"/>
    <w:rsid w:val="0058043E"/>
    <w:rsid w:val="005856E5"/>
    <w:rsid w:val="005977DF"/>
    <w:rsid w:val="005A0399"/>
    <w:rsid w:val="005A0CBC"/>
    <w:rsid w:val="005A14CE"/>
    <w:rsid w:val="005A3071"/>
    <w:rsid w:val="005A4717"/>
    <w:rsid w:val="005E3409"/>
    <w:rsid w:val="005E3F3F"/>
    <w:rsid w:val="005F0B1E"/>
    <w:rsid w:val="005F1DF2"/>
    <w:rsid w:val="0060569D"/>
    <w:rsid w:val="00614304"/>
    <w:rsid w:val="0061792B"/>
    <w:rsid w:val="006215FB"/>
    <w:rsid w:val="00622B0B"/>
    <w:rsid w:val="00624843"/>
    <w:rsid w:val="006355AE"/>
    <w:rsid w:val="006357B0"/>
    <w:rsid w:val="006369BE"/>
    <w:rsid w:val="00636AAD"/>
    <w:rsid w:val="0063754C"/>
    <w:rsid w:val="0065294F"/>
    <w:rsid w:val="00653D9B"/>
    <w:rsid w:val="00654B93"/>
    <w:rsid w:val="006626FF"/>
    <w:rsid w:val="0067408D"/>
    <w:rsid w:val="00674726"/>
    <w:rsid w:val="006765F0"/>
    <w:rsid w:val="006906FE"/>
    <w:rsid w:val="006939F8"/>
    <w:rsid w:val="00694D5B"/>
    <w:rsid w:val="00695567"/>
    <w:rsid w:val="006A5CAE"/>
    <w:rsid w:val="006A7085"/>
    <w:rsid w:val="006B11BB"/>
    <w:rsid w:val="006B59F9"/>
    <w:rsid w:val="006C1ABC"/>
    <w:rsid w:val="006C4A8D"/>
    <w:rsid w:val="006D2F3B"/>
    <w:rsid w:val="006D5390"/>
    <w:rsid w:val="006E6EAB"/>
    <w:rsid w:val="006F0427"/>
    <w:rsid w:val="006F2C6A"/>
    <w:rsid w:val="006F68CC"/>
    <w:rsid w:val="006F713F"/>
    <w:rsid w:val="0070010A"/>
    <w:rsid w:val="00704BF9"/>
    <w:rsid w:val="00705BA9"/>
    <w:rsid w:val="00714DFA"/>
    <w:rsid w:val="00716F27"/>
    <w:rsid w:val="00721711"/>
    <w:rsid w:val="00737DB9"/>
    <w:rsid w:val="007401C3"/>
    <w:rsid w:val="00740E91"/>
    <w:rsid w:val="00746A32"/>
    <w:rsid w:val="0075221F"/>
    <w:rsid w:val="007547DE"/>
    <w:rsid w:val="007568C2"/>
    <w:rsid w:val="007570E2"/>
    <w:rsid w:val="00760543"/>
    <w:rsid w:val="00765D71"/>
    <w:rsid w:val="007727E6"/>
    <w:rsid w:val="0077455F"/>
    <w:rsid w:val="00780256"/>
    <w:rsid w:val="00784774"/>
    <w:rsid w:val="0078780A"/>
    <w:rsid w:val="0079352C"/>
    <w:rsid w:val="00796672"/>
    <w:rsid w:val="007A2CEB"/>
    <w:rsid w:val="007A31F4"/>
    <w:rsid w:val="007A34F1"/>
    <w:rsid w:val="007A48E9"/>
    <w:rsid w:val="007B0368"/>
    <w:rsid w:val="007B30DE"/>
    <w:rsid w:val="007B39C7"/>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101FB"/>
    <w:rsid w:val="00811BB1"/>
    <w:rsid w:val="00822530"/>
    <w:rsid w:val="00832E87"/>
    <w:rsid w:val="00833C6A"/>
    <w:rsid w:val="0084302F"/>
    <w:rsid w:val="00847088"/>
    <w:rsid w:val="0085213A"/>
    <w:rsid w:val="0086265C"/>
    <w:rsid w:val="008656DB"/>
    <w:rsid w:val="008734AD"/>
    <w:rsid w:val="008753FE"/>
    <w:rsid w:val="00877C6C"/>
    <w:rsid w:val="00880290"/>
    <w:rsid w:val="00882CC7"/>
    <w:rsid w:val="008833DC"/>
    <w:rsid w:val="008834FE"/>
    <w:rsid w:val="00884D0F"/>
    <w:rsid w:val="00884F11"/>
    <w:rsid w:val="00887FE7"/>
    <w:rsid w:val="0089369E"/>
    <w:rsid w:val="00893B24"/>
    <w:rsid w:val="0089510B"/>
    <w:rsid w:val="00896816"/>
    <w:rsid w:val="008A1E63"/>
    <w:rsid w:val="008A1EE5"/>
    <w:rsid w:val="008A4543"/>
    <w:rsid w:val="008A5850"/>
    <w:rsid w:val="008B57FF"/>
    <w:rsid w:val="008B5A12"/>
    <w:rsid w:val="008B7AF4"/>
    <w:rsid w:val="008C2A49"/>
    <w:rsid w:val="008C40A8"/>
    <w:rsid w:val="008C4BEA"/>
    <w:rsid w:val="008C53A7"/>
    <w:rsid w:val="008C5A7B"/>
    <w:rsid w:val="008D5569"/>
    <w:rsid w:val="008E62A2"/>
    <w:rsid w:val="008F0E43"/>
    <w:rsid w:val="008F3208"/>
    <w:rsid w:val="00902A7F"/>
    <w:rsid w:val="00903B84"/>
    <w:rsid w:val="00905A17"/>
    <w:rsid w:val="009151EE"/>
    <w:rsid w:val="00920609"/>
    <w:rsid w:val="00920892"/>
    <w:rsid w:val="009209F7"/>
    <w:rsid w:val="0092409E"/>
    <w:rsid w:val="00930F65"/>
    <w:rsid w:val="00945983"/>
    <w:rsid w:val="009519F9"/>
    <w:rsid w:val="00960F78"/>
    <w:rsid w:val="009651B5"/>
    <w:rsid w:val="00972452"/>
    <w:rsid w:val="00973D36"/>
    <w:rsid w:val="0097535A"/>
    <w:rsid w:val="009836D7"/>
    <w:rsid w:val="00985EBA"/>
    <w:rsid w:val="0098622D"/>
    <w:rsid w:val="009A452D"/>
    <w:rsid w:val="009A4837"/>
    <w:rsid w:val="009B2B36"/>
    <w:rsid w:val="009B5BC7"/>
    <w:rsid w:val="009B6EA8"/>
    <w:rsid w:val="009C12AB"/>
    <w:rsid w:val="009C5BE8"/>
    <w:rsid w:val="009C5BF0"/>
    <w:rsid w:val="009D1F9C"/>
    <w:rsid w:val="009D203C"/>
    <w:rsid w:val="009D20A3"/>
    <w:rsid w:val="009D3502"/>
    <w:rsid w:val="009E6699"/>
    <w:rsid w:val="00A03189"/>
    <w:rsid w:val="00A045C1"/>
    <w:rsid w:val="00A0474D"/>
    <w:rsid w:val="00A13520"/>
    <w:rsid w:val="00A159FC"/>
    <w:rsid w:val="00A15F7A"/>
    <w:rsid w:val="00A20C35"/>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767B7"/>
    <w:rsid w:val="00A910F1"/>
    <w:rsid w:val="00AA0F1B"/>
    <w:rsid w:val="00AA4CCD"/>
    <w:rsid w:val="00AC18E3"/>
    <w:rsid w:val="00AC49CE"/>
    <w:rsid w:val="00AC4FD2"/>
    <w:rsid w:val="00AE3298"/>
    <w:rsid w:val="00B018B6"/>
    <w:rsid w:val="00B02024"/>
    <w:rsid w:val="00B05115"/>
    <w:rsid w:val="00B07660"/>
    <w:rsid w:val="00B07980"/>
    <w:rsid w:val="00B12A55"/>
    <w:rsid w:val="00B15072"/>
    <w:rsid w:val="00B15872"/>
    <w:rsid w:val="00B16E78"/>
    <w:rsid w:val="00B20FA0"/>
    <w:rsid w:val="00B24D17"/>
    <w:rsid w:val="00B277AA"/>
    <w:rsid w:val="00B30127"/>
    <w:rsid w:val="00B32542"/>
    <w:rsid w:val="00B32A03"/>
    <w:rsid w:val="00B4067A"/>
    <w:rsid w:val="00B41493"/>
    <w:rsid w:val="00B42330"/>
    <w:rsid w:val="00B42703"/>
    <w:rsid w:val="00B464A4"/>
    <w:rsid w:val="00B47396"/>
    <w:rsid w:val="00B50E4F"/>
    <w:rsid w:val="00B5289C"/>
    <w:rsid w:val="00B53BAE"/>
    <w:rsid w:val="00B601A6"/>
    <w:rsid w:val="00B61615"/>
    <w:rsid w:val="00B616DF"/>
    <w:rsid w:val="00B775F1"/>
    <w:rsid w:val="00B82C5D"/>
    <w:rsid w:val="00B82D54"/>
    <w:rsid w:val="00BA5222"/>
    <w:rsid w:val="00BA68F5"/>
    <w:rsid w:val="00BB1830"/>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0179"/>
    <w:rsid w:val="00C41183"/>
    <w:rsid w:val="00C42E82"/>
    <w:rsid w:val="00C44B22"/>
    <w:rsid w:val="00C465D7"/>
    <w:rsid w:val="00C46BF7"/>
    <w:rsid w:val="00C70AC1"/>
    <w:rsid w:val="00C70FB9"/>
    <w:rsid w:val="00C712F4"/>
    <w:rsid w:val="00C73B5B"/>
    <w:rsid w:val="00C741C3"/>
    <w:rsid w:val="00C821C3"/>
    <w:rsid w:val="00C967BD"/>
    <w:rsid w:val="00CA26C2"/>
    <w:rsid w:val="00CA60C0"/>
    <w:rsid w:val="00CB5D80"/>
    <w:rsid w:val="00CC4182"/>
    <w:rsid w:val="00CC635B"/>
    <w:rsid w:val="00CD0DF3"/>
    <w:rsid w:val="00CD1688"/>
    <w:rsid w:val="00CD275D"/>
    <w:rsid w:val="00CE0D24"/>
    <w:rsid w:val="00CE1F97"/>
    <w:rsid w:val="00CE3B68"/>
    <w:rsid w:val="00CE5C22"/>
    <w:rsid w:val="00D03251"/>
    <w:rsid w:val="00D13B7F"/>
    <w:rsid w:val="00D150D3"/>
    <w:rsid w:val="00D17952"/>
    <w:rsid w:val="00D22B67"/>
    <w:rsid w:val="00D236EF"/>
    <w:rsid w:val="00D255E5"/>
    <w:rsid w:val="00D273E8"/>
    <w:rsid w:val="00D276CD"/>
    <w:rsid w:val="00D301AB"/>
    <w:rsid w:val="00D306DE"/>
    <w:rsid w:val="00D37098"/>
    <w:rsid w:val="00D42A85"/>
    <w:rsid w:val="00D50424"/>
    <w:rsid w:val="00D53F80"/>
    <w:rsid w:val="00D55112"/>
    <w:rsid w:val="00D615B9"/>
    <w:rsid w:val="00D65B94"/>
    <w:rsid w:val="00D65D54"/>
    <w:rsid w:val="00D90CF4"/>
    <w:rsid w:val="00DB0DE6"/>
    <w:rsid w:val="00DC21F0"/>
    <w:rsid w:val="00DC6509"/>
    <w:rsid w:val="00DD091C"/>
    <w:rsid w:val="00DE35F4"/>
    <w:rsid w:val="00DF1A9A"/>
    <w:rsid w:val="00DF2776"/>
    <w:rsid w:val="00DF323D"/>
    <w:rsid w:val="00E301A5"/>
    <w:rsid w:val="00E30683"/>
    <w:rsid w:val="00E31290"/>
    <w:rsid w:val="00E3407F"/>
    <w:rsid w:val="00E34343"/>
    <w:rsid w:val="00E34564"/>
    <w:rsid w:val="00E509B5"/>
    <w:rsid w:val="00E533A3"/>
    <w:rsid w:val="00E53E54"/>
    <w:rsid w:val="00E554FC"/>
    <w:rsid w:val="00E57228"/>
    <w:rsid w:val="00E63B8B"/>
    <w:rsid w:val="00E67CB3"/>
    <w:rsid w:val="00E7246F"/>
    <w:rsid w:val="00E81BC8"/>
    <w:rsid w:val="00E82958"/>
    <w:rsid w:val="00E96DE1"/>
    <w:rsid w:val="00E970F5"/>
    <w:rsid w:val="00EA678F"/>
    <w:rsid w:val="00EB0F3C"/>
    <w:rsid w:val="00EB122F"/>
    <w:rsid w:val="00EC12C7"/>
    <w:rsid w:val="00EC52FD"/>
    <w:rsid w:val="00EC5F8C"/>
    <w:rsid w:val="00EC6291"/>
    <w:rsid w:val="00ED12B1"/>
    <w:rsid w:val="00ED4E2E"/>
    <w:rsid w:val="00ED57DC"/>
    <w:rsid w:val="00EE15D9"/>
    <w:rsid w:val="00EE237B"/>
    <w:rsid w:val="00EF1B01"/>
    <w:rsid w:val="00EF5261"/>
    <w:rsid w:val="00F001F0"/>
    <w:rsid w:val="00F04FC6"/>
    <w:rsid w:val="00F05589"/>
    <w:rsid w:val="00F105D7"/>
    <w:rsid w:val="00F158EB"/>
    <w:rsid w:val="00F270AE"/>
    <w:rsid w:val="00F2739F"/>
    <w:rsid w:val="00F34514"/>
    <w:rsid w:val="00F3507F"/>
    <w:rsid w:val="00F36EAE"/>
    <w:rsid w:val="00F43959"/>
    <w:rsid w:val="00F566F9"/>
    <w:rsid w:val="00F6323A"/>
    <w:rsid w:val="00F6614B"/>
    <w:rsid w:val="00F700DD"/>
    <w:rsid w:val="00F726CB"/>
    <w:rsid w:val="00F771F3"/>
    <w:rsid w:val="00F823FB"/>
    <w:rsid w:val="00F84F9D"/>
    <w:rsid w:val="00F94449"/>
    <w:rsid w:val="00F95117"/>
    <w:rsid w:val="00FA3464"/>
    <w:rsid w:val="00FA69A3"/>
    <w:rsid w:val="00FB6703"/>
    <w:rsid w:val="00FC5937"/>
    <w:rsid w:val="00FC7550"/>
    <w:rsid w:val="00FD07B7"/>
    <w:rsid w:val="00FD2FE5"/>
    <w:rsid w:val="00FE0F7C"/>
    <w:rsid w:val="00FE1BD7"/>
    <w:rsid w:val="00FE6A83"/>
    <w:rsid w:val="00FF2E8B"/>
    <w:rsid w:val="00FF7E23"/>
    <w:rsid w:val="010F56BE"/>
    <w:rsid w:val="01764049"/>
    <w:rsid w:val="0181629C"/>
    <w:rsid w:val="022F0613"/>
    <w:rsid w:val="04290500"/>
    <w:rsid w:val="04420274"/>
    <w:rsid w:val="04C64DD0"/>
    <w:rsid w:val="04FC3AAD"/>
    <w:rsid w:val="05183514"/>
    <w:rsid w:val="057D3C30"/>
    <w:rsid w:val="058B340B"/>
    <w:rsid w:val="067E7ADE"/>
    <w:rsid w:val="070C6715"/>
    <w:rsid w:val="08710C15"/>
    <w:rsid w:val="09DE04BA"/>
    <w:rsid w:val="09E449AF"/>
    <w:rsid w:val="0A684A9E"/>
    <w:rsid w:val="0A794382"/>
    <w:rsid w:val="0BA83647"/>
    <w:rsid w:val="0BAF322D"/>
    <w:rsid w:val="0BFD5017"/>
    <w:rsid w:val="0BFF39D7"/>
    <w:rsid w:val="0C2538D8"/>
    <w:rsid w:val="0C5B7B02"/>
    <w:rsid w:val="0C6C0C47"/>
    <w:rsid w:val="0C9C1000"/>
    <w:rsid w:val="0DEC25E1"/>
    <w:rsid w:val="0EB479B9"/>
    <w:rsid w:val="0EF7026A"/>
    <w:rsid w:val="0F19351C"/>
    <w:rsid w:val="0F4143B4"/>
    <w:rsid w:val="0F6630C7"/>
    <w:rsid w:val="0F674847"/>
    <w:rsid w:val="0FA13C5E"/>
    <w:rsid w:val="0FA4611E"/>
    <w:rsid w:val="0FCC21F8"/>
    <w:rsid w:val="0FEC4068"/>
    <w:rsid w:val="10101D06"/>
    <w:rsid w:val="10446189"/>
    <w:rsid w:val="108934B1"/>
    <w:rsid w:val="10E405AF"/>
    <w:rsid w:val="10ED249C"/>
    <w:rsid w:val="10F31F70"/>
    <w:rsid w:val="10F909E5"/>
    <w:rsid w:val="110E6C21"/>
    <w:rsid w:val="11A41E07"/>
    <w:rsid w:val="11CE66B4"/>
    <w:rsid w:val="120F1724"/>
    <w:rsid w:val="124D2D8F"/>
    <w:rsid w:val="127056BA"/>
    <w:rsid w:val="129918FB"/>
    <w:rsid w:val="12BA0010"/>
    <w:rsid w:val="12D63CD2"/>
    <w:rsid w:val="12ED26CE"/>
    <w:rsid w:val="136F5589"/>
    <w:rsid w:val="1403306A"/>
    <w:rsid w:val="144B2AA6"/>
    <w:rsid w:val="14611D70"/>
    <w:rsid w:val="14733B2C"/>
    <w:rsid w:val="14A1410E"/>
    <w:rsid w:val="154B008E"/>
    <w:rsid w:val="15E33C87"/>
    <w:rsid w:val="161423B2"/>
    <w:rsid w:val="163A7CCC"/>
    <w:rsid w:val="176E6853"/>
    <w:rsid w:val="17BF35EC"/>
    <w:rsid w:val="17DA0368"/>
    <w:rsid w:val="191810DB"/>
    <w:rsid w:val="198A588B"/>
    <w:rsid w:val="1A146747"/>
    <w:rsid w:val="1A300E29"/>
    <w:rsid w:val="1A333DA1"/>
    <w:rsid w:val="1A4048B9"/>
    <w:rsid w:val="1A7C54F2"/>
    <w:rsid w:val="1A995C70"/>
    <w:rsid w:val="1AA86EAB"/>
    <w:rsid w:val="1AA9774E"/>
    <w:rsid w:val="1ABB3F24"/>
    <w:rsid w:val="1ACE13AF"/>
    <w:rsid w:val="1B4B3A17"/>
    <w:rsid w:val="1B5D1012"/>
    <w:rsid w:val="1BB34016"/>
    <w:rsid w:val="1BD921EB"/>
    <w:rsid w:val="1D445FEE"/>
    <w:rsid w:val="1D582068"/>
    <w:rsid w:val="1DB82E76"/>
    <w:rsid w:val="1DB94D2D"/>
    <w:rsid w:val="1DBC323D"/>
    <w:rsid w:val="1DC07EBC"/>
    <w:rsid w:val="1DDD62CD"/>
    <w:rsid w:val="1E990DBC"/>
    <w:rsid w:val="1EA009D2"/>
    <w:rsid w:val="1EB156FF"/>
    <w:rsid w:val="1EFB18B8"/>
    <w:rsid w:val="1FE90AEA"/>
    <w:rsid w:val="1FFD28BE"/>
    <w:rsid w:val="205910EA"/>
    <w:rsid w:val="207F2CCC"/>
    <w:rsid w:val="214A275A"/>
    <w:rsid w:val="21991651"/>
    <w:rsid w:val="21B932F6"/>
    <w:rsid w:val="225770E6"/>
    <w:rsid w:val="226F6C24"/>
    <w:rsid w:val="229D2160"/>
    <w:rsid w:val="23291DC2"/>
    <w:rsid w:val="2387567A"/>
    <w:rsid w:val="23B01DB0"/>
    <w:rsid w:val="23FE6585"/>
    <w:rsid w:val="2412705F"/>
    <w:rsid w:val="242F64C4"/>
    <w:rsid w:val="24771978"/>
    <w:rsid w:val="24D6263C"/>
    <w:rsid w:val="256B1A26"/>
    <w:rsid w:val="26536DD7"/>
    <w:rsid w:val="268512B7"/>
    <w:rsid w:val="27025622"/>
    <w:rsid w:val="27FE2FBE"/>
    <w:rsid w:val="28C15B8D"/>
    <w:rsid w:val="28E014DC"/>
    <w:rsid w:val="298D3ABF"/>
    <w:rsid w:val="2A4F5F04"/>
    <w:rsid w:val="2B684C6F"/>
    <w:rsid w:val="2B6D6F3F"/>
    <w:rsid w:val="2B811A36"/>
    <w:rsid w:val="2BDC5A3C"/>
    <w:rsid w:val="2C0B0839"/>
    <w:rsid w:val="2C5505D6"/>
    <w:rsid w:val="2C65310C"/>
    <w:rsid w:val="2C8A73C2"/>
    <w:rsid w:val="2C94163A"/>
    <w:rsid w:val="2CC05CDE"/>
    <w:rsid w:val="2E517A4D"/>
    <w:rsid w:val="2ED13457"/>
    <w:rsid w:val="2F232B3A"/>
    <w:rsid w:val="2F49458A"/>
    <w:rsid w:val="2FE94CA8"/>
    <w:rsid w:val="2FEA1720"/>
    <w:rsid w:val="3040770E"/>
    <w:rsid w:val="304D2948"/>
    <w:rsid w:val="3075461B"/>
    <w:rsid w:val="30D45165"/>
    <w:rsid w:val="31366366"/>
    <w:rsid w:val="319E7FBD"/>
    <w:rsid w:val="32A73336"/>
    <w:rsid w:val="32DC4E2A"/>
    <w:rsid w:val="337C5CE2"/>
    <w:rsid w:val="338B5695"/>
    <w:rsid w:val="33EE75BA"/>
    <w:rsid w:val="33FB5BBC"/>
    <w:rsid w:val="3417472D"/>
    <w:rsid w:val="348A5090"/>
    <w:rsid w:val="34F313EB"/>
    <w:rsid w:val="34F90424"/>
    <w:rsid w:val="35844AA2"/>
    <w:rsid w:val="35972187"/>
    <w:rsid w:val="35F4303F"/>
    <w:rsid w:val="360310B4"/>
    <w:rsid w:val="364314C7"/>
    <w:rsid w:val="364F5C89"/>
    <w:rsid w:val="36C546C7"/>
    <w:rsid w:val="37952115"/>
    <w:rsid w:val="37ED4268"/>
    <w:rsid w:val="386A327F"/>
    <w:rsid w:val="38D909BB"/>
    <w:rsid w:val="398119E4"/>
    <w:rsid w:val="39D6556B"/>
    <w:rsid w:val="39D87F89"/>
    <w:rsid w:val="3A4F0275"/>
    <w:rsid w:val="3A5951A9"/>
    <w:rsid w:val="3BCD7ED6"/>
    <w:rsid w:val="3BF635F9"/>
    <w:rsid w:val="3C5732CB"/>
    <w:rsid w:val="3CA66A4B"/>
    <w:rsid w:val="3CF26C23"/>
    <w:rsid w:val="3D100A71"/>
    <w:rsid w:val="3D1138D5"/>
    <w:rsid w:val="3D367C61"/>
    <w:rsid w:val="3D9F04AA"/>
    <w:rsid w:val="3DC416E6"/>
    <w:rsid w:val="3E1B0FE2"/>
    <w:rsid w:val="3EC858EC"/>
    <w:rsid w:val="3EE46813"/>
    <w:rsid w:val="3EFB6A0B"/>
    <w:rsid w:val="3FCB255B"/>
    <w:rsid w:val="406D732D"/>
    <w:rsid w:val="407E11EC"/>
    <w:rsid w:val="40C907F3"/>
    <w:rsid w:val="4205020D"/>
    <w:rsid w:val="422E270A"/>
    <w:rsid w:val="429F3DB3"/>
    <w:rsid w:val="4401074B"/>
    <w:rsid w:val="44A33F11"/>
    <w:rsid w:val="44CD5C53"/>
    <w:rsid w:val="44F230F5"/>
    <w:rsid w:val="45D92793"/>
    <w:rsid w:val="460472D1"/>
    <w:rsid w:val="465A4A70"/>
    <w:rsid w:val="46855BEB"/>
    <w:rsid w:val="470F3D8B"/>
    <w:rsid w:val="47CE4C1C"/>
    <w:rsid w:val="48EB38D5"/>
    <w:rsid w:val="493B4D4B"/>
    <w:rsid w:val="49946236"/>
    <w:rsid w:val="4AEE23EE"/>
    <w:rsid w:val="4B3320E0"/>
    <w:rsid w:val="4BD21FD5"/>
    <w:rsid w:val="4BFC28F8"/>
    <w:rsid w:val="4D3F042D"/>
    <w:rsid w:val="4D8B7668"/>
    <w:rsid w:val="4D967BE7"/>
    <w:rsid w:val="4DBF308A"/>
    <w:rsid w:val="4EA26974"/>
    <w:rsid w:val="4F9F40FD"/>
    <w:rsid w:val="4FF9546B"/>
    <w:rsid w:val="50486797"/>
    <w:rsid w:val="50DC7DE2"/>
    <w:rsid w:val="520823DF"/>
    <w:rsid w:val="523B6C32"/>
    <w:rsid w:val="526F1509"/>
    <w:rsid w:val="529A59F8"/>
    <w:rsid w:val="52AD3F62"/>
    <w:rsid w:val="52FB71B1"/>
    <w:rsid w:val="531A13C4"/>
    <w:rsid w:val="532D4E2F"/>
    <w:rsid w:val="534A6F96"/>
    <w:rsid w:val="53794554"/>
    <w:rsid w:val="53E210B2"/>
    <w:rsid w:val="544278FE"/>
    <w:rsid w:val="54B54C6F"/>
    <w:rsid w:val="54D9542A"/>
    <w:rsid w:val="54EC2E9E"/>
    <w:rsid w:val="56344E70"/>
    <w:rsid w:val="57566CE6"/>
    <w:rsid w:val="57767824"/>
    <w:rsid w:val="588F2FED"/>
    <w:rsid w:val="58D92396"/>
    <w:rsid w:val="595417C8"/>
    <w:rsid w:val="599947E5"/>
    <w:rsid w:val="599C1A21"/>
    <w:rsid w:val="59F15894"/>
    <w:rsid w:val="5A096B00"/>
    <w:rsid w:val="5A2448DC"/>
    <w:rsid w:val="5A4467F1"/>
    <w:rsid w:val="5AA4324C"/>
    <w:rsid w:val="5AC03808"/>
    <w:rsid w:val="5AC42979"/>
    <w:rsid w:val="5AD1570A"/>
    <w:rsid w:val="5AF964B5"/>
    <w:rsid w:val="5B295533"/>
    <w:rsid w:val="5B591BB9"/>
    <w:rsid w:val="5BBB094C"/>
    <w:rsid w:val="5BD46B4F"/>
    <w:rsid w:val="5C133C5A"/>
    <w:rsid w:val="5C3D3F16"/>
    <w:rsid w:val="5CDC1B16"/>
    <w:rsid w:val="5D32376F"/>
    <w:rsid w:val="5DA74503"/>
    <w:rsid w:val="5DF80A89"/>
    <w:rsid w:val="5E6244C0"/>
    <w:rsid w:val="5EB20385"/>
    <w:rsid w:val="5ED9474B"/>
    <w:rsid w:val="5EEE18DC"/>
    <w:rsid w:val="5F3A3108"/>
    <w:rsid w:val="5F787399"/>
    <w:rsid w:val="603339C0"/>
    <w:rsid w:val="603818E5"/>
    <w:rsid w:val="604F5120"/>
    <w:rsid w:val="60593660"/>
    <w:rsid w:val="61171926"/>
    <w:rsid w:val="61DB0090"/>
    <w:rsid w:val="62221E68"/>
    <w:rsid w:val="62720630"/>
    <w:rsid w:val="627A3775"/>
    <w:rsid w:val="62E459F3"/>
    <w:rsid w:val="630423D5"/>
    <w:rsid w:val="63A67898"/>
    <w:rsid w:val="63E63B5B"/>
    <w:rsid w:val="644F1127"/>
    <w:rsid w:val="646D5647"/>
    <w:rsid w:val="64F531FE"/>
    <w:rsid w:val="65425396"/>
    <w:rsid w:val="65441662"/>
    <w:rsid w:val="65573744"/>
    <w:rsid w:val="65BB407D"/>
    <w:rsid w:val="663337FA"/>
    <w:rsid w:val="66B3422A"/>
    <w:rsid w:val="66B34739"/>
    <w:rsid w:val="66EB235B"/>
    <w:rsid w:val="677347F3"/>
    <w:rsid w:val="67FE6262"/>
    <w:rsid w:val="6827585A"/>
    <w:rsid w:val="689D23A1"/>
    <w:rsid w:val="68C3052E"/>
    <w:rsid w:val="691064F6"/>
    <w:rsid w:val="693A0957"/>
    <w:rsid w:val="6A306EC0"/>
    <w:rsid w:val="6A415BA2"/>
    <w:rsid w:val="6A44596F"/>
    <w:rsid w:val="6A551AE7"/>
    <w:rsid w:val="6A8F0F3B"/>
    <w:rsid w:val="6AD21CCA"/>
    <w:rsid w:val="6B8C1CF1"/>
    <w:rsid w:val="6BC51415"/>
    <w:rsid w:val="6BFC43DD"/>
    <w:rsid w:val="6D34657A"/>
    <w:rsid w:val="6D552D90"/>
    <w:rsid w:val="6E837E68"/>
    <w:rsid w:val="6EB6037D"/>
    <w:rsid w:val="6EF34D04"/>
    <w:rsid w:val="6FB43285"/>
    <w:rsid w:val="71A12739"/>
    <w:rsid w:val="71D001A5"/>
    <w:rsid w:val="72094EBB"/>
    <w:rsid w:val="722A1F0C"/>
    <w:rsid w:val="72CA6145"/>
    <w:rsid w:val="73E77A48"/>
    <w:rsid w:val="73EA3104"/>
    <w:rsid w:val="74AE0EE3"/>
    <w:rsid w:val="755343E3"/>
    <w:rsid w:val="75DC1077"/>
    <w:rsid w:val="76752080"/>
    <w:rsid w:val="76EC6D83"/>
    <w:rsid w:val="76F80727"/>
    <w:rsid w:val="771E1B2D"/>
    <w:rsid w:val="78D45E34"/>
    <w:rsid w:val="79302907"/>
    <w:rsid w:val="7A644286"/>
    <w:rsid w:val="7A9738F9"/>
    <w:rsid w:val="7AE752BF"/>
    <w:rsid w:val="7B384A75"/>
    <w:rsid w:val="7BAC038F"/>
    <w:rsid w:val="7BEE2B2D"/>
    <w:rsid w:val="7C2C1E36"/>
    <w:rsid w:val="7CD42376"/>
    <w:rsid w:val="7D0E17C7"/>
    <w:rsid w:val="7DB240DF"/>
    <w:rsid w:val="7E2B513D"/>
    <w:rsid w:val="7EBC5467"/>
    <w:rsid w:val="7EE40132"/>
    <w:rsid w:val="7F7D11D1"/>
    <w:rsid w:val="7F9C3687"/>
    <w:rsid w:val="7FDC07A4"/>
    <w:rsid w:val="7FEB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2"/>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34"/>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 w:type="character" w:customStyle="1" w:styleId="52">
    <w:name w:val="批注框文本 Char"/>
    <w:basedOn w:val="21"/>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71</Pages>
  <Words>6372</Words>
  <Characters>36322</Characters>
  <Lines>302</Lines>
  <Paragraphs>85</Paragraphs>
  <TotalTime>40</TotalTime>
  <ScaleCrop>false</ScaleCrop>
  <LinksUpToDate>false</LinksUpToDate>
  <CharactersWithSpaces>42609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2018-10-11T03:20:00Z</dcterms:created>
  <dc:creator>许昌市公共资源交易中心:孟莉</dc:creator>
  <cp:lastModifiedBy>liu</cp:lastModifiedBy>
  <cp:lastPrinted>2018-10-29T02:29:00Z</cp:lastPrinted>
  <dcterms:modified xsi:type="dcterms:W3CDTF">2018-10-30T08:57:21Z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