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89" w:type="dxa"/>
        <w:tblInd w:w="0" w:type="dxa"/>
        <w:tblLayout w:type="fixed"/>
        <w:tblCellMar>
          <w:top w:w="0" w:type="dxa"/>
          <w:left w:w="108" w:type="dxa"/>
          <w:bottom w:w="0" w:type="dxa"/>
          <w:right w:w="108" w:type="dxa"/>
        </w:tblCellMar>
      </w:tblPr>
      <w:tblGrid>
        <w:gridCol w:w="468"/>
        <w:gridCol w:w="430"/>
        <w:gridCol w:w="525"/>
        <w:gridCol w:w="1140"/>
        <w:gridCol w:w="3480"/>
        <w:gridCol w:w="330"/>
        <w:gridCol w:w="315"/>
        <w:gridCol w:w="900"/>
        <w:gridCol w:w="742"/>
        <w:gridCol w:w="1559"/>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序号</w:t>
            </w:r>
          </w:p>
        </w:tc>
        <w:tc>
          <w:tcPr>
            <w:tcW w:w="4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名</w:t>
            </w:r>
            <w:r>
              <w:rPr>
                <w:rFonts w:ascii="宋体" w:hAnsi="宋体" w:cs="宋体"/>
                <w:sz w:val="24"/>
                <w:lang w:val="zh-CN"/>
              </w:rPr>
              <w:t xml:space="preserve"> </w:t>
            </w:r>
            <w:r>
              <w:rPr>
                <w:rFonts w:hint="eastAsia" w:ascii="宋体" w:hAnsi="宋体" w:cs="宋体"/>
                <w:sz w:val="24"/>
                <w:lang w:val="zh-CN"/>
              </w:rPr>
              <w:t>称</w:t>
            </w:r>
          </w:p>
        </w:tc>
        <w:tc>
          <w:tcPr>
            <w:tcW w:w="52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品牌</w:t>
            </w:r>
          </w:p>
        </w:tc>
        <w:tc>
          <w:tcPr>
            <w:tcW w:w="114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ind w:firstLine="120"/>
              <w:jc w:val="center"/>
              <w:rPr>
                <w:rFonts w:ascii="宋体" w:hAnsi="宋体" w:cs="宋体"/>
                <w:sz w:val="24"/>
                <w:lang w:val="zh-CN"/>
              </w:rPr>
            </w:pPr>
            <w:r>
              <w:rPr>
                <w:rFonts w:hint="eastAsia" w:ascii="宋体" w:hAnsi="宋体" w:cs="宋体"/>
                <w:sz w:val="24"/>
                <w:lang w:val="zh-CN"/>
              </w:rPr>
              <w:t>型号</w:t>
            </w:r>
          </w:p>
        </w:tc>
        <w:tc>
          <w:tcPr>
            <w:tcW w:w="34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技术参数</w:t>
            </w:r>
          </w:p>
        </w:tc>
        <w:tc>
          <w:tcPr>
            <w:tcW w:w="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单位</w:t>
            </w:r>
          </w:p>
        </w:tc>
        <w:tc>
          <w:tcPr>
            <w:tcW w:w="3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数</w:t>
            </w:r>
            <w:r>
              <w:rPr>
                <w:rFonts w:ascii="宋体" w:hAnsi="宋体" w:cs="宋体"/>
                <w:sz w:val="24"/>
                <w:lang w:val="zh-CN"/>
              </w:rPr>
              <w:t xml:space="preserve"> </w:t>
            </w:r>
            <w:r>
              <w:rPr>
                <w:rFonts w:hint="eastAsia" w:ascii="宋体" w:hAnsi="宋体" w:cs="宋体"/>
                <w:sz w:val="24"/>
                <w:lang w:val="zh-CN"/>
              </w:rPr>
              <w:t>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sz w:val="24"/>
                <w:lang w:val="zh-CN"/>
              </w:rPr>
            </w:pPr>
            <w:r>
              <w:rPr>
                <w:rFonts w:hint="eastAsia" w:ascii="宋体" w:hAnsi="宋体" w:cs="宋体"/>
                <w:sz w:val="24"/>
                <w:lang w:val="zh-CN"/>
              </w:rPr>
              <w:t>单</w:t>
            </w:r>
            <w:r>
              <w:rPr>
                <w:rFonts w:ascii="宋体" w:hAnsi="宋体" w:cs="宋体"/>
                <w:sz w:val="24"/>
                <w:lang w:val="zh-CN"/>
              </w:rPr>
              <w:t xml:space="preserve"> </w:t>
            </w:r>
            <w:r>
              <w:rPr>
                <w:rFonts w:hint="eastAsia" w:ascii="宋体" w:hAnsi="宋体" w:cs="宋体"/>
                <w:sz w:val="24"/>
                <w:lang w:val="zh-CN"/>
              </w:rPr>
              <w:t>价（元）</w:t>
            </w:r>
          </w:p>
        </w:tc>
        <w:tc>
          <w:tcPr>
            <w:tcW w:w="7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jc w:val="center"/>
              <w:rPr>
                <w:rFonts w:ascii="宋体" w:hAnsi="宋体" w:cs="宋体"/>
                <w:sz w:val="24"/>
                <w:lang w:val="zh-CN"/>
              </w:rPr>
            </w:pPr>
            <w:r>
              <w:rPr>
                <w:rFonts w:hint="eastAsia" w:ascii="宋体" w:hAnsi="宋体" w:cs="宋体"/>
                <w:sz w:val="24"/>
                <w:lang w:val="zh-CN"/>
              </w:rPr>
              <w:t>总价（元）</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宋体" w:hAnsi="宋体" w:cs="宋体"/>
                <w:sz w:val="24"/>
                <w:lang w:val="zh-CN"/>
              </w:rPr>
            </w:pPr>
            <w:r>
              <w:rPr>
                <w:rFonts w:hint="eastAsia" w:ascii="宋体" w:hAnsi="宋体" w:cs="宋体"/>
                <w:sz w:val="24"/>
                <w:lang w:val="zh-CN"/>
              </w:rPr>
              <w:t>产地及</w:t>
            </w:r>
          </w:p>
          <w:p>
            <w:pPr>
              <w:autoSpaceDE w:val="0"/>
              <w:autoSpaceDN w:val="0"/>
              <w:adjustRightInd w:val="0"/>
              <w:spacing w:line="280" w:lineRule="exact"/>
              <w:ind w:left="120" w:hanging="120"/>
              <w:jc w:val="center"/>
              <w:rPr>
                <w:rFonts w:ascii="宋体" w:hAnsi="宋体" w:cs="宋体"/>
                <w:sz w:val="24"/>
                <w:lang w:val="zh-CN"/>
              </w:rPr>
            </w:pPr>
            <w:r>
              <w:rPr>
                <w:rFonts w:hint="eastAsia" w:ascii="宋体" w:hAnsi="宋体" w:cs="宋体"/>
                <w:sz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bookmarkStart w:id="0" w:name="_GoBack" w:colFirst="4" w:colLast="4"/>
            <w:r>
              <w:rPr>
                <w:rFonts w:hint="eastAsia" w:ascii="宋体" w:hAnsi="宋体" w:cs="宋体"/>
                <w:color w:val="000000"/>
                <w:kern w:val="0"/>
                <w:sz w:val="24"/>
                <w:lang w:bidi="ar"/>
              </w:rPr>
              <w:t>1</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hint="eastAsia" w:ascii="宋体" w:hAnsi="宋体" w:cs="宋体"/>
                <w:sz w:val="24"/>
                <w:lang w:val="zh-CN"/>
              </w:rPr>
            </w:pPr>
            <w:r>
              <w:rPr>
                <w:rFonts w:hint="eastAsia" w:ascii="宋体" w:hAnsi="宋体" w:cs="宋体"/>
                <w:color w:val="000000"/>
                <w:kern w:val="0"/>
                <w:sz w:val="24"/>
              </w:rPr>
              <w:t>交换机</w:t>
            </w:r>
          </w:p>
        </w:tc>
        <w:tc>
          <w:tcPr>
            <w:tcW w:w="525"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锐捷</w:t>
            </w:r>
          </w:p>
        </w:tc>
        <w:tc>
          <w:tcPr>
            <w:tcW w:w="1140" w:type="dxa"/>
            <w:tcBorders>
              <w:top w:val="single" w:color="auto" w:sz="6" w:space="0"/>
              <w:left w:val="single" w:color="auto" w:sz="4" w:space="0"/>
              <w:bottom w:val="single" w:color="auto" w:sz="6" w:space="0"/>
              <w:right w:val="single" w:color="auto" w:sz="6" w:space="0"/>
            </w:tcBorders>
            <w:shd w:val="clear" w:color="auto" w:fill="FFFFFF"/>
            <w:vAlign w:val="center"/>
          </w:tcPr>
          <w:p>
            <w:pPr>
              <w:widowControl/>
              <w:jc w:val="center"/>
              <w:rPr>
                <w:rFonts w:ascii="宋体" w:hAnsi="宋体"/>
                <w:color w:val="000000"/>
                <w:kern w:val="0"/>
                <w:sz w:val="24"/>
              </w:rPr>
            </w:pPr>
            <w:r>
              <w:rPr>
                <w:rFonts w:hint="eastAsia" w:ascii="宋体" w:hAnsi="宋体"/>
                <w:color w:val="000000"/>
                <w:sz w:val="24"/>
              </w:rPr>
              <w:t>RG-S2910-24GT4XS-E</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1、交换容量≥260Gbps </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2、转发性能≥95Mpps </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3、固化10/100/1000M以太网端口≥24，固化1G/10G SFP+万兆光接口≥4个；整机最大可用千兆口≥24，最大可用万兆口≥4 </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4、支持固化电源，减少单点故障，便于维护</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5、支持IPv4和IPv6的静态路由</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6、支持静态黑洞路由</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7、支持RIP/RIPng、策略路由等三层路由协议</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8、要求所投设备MAC地址≥16K</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9、要求所投设备ARP表项≥1000条</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10、支持ARP防欺骗功能，能够禁止非法用户的ARP欺骗报文，保护合法用户免受其害，防止合法用户的数据被窃取</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11、支持IP标准、IP扩展、MAC扩展、专家级、ACL80、IPV6ACL、基于VLAN、基于端口、基于协议、基于全局等方式的访问控制列表；且支持ACL Logging、ACL Counter、ACL Remark、ACL重定向；</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12、"支持基于端口的出方向和入方向限速，限端口速粒度≤64Kbps</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13、支持基于流的出方向和入方向限速，且流限速粒度≤8Kbps</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14、</w:t>
            </w:r>
            <w:r>
              <w:rPr>
                <w:rFonts w:hint="eastAsia" w:ascii="宋体" w:hAnsi="宋体"/>
                <w:sz w:val="24"/>
              </w:rPr>
              <w:t>要求所投设备支持</w:t>
            </w:r>
            <w:r>
              <w:rPr>
                <w:rFonts w:ascii="宋体" w:hAnsi="宋体"/>
                <w:sz w:val="24"/>
              </w:rPr>
              <w:t>1对1、1对多、多对1和基于流的镜像；且支持RSPAN和ERSPAN</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15、</w:t>
            </w:r>
            <w:r>
              <w:rPr>
                <w:rFonts w:hint="eastAsia" w:ascii="宋体" w:hAnsi="宋体"/>
                <w:sz w:val="24"/>
              </w:rPr>
              <w:t>要求所投设备支持基本和灵活</w:t>
            </w:r>
            <w:r>
              <w:rPr>
                <w:rFonts w:ascii="宋体" w:hAnsi="宋体"/>
                <w:sz w:val="24"/>
              </w:rPr>
              <w:t>QinQ特性，且能够支持1：1和N：1 VLAN交换；</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16、支持专门针对CPU的保护机制，能够针对发往CPU处理的各种报文进行流量控制和优先级处理，保护交换机在各种环境下稳定工作。</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17、支持专门基础网络保护机制，增强设备防攻击能力，即使在受到攻击的情况下，也能保护系统各种服务的正常运行，保持较低的CPU负载，从而保障整个网络的稳定运行。</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18、</w:t>
            </w:r>
            <w:r>
              <w:rPr>
                <w:rFonts w:hint="eastAsia" w:ascii="宋体" w:hAnsi="宋体"/>
                <w:sz w:val="24"/>
              </w:rPr>
              <w:t>要求所投产品支持</w:t>
            </w:r>
            <w:r>
              <w:rPr>
                <w:rFonts w:ascii="宋体" w:hAnsi="宋体"/>
                <w:sz w:val="24"/>
              </w:rPr>
              <w:t>sFlow网络监测技术，可提供完整的第二层到第四层信息，可以适应超大网络流量环境下的流量分析，让用户详细、实时地分析网络传输流的性能、趋势和存在的问题。</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19、支持虚拟化功能（非堆叠模块实现，不占用扩展槽）。</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20、要求所投产品支持虚拟化功能，且虚拟化故障收敛时间≤30ms。</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21、</w:t>
            </w:r>
            <w:r>
              <w:rPr>
                <w:rFonts w:hint="eastAsia" w:ascii="宋体" w:hAnsi="宋体"/>
                <w:sz w:val="24"/>
              </w:rPr>
              <w:t>要求所投产品支持</w:t>
            </w:r>
            <w:r>
              <w:rPr>
                <w:rFonts w:ascii="宋体" w:hAnsi="宋体"/>
                <w:sz w:val="24"/>
              </w:rPr>
              <w:t>ITU-TG.8032国际公有环网协议ERPS,支持相切环和相交环，并且链路故障的收敛时间≤50ms；</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22、</w:t>
            </w:r>
            <w:r>
              <w:rPr>
                <w:rFonts w:hint="eastAsia" w:ascii="宋体" w:hAnsi="宋体"/>
                <w:sz w:val="24"/>
              </w:rPr>
              <w:t>要求所投产品支持零配置</w:t>
            </w:r>
            <w:r>
              <w:rPr>
                <w:rFonts w:ascii="宋体" w:hAnsi="宋体"/>
                <w:sz w:val="24"/>
              </w:rPr>
              <w:t>CWMP（TR069）标准协议。</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23、符合国家低碳环保等政策要求，支持IEEE 802.3az标准的EEE节能技术，要求提供官网截图。</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24、</w:t>
            </w:r>
            <w:r>
              <w:rPr>
                <w:rFonts w:hint="eastAsia" w:ascii="宋体" w:hAnsi="宋体"/>
                <w:sz w:val="24"/>
              </w:rPr>
              <w:t>要求所投产品支持端口休眠；</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25、</w:t>
            </w:r>
            <w:r>
              <w:rPr>
                <w:rFonts w:hint="eastAsia" w:ascii="宋体" w:hAnsi="宋体"/>
                <w:sz w:val="24"/>
              </w:rPr>
              <w:t>要求所投产品支持模块化操作系统，支持针对单一模块打热补丁，故障模块升级中不影响其他进程的正常运行和业务转发；</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26、</w:t>
            </w:r>
            <w:r>
              <w:rPr>
                <w:rFonts w:hint="eastAsia" w:ascii="宋体" w:hAnsi="宋体"/>
                <w:sz w:val="24"/>
              </w:rPr>
              <w:t>要求所投产品支持智能温控功能，支持风扇自动调速、风扇故障检测、风扇状态查询等操作；</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27、</w:t>
            </w:r>
            <w:r>
              <w:rPr>
                <w:rFonts w:hint="eastAsia" w:ascii="宋体" w:hAnsi="宋体"/>
                <w:sz w:val="24"/>
              </w:rPr>
              <w:t>要求所投产品必须支持线缆检测，可对线路进行正常、短路、断路、半断开状态进行检测，且能够检测到线缆发生故障的具体位置；</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28、</w:t>
            </w:r>
            <w:r>
              <w:rPr>
                <w:rFonts w:hint="eastAsia" w:ascii="宋体" w:hAnsi="宋体"/>
                <w:sz w:val="24"/>
              </w:rPr>
              <w:t>要求所投产品支持软件定义网络</w:t>
            </w:r>
            <w:r>
              <w:rPr>
                <w:rFonts w:ascii="宋体" w:hAnsi="宋体"/>
                <w:sz w:val="24"/>
              </w:rPr>
              <w:t>SDN，符合OpenFlow 1.3协议标准，支持SDN和SDN Ready功能，需提供第三方权威结构测试报告；</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29、支持SNMPv1/v2C/v3、CLI(Telnet/Console)、RMON(1,2,3,9)、SSH、Syslog、NTP/SNTP、FTP、TFTP、Web</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30、提供工信部IPv4/IPv6 三层设备进网许可证复印件,且必须提供Ipv4/IPv6入网测试报告；</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31、</w:t>
            </w:r>
            <w:r>
              <w:rPr>
                <w:rFonts w:hint="eastAsia" w:ascii="宋体" w:hAnsi="宋体"/>
                <w:sz w:val="24"/>
              </w:rPr>
              <w:t>要求所投设备遵守国家标准的设计规则，并提供中国质量认证中心出具的《中国国家强制性产品认证证书》</w:t>
            </w:r>
          </w:p>
          <w:p>
            <w:pPr>
              <w:widowControl/>
              <w:textAlignment w:val="center"/>
              <w:rPr>
                <w:rFonts w:hint="eastAsia" w:ascii="宋体" w:hAnsi="宋体" w:cs="宋体"/>
                <w:sz w:val="24"/>
                <w:lang w:val="zh-CN"/>
              </w:rPr>
            </w:pPr>
            <w:r>
              <w:rPr>
                <w:rFonts w:hint="eastAsia" w:ascii="宋体" w:hAnsi="宋体" w:cs="宋体"/>
                <w:color w:val="000000"/>
                <w:kern w:val="0"/>
                <w:sz w:val="24"/>
                <w:lang w:bidi="ar"/>
              </w:rPr>
              <w:t>32、要求所投设备支持IPv6 Ready第二阶段认证证书</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台</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ascii="宋体" w:hAnsi="宋体"/>
                <w:color w:val="000000"/>
                <w:kern w:val="0"/>
                <w:sz w:val="24"/>
              </w:rPr>
            </w:pPr>
            <w:r>
              <w:rPr>
                <w:rFonts w:hint="eastAsia" w:ascii="宋体" w:hAnsi="宋体"/>
                <w:color w:val="000000"/>
                <w:sz w:val="24"/>
              </w:rPr>
              <w:t>6400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6400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福建/锐捷网络股份有限公司</w:t>
            </w:r>
          </w:p>
        </w:tc>
      </w:tr>
      <w:bookmarkEnd w:id="0"/>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2</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hint="eastAsia" w:ascii="宋体" w:hAnsi="宋体" w:cs="宋体"/>
                <w:sz w:val="24"/>
                <w:lang w:val="zh-CN"/>
              </w:rPr>
            </w:pPr>
            <w:r>
              <w:rPr>
                <w:rFonts w:hint="eastAsia" w:ascii="宋体" w:hAnsi="宋体" w:cs="宋体"/>
                <w:color w:val="000000"/>
                <w:kern w:val="0"/>
                <w:sz w:val="24"/>
              </w:rPr>
              <w:t>服务器机柜</w:t>
            </w:r>
          </w:p>
        </w:tc>
        <w:tc>
          <w:tcPr>
            <w:tcW w:w="525" w:type="dxa"/>
            <w:tcBorders>
              <w:top w:val="single" w:color="auto" w:sz="6" w:space="0"/>
              <w:left w:val="single" w:color="auto" w:sz="6" w:space="0"/>
              <w:bottom w:val="single" w:color="auto" w:sz="6" w:space="0"/>
              <w:right w:val="single" w:color="auto" w:sz="4"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图腾</w:t>
            </w:r>
          </w:p>
        </w:tc>
        <w:tc>
          <w:tcPr>
            <w:tcW w:w="1140" w:type="dxa"/>
            <w:tcBorders>
              <w:top w:val="single" w:color="auto" w:sz="6" w:space="0"/>
              <w:left w:val="single" w:color="auto" w:sz="4"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图腾G36042</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color w:val="000000"/>
                <w:kern w:val="0"/>
                <w:sz w:val="24"/>
                <w:lang w:bidi="ar"/>
              </w:rPr>
            </w:pPr>
            <w:r>
              <w:rPr>
                <w:rFonts w:hint="eastAsia" w:ascii="宋体" w:hAnsi="宋体" w:cs="宋体"/>
                <w:color w:val="000000"/>
                <w:kern w:val="0"/>
                <w:sz w:val="24"/>
                <w:lang w:bidi="ar"/>
              </w:rPr>
              <w:t>1、空间:2000*600*1000mm的设备安装空间；提供安装的服务器机柜。</w:t>
            </w:r>
          </w:p>
          <w:p>
            <w:pPr>
              <w:rPr>
                <w:rFonts w:hint="eastAsia" w:ascii="宋体" w:hAnsi="宋体" w:cs="宋体"/>
                <w:color w:val="000000"/>
                <w:kern w:val="0"/>
                <w:sz w:val="24"/>
                <w:lang w:bidi="ar"/>
              </w:rPr>
            </w:pPr>
            <w:r>
              <w:rPr>
                <w:rFonts w:hint="eastAsia" w:ascii="宋体" w:hAnsi="宋体" w:cs="宋体"/>
                <w:color w:val="000000"/>
                <w:kern w:val="0"/>
                <w:sz w:val="24"/>
                <w:lang w:bidi="ar"/>
              </w:rPr>
              <w:t>2、移动: 4只两寸重型脚轮,可方便移动；</w:t>
            </w:r>
          </w:p>
          <w:p>
            <w:pPr>
              <w:rPr>
                <w:rFonts w:ascii="宋体" w:hAnsi="宋体"/>
                <w:sz w:val="24"/>
              </w:rPr>
            </w:pPr>
            <w:r>
              <w:rPr>
                <w:rFonts w:hint="eastAsia" w:ascii="宋体" w:hAnsi="宋体" w:cs="宋体"/>
                <w:color w:val="000000"/>
                <w:kern w:val="0"/>
                <w:sz w:val="24"/>
                <w:lang w:bidi="ar"/>
              </w:rPr>
              <w:t>3、PDU: 集成1个8位10A PDU；</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3400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3400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四川/</w:t>
            </w:r>
            <w:r>
              <w:rPr>
                <w:rFonts w:hint="eastAsia" w:ascii="宋体" w:hAnsi="宋体"/>
                <w:color w:val="000000"/>
                <w:sz w:val="24"/>
                <w:shd w:val="clear" w:color="auto" w:fill="FFFFFF"/>
              </w:rPr>
              <w:t>成都图腾网络设备有限公司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3</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hint="eastAsia" w:ascii="宋体" w:hAnsi="宋体" w:cs="宋体"/>
                <w:sz w:val="24"/>
                <w:lang w:val="zh-CN"/>
              </w:rPr>
            </w:pPr>
            <w:r>
              <w:rPr>
                <w:rFonts w:hint="eastAsia" w:ascii="宋体" w:hAnsi="宋体" w:cs="宋体"/>
                <w:color w:val="000000"/>
                <w:kern w:val="0"/>
                <w:sz w:val="24"/>
              </w:rPr>
              <w:t>机房空调</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s="宋体"/>
                <w:sz w:val="24"/>
                <w:lang w:val="zh-CN"/>
              </w:rPr>
            </w:pPr>
            <w:r>
              <w:rPr>
                <w:rFonts w:hint="eastAsia" w:ascii="宋体" w:hAnsi="宋体" w:cs="宋体"/>
                <w:kern w:val="0"/>
                <w:sz w:val="24"/>
                <w:szCs w:val="20"/>
                <w:lang w:val="zh-CN" w:eastAsia="zh-CN"/>
              </w:rPr>
              <w:t>格力</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ascii="宋体" w:hAnsi="宋体" w:cs="宋体"/>
                <w:kern w:val="0"/>
                <w:sz w:val="24"/>
                <w:szCs w:val="20"/>
                <w:lang w:val="zh-CN" w:eastAsia="zh-CN"/>
              </w:rPr>
              <w:t>KFR-72LW/(72591)NhAd-2</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color w:val="000000"/>
                <w:kern w:val="0"/>
                <w:sz w:val="24"/>
                <w:lang w:bidi="ar"/>
              </w:rPr>
            </w:pPr>
            <w:r>
              <w:rPr>
                <w:rFonts w:hint="eastAsia" w:ascii="宋体" w:hAnsi="宋体" w:cs="宋体"/>
                <w:color w:val="000000"/>
                <w:kern w:val="0"/>
                <w:sz w:val="24"/>
                <w:lang w:bidi="ar"/>
              </w:rPr>
              <w:t>1、匹数：</w:t>
            </w:r>
            <w:r>
              <w:rPr>
                <w:rFonts w:hint="eastAsia" w:ascii="宋体" w:hAnsi="宋体" w:cs="宋体"/>
                <w:color w:val="000000"/>
                <w:kern w:val="0"/>
                <w:sz w:val="24"/>
                <w:lang w:val="en-US" w:eastAsia="zh-CN" w:bidi="ar"/>
              </w:rPr>
              <w:t>2个</w:t>
            </w:r>
            <w:r>
              <w:rPr>
                <w:rFonts w:hint="eastAsia" w:ascii="宋体" w:hAnsi="宋体" w:cs="宋体"/>
                <w:color w:val="000000"/>
                <w:kern w:val="0"/>
                <w:sz w:val="24"/>
                <w:lang w:bidi="ar"/>
              </w:rPr>
              <w:t>2P</w:t>
            </w:r>
          </w:p>
          <w:p>
            <w:pPr>
              <w:rPr>
                <w:rFonts w:hint="eastAsia" w:ascii="宋体" w:hAnsi="宋体" w:cs="宋体"/>
                <w:color w:val="000000"/>
                <w:kern w:val="0"/>
                <w:sz w:val="24"/>
                <w:lang w:bidi="ar"/>
              </w:rPr>
            </w:pPr>
            <w:r>
              <w:rPr>
                <w:rFonts w:hint="eastAsia" w:ascii="宋体" w:hAnsi="宋体" w:cs="宋体"/>
                <w:color w:val="000000"/>
                <w:kern w:val="0"/>
                <w:sz w:val="24"/>
                <w:lang w:bidi="ar"/>
              </w:rPr>
              <w:t>2、定频：定频</w:t>
            </w:r>
          </w:p>
          <w:p>
            <w:pPr>
              <w:rPr>
                <w:rFonts w:hint="eastAsia" w:ascii="宋体" w:hAnsi="宋体" w:cs="宋体"/>
                <w:color w:val="000000"/>
                <w:kern w:val="0"/>
                <w:sz w:val="24"/>
                <w:lang w:bidi="ar"/>
              </w:rPr>
            </w:pPr>
            <w:r>
              <w:rPr>
                <w:rFonts w:hint="eastAsia" w:ascii="宋体" w:hAnsi="宋体" w:cs="宋体"/>
                <w:color w:val="000000"/>
                <w:kern w:val="0"/>
                <w:sz w:val="24"/>
                <w:lang w:bidi="ar"/>
              </w:rPr>
              <w:t xml:space="preserve">3、制冷类型：冷暖 </w:t>
            </w:r>
          </w:p>
          <w:p>
            <w:pPr>
              <w:rPr>
                <w:rFonts w:hint="eastAsia" w:ascii="宋体" w:hAnsi="宋体" w:cs="宋体"/>
                <w:color w:val="000000"/>
                <w:kern w:val="0"/>
                <w:sz w:val="24"/>
                <w:lang w:bidi="ar"/>
              </w:rPr>
            </w:pPr>
            <w:r>
              <w:rPr>
                <w:rFonts w:hint="eastAsia" w:ascii="宋体" w:hAnsi="宋体" w:cs="宋体"/>
                <w:color w:val="000000"/>
                <w:kern w:val="0"/>
                <w:sz w:val="24"/>
                <w:lang w:bidi="ar"/>
              </w:rPr>
              <w:t>4、类别：立柜式</w:t>
            </w:r>
          </w:p>
          <w:p>
            <w:pPr>
              <w:rPr>
                <w:rFonts w:ascii="宋体" w:hAnsi="宋体"/>
                <w:sz w:val="24"/>
              </w:rPr>
            </w:pPr>
            <w:r>
              <w:rPr>
                <w:rFonts w:hint="eastAsia" w:ascii="宋体" w:hAnsi="宋体" w:cs="宋体"/>
                <w:color w:val="000000"/>
                <w:kern w:val="0"/>
                <w:sz w:val="24"/>
                <w:lang w:bidi="ar"/>
              </w:rPr>
              <w:t>节能环保</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台</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lang w:val="zh-CN"/>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7800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7800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s="宋体"/>
                <w:sz w:val="24"/>
                <w:lang w:val="zh-CN"/>
              </w:rPr>
            </w:pPr>
            <w:r>
              <w:rPr>
                <w:rFonts w:hint="eastAsia" w:ascii="宋体" w:hAnsi="宋体" w:cs="宋体"/>
                <w:sz w:val="24"/>
              </w:rPr>
              <w:t>广东/</w:t>
            </w:r>
            <w:r>
              <w:rPr>
                <w:rFonts w:hint="eastAsia" w:ascii="宋体" w:hAnsi="宋体"/>
                <w:sz w:val="24"/>
              </w:rPr>
              <w:t>珠海格力电器股份有限公司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4</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hint="eastAsia" w:ascii="宋体" w:hAnsi="宋体" w:cs="宋体"/>
                <w:sz w:val="24"/>
              </w:rPr>
            </w:pPr>
            <w:r>
              <w:rPr>
                <w:rFonts w:hint="eastAsia" w:ascii="宋体" w:hAnsi="宋体" w:cs="宋体"/>
                <w:color w:val="000000"/>
                <w:kern w:val="0"/>
                <w:sz w:val="24"/>
              </w:rPr>
              <w:t>云计算实验室控制节点</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sz w:val="24"/>
              </w:rPr>
              <w:t>戴尔</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PowerEdge R730</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1、cpu：E5-2620v4(2.1GHz/8c)/8GT/20ML3*2|</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2、内存：64G RDIMM DDR4 内存*2|</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3、硬盘：1TB SATA（企业级）*5|</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4、接口：3.5HD_4口背板*2|</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5、八通道高性能 SAS3008卡IMR（可选Raid key)*1|</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6、网卡：主板集成千兆网卡*2|</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7、电源：双电源-550W白金级冗余电源*1|</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8、标配导轨*1</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9、可扩展双口万兆网卡，SSD 固态硬盘、内存可扩展到 128G；</w:t>
            </w:r>
          </w:p>
          <w:p>
            <w:pPr>
              <w:widowControl/>
              <w:textAlignment w:val="center"/>
              <w:rPr>
                <w:rFonts w:ascii="宋体" w:hAnsi="宋体"/>
                <w:sz w:val="24"/>
              </w:rPr>
            </w:pPr>
            <w:r>
              <w:rPr>
                <w:rFonts w:hint="eastAsia" w:ascii="宋体" w:hAnsi="宋体" w:cs="宋体"/>
                <w:color w:val="000000"/>
                <w:kern w:val="0"/>
                <w:sz w:val="24"/>
                <w:lang w:bidi="ar"/>
              </w:rPr>
              <w:t>10、双口万兆网卡（光纤接口含2个多模模块）*1</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台</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46000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46000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福建/戴尔(中国</w:t>
            </w:r>
            <w:r>
              <w:rPr>
                <w:rFonts w:ascii="宋体" w:hAnsi="宋体" w:cs="宋体"/>
                <w:color w:val="000000"/>
                <w:kern w:val="0"/>
                <w:sz w:val="24"/>
                <w:lang w:bidi="ar"/>
              </w:rPr>
              <w:t>)</w:t>
            </w:r>
            <w:r>
              <w:rPr>
                <w:rFonts w:hint="eastAsia" w:ascii="宋体" w:hAnsi="宋体" w:cs="宋体"/>
                <w:color w:val="000000"/>
                <w:kern w:val="0"/>
                <w:sz w:val="24"/>
                <w:lang w:bidi="ar"/>
              </w:rPr>
              <w:t>有限公司</w:t>
            </w:r>
          </w:p>
        </w:tc>
      </w:tr>
      <w:tr>
        <w:tblPrEx>
          <w:tblLayout w:type="fixed"/>
          <w:tblCellMar>
            <w:top w:w="0" w:type="dxa"/>
            <w:left w:w="108" w:type="dxa"/>
            <w:bottom w:w="0" w:type="dxa"/>
            <w:right w:w="108" w:type="dxa"/>
          </w:tblCellMar>
        </w:tblPrEx>
        <w:trPr>
          <w:trHeight w:val="292" w:hRule="atLeast"/>
        </w:trPr>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5</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rPr>
                <w:rFonts w:hint="eastAsia" w:ascii="宋体" w:hAnsi="宋体" w:cs="宋体"/>
                <w:sz w:val="24"/>
              </w:rPr>
            </w:pPr>
            <w:r>
              <w:rPr>
                <w:rFonts w:hint="eastAsia" w:ascii="宋体" w:hAnsi="宋体" w:cs="宋体"/>
                <w:color w:val="000000"/>
                <w:kern w:val="0"/>
                <w:sz w:val="24"/>
              </w:rPr>
              <w:t>云计算实验室运算节点</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sz w:val="24"/>
              </w:rPr>
              <w:t>戴尔</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PowerEdge R730</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1、服务器主机：2U机架式12盘单节点热插拔服务器，整机必须配置RAID卡。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2、CPU：整机满配两颗CPU，Intel Xeon E5-2630v3系列处理器，8核16线程标准主频2.4GHz；。</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3、内存：支持24根 DDR4 2133MHz UDIMM / RDIMM / LRDIMM MHZ内存插槽，配置256G内存。</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4、存储：支持12 x 3.5”（或2.5”） 热插硬盘，5块1T 企业级 3.5寸SAS硬盘 7.2K。</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5、网络与I/O扩展槽：板载Intel® I350 dual-port 1Gb 双端口以太网千兆电口，同时提供4*PCI-E插槽（支持PCI-E以太网网卡、HBA卡），1*SAS mezzanine（支持RAID卡），1*OCP LAN mezzanine（支持OCP以太网网卡），整机必须配置RAID卡。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6、远程管理：兼容IPMI v2.0, 支持板载 “KVM over IP”。</w:t>
            </w:r>
          </w:p>
          <w:p>
            <w:pPr>
              <w:widowControl/>
              <w:jc w:val="left"/>
              <w:textAlignment w:val="center"/>
              <w:rPr>
                <w:rFonts w:ascii="宋体" w:hAnsi="宋体"/>
                <w:sz w:val="24"/>
              </w:rPr>
            </w:pPr>
            <w:r>
              <w:rPr>
                <w:rFonts w:hint="eastAsia" w:ascii="宋体" w:hAnsi="宋体" w:cs="宋体"/>
                <w:color w:val="000000"/>
                <w:kern w:val="0"/>
                <w:sz w:val="24"/>
                <w:lang w:bidi="ar"/>
              </w:rPr>
              <w:t>7、电源：支持750W 1+1高效冗余电源，自带1个电源。</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台</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4</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54000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216000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福建/戴尔(中国</w:t>
            </w:r>
            <w:r>
              <w:rPr>
                <w:rFonts w:ascii="宋体" w:hAnsi="宋体" w:cs="宋体"/>
                <w:color w:val="000000"/>
                <w:kern w:val="0"/>
                <w:sz w:val="24"/>
                <w:lang w:bidi="ar"/>
              </w:rPr>
              <w:t>)</w:t>
            </w:r>
            <w:r>
              <w:rPr>
                <w:rFonts w:hint="eastAsia" w:ascii="宋体" w:hAnsi="宋体" w:cs="宋体"/>
                <w:color w:val="000000"/>
                <w:kern w:val="0"/>
                <w:sz w:val="24"/>
                <w:lang w:bidi="ar"/>
              </w:rPr>
              <w:t>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6</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hint="eastAsia" w:ascii="宋体" w:hAnsi="宋体" w:cs="宋体"/>
                <w:sz w:val="24"/>
              </w:rPr>
            </w:pPr>
            <w:r>
              <w:rPr>
                <w:rFonts w:hint="eastAsia" w:ascii="宋体" w:hAnsi="宋体"/>
                <w:bCs/>
                <w:sz w:val="24"/>
              </w:rPr>
              <w:t>云计算基础云平台</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CII-BDLAB-Base</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功能要求：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1、支持物理服务器的裸机快速安装，可在未安装任何操作系统的物理服务器上快速部署云平台。</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2、创建虚拟机资源时无需指定具体设备，云平台根据调度策略自动将虚拟机调度到合适的物理机中。</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3、运行的虚拟机可直接保存为模板，平台可立即使用新建立的模板创建虚拟机。</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4、支持虚拟机的网络流量限制功能，支持根据不同应用对带宽的需求，为不同的虚拟机或应用设置不同的网络带宽。</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5、支持物理层对虚拟网卡做网络带宽限制时，根据不同的需求采用两个虚拟网卡分别控制内网和外网的网速，实现云平台虚拟机内外网不同级别限速。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6、云平台支持存储资源的即插即用与在线扩容。</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7、支持采用系统“模板”(系统镜像文件)进行虚拟机自动部署。用户只需要在启动虚拟机时挂接这个镜像就可以使用这个操作系统。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*8、采用CPU和I/O资源互补策略，将承载CPU消耗业务的虚拟机与承载I/O消耗业务的虚拟机尽可能分配到同一物理服务器上，从而最大化地利用物理服务器资源。</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9、云管理系统支持分区部署，即支持从物理架构层进行分区域部署以满足上层应用的安全性要求，或者对云主机不同属性的要求。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10、同时支持虚拟机的手动迁移和动态热迁移模式。</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11、支持分布式云存储技术，可以为每份数据保存多份副本且副本数支持用户自定义。通过云存储为虚拟机、业务系统数据提供高效、可靠、安全的存储服务。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12、支持网络自定义。</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13、支持用户通过云计算系统提供的API提交各种请求，系统管理服务器通过异步可靠通信方式把这些请求分发到各个服务子系统，完成资源管理、资源分配、资源调度、备份管理、安全策略以及系统中各种资源（包括服务器、存储、网络等）的有效监控等工作。</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14、支持资源动态调度，能根据用户自定义的业务优先级，为虚拟机分配合适的资源。</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性能要求：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1、小规模的虚拟机（1个核、2GB内存、10GB硬盘本地存储、Windows Server 2003操作系统）从无到可以使用的创建时间≤2分钟。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2、平台创建VLAN的虚拟网络防火墙规则设置生效时间≤3秒。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3、平台创建的固定IP资源分配给虚拟机的生效时间后≤3秒。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4、平台管理系统主要模块响应时间＜5秒。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5、平台完成虚拟机创建时间小于＜15秒。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6、平台批量创建虚拟机数量＞20台，完成批量创建虚拟机时间＜5分钟。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7、物理裸机横向动态扩展完成时间≤30分钟。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8、系统热迁移时间≤3秒。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9、虚拟磁盘挂载生效时间＜15秒。</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10、支撑公共运营服务平台7*24小时 不间断运营。</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兼容性要求：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1、云平台访问接口应遵循国际上被先进国家政府认可的云计算接口标准规范：如Amazon EC2，S3、OpenStack等19、 云平台管理系统具有良好的兼容性和开放性，能够良好兼容Amazon（亚马逊）云计算相关产品和服务的API；且自身提供标准开放的API，支持第三方系统整合及扩展；</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2、虚拟机支持主流的操作系统，如：Windows Server 2003、Windows Server 2008、Centos Linux、Reahat Linux、Suse linux、Ubuntu Linux。</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3、支持主流的x86服务器作为物理机，含IBM、HP、DELL、联想、浪潮、曙光、五舟等。</w:t>
            </w:r>
          </w:p>
          <w:p>
            <w:pPr>
              <w:widowControl/>
              <w:jc w:val="left"/>
              <w:textAlignment w:val="center"/>
              <w:rPr>
                <w:rFonts w:ascii="宋体" w:hAnsi="宋体"/>
                <w:sz w:val="24"/>
              </w:rPr>
            </w:pPr>
            <w:r>
              <w:rPr>
                <w:rFonts w:hint="eastAsia" w:ascii="宋体" w:hAnsi="宋体" w:cs="宋体"/>
                <w:color w:val="000000"/>
                <w:kern w:val="0"/>
                <w:sz w:val="24"/>
                <w:lang w:bidi="ar"/>
              </w:rPr>
              <w:t>4、支持将多个服务器、存储等基础架构和网络聚合成共享资源池。</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115000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115000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7</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sz w:val="24"/>
              </w:rPr>
              <w:t>云计算教学云平台</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CII-BDLAB-EXED-Std</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功能要求：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教师端：</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1、支持创建实验环境列表、创建实验环境、编辑实验环境、删除实验环境、可视化创建实验以及管理实验等。</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将创建好的实验环境及内容分配到班级并且对学生实验时间进行管理。分配实验包括：实验列表、分配实验到班级、设定实验有效期、设定实验耗时、实验环境保留策略、是否允许重复提交报告、是否允许延时等。</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支持老师对学生实验进行监控：1、教师可以对学生的实验情况进行实时在线监控，了解每个学生的实验情况，以便及时发现问题进行提醒。2、教师可操作学生窗口。3、监控窗口显示协助信息。4、教师还可以对所有实验中使用的虚拟的状态进行监管，方便及时对异常情况进行处理，以及关闭多余的虚拟机防止造成资源浪费。5、教师可在平台上回答学生提问，并可根据所提问题的性质选择一对一解答或公开发布给所有参加实验课的学生。</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4、为教师提供在线批阅实验报告模块，教师可审阅实验报告列表中的实验报告，并对其评分、评语。</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5、提供实验成绩的统计和学生动手能力分析功能，统计可按课程进行统计、班级统计、某个老师实验统计、学生统计，方便快捷的了解每一位学生的学习现状。</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二、学生端：</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1、学生自主学习云计算的相关知识。模块主要包括：课程知识点、实验列表、实验指导、实验界面、实验提问、实验笔记等。</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2、支持在线提问或申请协助，以解决实验中遇到的问题。</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3、支持学生通过web网页链接对应的实验环境进行实际操作练习，支持每个学生一个单独的实验环境；</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实验报告模块通过在线选择模版进行报告编写及在线提交，提交后的实验报告可下载编辑。主要包括：编辑实验报告、自动定时保存、选择实验报告模版、预览实验报告、实验截屏到实验报告、提交实验报告、下载实验报告等。</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w:t>
            </w:r>
            <w:r>
              <w:rPr>
                <w:rStyle w:val="4"/>
                <w:rFonts w:hint="default"/>
                <w:sz w:val="24"/>
                <w:szCs w:val="24"/>
                <w:lang w:bidi="ar"/>
              </w:rPr>
              <w:t>学生可查看实验报告、实验成绩等信息。</w:t>
            </w:r>
          </w:p>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bidi="ar"/>
              </w:rPr>
              <w:t>技术要求：</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1.主要模块响应时间在5秒内；</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2.所有统计报表5秒内完成计算和显示；</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3.10秒内完成学生集群实验环境自动部署；</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4.10秒内完成单机实验环境重建；</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5.10秒内完成实验环境备份；</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6.平台无单点故障，支持7*24小时不间断工作；</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7.教学实验平台与底层云平台无缝对接，接口响应时间0.2秒左右；</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8.平台并发用户数只受硬件影响。</w:t>
            </w:r>
          </w:p>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此平台需要兼容大数据课程</w:t>
            </w:r>
          </w:p>
          <w:p>
            <w:pPr>
              <w:widowControl/>
              <w:textAlignment w:val="center"/>
              <w:rPr>
                <w:rFonts w:ascii="宋体" w:hAnsi="宋体"/>
                <w:sz w:val="24"/>
              </w:rPr>
            </w:pPr>
            <w:r>
              <w:rPr>
                <w:rFonts w:hint="eastAsia" w:ascii="宋体" w:hAnsi="宋体" w:cs="宋体"/>
                <w:color w:val="000000"/>
                <w:kern w:val="0"/>
                <w:sz w:val="24"/>
                <w:lang w:bidi="ar"/>
              </w:rPr>
              <w:t>中标后五个工作日内进行逐条功能演示。</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169000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169000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8</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sz w:val="24"/>
              </w:rPr>
              <w:t>云计算实训云平台</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CII-BDLAB-ACTR-Std</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实训云主要功能包含：项目库管理 项目库包含实习实训综合管理平台的所有实战演练项目案例；实战案例可以根据项目经理的要求修改内容要求和重新定义项目流程，具体实现功能如下：</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1．项目编辑： 包含项目的新建、编辑。</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2．项目阶段管理：定义项目的阶段，如需求阶段，设计阶段等。</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3．阶段流程管理：通过对项目阶段任务的管理确定的项目最终的流程走向和工作内容，为后期项目的开展进行工作规划。</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4．项目库应用语言方向需要涵盖：Java、Web前端（如HTML5、CSS、javaScript、jQuery、Boostrap等）、Java web（如JSP/Servlet、SSH框架等）和MySQL数据库等方面的全部项目资源（每一方面的项目资源数不得低于三个）。</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5．项目库内容需要以基础技术点为切入、以工程化思想为指导、以企业化开发模型为依托进行设计。</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6．项目库组成应包含实训项目指南、实训项目需求、项目文档、源代码、PPT等相关的实训指导文档，以上各种资源教师均可编辑修改。</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项目管理 实现以下功能：</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1．项目组管理：主要指添加，修改，删除项目组和项目组成员</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2．指定项目组长：项目组成立以后由项目经理检查分组情况并且指定项目组长，对项目团队进行日常工作协作和汇总。</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3．项目分配：项目经理可以直接给所有小组直接安排统一的项目，也可以给每一个小组安排不同项目。</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4．项目审核：对于新增的项目，如果需要加入项目库成为案例项目，需要由管理员审核后加入。</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项目任务 实现以下功能：</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1．任务提交：项目成员进入自己要完成的任务，在任务反馈时选择任务执行时间，并选择完成的进度及任务工时。最后填写执行情况的详细描述和提交项目成果到SVN。</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2．SVN查看：项目成员可以在每个阶段查看该阶段svn目录下的产出文件要求。</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3．项目进度表查看：项目成员可以在项目进度表（如甘特图）中查看项目的进度，了解项目任务的执行计划和进度、实际执行时间，执行人。</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项目评审 实现以下功能：</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1．阶段评定：项目的每个阶段完成后，如设计阶段完成，由项目组长发起申请评定，项目经理接到小组的评定申请通知后，查看该小组在该阶段完成情况，给整个小组写阶段评语。</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2．交付评定：项目整体完成后，如测试阶段完成，由项目组长发起项目结项申请，项目经理接到小组的结项申请通知后，查看该小组项目完成情况，给整个小组打分并给小组留下项目评语。</w:t>
            </w:r>
          </w:p>
          <w:p>
            <w:pPr>
              <w:widowControl/>
              <w:textAlignment w:val="center"/>
              <w:rPr>
                <w:rFonts w:hint="eastAsia" w:ascii="宋体" w:hAnsi="宋体" w:cs="宋体"/>
                <w:color w:val="000000"/>
                <w:sz w:val="24"/>
              </w:rPr>
            </w:pPr>
            <w:r>
              <w:rPr>
                <w:rFonts w:hint="eastAsia" w:ascii="宋体" w:hAnsi="宋体" w:cs="宋体"/>
                <w:color w:val="000000"/>
                <w:kern w:val="0"/>
                <w:sz w:val="24"/>
                <w:lang w:bidi="ar"/>
              </w:rPr>
              <w:t>此</w:t>
            </w:r>
            <w:r>
              <w:rPr>
                <w:rStyle w:val="4"/>
                <w:rFonts w:hint="default"/>
                <w:sz w:val="24"/>
                <w:szCs w:val="24"/>
                <w:lang w:bidi="ar"/>
              </w:rPr>
              <w:t>平台需要兼容大数据课程</w:t>
            </w:r>
          </w:p>
          <w:p>
            <w:pPr>
              <w:widowControl/>
              <w:textAlignment w:val="center"/>
              <w:rPr>
                <w:rFonts w:ascii="宋体" w:hAnsi="宋体"/>
                <w:sz w:val="24"/>
              </w:rPr>
            </w:pPr>
            <w:r>
              <w:rPr>
                <w:rFonts w:hint="eastAsia" w:ascii="宋体" w:hAnsi="宋体" w:cs="宋体"/>
                <w:color w:val="000000"/>
                <w:kern w:val="0"/>
                <w:sz w:val="24"/>
                <w:lang w:bidi="ar"/>
              </w:rPr>
              <w:t>中标后五个工作日内进行逐条功能演示</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129000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129000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9</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color w:val="000000"/>
                <w:sz w:val="24"/>
              </w:rPr>
              <w:t>云计算导论教学资源包</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CII-EDRE-PACK-CC-ccbase-100</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要目的是让学生了解什么是云计算，云计算的服务类型和部署模式，各类云计算服务模式所使用的核心技术和面临的挑战，以及云计算的主要应用场景和优势，从而使学生对云计算技术和应用有一个初步的了解。课程内容必须满足以下内容：</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1、云计算的基本概念</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2、IaaS服务模式</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3、PaaS服务模式</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4、SaaS服务模式</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5、桌面云</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6、云存储</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7、典型的云计算平台</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8、容器技术</w:t>
            </w:r>
          </w:p>
          <w:p>
            <w:pPr>
              <w:rPr>
                <w:rFonts w:ascii="宋体" w:hAnsi="宋体"/>
                <w:sz w:val="24"/>
              </w:rPr>
            </w:pPr>
            <w:r>
              <w:rPr>
                <w:rFonts w:hint="eastAsia" w:ascii="宋体" w:hAnsi="宋体" w:cs="宋体"/>
                <w:color w:val="000000"/>
                <w:kern w:val="0"/>
                <w:sz w:val="24"/>
                <w:lang w:bidi="ar"/>
              </w:rPr>
              <w:t>课时数不少于50学时，要求提供至少4个学时的课程资源证明，以及结合教学云的使用演示或截图</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29000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29000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10</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color w:val="000000"/>
                <w:sz w:val="24"/>
              </w:rPr>
              <w:t>OpenStack基础教学资源包</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CII-EDRE-PACK-CC-opsbase-100</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课程以实践为主，介绍OpenStack的功能和系统架构的基础上，使学生通过实践加深对</w:t>
            </w:r>
            <w:r>
              <w:rPr>
                <w:rStyle w:val="5"/>
                <w:rFonts w:ascii="宋体" w:hAnsi="宋体"/>
                <w:sz w:val="24"/>
                <w:szCs w:val="24"/>
                <w:lang w:bidi="ar"/>
              </w:rPr>
              <w:t>OpenStack</w:t>
            </w:r>
            <w:r>
              <w:rPr>
                <w:rStyle w:val="4"/>
                <w:rFonts w:hint="default"/>
                <w:sz w:val="24"/>
                <w:szCs w:val="24"/>
                <w:lang w:bidi="ar"/>
              </w:rPr>
              <w:t>功能和系统架构的理解。课程从实际动手能力出发，对</w:t>
            </w:r>
            <w:r>
              <w:rPr>
                <w:rStyle w:val="5"/>
                <w:rFonts w:ascii="宋体" w:hAnsi="宋体"/>
                <w:sz w:val="24"/>
                <w:szCs w:val="24"/>
                <w:lang w:bidi="ar"/>
              </w:rPr>
              <w:t>OpenStack</w:t>
            </w:r>
            <w:r>
              <w:rPr>
                <w:rStyle w:val="4"/>
                <w:rFonts w:hint="default"/>
                <w:sz w:val="24"/>
                <w:szCs w:val="24"/>
                <w:lang w:bidi="ar"/>
              </w:rPr>
              <w:t>的整体系统架构和功能做详细讲解，在理解的基础上再进行</w:t>
            </w:r>
            <w:r>
              <w:rPr>
                <w:rStyle w:val="5"/>
                <w:rFonts w:ascii="宋体" w:hAnsi="宋体"/>
                <w:sz w:val="24"/>
                <w:szCs w:val="24"/>
                <w:lang w:bidi="ar"/>
              </w:rPr>
              <w:t>OpenStack</w:t>
            </w:r>
            <w:r>
              <w:rPr>
                <w:rStyle w:val="4"/>
                <w:rFonts w:hint="default"/>
                <w:sz w:val="24"/>
                <w:szCs w:val="24"/>
                <w:lang w:bidi="ar"/>
              </w:rPr>
              <w:t>系统的搭建，使学生不但能够独立完成</w:t>
            </w:r>
            <w:r>
              <w:rPr>
                <w:rStyle w:val="5"/>
                <w:rFonts w:ascii="宋体" w:hAnsi="宋体"/>
                <w:sz w:val="24"/>
                <w:szCs w:val="24"/>
                <w:lang w:bidi="ar"/>
              </w:rPr>
              <w:t>OpenStack</w:t>
            </w:r>
            <w:r>
              <w:rPr>
                <w:rStyle w:val="4"/>
                <w:rFonts w:hint="default"/>
                <w:sz w:val="24"/>
                <w:szCs w:val="24"/>
                <w:lang w:bidi="ar"/>
              </w:rPr>
              <w:t>系统的分布式搭建和优化配置，并且能够对</w:t>
            </w:r>
            <w:r>
              <w:rPr>
                <w:rStyle w:val="5"/>
                <w:rFonts w:ascii="宋体" w:hAnsi="宋体"/>
                <w:sz w:val="24"/>
                <w:szCs w:val="24"/>
                <w:lang w:bidi="ar"/>
              </w:rPr>
              <w:t>OpenStack</w:t>
            </w:r>
            <w:r>
              <w:rPr>
                <w:rStyle w:val="4"/>
                <w:rFonts w:hint="default"/>
                <w:sz w:val="24"/>
                <w:szCs w:val="24"/>
                <w:lang w:bidi="ar"/>
              </w:rPr>
              <w:t>的架构和功能有深入的了解。课程内容必须满足以下内容：</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1、云计算的基本概念</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w:t>
            </w:r>
            <w:r>
              <w:rPr>
                <w:rStyle w:val="5"/>
                <w:rFonts w:ascii="宋体" w:hAnsi="宋体"/>
                <w:sz w:val="24"/>
                <w:szCs w:val="24"/>
                <w:lang w:bidi="ar"/>
              </w:rPr>
              <w:t>OpenStack</w:t>
            </w:r>
            <w:r>
              <w:rPr>
                <w:rStyle w:val="4"/>
                <w:rFonts w:hint="default"/>
                <w:sz w:val="24"/>
                <w:szCs w:val="24"/>
                <w:lang w:bidi="ar"/>
              </w:rPr>
              <w:t>总体架构</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w:t>
            </w:r>
            <w:r>
              <w:rPr>
                <w:rStyle w:val="5"/>
                <w:rFonts w:ascii="宋体" w:hAnsi="宋体"/>
                <w:sz w:val="24"/>
                <w:szCs w:val="24"/>
                <w:lang w:bidi="ar"/>
              </w:rPr>
              <w:t>OpenStack</w:t>
            </w:r>
            <w:r>
              <w:rPr>
                <w:rStyle w:val="4"/>
                <w:rFonts w:hint="default"/>
                <w:sz w:val="24"/>
                <w:szCs w:val="24"/>
                <w:lang w:bidi="ar"/>
              </w:rPr>
              <w:t>认证服务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4、</w:t>
            </w:r>
            <w:r>
              <w:rPr>
                <w:rStyle w:val="5"/>
                <w:rFonts w:ascii="宋体" w:hAnsi="宋体"/>
                <w:sz w:val="24"/>
                <w:szCs w:val="24"/>
                <w:lang w:bidi="ar"/>
              </w:rPr>
              <w:t>OpenStack</w:t>
            </w:r>
            <w:r>
              <w:rPr>
                <w:rStyle w:val="4"/>
                <w:rFonts w:hint="default"/>
                <w:sz w:val="24"/>
                <w:szCs w:val="24"/>
                <w:lang w:bidi="ar"/>
              </w:rPr>
              <w:t>镜像服务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5、</w:t>
            </w:r>
            <w:r>
              <w:rPr>
                <w:rStyle w:val="5"/>
                <w:rFonts w:ascii="宋体" w:hAnsi="宋体"/>
                <w:sz w:val="24"/>
                <w:szCs w:val="24"/>
                <w:lang w:bidi="ar"/>
              </w:rPr>
              <w:t>OpenStack</w:t>
            </w:r>
            <w:r>
              <w:rPr>
                <w:rStyle w:val="4"/>
                <w:rFonts w:hint="default"/>
                <w:sz w:val="24"/>
                <w:szCs w:val="24"/>
                <w:lang w:bidi="ar"/>
              </w:rPr>
              <w:t>计算服务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6、</w:t>
            </w:r>
            <w:r>
              <w:rPr>
                <w:rStyle w:val="5"/>
                <w:rFonts w:ascii="宋体" w:hAnsi="宋体"/>
                <w:sz w:val="24"/>
                <w:szCs w:val="24"/>
                <w:lang w:bidi="ar"/>
              </w:rPr>
              <w:t>OpenStack</w:t>
            </w:r>
            <w:r>
              <w:rPr>
                <w:rStyle w:val="4"/>
                <w:rFonts w:hint="default"/>
                <w:sz w:val="24"/>
                <w:szCs w:val="24"/>
                <w:lang w:bidi="ar"/>
              </w:rPr>
              <w:t>块存储服务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7、</w:t>
            </w:r>
            <w:r>
              <w:rPr>
                <w:rStyle w:val="5"/>
                <w:rFonts w:ascii="宋体" w:hAnsi="宋体"/>
                <w:sz w:val="24"/>
                <w:szCs w:val="24"/>
                <w:lang w:bidi="ar"/>
              </w:rPr>
              <w:t>OpenStack</w:t>
            </w:r>
            <w:r>
              <w:rPr>
                <w:rStyle w:val="4"/>
                <w:rFonts w:hint="default"/>
                <w:sz w:val="24"/>
                <w:szCs w:val="24"/>
                <w:lang w:bidi="ar"/>
              </w:rPr>
              <w:t>网络服务</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8、</w:t>
            </w:r>
            <w:r>
              <w:rPr>
                <w:rStyle w:val="5"/>
                <w:rFonts w:ascii="宋体" w:hAnsi="宋体"/>
                <w:sz w:val="24"/>
                <w:szCs w:val="24"/>
                <w:lang w:bidi="ar"/>
              </w:rPr>
              <w:t>OpenStack</w:t>
            </w:r>
            <w:r>
              <w:rPr>
                <w:rStyle w:val="4"/>
                <w:rFonts w:hint="default"/>
                <w:sz w:val="24"/>
                <w:szCs w:val="24"/>
                <w:lang w:bidi="ar"/>
              </w:rPr>
              <w:t>控制面板</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9、</w:t>
            </w:r>
            <w:r>
              <w:rPr>
                <w:rStyle w:val="5"/>
                <w:rFonts w:ascii="宋体" w:hAnsi="宋体"/>
                <w:sz w:val="24"/>
                <w:szCs w:val="24"/>
                <w:lang w:bidi="ar"/>
              </w:rPr>
              <w:t>OpenStack</w:t>
            </w:r>
            <w:r>
              <w:rPr>
                <w:rStyle w:val="4"/>
                <w:rFonts w:hint="default"/>
                <w:sz w:val="24"/>
                <w:szCs w:val="24"/>
                <w:lang w:bidi="ar"/>
              </w:rPr>
              <w:t>日志和监控</w:t>
            </w:r>
          </w:p>
          <w:p>
            <w:pPr>
              <w:rPr>
                <w:rFonts w:ascii="宋体" w:hAnsi="宋体"/>
                <w:sz w:val="24"/>
              </w:rPr>
            </w:pPr>
            <w:r>
              <w:rPr>
                <w:rFonts w:hint="eastAsia" w:ascii="宋体" w:hAnsi="宋体" w:cs="宋体"/>
                <w:color w:val="000000"/>
                <w:kern w:val="0"/>
                <w:sz w:val="24"/>
                <w:lang w:bidi="ar"/>
              </w:rPr>
              <w:t>课时数不少于50学时，要求提供至少</w:t>
            </w:r>
            <w:r>
              <w:rPr>
                <w:rStyle w:val="5"/>
                <w:rFonts w:ascii="宋体" w:hAnsi="宋体"/>
                <w:sz w:val="24"/>
                <w:szCs w:val="24"/>
                <w:lang w:bidi="ar"/>
              </w:rPr>
              <w:t>4</w:t>
            </w:r>
            <w:r>
              <w:rPr>
                <w:rStyle w:val="4"/>
                <w:rFonts w:hint="default"/>
                <w:sz w:val="24"/>
                <w:szCs w:val="24"/>
                <w:lang w:bidi="ar"/>
              </w:rPr>
              <w:t>个学时的课程资源证明，以及结合教学云的使用演示或截图</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29000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29000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11</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color w:val="000000"/>
                <w:sz w:val="24"/>
              </w:rPr>
              <w:t>云计算实验环境护航服务</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CII-CCSR-EE</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实验室环境建设与锐捷网络学院两年合作授权：期间每年定期派原厂级工程师开展一次上门护航服务，服务内容包括实验环境巡检、产品软件调试、实验环境优化、实验环境使用培训、建立客户档案等服务。期间内锐捷网络学院每年定期邀请学校参加公司举办的师资陪训（2人/次享受5折优惠食宿差旅除外）费用含报名费，培训费、场地费、教材费、资料费、证书等相关费用，培训周期：每个培训周期为5-7天不等周期培训项目。</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13000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13000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12</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hint="eastAsia" w:ascii="宋体" w:hAnsi="宋体" w:cs="宋体"/>
                <w:sz w:val="24"/>
              </w:rPr>
            </w:pPr>
            <w:r>
              <w:rPr>
                <w:rFonts w:hint="eastAsia" w:ascii="宋体" w:hAnsi="宋体"/>
                <w:bCs/>
                <w:color w:val="000000"/>
                <w:sz w:val="24"/>
              </w:rPr>
              <w:t>云计算实验室设备调试与指导培训服务</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r>
              <w:rPr>
                <w:rFonts w:hint="eastAsia" w:ascii="宋体" w:hAnsi="宋体" w:cs="宋体"/>
                <w:sz w:val="24"/>
              </w:rPr>
              <w:t>中锐</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CII-CCSR-LI</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实验环境设备调试和指导工作：提供实验文化墙电子设计文件，在当地制作安装；同时历时三年，每年派原厂级工程师开展一次上门护航服务，服务内容包括实验环境巡检、产品软件调试、实验环境优化、实验环境使用培训、建立客户档案等服务。</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个</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12000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12000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福建/福建中锐网络股份有限公司</w:t>
            </w:r>
          </w:p>
        </w:tc>
      </w:tr>
      <w:tr>
        <w:tblPrEx>
          <w:tblLayout w:type="fixed"/>
          <w:tblCellMar>
            <w:top w:w="0" w:type="dxa"/>
            <w:left w:w="108" w:type="dxa"/>
            <w:bottom w:w="0" w:type="dxa"/>
            <w:right w:w="108" w:type="dxa"/>
          </w:tblCellMar>
        </w:tblPrEx>
        <w:trPr>
          <w:trHeight w:val="285" w:hRule="atLeast"/>
        </w:trPr>
        <w:tc>
          <w:tcPr>
            <w:tcW w:w="46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w:t>
            </w:r>
          </w:p>
        </w:tc>
        <w:tc>
          <w:tcPr>
            <w:tcW w:w="4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textAlignment w:val="center"/>
              <w:rPr>
                <w:rFonts w:hint="eastAsia" w:ascii="宋体" w:hAnsi="宋体" w:cs="宋体"/>
                <w:color w:val="000000"/>
                <w:kern w:val="0"/>
                <w:sz w:val="24"/>
                <w:lang w:bidi="ar"/>
              </w:rPr>
            </w:pPr>
            <w:r>
              <w:rPr>
                <w:rFonts w:hint="eastAsia" w:ascii="宋体" w:hAnsi="宋体"/>
                <w:bCs/>
                <w:color w:val="000000"/>
                <w:sz w:val="24"/>
              </w:rPr>
              <w:t>综合</w:t>
            </w:r>
            <w:r>
              <w:rPr>
                <w:rFonts w:ascii="宋体" w:hAnsi="宋体"/>
                <w:bCs/>
                <w:color w:val="000000"/>
                <w:sz w:val="24"/>
              </w:rPr>
              <w:t>布线</w:t>
            </w:r>
          </w:p>
        </w:tc>
        <w:tc>
          <w:tcPr>
            <w:tcW w:w="52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国产定制</w:t>
            </w:r>
          </w:p>
        </w:tc>
        <w:tc>
          <w:tcPr>
            <w:tcW w:w="114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国产定制</w:t>
            </w:r>
          </w:p>
        </w:tc>
        <w:tc>
          <w:tcPr>
            <w:tcW w:w="348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sz w:val="24"/>
              </w:rPr>
            </w:pPr>
            <w:r>
              <w:rPr>
                <w:rFonts w:hint="eastAsia" w:ascii="宋体" w:hAnsi="宋体" w:cs="宋体"/>
                <w:color w:val="000000"/>
                <w:kern w:val="0"/>
                <w:sz w:val="24"/>
                <w:lang w:bidi="ar"/>
              </w:rPr>
              <w:t>根</w:t>
            </w:r>
            <w:r>
              <w:rPr>
                <w:rStyle w:val="4"/>
                <w:rFonts w:hint="default"/>
                <w:sz w:val="24"/>
                <w:szCs w:val="24"/>
                <w:lang w:bidi="ar"/>
              </w:rPr>
              <w:t>据现场需求进行布线</w:t>
            </w:r>
          </w:p>
        </w:tc>
        <w:tc>
          <w:tcPr>
            <w:tcW w:w="33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套</w:t>
            </w:r>
          </w:p>
        </w:tc>
        <w:tc>
          <w:tcPr>
            <w:tcW w:w="31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8000</w:t>
            </w:r>
          </w:p>
        </w:tc>
        <w:tc>
          <w:tcPr>
            <w:tcW w:w="742"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color w:val="000000"/>
                <w:sz w:val="24"/>
              </w:rPr>
            </w:pPr>
            <w:r>
              <w:rPr>
                <w:rFonts w:hint="eastAsia" w:ascii="宋体" w:hAnsi="宋体"/>
                <w:color w:val="000000"/>
                <w:sz w:val="24"/>
              </w:rPr>
              <w:t>8000</w:t>
            </w:r>
          </w:p>
        </w:tc>
        <w:tc>
          <w:tcPr>
            <w:tcW w:w="155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国产定制</w:t>
            </w:r>
          </w:p>
        </w:tc>
      </w:tr>
      <w:tr>
        <w:tblPrEx>
          <w:tblLayout w:type="fixed"/>
          <w:tblCellMar>
            <w:top w:w="0" w:type="dxa"/>
            <w:left w:w="108" w:type="dxa"/>
            <w:bottom w:w="0" w:type="dxa"/>
            <w:right w:w="108" w:type="dxa"/>
          </w:tblCellMar>
        </w:tblPrEx>
        <w:trPr>
          <w:trHeight w:val="285" w:hRule="atLeast"/>
        </w:trPr>
        <w:tc>
          <w:tcPr>
            <w:tcW w:w="6043"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合计（元）</w:t>
            </w:r>
          </w:p>
        </w:tc>
        <w:tc>
          <w:tcPr>
            <w:tcW w:w="3846"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¥783</w:t>
            </w:r>
            <w:r>
              <w:rPr>
                <w:rFonts w:ascii="宋体" w:hAnsi="宋体" w:cs="宋体"/>
                <w:color w:val="000000"/>
                <w:kern w:val="0"/>
                <w:sz w:val="24"/>
                <w:lang w:bidi="ar"/>
              </w:rPr>
              <w:t>6</w:t>
            </w:r>
            <w:r>
              <w:rPr>
                <w:rFonts w:hint="eastAsia" w:ascii="宋体" w:hAnsi="宋体" w:cs="宋体"/>
                <w:color w:val="000000"/>
                <w:kern w:val="0"/>
                <w:sz w:val="24"/>
                <w:lang w:bidi="ar"/>
              </w:rPr>
              <w:t>00元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A0F3E"/>
    <w:rsid w:val="0F9E6264"/>
    <w:rsid w:val="23EA43FE"/>
    <w:rsid w:val="5E2008A5"/>
    <w:rsid w:val="6D535020"/>
    <w:rsid w:val="75AA0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61"/>
    <w:qFormat/>
    <w:uiPriority w:val="0"/>
    <w:rPr>
      <w:rFonts w:hint="eastAsia" w:ascii="宋体" w:hAnsi="宋体" w:eastAsia="宋体" w:cs="宋体"/>
      <w:color w:val="000000"/>
      <w:sz w:val="21"/>
      <w:szCs w:val="21"/>
      <w:u w:val="none"/>
    </w:rPr>
  </w:style>
  <w:style w:type="character" w:customStyle="1" w:styleId="5">
    <w:name w:val="font7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2018-10-24T01:43:00Z</dcterms:created>
  <dc:creator>LuoBu</dc:creator>
  <cp:lastModifiedBy>LuoBu</cp:lastModifiedBy>
  <dcterms:modified xsi:type="dcterms:W3CDTF">2018-10-24T02:01:01Z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