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bookmarkStart w:id="0" w:name="_Hlk517774989"/>
      <w:r>
        <w:rPr>
          <w:rFonts w:hint="eastAsia" w:asciiTheme="majorEastAsia" w:hAnsiTheme="majorEastAsia" w:eastAsiaTheme="majorEastAsia" w:cstheme="majorEastAsia"/>
          <w:b/>
          <w:bCs/>
          <w:color w:val="auto"/>
          <w:sz w:val="44"/>
          <w:szCs w:val="44"/>
          <w:lang w:eastAsia="zh-CN"/>
        </w:rPr>
        <w:t>YLZB-G2018050-1号许昌市妇幼保健院“所需电动产床等医疗设备”采购项目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Theme="majorEastAsia" w:hAnsiTheme="majorEastAsia" w:eastAsiaTheme="majorEastAsia" w:cstheme="majorEastAsia"/>
          <w:b/>
          <w:bCs/>
          <w:color w:val="auto"/>
          <w:sz w:val="36"/>
          <w:szCs w:val="36"/>
          <w:lang w:eastAsia="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eastAsia="zh-CN"/>
        </w:rPr>
        <w:t>YLZB-G2018050-1号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代理机构：北京华采招标代理有限公司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许昌市妇幼保健院“所需电动产床等医疗设备”采购项目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eastAsia="zh-CN"/>
        </w:rPr>
        <w:t>YLZB-G2018050-1号</w:t>
      </w:r>
      <w:r>
        <w:rPr>
          <w:rFonts w:hint="eastAsia" w:cs="仿宋_GB2312" w:asciiTheme="minorEastAsia" w:hAnsiTheme="minorEastAsia" w:eastAsiaTheme="minorEastAsia"/>
          <w:color w:val="auto"/>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（四）项目主要内容、数量及要求：A包：电动产床及配件</w:t>
      </w:r>
      <w:r>
        <w:rPr>
          <w:rFonts w:cs="仿宋_GB2312" w:asciiTheme="minorEastAsia" w:hAnsiTheme="minorEastAsia" w:eastAsiaTheme="minorEastAsia"/>
          <w:color w:val="auto"/>
          <w:shd w:val="clear" w:color="auto" w:fill="FFFFFF"/>
        </w:rPr>
        <w:t>7</w:t>
      </w:r>
      <w:r>
        <w:rPr>
          <w:rFonts w:hint="eastAsia" w:cs="仿宋_GB2312" w:asciiTheme="minorEastAsia" w:hAnsiTheme="minorEastAsia" w:eastAsiaTheme="minorEastAsia"/>
          <w:color w:val="auto"/>
          <w:shd w:val="clear" w:color="auto" w:fill="FFFFFF"/>
        </w:rPr>
        <w:t>套（具体详见招标文件）。</w:t>
      </w:r>
    </w:p>
    <w:p>
      <w:pPr>
        <w:pStyle w:val="21"/>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五</w:t>
      </w:r>
      <w:r>
        <w:rPr>
          <w:rFonts w:hint="eastAsia" w:cs="仿宋_GB2312" w:asciiTheme="minorEastAsia" w:hAnsiTheme="minorEastAsia" w:eastAsiaTheme="minorEastAsia"/>
          <w:color w:val="auto"/>
          <w:shd w:val="clear" w:color="auto" w:fill="FFFFFF"/>
        </w:rPr>
        <w:t>）预算金额：A包：8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万元；最高限价：A包：8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六</w:t>
      </w:r>
      <w:r>
        <w:rPr>
          <w:rFonts w:hint="eastAsia" w:cs="仿宋_GB2312" w:asciiTheme="minorEastAsia" w:hAnsiTheme="minorEastAsia" w:eastAsiaTheme="minorEastAsia"/>
          <w:color w:val="auto"/>
          <w:shd w:val="clear" w:color="auto" w:fill="FFFFFF"/>
        </w:rPr>
        <w:t>）交付时间 ：合同签订后30天内</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七</w:t>
      </w:r>
      <w:r>
        <w:rPr>
          <w:rFonts w:hint="eastAsia" w:cs="仿宋_GB2312" w:asciiTheme="minorEastAsia" w:hAnsiTheme="minorEastAsia" w:eastAsiaTheme="minorEastAsia"/>
          <w:color w:val="auto"/>
          <w:shd w:val="clear" w:color="auto" w:fill="FFFFFF"/>
        </w:rPr>
        <w:t>）交付地点：许昌市妇幼保健院新院区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八</w:t>
      </w:r>
      <w:r>
        <w:rPr>
          <w:rFonts w:hint="eastAsia" w:cs="仿宋_GB2312" w:asciiTheme="minorEastAsia" w:hAnsiTheme="minorEastAsia" w:eastAsiaTheme="minorEastAsia"/>
          <w:color w:val="auto"/>
          <w:shd w:val="clear" w:color="auto" w:fill="FFFFFF"/>
        </w:rPr>
        <w:t>）进口产品：不允许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九</w:t>
      </w:r>
      <w:r>
        <w:rPr>
          <w:rFonts w:hint="eastAsia" w:cs="仿宋_GB2312" w:asciiTheme="minorEastAsia" w:hAnsiTheme="minorEastAsia" w:eastAsiaTheme="minorEastAsia"/>
          <w:color w:val="auto"/>
          <w:shd w:val="clear" w:color="auto" w:fill="FFFFFF"/>
        </w:rPr>
        <w:t>）分包：不允许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23</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代理机构：北京华采招标代理有限公司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址：许昌市新许路建行三楼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联系人：周伟               联系电话：13903749798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九</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二十八</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ascii="宋体" w:hAnsi="宋体" w:eastAsia="宋体" w:cs="宋体"/>
          <w:color w:val="auto"/>
          <w:sz w:val="24"/>
          <w:szCs w:val="24"/>
        </w:rPr>
        <w:t>A包：电动产床及配件7套。</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widowControl/>
        <w:shd w:val="clear" w:color="auto" w:fill="FFFFFF"/>
        <w:spacing w:line="360" w:lineRule="auto"/>
        <w:ind w:left="482"/>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A包：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jc w:val="center"/>
              <w:rPr>
                <w:rFonts w:ascii="宋体" w:cs="宋体"/>
                <w:b/>
                <w:bCs/>
                <w:color w:val="auto"/>
                <w:sz w:val="22"/>
              </w:rPr>
            </w:pPr>
            <w:r>
              <w:rPr>
                <w:rFonts w:hint="eastAsia" w:ascii="宋体" w:hAnsi="宋体" w:cs="宋体"/>
                <w:b/>
                <w:bCs/>
                <w:color w:val="auto"/>
                <w:sz w:val="22"/>
              </w:rPr>
              <w:t>序号</w:t>
            </w:r>
          </w:p>
        </w:tc>
        <w:tc>
          <w:tcPr>
            <w:tcW w:w="827" w:type="dxa"/>
            <w:vAlign w:val="center"/>
          </w:tcPr>
          <w:p>
            <w:pPr>
              <w:jc w:val="center"/>
              <w:rPr>
                <w:rFonts w:ascii="宋体" w:cs="宋体"/>
                <w:b/>
                <w:bCs/>
                <w:color w:val="auto"/>
                <w:sz w:val="22"/>
              </w:rPr>
            </w:pPr>
            <w:r>
              <w:rPr>
                <w:rFonts w:hint="eastAsia" w:ascii="宋体" w:hAnsi="宋体" w:cs="宋体"/>
                <w:b/>
                <w:bCs/>
                <w:color w:val="auto"/>
                <w:sz w:val="22"/>
              </w:rPr>
              <w:t>名称</w:t>
            </w:r>
          </w:p>
        </w:tc>
        <w:tc>
          <w:tcPr>
            <w:tcW w:w="6737" w:type="dxa"/>
            <w:vAlign w:val="center"/>
          </w:tcPr>
          <w:p>
            <w:pPr>
              <w:tabs>
                <w:tab w:val="left" w:pos="1714"/>
                <w:tab w:val="center" w:pos="3321"/>
              </w:tabs>
              <w:jc w:val="left"/>
              <w:rPr>
                <w:rFonts w:ascii="宋体" w:cs="宋体"/>
                <w:b/>
                <w:bCs/>
                <w:color w:val="auto"/>
                <w:sz w:val="22"/>
              </w:rPr>
            </w:pPr>
            <w:r>
              <w:rPr>
                <w:rFonts w:hint="eastAsia" w:ascii="宋体" w:hAnsi="宋体" w:cs="宋体"/>
                <w:b/>
                <w:bCs/>
                <w:color w:val="auto"/>
                <w:sz w:val="22"/>
              </w:rPr>
              <w:tab/>
            </w:r>
            <w:r>
              <w:rPr>
                <w:rFonts w:hint="eastAsia" w:ascii="宋体" w:hAnsi="宋体" w:cs="宋体"/>
                <w:b/>
                <w:bCs/>
                <w:color w:val="auto"/>
                <w:sz w:val="22"/>
              </w:rPr>
              <w:t>技术规格</w:t>
            </w:r>
          </w:p>
        </w:tc>
        <w:tc>
          <w:tcPr>
            <w:tcW w:w="552" w:type="dxa"/>
            <w:vAlign w:val="center"/>
          </w:tcPr>
          <w:p>
            <w:pPr>
              <w:jc w:val="center"/>
              <w:rPr>
                <w:rFonts w:ascii="宋体" w:cs="宋体"/>
                <w:b/>
                <w:bCs/>
                <w:color w:val="auto"/>
                <w:sz w:val="22"/>
              </w:rPr>
            </w:pPr>
            <w:r>
              <w:rPr>
                <w:rFonts w:hint="eastAsia" w:ascii="宋体" w:hAnsi="宋体" w:cs="宋体"/>
                <w:b/>
                <w:bCs/>
                <w:color w:val="auto"/>
                <w:sz w:val="22"/>
              </w:rPr>
              <w:t>单位</w:t>
            </w:r>
          </w:p>
        </w:tc>
        <w:tc>
          <w:tcPr>
            <w:tcW w:w="663" w:type="dxa"/>
            <w:vAlign w:val="center"/>
          </w:tcPr>
          <w:p>
            <w:pPr>
              <w:jc w:val="center"/>
              <w:rPr>
                <w:rFonts w:ascii="宋体" w:cs="宋体"/>
                <w:b/>
                <w:bCs/>
                <w:color w:val="auto"/>
                <w:sz w:val="22"/>
              </w:rPr>
            </w:pPr>
            <w:r>
              <w:rPr>
                <w:rFonts w:hint="eastAsia" w:ascii="宋体" w:hAnsi="宋体" w:cs="宋体"/>
                <w:b/>
                <w:bCs/>
                <w:color w:val="auto"/>
                <w:sz w:val="22"/>
              </w:rPr>
              <w:t>数量</w:t>
            </w:r>
          </w:p>
        </w:tc>
        <w:tc>
          <w:tcPr>
            <w:tcW w:w="663" w:type="dxa"/>
          </w:tcPr>
          <w:p>
            <w:pPr>
              <w:jc w:val="center"/>
              <w:rPr>
                <w:rFonts w:ascii="宋体" w:hAnsi="宋体" w:cs="宋体"/>
                <w:b/>
                <w:bCs/>
                <w:color w:val="auto"/>
                <w:sz w:val="22"/>
              </w:rPr>
            </w:pPr>
            <w:r>
              <w:rPr>
                <w:rFonts w:hint="eastAsia" w:ascii="宋体" w:hAnsi="宋体" w:cs="宋体"/>
                <w:b/>
                <w:bCs/>
                <w:color w:val="auto"/>
                <w:sz w:val="22"/>
              </w:rPr>
              <w:t>是否为</w:t>
            </w:r>
          </w:p>
          <w:p>
            <w:pPr>
              <w:jc w:val="center"/>
              <w:rPr>
                <w:rFonts w:ascii="宋体" w:hAnsi="宋体" w:cs="宋体"/>
                <w:b/>
                <w:bCs/>
                <w:color w:val="auto"/>
                <w:sz w:val="22"/>
              </w:rPr>
            </w:pPr>
            <w:r>
              <w:rPr>
                <w:rFonts w:hint="eastAsia" w:ascii="宋体" w:hAnsi="宋体" w:cs="宋体"/>
                <w:b/>
                <w:bCs/>
                <w:color w:val="auto"/>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31" w:hRule="atLeast"/>
          <w:jc w:val="center"/>
        </w:trPr>
        <w:tc>
          <w:tcPr>
            <w:tcW w:w="550" w:type="dxa"/>
            <w:vMerge w:val="restart"/>
            <w:vAlign w:val="center"/>
          </w:tcPr>
          <w:p>
            <w:pPr>
              <w:jc w:val="center"/>
              <w:rPr>
                <w:rFonts w:ascii="宋体" w:cs="宋体"/>
                <w:color w:val="auto"/>
                <w:sz w:val="20"/>
                <w:szCs w:val="20"/>
              </w:rPr>
            </w:pPr>
            <w:r>
              <w:rPr>
                <w:rFonts w:ascii="宋体" w:hAnsi="宋体" w:cs="宋体"/>
                <w:color w:val="auto"/>
                <w:sz w:val="20"/>
                <w:szCs w:val="20"/>
              </w:rPr>
              <w:t>1</w:t>
            </w:r>
          </w:p>
          <w:p>
            <w:pPr>
              <w:rPr>
                <w:rFonts w:ascii="宋体" w:cs="宋体"/>
                <w:color w:val="auto"/>
                <w:sz w:val="20"/>
                <w:szCs w:val="20"/>
              </w:rPr>
            </w:pPr>
          </w:p>
        </w:tc>
        <w:tc>
          <w:tcPr>
            <w:tcW w:w="827" w:type="dxa"/>
            <w:vMerge w:val="restart"/>
            <w:vAlign w:val="center"/>
          </w:tcPr>
          <w:p>
            <w:pPr>
              <w:rPr>
                <w:rFonts w:ascii="宋体" w:hAnsi="宋体" w:cs="宋体"/>
                <w:color w:val="auto"/>
                <w:sz w:val="20"/>
                <w:szCs w:val="20"/>
              </w:rPr>
            </w:pPr>
            <w:r>
              <w:rPr>
                <w:rFonts w:hint="eastAsia" w:ascii="宋体" w:hAnsi="宋体" w:cs="宋体"/>
                <w:color w:val="auto"/>
                <w:sz w:val="20"/>
                <w:szCs w:val="20"/>
              </w:rPr>
              <w:t>电动产床</w:t>
            </w:r>
          </w:p>
          <w:p>
            <w:pPr>
              <w:rPr>
                <w:rFonts w:ascii="宋体" w:hAnsi="宋体" w:cs="宋体"/>
                <w:color w:val="auto"/>
                <w:sz w:val="20"/>
                <w:szCs w:val="20"/>
              </w:rPr>
            </w:pPr>
          </w:p>
        </w:tc>
        <w:tc>
          <w:tcPr>
            <w:tcW w:w="6737" w:type="dxa"/>
            <w:vMerge w:val="restart"/>
            <w:vAlign w:val="center"/>
          </w:tcPr>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1.1外形尺寸：长度≥2200mm，宽度≥1000mm</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1.2.脚轮尺寸≥150mm</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1.3最大载重≥240kg</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★1.4调节范围：升降高度：550mm-850mm，脚板升降高度：0-175mm，背部升降≥60°，膝部升降≥12°，垂头仰卧位（机械）≥7°，助产手柄滑动（机械）：≥300mm，腿托可外展85°。</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★2.1电机马达：采用进口医用马达，床面、背部、腿部升降电动马达共三组，通过国际医疗级安规认证。安全、恒速、静音、无静电，符合IP54防水防尘保护等级。 </w:t>
            </w:r>
          </w:p>
          <w:p>
            <w:pPr>
              <w:rPr>
                <w:rFonts w:ascii="宋体" w:hAnsi="宋体" w:eastAsia="宋体" w:cs="宋体"/>
                <w:color w:val="auto"/>
                <w:szCs w:val="21"/>
              </w:rPr>
            </w:pPr>
            <w:r>
              <w:rPr>
                <w:rFonts w:hint="eastAsia" w:ascii="宋体" w:hAnsi="宋体" w:eastAsia="宋体" w:cs="宋体"/>
                <w:color w:val="auto"/>
                <w:szCs w:val="21"/>
              </w:rPr>
              <w:t>★2.2马达控制器：采用进口马达控制器，具有电子超载保护装置，同时可控制三支马达的驱动。</w:t>
            </w:r>
          </w:p>
          <w:p>
            <w:pPr>
              <w:rPr>
                <w:rFonts w:ascii="宋体" w:hAnsi="宋体" w:eastAsia="宋体" w:cs="宋体"/>
                <w:color w:val="auto"/>
                <w:szCs w:val="21"/>
              </w:rPr>
            </w:pPr>
            <w:r>
              <w:rPr>
                <w:rFonts w:hint="eastAsia" w:ascii="宋体" w:hAnsi="宋体" w:eastAsia="宋体" w:cs="宋体"/>
                <w:color w:val="auto"/>
                <w:szCs w:val="21"/>
              </w:rPr>
              <w:t>2.3遥控式手控器：可分别放于左右护栏内外侧，配弹簧线方便移动存放。</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★2.4蓄电池组：采用进口蓄电池系统，设有不断电自动充电装置，提供推送及停电时紧急操作病床动力。</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★2.5机械式CPR（心肺复苏）功能：遇急救时，单手操作即可将背板快速放平。</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2.6护栏采用碳钢材质一体成型制作，承重性高，表面静电喷涂，耐腐蚀，抗酸碱。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2.7背部床板可徒手快速拆卸，容易清洗、消毒，且床板平整易擦拭。</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2.8床面具有透气孔，表面平整、无毛边不伤手。</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★2.9腿部隐藏式支架，采用滑道式结构，生产的时候污物盆可滑动到床底。配备升降式新生儿接生车，同时支持快捷拆卸式接生平台。（提供整体图片且加盖厂家公章）</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2.10多角度可调脚踏板（带腿托），适合各类产妇腿部的舒适位。</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2.11翻转式护栏，内外侧集成嵌入式按键，可通过外侧按键锁定病床功能，提升床的安全性及可操作性。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★2.12两侧有滑动助产手柄，可以前后调节距离，且≥300mm，更方便协助产妇分娩。</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2.13床头采用优质ABS原料一体吹塑成型。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2.14床头板遇紧急医疗作业时可快速拆卸，提高抢救速度，且病床推动时无晃动及震动异音。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2.15具备转运把手，把手采用碳钢包覆PVC把手设计，坚固耐用。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2.16具备快速拆卸功能,并无间隙晃动现象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2.17床体两角具有防撞轮，外型圆滑平顺，减缓推动中与物体或者墙面的碰撞。</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2.18.采用6英寸（150mm）进口高性能医用双面脚轮，双轮设计避免毛发卷入，且易推、耐蚀、耐磨、静音。</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2.19采用中控刹车系统操作，床中部设有刹车踩踏板，方便医护人员灵活推送。</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2.20整体床架采用钢骨结构设计，以优质钢材精密焊接，确保整个床体结实牢固、平稳。</w:t>
            </w:r>
          </w:p>
          <w:p>
            <w:pPr>
              <w:rPr>
                <w:rFonts w:ascii="宋体" w:hAnsi="宋体" w:eastAsia="宋体" w:cs="宋体"/>
                <w:color w:val="auto"/>
                <w:szCs w:val="21"/>
              </w:rPr>
            </w:pPr>
            <w:r>
              <w:rPr>
                <w:rFonts w:hint="eastAsia" w:ascii="宋体" w:hAnsi="宋体" w:eastAsia="宋体" w:cs="宋体"/>
                <w:color w:val="auto"/>
                <w:szCs w:val="21"/>
              </w:rPr>
              <w:t>2.20整体床架采用静电喷涂工艺，涂层厚、抗酸碱、耐腐蚀、耐褪色。</w:t>
            </w:r>
          </w:p>
          <w:p>
            <w:pPr>
              <w:rPr>
                <w:rFonts w:ascii="宋体" w:hAnsi="宋体" w:eastAsia="宋体" w:cs="宋体"/>
                <w:color w:val="auto"/>
                <w:szCs w:val="21"/>
              </w:rPr>
            </w:pPr>
            <w:r>
              <w:rPr>
                <w:rFonts w:hint="eastAsia" w:ascii="宋体" w:hAnsi="宋体" w:eastAsia="宋体" w:cs="宋体"/>
                <w:color w:val="auto"/>
                <w:szCs w:val="21"/>
              </w:rPr>
              <w:t>2.21床体两侧装设两个输液架插座。</w:t>
            </w:r>
          </w:p>
          <w:p>
            <w:pPr>
              <w:rPr>
                <w:rFonts w:ascii="宋体" w:hAnsi="宋体" w:eastAsia="宋体" w:cs="宋体"/>
                <w:color w:val="auto"/>
                <w:szCs w:val="21"/>
              </w:rPr>
            </w:pPr>
            <w:r>
              <w:rPr>
                <w:rFonts w:hint="eastAsia" w:ascii="宋体" w:hAnsi="宋体" w:eastAsia="宋体" w:cs="宋体"/>
                <w:color w:val="auto"/>
                <w:szCs w:val="21"/>
              </w:rPr>
              <w:t>2.22尺寸：配合床体尺寸，厚度80mm,床套材质：防水、阻燃（pu材质），泡棉材质：抗菌、阻燃高密度泡棉（聚氨酯pu材质）。</w:t>
            </w:r>
          </w:p>
          <w:p>
            <w:pPr>
              <w:rPr>
                <w:rFonts w:ascii="宋体" w:hAnsi="宋体" w:eastAsia="宋体" w:cs="宋体"/>
                <w:color w:val="auto"/>
                <w:szCs w:val="21"/>
              </w:rPr>
            </w:pPr>
          </w:p>
        </w:tc>
        <w:tc>
          <w:tcPr>
            <w:tcW w:w="552" w:type="dxa"/>
            <w:vMerge w:val="restart"/>
            <w:vAlign w:val="center"/>
          </w:tcPr>
          <w:p>
            <w:pPr>
              <w:jc w:val="center"/>
              <w:rPr>
                <w:rFonts w:ascii="宋体" w:cs="宋体"/>
                <w:color w:val="auto"/>
                <w:sz w:val="20"/>
                <w:szCs w:val="20"/>
              </w:rPr>
            </w:pPr>
            <w:r>
              <w:rPr>
                <w:rFonts w:hint="eastAsia" w:ascii="宋体" w:cs="宋体"/>
                <w:color w:val="auto"/>
                <w:sz w:val="20"/>
                <w:szCs w:val="20"/>
              </w:rPr>
              <w:t>套</w:t>
            </w:r>
          </w:p>
        </w:tc>
        <w:tc>
          <w:tcPr>
            <w:tcW w:w="663" w:type="dxa"/>
            <w:vMerge w:val="restart"/>
            <w:vAlign w:val="center"/>
          </w:tcPr>
          <w:p>
            <w:pPr>
              <w:jc w:val="center"/>
              <w:rPr>
                <w:rFonts w:ascii="宋体" w:cs="宋体"/>
                <w:color w:val="auto"/>
                <w:sz w:val="20"/>
                <w:szCs w:val="20"/>
              </w:rPr>
            </w:pPr>
            <w:r>
              <w:rPr>
                <w:rFonts w:ascii="宋体" w:cs="宋体"/>
                <w:color w:val="auto"/>
                <w:sz w:val="20"/>
                <w:szCs w:val="20"/>
              </w:rPr>
              <w:t>7</w:t>
            </w:r>
          </w:p>
          <w:p>
            <w:pPr>
              <w:ind w:firstLine="200" w:firstLineChars="100"/>
              <w:rPr>
                <w:rFonts w:ascii="宋体" w:cs="宋体"/>
                <w:color w:val="auto"/>
                <w:sz w:val="20"/>
                <w:szCs w:val="20"/>
              </w:rPr>
            </w:pPr>
          </w:p>
        </w:tc>
        <w:tc>
          <w:tcPr>
            <w:tcW w:w="663" w:type="dxa"/>
            <w:vAlign w:val="center"/>
          </w:tcPr>
          <w:p>
            <w:pP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Merge w:val="continue"/>
            <w:vAlign w:val="center"/>
          </w:tcPr>
          <w:p>
            <w:pPr>
              <w:rPr>
                <w:rFonts w:ascii="宋体" w:cs="宋体"/>
                <w:color w:val="auto"/>
                <w:sz w:val="20"/>
                <w:szCs w:val="20"/>
              </w:rPr>
            </w:pPr>
          </w:p>
        </w:tc>
        <w:tc>
          <w:tcPr>
            <w:tcW w:w="827" w:type="dxa"/>
            <w:vMerge w:val="continue"/>
            <w:vAlign w:val="center"/>
          </w:tcPr>
          <w:p>
            <w:pPr>
              <w:rPr>
                <w:rFonts w:ascii="宋体" w:cs="宋体"/>
                <w:color w:val="auto"/>
                <w:sz w:val="20"/>
                <w:szCs w:val="20"/>
              </w:rPr>
            </w:pPr>
          </w:p>
        </w:tc>
        <w:tc>
          <w:tcPr>
            <w:tcW w:w="6737" w:type="dxa"/>
            <w:vMerge w:val="continue"/>
            <w:vAlign w:val="center"/>
          </w:tcPr>
          <w:p>
            <w:pPr>
              <w:rPr>
                <w:rFonts w:ascii="宋体" w:hAnsi="宋体" w:cs="宋体"/>
                <w:color w:val="auto"/>
                <w:szCs w:val="21"/>
              </w:rPr>
            </w:pPr>
          </w:p>
        </w:tc>
        <w:tc>
          <w:tcPr>
            <w:tcW w:w="552" w:type="dxa"/>
            <w:vMerge w:val="continue"/>
            <w:vAlign w:val="center"/>
          </w:tcPr>
          <w:p>
            <w:pPr>
              <w:jc w:val="center"/>
              <w:rPr>
                <w:rFonts w:ascii="宋体" w:cs="宋体"/>
                <w:color w:val="auto"/>
                <w:sz w:val="20"/>
                <w:szCs w:val="20"/>
              </w:rPr>
            </w:pPr>
          </w:p>
        </w:tc>
        <w:tc>
          <w:tcPr>
            <w:tcW w:w="663" w:type="dxa"/>
            <w:vMerge w:val="continue"/>
            <w:vAlign w:val="center"/>
          </w:tcPr>
          <w:p>
            <w:pPr>
              <w:ind w:firstLine="200" w:firstLineChars="100"/>
              <w:rPr>
                <w:rFonts w:ascii="宋体" w:cs="宋体"/>
                <w:color w:val="auto"/>
                <w:sz w:val="20"/>
                <w:szCs w:val="20"/>
              </w:rPr>
            </w:pPr>
          </w:p>
        </w:tc>
        <w:tc>
          <w:tcPr>
            <w:tcW w:w="663" w:type="dxa"/>
          </w:tcPr>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r>
              <w:rPr>
                <w:rFonts w:hint="eastAsia" w:ascii="宋体" w:cs="宋体"/>
                <w:color w:val="auto"/>
                <w:sz w:val="20"/>
                <w:szCs w:val="20"/>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w:t>
      </w:r>
      <w:r>
        <w:rPr>
          <w:rFonts w:hint="eastAsia" w:cs="宋体" w:asciiTheme="minorEastAsia" w:hAnsiTheme="minorEastAsia"/>
          <w:bCs/>
          <w:color w:val="auto"/>
          <w:kern w:val="0"/>
          <w:sz w:val="24"/>
          <w:szCs w:val="24"/>
          <w:lang w:val="en-US" w:eastAsia="zh-CN"/>
        </w:rPr>
        <w:t>A包</w:t>
      </w:r>
      <w:r>
        <w:rPr>
          <w:rFonts w:hint="eastAsia" w:cs="宋体" w:asciiTheme="minorEastAsia" w:hAnsiTheme="minorEastAsia"/>
          <w:bCs/>
          <w:color w:val="auto"/>
          <w:kern w:val="0"/>
          <w:sz w:val="24"/>
          <w:szCs w:val="24"/>
        </w:rPr>
        <w:t>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1"/>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bookmarkStart w:id="1" w:name="_Hlk517922146"/>
      <w:r>
        <w:rPr>
          <w:rFonts w:hint="eastAsia" w:cs="仿宋_GB2312" w:asciiTheme="minorEastAsia" w:hAnsiTheme="minorEastAsia" w:eastAsiaTheme="minorEastAsia"/>
          <w:color w:val="auto"/>
          <w:shd w:val="clear" w:color="auto" w:fill="FFFFFF"/>
        </w:rPr>
        <w:t>预算金额：A包：8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万元；最高限价：A包：8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许昌市妇幼保健院“所需电动产床等医疗设备”采购项目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YLZB-G2018050-1号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项目内容：A包：电动产床及配件7套（具体详见招标文件）。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名称：北京华采招标代理有限公司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rPr>
              <w:t>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A包：80万元。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23</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bookmarkStart w:id="11" w:name="_GoBack"/>
            <w:bookmarkEnd w:id="11"/>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A包金额：壹万陆仟元整（¥</w:t>
            </w:r>
            <w:r>
              <w:rPr>
                <w:rFonts w:hint="eastAsia" w:cs="仿宋_GB2312" w:asciiTheme="minorEastAsia" w:hAnsiTheme="minorEastAsia"/>
                <w:color w:val="auto"/>
                <w:sz w:val="24"/>
                <w:szCs w:val="24"/>
              </w:rPr>
              <w:t>1</w:t>
            </w:r>
            <w:r>
              <w:rPr>
                <w:rFonts w:cs="仿宋_GB2312" w:asciiTheme="minorEastAsia" w:hAnsiTheme="minorEastAsia"/>
                <w:color w:val="auto"/>
                <w:sz w:val="24"/>
                <w:szCs w:val="24"/>
              </w:rPr>
              <w:t>6</w:t>
            </w:r>
            <w:r>
              <w:rPr>
                <w:rFonts w:hint="eastAsia" w:cs="仿宋_GB2312" w:asciiTheme="minorEastAsia" w:hAnsiTheme="minorEastAsia"/>
                <w:color w:val="auto"/>
                <w:sz w:val="24"/>
                <w:szCs w:val="24"/>
              </w:rPr>
              <w:t>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1214581395@qq.com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8"/>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8"/>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8"/>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8"/>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8"/>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上一</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tc>
      </w:tr>
    </w:tbl>
    <w:p>
      <w:pPr>
        <w:pStyle w:val="15"/>
        <w:spacing w:line="360" w:lineRule="auto"/>
        <w:ind w:firstLine="482" w:firstLineChars="200"/>
        <w:contextualSpacing/>
        <w:rPr>
          <w:rFonts w:cs="仿宋_GB2312" w:asciiTheme="minorEastAsia" w:hAnsiTheme="minorEastAsia" w:eastAsiaTheme="minorEastAsia"/>
          <w:b/>
          <w:color w:val="auto"/>
          <w:szCs w:val="24"/>
          <w:lang w:val="zh-CN"/>
        </w:rPr>
      </w:pP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投标人自2015年1月1日以来每提供一份合同金额在</w:t>
            </w:r>
            <w:r>
              <w:rPr>
                <w:rFonts w:ascii="宋体" w:hAnsi="宋体" w:cs="宋体"/>
                <w:color w:val="auto"/>
                <w:sz w:val="24"/>
                <w:szCs w:val="24"/>
              </w:rPr>
              <w:t>80</w:t>
            </w:r>
            <w:r>
              <w:rPr>
                <w:rFonts w:hint="eastAsia" w:ascii="宋体" w:hAnsi="宋体" w:cs="宋体"/>
                <w:color w:val="auto"/>
                <w:sz w:val="24"/>
                <w:szCs w:val="24"/>
              </w:rPr>
              <w:t>万元以上类似业绩（合同内容包含本次招标货物种类），每提供一份得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5"/>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5"/>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5"/>
        <w:spacing w:line="360" w:lineRule="auto"/>
        <w:contextualSpacing/>
        <w:jc w:val="center"/>
        <w:rPr>
          <w:rFonts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5"/>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hint="eastAsia" w:asciiTheme="minorEastAsia" w:hAnsiTheme="minorEastAsia" w:eastAsiaTheme="minorEastAsia"/>
          <w:b/>
          <w:snapToGrid w:val="0"/>
          <w:color w:val="auto"/>
          <w:kern w:val="0"/>
          <w:sz w:val="24"/>
          <w:szCs w:val="24"/>
          <w:lang w:eastAsia="zh-CN"/>
        </w:rPr>
      </w:pPr>
      <w:r>
        <w:rPr>
          <w:rFonts w:hint="eastAsia" w:asciiTheme="minorEastAsia" w:hAnsiTheme="minorEastAsia"/>
          <w:snapToGrid w:val="0"/>
          <w:color w:val="auto"/>
          <w:kern w:val="0"/>
          <w:sz w:val="24"/>
          <w:szCs w:val="24"/>
        </w:rPr>
        <w:t>致：</w:t>
      </w:r>
      <w:r>
        <w:rPr>
          <w:rFonts w:hint="eastAsia" w:asciiTheme="minorEastAsia" w:hAnsiTheme="minorEastAsia"/>
          <w:snapToGrid w:val="0"/>
          <w:color w:val="auto"/>
          <w:kern w:val="0"/>
          <w:sz w:val="24"/>
          <w:szCs w:val="24"/>
          <w:lang w:eastAsia="zh-CN"/>
        </w:rPr>
        <w:t>（采购人或采购代理机构）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color w:val="auto"/>
          <w:szCs w:val="24"/>
        </w:rPr>
      </w:pPr>
    </w:p>
    <w:p>
      <w:pPr>
        <w:pStyle w:val="15"/>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6" w:name="_资格证明文件"/>
            <w:bookmarkEnd w:id="6"/>
            <w:bookmarkStart w:id="7" w:name="_Toc364329026"/>
            <w:r>
              <w:rPr>
                <w:rFonts w:hint="eastAsia" w:asciiTheme="minorEastAsia" w:hAnsiTheme="minorEastAsia"/>
                <w:color w:val="auto"/>
                <w:sz w:val="24"/>
                <w:szCs w:val="24"/>
              </w:rPr>
              <w:t>法定代表人授权代表身份证（正面）</w:t>
            </w:r>
            <w:bookmarkEnd w:id="7"/>
          </w:p>
        </w:tc>
        <w:tc>
          <w:tcPr>
            <w:tcW w:w="4492" w:type="dxa"/>
            <w:gridSpan w:val="2"/>
            <w:vAlign w:val="center"/>
          </w:tcPr>
          <w:p>
            <w:pPr>
              <w:jc w:val="center"/>
              <w:rPr>
                <w:rFonts w:asciiTheme="minorEastAsia" w:hAnsiTheme="minorEastAsia"/>
                <w:color w:val="auto"/>
                <w:sz w:val="24"/>
                <w:szCs w:val="24"/>
              </w:rPr>
            </w:pPr>
            <w:bookmarkStart w:id="8" w:name="_Toc364329027"/>
            <w:r>
              <w:rPr>
                <w:rFonts w:hint="eastAsia" w:asciiTheme="minorEastAsia" w:hAnsiTheme="minorEastAsia"/>
                <w:color w:val="auto"/>
                <w:sz w:val="24"/>
                <w:szCs w:val="24"/>
              </w:rPr>
              <w:t>法定代表人授权代表身份证（反面）</w:t>
            </w:r>
            <w:bookmarkEnd w:id="8"/>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1"/>
              <w:spacing w:line="360" w:lineRule="auto"/>
              <w:rPr>
                <w:rFonts w:ascii="宋体" w:hAnsi="宋体" w:eastAsia="宋体" w:cs="Times New Roman"/>
                <w:color w:val="auto"/>
                <w:sz w:val="24"/>
                <w:szCs w:val="24"/>
              </w:rPr>
            </w:pPr>
          </w:p>
        </w:tc>
        <w:tc>
          <w:tcPr>
            <w:tcW w:w="3579" w:type="dxa"/>
            <w:vAlign w:val="center"/>
          </w:tcPr>
          <w:p>
            <w:pPr>
              <w:pStyle w:val="11"/>
              <w:spacing w:line="360" w:lineRule="auto"/>
              <w:rPr>
                <w:rFonts w:ascii="宋体" w:hAnsi="宋体" w:eastAsia="宋体" w:cs="Times New Roman"/>
                <w:color w:val="auto"/>
                <w:sz w:val="24"/>
                <w:szCs w:val="24"/>
              </w:rPr>
            </w:pPr>
          </w:p>
        </w:tc>
        <w:tc>
          <w:tcPr>
            <w:tcW w:w="1440" w:type="dxa"/>
            <w:vAlign w:val="center"/>
          </w:tcPr>
          <w:p>
            <w:pPr>
              <w:pStyle w:val="11"/>
              <w:spacing w:line="360" w:lineRule="auto"/>
              <w:rPr>
                <w:rFonts w:ascii="宋体" w:hAnsi="宋体" w:eastAsia="宋体" w:cs="Times New Roman"/>
                <w:color w:val="auto"/>
                <w:sz w:val="24"/>
                <w:szCs w:val="24"/>
              </w:rPr>
            </w:pPr>
          </w:p>
        </w:tc>
        <w:tc>
          <w:tcPr>
            <w:tcW w:w="1706" w:type="dxa"/>
            <w:vAlign w:val="center"/>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1"/>
              <w:spacing w:line="360" w:lineRule="auto"/>
              <w:rPr>
                <w:rFonts w:ascii="宋体" w:hAnsi="宋体" w:eastAsia="宋体" w:cs="Times New Roman"/>
                <w:color w:val="auto"/>
                <w:sz w:val="24"/>
                <w:szCs w:val="24"/>
              </w:rPr>
            </w:pPr>
          </w:p>
        </w:tc>
        <w:tc>
          <w:tcPr>
            <w:tcW w:w="3579" w:type="dxa"/>
            <w:vAlign w:val="center"/>
          </w:tcPr>
          <w:p>
            <w:pPr>
              <w:pStyle w:val="11"/>
              <w:spacing w:line="360" w:lineRule="auto"/>
              <w:rPr>
                <w:rFonts w:ascii="宋体" w:hAnsi="宋体" w:eastAsia="宋体" w:cs="Times New Roman"/>
                <w:color w:val="auto"/>
                <w:sz w:val="24"/>
                <w:szCs w:val="24"/>
              </w:rPr>
            </w:pPr>
          </w:p>
        </w:tc>
        <w:tc>
          <w:tcPr>
            <w:tcW w:w="1440" w:type="dxa"/>
            <w:vAlign w:val="center"/>
          </w:tcPr>
          <w:p>
            <w:pPr>
              <w:pStyle w:val="11"/>
              <w:spacing w:line="360" w:lineRule="auto"/>
              <w:rPr>
                <w:rFonts w:ascii="宋体" w:hAnsi="宋体" w:eastAsia="宋体" w:cs="Times New Roman"/>
                <w:color w:val="auto"/>
                <w:sz w:val="24"/>
                <w:szCs w:val="24"/>
              </w:rPr>
            </w:pPr>
          </w:p>
        </w:tc>
        <w:tc>
          <w:tcPr>
            <w:tcW w:w="1706" w:type="dxa"/>
            <w:vAlign w:val="center"/>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1"/>
              <w:spacing w:line="360" w:lineRule="auto"/>
              <w:rPr>
                <w:rFonts w:ascii="宋体" w:hAnsi="宋体" w:eastAsia="宋体" w:cs="Times New Roman"/>
                <w:color w:val="auto"/>
                <w:sz w:val="24"/>
                <w:szCs w:val="24"/>
              </w:rPr>
            </w:pPr>
          </w:p>
        </w:tc>
        <w:tc>
          <w:tcPr>
            <w:tcW w:w="3579" w:type="dxa"/>
            <w:vAlign w:val="center"/>
          </w:tcPr>
          <w:p>
            <w:pPr>
              <w:pStyle w:val="11"/>
              <w:spacing w:line="360" w:lineRule="auto"/>
              <w:rPr>
                <w:rFonts w:ascii="宋体" w:hAnsi="宋体" w:eastAsia="宋体" w:cs="Times New Roman"/>
                <w:color w:val="auto"/>
                <w:sz w:val="24"/>
                <w:szCs w:val="24"/>
              </w:rPr>
            </w:pPr>
          </w:p>
        </w:tc>
        <w:tc>
          <w:tcPr>
            <w:tcW w:w="1440" w:type="dxa"/>
            <w:vAlign w:val="center"/>
          </w:tcPr>
          <w:p>
            <w:pPr>
              <w:pStyle w:val="11"/>
              <w:spacing w:line="360" w:lineRule="auto"/>
              <w:rPr>
                <w:rFonts w:ascii="宋体" w:hAnsi="宋体" w:eastAsia="宋体" w:cs="Times New Roman"/>
                <w:color w:val="auto"/>
                <w:sz w:val="24"/>
                <w:szCs w:val="24"/>
              </w:rPr>
            </w:pPr>
          </w:p>
        </w:tc>
        <w:tc>
          <w:tcPr>
            <w:tcW w:w="1706" w:type="dxa"/>
            <w:vAlign w:val="center"/>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9" w:name="OLE_LINK13"/>
      <w:bookmarkStart w:id="10" w:name="OLE_LINK14"/>
      <w:r>
        <w:rPr>
          <w:rFonts w:hint="eastAsia" w:ascii="宋体" w:hAnsi="宋体"/>
          <w:b/>
          <w:bCs/>
          <w:color w:val="auto"/>
          <w:sz w:val="36"/>
          <w:szCs w:val="36"/>
        </w:rPr>
        <w:t>4.10 残疾人福利性单位声明函</w:t>
      </w:r>
    </w:p>
    <w:bookmarkEnd w:id="9"/>
    <w:bookmarkEnd w:id="10"/>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9"/>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4764B88"/>
    <w:rsid w:val="05A66782"/>
    <w:rsid w:val="06032CF4"/>
    <w:rsid w:val="06904873"/>
    <w:rsid w:val="0F4E4878"/>
    <w:rsid w:val="1007750D"/>
    <w:rsid w:val="101F07CA"/>
    <w:rsid w:val="12633776"/>
    <w:rsid w:val="14BF58CA"/>
    <w:rsid w:val="16120009"/>
    <w:rsid w:val="181929D7"/>
    <w:rsid w:val="18274E5F"/>
    <w:rsid w:val="197E7B14"/>
    <w:rsid w:val="19AE47E0"/>
    <w:rsid w:val="19D73C2E"/>
    <w:rsid w:val="1AEC0950"/>
    <w:rsid w:val="1B5C7908"/>
    <w:rsid w:val="21014C5D"/>
    <w:rsid w:val="23C04A76"/>
    <w:rsid w:val="25B142AB"/>
    <w:rsid w:val="28F025A3"/>
    <w:rsid w:val="29827945"/>
    <w:rsid w:val="2A1D6C96"/>
    <w:rsid w:val="2B955B97"/>
    <w:rsid w:val="2F1B757B"/>
    <w:rsid w:val="2F652AF5"/>
    <w:rsid w:val="303456C6"/>
    <w:rsid w:val="304460C7"/>
    <w:rsid w:val="31001BFC"/>
    <w:rsid w:val="312C3F38"/>
    <w:rsid w:val="32C361F8"/>
    <w:rsid w:val="33C24A64"/>
    <w:rsid w:val="34501561"/>
    <w:rsid w:val="34950F0B"/>
    <w:rsid w:val="36977DC0"/>
    <w:rsid w:val="37C60623"/>
    <w:rsid w:val="39CA7A84"/>
    <w:rsid w:val="3A567318"/>
    <w:rsid w:val="40D520C7"/>
    <w:rsid w:val="436D082F"/>
    <w:rsid w:val="442C5709"/>
    <w:rsid w:val="44484B3D"/>
    <w:rsid w:val="44813CAF"/>
    <w:rsid w:val="44D06250"/>
    <w:rsid w:val="450B2124"/>
    <w:rsid w:val="46CC5B0B"/>
    <w:rsid w:val="47535AF9"/>
    <w:rsid w:val="479F493E"/>
    <w:rsid w:val="49810E90"/>
    <w:rsid w:val="4ADE353A"/>
    <w:rsid w:val="4B570E56"/>
    <w:rsid w:val="4CF33AC3"/>
    <w:rsid w:val="4F152AD5"/>
    <w:rsid w:val="4F3B1AD7"/>
    <w:rsid w:val="505D42CC"/>
    <w:rsid w:val="516C62DE"/>
    <w:rsid w:val="52B3711D"/>
    <w:rsid w:val="52B473A8"/>
    <w:rsid w:val="548D1FDE"/>
    <w:rsid w:val="54E4407B"/>
    <w:rsid w:val="54F32CB4"/>
    <w:rsid w:val="54F42526"/>
    <w:rsid w:val="555A4F1D"/>
    <w:rsid w:val="556632E1"/>
    <w:rsid w:val="56AD14CC"/>
    <w:rsid w:val="56D57114"/>
    <w:rsid w:val="570112FF"/>
    <w:rsid w:val="57204064"/>
    <w:rsid w:val="57F57718"/>
    <w:rsid w:val="58AC67C2"/>
    <w:rsid w:val="59E51937"/>
    <w:rsid w:val="5A74337F"/>
    <w:rsid w:val="5B5F5A82"/>
    <w:rsid w:val="5BD21553"/>
    <w:rsid w:val="5D287C15"/>
    <w:rsid w:val="5DA440F6"/>
    <w:rsid w:val="5E633E31"/>
    <w:rsid w:val="5E9E5CBE"/>
    <w:rsid w:val="608355DF"/>
    <w:rsid w:val="60BB5B26"/>
    <w:rsid w:val="60ED2F3A"/>
    <w:rsid w:val="622F1798"/>
    <w:rsid w:val="6331309E"/>
    <w:rsid w:val="6428471C"/>
    <w:rsid w:val="6504685B"/>
    <w:rsid w:val="659F02C0"/>
    <w:rsid w:val="67740EFF"/>
    <w:rsid w:val="67AA613E"/>
    <w:rsid w:val="67AE01B7"/>
    <w:rsid w:val="67EF097B"/>
    <w:rsid w:val="681B1C02"/>
    <w:rsid w:val="6A692423"/>
    <w:rsid w:val="6BD579B3"/>
    <w:rsid w:val="6ECB2D14"/>
    <w:rsid w:val="6FDC4587"/>
    <w:rsid w:val="717F55BF"/>
    <w:rsid w:val="719E0453"/>
    <w:rsid w:val="728D5BBC"/>
    <w:rsid w:val="73D63E07"/>
    <w:rsid w:val="73FA0EDC"/>
    <w:rsid w:val="748E2E4F"/>
    <w:rsid w:val="749003E7"/>
    <w:rsid w:val="75323C2B"/>
    <w:rsid w:val="77437BD7"/>
    <w:rsid w:val="79D6723D"/>
    <w:rsid w:val="7ACE383C"/>
    <w:rsid w:val="7C493A6A"/>
    <w:rsid w:val="7C4B5BB7"/>
    <w:rsid w:val="7F36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945"/>
        <w:tab w:val="left" w:pos="1155"/>
      </w:tabs>
      <w:spacing w:after="120"/>
      <w:ind w:left="420" w:leftChars="200" w:firstLine="420" w:firstLineChars="200"/>
    </w:pPr>
    <w:rPr>
      <w:rFonts w:ascii="Times New Roman" w:hAnsi="Times New Roman" w:eastAsia="宋体" w:cs="Times New Roman"/>
    </w:rPr>
  </w:style>
  <w:style w:type="paragraph" w:styleId="3">
    <w:name w:val="Body Text Indent"/>
    <w:basedOn w:val="1"/>
    <w:qFormat/>
    <w:uiPriority w:val="0"/>
    <w:pPr>
      <w:tabs>
        <w:tab w:val="left" w:pos="945"/>
        <w:tab w:val="left" w:pos="1155"/>
      </w:tabs>
      <w:ind w:firstLine="435"/>
    </w:pPr>
    <w:rPr>
      <w:rFonts w:ascii="Ari"/>
      <w:sz w:val="24"/>
      <w:szCs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5"/>
    <w:qFormat/>
    <w:uiPriority w:val="0"/>
    <w:rPr>
      <w:rFonts w:eastAsia="宋体"/>
      <w:sz w:val="24"/>
    </w:rPr>
  </w:style>
  <w:style w:type="character" w:customStyle="1" w:styleId="32">
    <w:name w:val="日期 字符"/>
    <w:basedOn w:val="22"/>
    <w:link w:val="16"/>
    <w:qFormat/>
    <w:uiPriority w:val="99"/>
  </w:style>
  <w:style w:type="character" w:customStyle="1" w:styleId="33">
    <w:name w:val="页脚 字符"/>
    <w:basedOn w:val="22"/>
    <w:link w:val="17"/>
    <w:qFormat/>
    <w:uiPriority w:val="99"/>
    <w:rPr>
      <w:sz w:val="18"/>
      <w:szCs w:val="18"/>
    </w:rPr>
  </w:style>
  <w:style w:type="character" w:customStyle="1" w:styleId="34">
    <w:name w:val="页眉 字符"/>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9"/>
    <w:semiHidden/>
    <w:qFormat/>
    <w:uiPriority w:val="99"/>
  </w:style>
  <w:style w:type="character" w:customStyle="1" w:styleId="51">
    <w:name w:val="正文文本首行缩进 字符"/>
    <w:basedOn w:val="50"/>
    <w:link w:val="8"/>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 w:type="paragraph" w:customStyle="1" w:styleId="53">
    <w:name w:val="列出段落11"/>
    <w:basedOn w:val="1"/>
    <w:qFormat/>
    <w:uiPriority w:val="0"/>
    <w:pPr>
      <w:ind w:firstLine="420" w:firstLineChars="200"/>
    </w:pPr>
    <w:rPr>
      <w:rFonts w:ascii="Times New Roman" w:hAnsi="Times New Roman" w:eastAsia="宋体" w:cs="Times New Roman"/>
      <w:szCs w:val="24"/>
    </w:rPr>
  </w:style>
  <w:style w:type="paragraph" w:customStyle="1" w:styleId="5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13</TotalTime>
  <ScaleCrop>false</ScaleCrop>
  <LinksUpToDate>false</LinksUpToDate>
  <CharactersWithSpaces>43211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2018-09-25T10:12:00Z</cp:lastPrinted>
  <dcterms:modified xsi:type="dcterms:W3CDTF">2018-09-27T09:21:33Z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