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Style w:val="7"/>
          <w:sz w:val="32"/>
          <w:szCs w:val="32"/>
        </w:rPr>
      </w:pPr>
      <w:bookmarkStart w:id="0" w:name="_GoBack"/>
      <w:bookmarkEnd w:id="0"/>
      <w:r>
        <w:rPr>
          <w:rStyle w:val="7"/>
          <w:rFonts w:hint="eastAsia"/>
          <w:sz w:val="32"/>
          <w:szCs w:val="32"/>
        </w:rPr>
        <w:t>开标一览表</w:t>
      </w:r>
    </w:p>
    <w:p>
      <w:pPr>
        <w:spacing w:before="50" w:afterLines="50" w:line="360" w:lineRule="auto"/>
        <w:contextualSpacing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目编号：ZFCG-G2018134号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项目名称：许昌工商管理学校“电子商务实训基地建设”项目</w:t>
      </w:r>
    </w:p>
    <w:p>
      <w:pPr>
        <w:spacing w:line="360" w:lineRule="auto"/>
        <w:rPr>
          <w:rFonts w:ascii="微软简隶书" w:eastAsia="微软简隶书"/>
          <w:u w:val="single"/>
        </w:rPr>
      </w:pPr>
    </w:p>
    <w:p>
      <w:pPr>
        <w:spacing w:line="360" w:lineRule="auto"/>
        <w:contextualSpacing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cs="Arial"/>
          <w:sz w:val="24"/>
          <w:szCs w:val="24"/>
        </w:rPr>
        <w:t>单位：元（人民币）</w:t>
      </w:r>
    </w:p>
    <w:tbl>
      <w:tblPr>
        <w:tblStyle w:val="6"/>
        <w:tblW w:w="93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332"/>
        <w:gridCol w:w="2239"/>
        <w:gridCol w:w="1253"/>
        <w:gridCol w:w="37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标段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项目名称</w:t>
            </w: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投标报价</w:t>
            </w: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交付日期（天）</w:t>
            </w:r>
          </w:p>
        </w:tc>
        <w:tc>
          <w:tcPr>
            <w:tcW w:w="3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8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C标段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许昌工商管理学校“电子商务实训基地建设”项目</w:t>
            </w: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大写：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人民币陆拾万捌仟零壹拾元整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zh-CN"/>
              </w:rPr>
              <w:t>小写：￥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608010.00元整</w:t>
            </w: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widowControl/>
              <w:shd w:val="clear" w:color="auto" w:fill="FFFFFF"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  <w:t>签订合同后30日历天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  <w:tc>
          <w:tcPr>
            <w:tcW w:w="3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此报价包含我公司</w:t>
            </w:r>
            <w:r>
              <w:rPr>
                <w:rFonts w:hint="eastAsia"/>
              </w:rPr>
              <w:t>为提供本项目所要求的全部服务所发生的一切成本、税费和利润，包括人工（含工资、社会统筹保险金、加班工资、工作餐、相关福利、关于人员聘用的费用等）、设备、国家规定检测、外发包、材料（含辅材）、管理、税费及利润</w:t>
            </w:r>
            <w:r>
              <w:rPr>
                <w:rFonts w:hint="eastAsia"/>
                <w:lang w:eastAsia="zh-CN"/>
              </w:rPr>
              <w:t>、</w:t>
            </w:r>
          </w:p>
          <w:p>
            <w:pPr>
              <w:autoSpaceDE w:val="0"/>
              <w:autoSpaceDN w:val="0"/>
              <w:spacing w:line="360" w:lineRule="auto"/>
              <w:contextualSpacing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本项目所涉及的运输、施工、安装、集成、调试、验收、备品和工具等费用均包含在投标报价中。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北京华唐中科科技集团有限公司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>（全称）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日期：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2018</w:t>
      </w:r>
      <w:r>
        <w:rPr>
          <w:rFonts w:hint="eastAsia" w:ascii="宋体" w:hAnsi="宋体" w:cs="宋体"/>
          <w:sz w:val="24"/>
          <w:szCs w:val="24"/>
          <w:lang w:val="zh-CN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sz w:val="24"/>
          <w:szCs w:val="24"/>
          <w:lang w:val="zh-CN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17</w:t>
      </w:r>
      <w:r>
        <w:rPr>
          <w:rFonts w:hint="eastAsia" w:ascii="宋体" w:hAnsi="宋体" w:cs="宋体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注：交付日期指完成该项目的最终时间（日历天）。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F2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(Web)"/>
    <w:basedOn w:val="1"/>
    <w:qFormat/>
    <w:uiPriority w:val="99"/>
    <w:rPr>
      <w:rFonts w:ascii="Calibri" w:hAnsi="Calibri" w:eastAsia="宋体" w:cs="Times New Roman"/>
      <w:sz w:val="24"/>
      <w:szCs w:val="24"/>
    </w:rPr>
  </w:style>
  <w:style w:type="character" w:customStyle="1" w:styleId="7">
    <w:name w:val="标题 1 Char"/>
    <w:link w:val="3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cxm</dc:creator>
  <cp:lastModifiedBy>cxm</cp:lastModifiedBy>
  <dcterms:modified xsi:type="dcterms:W3CDTF">2018-10-22T01:54:17Z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