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hint="eastAsia" w:ascii="宋体" w:hAnsi="宋体" w:eastAsia="宋体" w:cs="宋体"/>
          <w:color w:val="auto"/>
          <w:kern w:val="0"/>
          <w:sz w:val="28"/>
          <w:szCs w:val="28"/>
          <w:lang w:eastAsia="zh-CN"/>
        </w:rPr>
      </w:pPr>
      <w:r>
        <w:rPr>
          <w:rFonts w:hint="eastAsia" w:ascii="仿宋_GB2312" w:hAnsi="微软雅黑" w:eastAsia="仿宋_GB2312" w:cs="仿宋_GB2312"/>
          <w:b/>
          <w:color w:val="auto"/>
          <w:kern w:val="0"/>
          <w:sz w:val="36"/>
          <w:szCs w:val="36"/>
          <w:shd w:val="clear" w:color="auto" w:fill="FFFFFF"/>
          <w:lang w:eastAsia="zh-CN"/>
        </w:rPr>
        <w:t>JZFCG-G2018</w:t>
      </w:r>
      <w:r>
        <w:rPr>
          <w:rFonts w:hint="eastAsia" w:ascii="仿宋_GB2312" w:hAnsi="微软雅黑" w:eastAsia="仿宋_GB2312" w:cs="仿宋_GB2312"/>
          <w:b/>
          <w:color w:val="auto"/>
          <w:kern w:val="0"/>
          <w:sz w:val="36"/>
          <w:szCs w:val="36"/>
          <w:shd w:val="clear" w:color="auto" w:fill="FFFFFF"/>
          <w:lang w:val="en-US" w:eastAsia="zh-CN"/>
        </w:rPr>
        <w:t>096</w:t>
      </w:r>
      <w:r>
        <w:rPr>
          <w:rFonts w:hint="eastAsia" w:ascii="仿宋_GB2312" w:hAnsi="微软雅黑" w:eastAsia="仿宋_GB2312" w:cs="仿宋_GB2312"/>
          <w:b/>
          <w:color w:val="auto"/>
          <w:kern w:val="0"/>
          <w:sz w:val="36"/>
          <w:szCs w:val="36"/>
          <w:shd w:val="clear" w:color="auto" w:fill="FFFFFF"/>
          <w:lang w:eastAsia="zh-CN"/>
        </w:rPr>
        <w:t>号许昌经济技术开发区法制与社会服务局“灞陵河绿化养护项目”采购需求、评标标准等说明</w:t>
      </w:r>
    </w:p>
    <w:p>
      <w:pPr>
        <w:widowControl/>
        <w:shd w:val="clear" w:color="auto" w:fill="FFFFFF"/>
        <w:spacing w:line="360" w:lineRule="atLeast"/>
        <w:ind w:firstLine="600"/>
        <w:jc w:val="left"/>
        <w:rPr>
          <w:rFonts w:ascii="宋体" w:hAnsi="宋体" w:eastAsia="宋体" w:cs="宋体"/>
          <w:color w:val="auto"/>
          <w:kern w:val="0"/>
          <w:sz w:val="22"/>
          <w:szCs w:val="22"/>
        </w:rPr>
      </w:pPr>
      <w:r>
        <w:rPr>
          <w:rFonts w:hint="eastAsia" w:ascii="黑体" w:hAnsi="宋体" w:eastAsia="黑体" w:cs="黑体"/>
          <w:color w:val="auto"/>
          <w:kern w:val="0"/>
          <w:sz w:val="28"/>
          <w:szCs w:val="28"/>
          <w:shd w:val="clear" w:color="auto" w:fill="FFFFFF"/>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（一）项目名称：许昌经济技术开发区法制与社会服务局“灞陵河绿化养护项目”</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（二）采购方式：公开招标                                                                                                                          </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（三）项目主要内容、数量及要求：主要负责清理杂物、定时浇水、整形修剪、防治虫害、追肥、维护巡查加强树木的看管保护，以减少人为的破坏，防风、除杂草、排积除涝等，使树木生长良好。</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(四)标包划分：本项目共设</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zh-CN"/>
        </w:rPr>
        <w:t>个标包。</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（五）预算金额：1939591.36元。最高限价：1939591.36元</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（六）服务期限：合同签订后一年</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（七）服务地点：清泥河（灞陵河）流域魏都区开发区界至延安路段、延安路至工农路段、工农路至南外环段和南外环路至许昌县与经济技术开发区界段两岸。</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（八）分包：不允许</w:t>
      </w:r>
    </w:p>
    <w:p>
      <w:pPr>
        <w:snapToGrid w:val="0"/>
        <w:spacing w:line="360" w:lineRule="auto"/>
        <w:ind w:firstLine="560" w:firstLineChars="200"/>
        <w:rPr>
          <w:rFonts w:ascii="宋体" w:hAnsi="宋体" w:eastAsia="宋体" w:cs="宋体"/>
          <w:color w:val="auto"/>
          <w:kern w:val="0"/>
          <w:sz w:val="22"/>
          <w:szCs w:val="22"/>
        </w:rPr>
      </w:pPr>
      <w:r>
        <w:rPr>
          <w:rFonts w:hint="eastAsia" w:ascii="黑体" w:hAnsi="宋体" w:eastAsia="黑体" w:cs="黑体"/>
          <w:color w:val="auto"/>
          <w:kern w:val="0"/>
          <w:sz w:val="28"/>
          <w:szCs w:val="28"/>
          <w:shd w:val="clear" w:color="auto" w:fill="FFFFFF"/>
        </w:rPr>
        <w:t>二、需要落实的政府采购政策</w:t>
      </w:r>
    </w:p>
    <w:p>
      <w:pPr>
        <w:widowControl/>
        <w:shd w:val="clear" w:color="auto" w:fill="FFFFFF"/>
        <w:spacing w:line="360" w:lineRule="atLeast"/>
        <w:ind w:firstLine="6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本项目落实节能环保、中小微型企业、残疾人福利性单位扶持等相关政府采购政策。</w:t>
      </w:r>
    </w:p>
    <w:p>
      <w:pPr>
        <w:widowControl/>
        <w:shd w:val="clear" w:color="auto" w:fill="FFFFFF"/>
        <w:spacing w:line="360" w:lineRule="atLeast"/>
        <w:ind w:firstLine="600"/>
        <w:jc w:val="left"/>
        <w:rPr>
          <w:rFonts w:ascii="宋体" w:hAnsi="宋体" w:eastAsia="宋体" w:cs="宋体"/>
          <w:color w:val="auto"/>
          <w:kern w:val="0"/>
          <w:sz w:val="22"/>
          <w:szCs w:val="22"/>
        </w:rPr>
      </w:pPr>
      <w:r>
        <w:rPr>
          <w:rFonts w:hint="eastAsia" w:ascii="黑体" w:hAnsi="宋体" w:eastAsia="黑体" w:cs="黑体"/>
          <w:color w:val="auto"/>
          <w:kern w:val="0"/>
          <w:sz w:val="28"/>
          <w:szCs w:val="28"/>
          <w:shd w:val="clear" w:color="auto" w:fill="FFFFFF"/>
        </w:rPr>
        <w:t>三、投标人资格要求</w:t>
      </w:r>
    </w:p>
    <w:p>
      <w:pPr>
        <w:tabs>
          <w:tab w:val="left" w:pos="7095"/>
        </w:tabs>
        <w:spacing w:line="360" w:lineRule="auto"/>
        <w:ind w:firstLine="480" w:firstLineChars="200"/>
        <w:contextualSpacing/>
        <w:rPr>
          <w:rFonts w:hint="eastAsia" w:asciiTheme="minorEastAsia" w:hAnsiTheme="minorEastAsia"/>
          <w:color w:val="000000"/>
          <w:sz w:val="24"/>
          <w:szCs w:val="24"/>
          <w:lang w:val="zh-CN"/>
        </w:rPr>
      </w:pPr>
      <w:r>
        <w:rPr>
          <w:rFonts w:hint="eastAsia" w:asciiTheme="minorEastAsia" w:hAnsiTheme="minorEastAsia"/>
          <w:color w:val="000000"/>
          <w:sz w:val="24"/>
          <w:szCs w:val="24"/>
          <w:lang w:val="zh-CN"/>
        </w:rPr>
        <w:t>（一）符合《中华人民共和国政府采购法》第二十二条之规定；</w:t>
      </w:r>
    </w:p>
    <w:p>
      <w:pPr>
        <w:tabs>
          <w:tab w:val="left" w:pos="7095"/>
        </w:tabs>
        <w:spacing w:line="360" w:lineRule="auto"/>
        <w:ind w:firstLine="480" w:firstLineChars="200"/>
        <w:contextualSpacing/>
        <w:rPr>
          <w:rFonts w:hint="eastAsia" w:asciiTheme="minorEastAsia" w:hAnsiTheme="minorEastAsia"/>
          <w:color w:val="000000"/>
          <w:sz w:val="24"/>
          <w:szCs w:val="24"/>
          <w:lang w:val="zh-CN"/>
        </w:rPr>
      </w:pPr>
      <w:r>
        <w:rPr>
          <w:rFonts w:hint="eastAsia" w:asciiTheme="minorEastAsia" w:hAnsiTheme="minorEastAsia"/>
          <w:color w:val="000000"/>
          <w:sz w:val="24"/>
          <w:szCs w:val="24"/>
          <w:lang w:val="zh-CN"/>
        </w:rPr>
        <w:t>(二) 未被列入“信用中国”网站(www.creditchina.gov.cn)失信被执行人、重大税收违法案件当事人名单、政府采购严重违法失信名单的投标人；“中国政府采购网” (www.ccgp.gov.cn)政府采购严重违法失信行为记录名单的投标人；</w:t>
      </w:r>
    </w:p>
    <w:p>
      <w:pPr>
        <w:tabs>
          <w:tab w:val="left" w:pos="7095"/>
        </w:tabs>
        <w:spacing w:line="360" w:lineRule="auto"/>
        <w:ind w:firstLine="480" w:firstLineChars="200"/>
        <w:contextualSpacing/>
        <w:rPr>
          <w:rFonts w:hint="eastAsia" w:ascii="黑体" w:hAnsi="宋体" w:eastAsia="黑体" w:cs="黑体"/>
          <w:color w:val="auto"/>
          <w:kern w:val="0"/>
          <w:sz w:val="28"/>
          <w:szCs w:val="28"/>
          <w:shd w:val="clear" w:color="auto" w:fill="FFFFFF"/>
        </w:rPr>
      </w:pPr>
      <w:r>
        <w:rPr>
          <w:rFonts w:hint="eastAsia" w:asciiTheme="minorEastAsia" w:hAnsiTheme="minorEastAsia"/>
          <w:color w:val="000000"/>
          <w:sz w:val="24"/>
          <w:szCs w:val="24"/>
          <w:lang w:val="zh-CN"/>
        </w:rPr>
        <w:t>（三）本次招标不接受联合体投标。</w:t>
      </w:r>
    </w:p>
    <w:p>
      <w:pPr>
        <w:widowControl/>
        <w:shd w:val="clear" w:color="auto" w:fill="FFFFFF"/>
        <w:spacing w:line="360" w:lineRule="atLeast"/>
        <w:ind w:firstLine="600"/>
        <w:jc w:val="left"/>
        <w:rPr>
          <w:rFonts w:ascii="黑体" w:hAnsi="宋体" w:eastAsia="黑体" w:cs="黑体"/>
          <w:color w:val="auto"/>
          <w:kern w:val="0"/>
          <w:sz w:val="28"/>
          <w:szCs w:val="28"/>
          <w:shd w:val="clear" w:color="auto" w:fill="FFFFFF"/>
        </w:rPr>
      </w:pPr>
      <w:r>
        <w:rPr>
          <w:rFonts w:hint="eastAsia" w:ascii="黑体" w:hAnsi="宋体" w:eastAsia="黑体" w:cs="黑体"/>
          <w:color w:val="auto"/>
          <w:kern w:val="0"/>
          <w:sz w:val="28"/>
          <w:szCs w:val="28"/>
          <w:shd w:val="clear" w:color="auto" w:fill="FFFFFF"/>
        </w:rPr>
        <w:t>四、采购需求</w:t>
      </w:r>
    </w:p>
    <w:p>
      <w:pPr>
        <w:widowControl/>
        <w:numPr>
          <w:ilvl w:val="0"/>
          <w:numId w:val="1"/>
        </w:numPr>
        <w:shd w:val="clear" w:color="auto" w:fill="FFFFFF"/>
        <w:spacing w:line="360" w:lineRule="auto"/>
        <w:ind w:firstLine="422" w:firstLineChars="200"/>
        <w:contextualSpacing/>
        <w:jc w:val="left"/>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tabs>
          <w:tab w:val="left" w:pos="7095"/>
        </w:tabs>
        <w:spacing w:line="360" w:lineRule="auto"/>
        <w:ind w:firstLine="480" w:firstLineChars="200"/>
        <w:contextualSpacing/>
        <w:rPr>
          <w:rFonts w:asciiTheme="minorEastAsia" w:hAnsiTheme="minorEastAsia"/>
          <w:color w:val="000000"/>
          <w:sz w:val="24"/>
          <w:szCs w:val="24"/>
          <w:lang w:val="zh-CN"/>
        </w:rPr>
      </w:pPr>
      <w:r>
        <w:rPr>
          <w:rFonts w:hint="eastAsia" w:asciiTheme="minorEastAsia" w:hAnsiTheme="minorEastAsia"/>
          <w:color w:val="000000"/>
          <w:sz w:val="24"/>
          <w:szCs w:val="24"/>
          <w:lang w:val="zh-CN"/>
        </w:rPr>
        <w:t xml:space="preserve">1、树体枝繁叶茂，生长健壮，无病虫害。 </w:t>
      </w:r>
    </w:p>
    <w:p>
      <w:pPr>
        <w:tabs>
          <w:tab w:val="left" w:pos="7095"/>
        </w:tabs>
        <w:spacing w:line="360" w:lineRule="auto"/>
        <w:ind w:firstLine="480" w:firstLineChars="200"/>
        <w:contextualSpacing/>
        <w:rPr>
          <w:rFonts w:asciiTheme="minorEastAsia" w:hAnsiTheme="minorEastAsia"/>
          <w:color w:val="000000"/>
          <w:sz w:val="24"/>
          <w:szCs w:val="24"/>
          <w:lang w:val="zh-CN"/>
        </w:rPr>
      </w:pPr>
      <w:r>
        <w:rPr>
          <w:rFonts w:hint="eastAsia" w:asciiTheme="minorEastAsia" w:hAnsiTheme="minorEastAsia"/>
          <w:color w:val="000000"/>
          <w:sz w:val="24"/>
          <w:szCs w:val="24"/>
          <w:lang w:val="zh-CN"/>
        </w:rPr>
        <w:t xml:space="preserve">2、树形丰满、美观，人、畜、机械、车辆对树木有极少损坏现象。 </w:t>
      </w:r>
    </w:p>
    <w:p>
      <w:pPr>
        <w:tabs>
          <w:tab w:val="left" w:pos="7095"/>
        </w:tabs>
        <w:spacing w:line="360" w:lineRule="auto"/>
        <w:ind w:firstLine="480" w:firstLineChars="200"/>
        <w:contextualSpacing/>
        <w:rPr>
          <w:rFonts w:asciiTheme="minorEastAsia" w:hAnsiTheme="minorEastAsia"/>
          <w:color w:val="000000"/>
          <w:sz w:val="24"/>
          <w:szCs w:val="24"/>
          <w:lang w:val="zh-CN"/>
        </w:rPr>
      </w:pPr>
      <w:r>
        <w:rPr>
          <w:rFonts w:hint="eastAsia" w:asciiTheme="minorEastAsia" w:hAnsiTheme="minorEastAsia"/>
          <w:color w:val="000000"/>
          <w:sz w:val="24"/>
          <w:szCs w:val="24"/>
          <w:lang w:val="zh-CN"/>
        </w:rPr>
        <w:t xml:space="preserve">3、高大乔木不与架空线发生干扰，分枝较高，无阻挡车辆、碰伤人头、防碍司机视线现象。 </w:t>
      </w:r>
    </w:p>
    <w:p>
      <w:pPr>
        <w:tabs>
          <w:tab w:val="left" w:pos="7095"/>
        </w:tabs>
        <w:spacing w:line="360" w:lineRule="auto"/>
        <w:ind w:firstLine="480" w:firstLineChars="200"/>
        <w:contextualSpacing/>
        <w:rPr>
          <w:rFonts w:asciiTheme="minorEastAsia" w:hAnsiTheme="minorEastAsia"/>
          <w:color w:val="000000"/>
          <w:sz w:val="24"/>
          <w:szCs w:val="24"/>
          <w:lang w:val="zh-CN"/>
        </w:rPr>
      </w:pPr>
      <w:r>
        <w:rPr>
          <w:rFonts w:hint="eastAsia" w:asciiTheme="minorEastAsia" w:hAnsiTheme="minorEastAsia"/>
          <w:color w:val="000000"/>
          <w:sz w:val="24"/>
          <w:szCs w:val="24"/>
          <w:lang w:val="zh-CN"/>
        </w:rPr>
        <w:t xml:space="preserve">4、经常保持树木周围地面土壤疏松、通气、树基部无堆积污染物现象。 </w:t>
      </w:r>
    </w:p>
    <w:p>
      <w:pPr>
        <w:widowControl/>
        <w:numPr>
          <w:ilvl w:val="0"/>
          <w:numId w:val="1"/>
        </w:numPr>
        <w:shd w:val="clear" w:color="auto" w:fill="FFFFFF"/>
        <w:spacing w:line="360" w:lineRule="auto"/>
        <w:ind w:firstLine="422" w:firstLineChars="200"/>
        <w:contextualSpacing/>
        <w:jc w:val="left"/>
        <w:rPr>
          <w:rFonts w:cs="黑体" w:asciiTheme="minorEastAsia" w:hAnsiTheme="minorEastAsia"/>
          <w:b/>
          <w:bCs/>
          <w:color w:val="000000"/>
          <w:szCs w:val="21"/>
          <w:shd w:val="clear" w:color="auto" w:fill="FFFFFF"/>
          <w:lang w:val="zh-CN"/>
        </w:rPr>
      </w:pPr>
      <w:r>
        <w:rPr>
          <w:rFonts w:hint="eastAsia" w:cs="黑体" w:asciiTheme="minorEastAsia" w:hAnsiTheme="minorEastAsia"/>
          <w:b/>
          <w:bCs/>
          <w:color w:val="000000"/>
          <w:szCs w:val="21"/>
          <w:shd w:val="clear" w:color="auto" w:fill="FFFFFF"/>
          <w:lang w:val="zh-CN"/>
        </w:rPr>
        <w:t>工作内容及岗位责任</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lang w:val="zh-CN"/>
        </w:rPr>
        <w:t>清泥河(灞陵河)流域综合治理工程一绿化工程养护,包括清泥河流域魏都区开发区界至延安路段、延安路至工农路段、工农路至南外环段和南外环路至许昌县与经济技术开发区界段两岸绿化的养护。</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lang w:val="zh-CN"/>
        </w:rPr>
        <w:t>养护主要负责清理杂物、浇水、追肥、修剪整形、防风、防治害虫（选用无公害农药）、除杂草、排积除涝等。</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000000" w:themeColor="text1"/>
          <w:szCs w:val="21"/>
        </w:rPr>
        <w:t>★三</w:t>
      </w:r>
      <w:r>
        <w:rPr>
          <w:rFonts w:hint="eastAsia" w:cs="宋体" w:asciiTheme="minorEastAsia" w:hAnsiTheme="minorEastAsia"/>
          <w:b/>
          <w:color w:val="000000"/>
          <w:kern w:val="0"/>
          <w:szCs w:val="21"/>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ascii="黑体" w:hAnsi="宋体" w:eastAsia="黑体" w:cs="黑体"/>
          <w:color w:val="auto"/>
          <w:kern w:val="0"/>
          <w:sz w:val="24"/>
          <w:szCs w:val="24"/>
          <w:shd w:val="clear" w:color="auto" w:fill="FFFFFF"/>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hint="eastAsia" w:ascii="宋体" w:hAnsi="宋体" w:eastAsia="宋体" w:cs="宋体"/>
          <w:color w:val="auto"/>
          <w:kern w:val="0"/>
          <w:sz w:val="24"/>
          <w:szCs w:val="24"/>
        </w:rPr>
      </w:pPr>
      <w:bookmarkStart w:id="0" w:name="_GoBack"/>
      <w:r>
        <w:rPr>
          <w:rFonts w:hint="eastAsia" w:ascii="宋体" w:hAnsi="宋体" w:eastAsia="宋体" w:cs="宋体"/>
          <w:color w:val="auto"/>
          <w:kern w:val="0"/>
          <w:sz w:val="24"/>
          <w:szCs w:val="24"/>
          <w:shd w:val="clear" w:color="auto" w:fill="FFFFFF"/>
        </w:rPr>
        <w:t>（一）评标方法： 综合评分法</w:t>
      </w:r>
    </w:p>
    <w:p>
      <w:pPr>
        <w:widowControl/>
        <w:shd w:val="clear" w:color="auto" w:fill="FFFFFF"/>
        <w:spacing w:line="360" w:lineRule="atLeast"/>
        <w:ind w:firstLine="6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（二）综合评分法评标标准：</w:t>
      </w:r>
    </w:p>
    <w:bookmarkEnd w:id="0"/>
    <w:tbl>
      <w:tblPr>
        <w:tblStyle w:val="11"/>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pacing w:line="360" w:lineRule="auto"/>
              <w:jc w:val="center"/>
              <w:rPr>
                <w:rFonts w:asciiTheme="minorEastAsia" w:hAnsiTheme="minorEastAsia"/>
                <w:szCs w:val="21"/>
              </w:rPr>
            </w:pPr>
            <w:r>
              <w:rPr>
                <w:rFonts w:hint="eastAsia" w:asciiTheme="minorEastAsia" w:hAnsiTheme="minorEastAsia"/>
                <w:szCs w:val="21"/>
              </w:rPr>
              <w:t>(总分100分)</w:t>
            </w:r>
          </w:p>
        </w:tc>
        <w:tc>
          <w:tcPr>
            <w:tcW w:w="7204" w:type="dxa"/>
            <w:gridSpan w:val="2"/>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000000" w:themeColor="text1"/>
                <w:szCs w:val="21"/>
                <w:u w:val="single"/>
              </w:rPr>
              <w:t xml:space="preserve">20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000000" w:themeColor="text1"/>
                <w:szCs w:val="21"/>
                <w:u w:val="single"/>
              </w:rPr>
              <w:t xml:space="preserve">40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000000" w:themeColor="text1"/>
                <w:szCs w:val="21"/>
                <w:u w:val="single"/>
              </w:rPr>
              <w:t xml:space="preserve">40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价格部分（满分</w:t>
            </w:r>
            <w:r>
              <w:rPr>
                <w:rFonts w:hint="eastAsia" w:asciiTheme="minorEastAsia" w:hAnsiTheme="minorEastAsia"/>
                <w:b/>
                <w:color w:val="000000" w:themeColor="text1"/>
                <w:szCs w:val="21"/>
                <w:u w:val="single"/>
              </w:rPr>
              <w:t xml:space="preserve"> 20  </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p>
          <w:p>
            <w:pPr>
              <w:spacing w:line="360" w:lineRule="auto"/>
              <w:jc w:val="center"/>
              <w:rPr>
                <w:rFonts w:asciiTheme="minorEastAsia" w:hAnsiTheme="minorEastAsia"/>
                <w:szCs w:val="21"/>
              </w:rPr>
            </w:pPr>
            <w:r>
              <w:rPr>
                <w:rFonts w:hint="eastAsia" w:asciiTheme="minorEastAsia" w:hAnsiTheme="minorEastAsia"/>
                <w:szCs w:val="21"/>
              </w:rPr>
              <w:t>评分标准</w:t>
            </w:r>
          </w:p>
        </w:tc>
        <w:tc>
          <w:tcPr>
            <w:tcW w:w="6237" w:type="dxa"/>
            <w:tcBorders>
              <w:top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spacing w:line="360" w:lineRule="auto"/>
              <w:rPr>
                <w:rFonts w:asciiTheme="minorEastAsia" w:hAnsiTheme="minorEastAsia"/>
                <w:szCs w:val="21"/>
              </w:rPr>
            </w:pPr>
            <w:r>
              <w:rPr>
                <w:rFonts w:hint="eastAsia" w:asciiTheme="minorEastAsia" w:hAnsiTheme="minorEastAsia"/>
                <w:szCs w:val="21"/>
              </w:rPr>
              <w:t>投标报价得分=（评标基准价/投标报价）× 20</w:t>
            </w:r>
          </w:p>
        </w:tc>
        <w:tc>
          <w:tcPr>
            <w:tcW w:w="967" w:type="dxa"/>
            <w:tcBorders>
              <w:top w:val="single" w:color="auto" w:sz="4" w:space="0"/>
            </w:tcBorders>
            <w:vAlign w:val="center"/>
          </w:tcPr>
          <w:p>
            <w:pPr>
              <w:ind w:firstLine="210" w:firstLineChars="100"/>
              <w:rPr>
                <w:rFonts w:asciiTheme="minorEastAsia" w:hAnsiTheme="minorEastAsia"/>
                <w:szCs w:val="21"/>
              </w:rPr>
            </w:pPr>
            <w:r>
              <w:rPr>
                <w:rFonts w:hint="eastAsia" w:asciiTheme="minorEastAsia" w:hAnsiTheme="minorEastAsia"/>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企业综</w:t>
            </w:r>
          </w:p>
          <w:p>
            <w:pPr>
              <w:spacing w:line="360" w:lineRule="auto"/>
              <w:jc w:val="center"/>
              <w:rPr>
                <w:rFonts w:asciiTheme="minorEastAsia" w:hAnsiTheme="minorEastAsia"/>
                <w:szCs w:val="21"/>
              </w:rPr>
            </w:pPr>
            <w:r>
              <w:rPr>
                <w:rFonts w:hint="eastAsia" w:asciiTheme="minorEastAsia" w:hAnsiTheme="minorEastAsia"/>
                <w:szCs w:val="21"/>
              </w:rPr>
              <w:t>合实力</w:t>
            </w:r>
          </w:p>
        </w:tc>
        <w:tc>
          <w:tcPr>
            <w:tcW w:w="6237" w:type="dxa"/>
            <w:vAlign w:val="center"/>
          </w:tcPr>
          <w:p>
            <w:pPr>
              <w:spacing w:line="360" w:lineRule="auto"/>
              <w:jc w:val="left"/>
              <w:rPr>
                <w:rFonts w:asciiTheme="minorEastAsia" w:hAnsiTheme="minorEastAsia"/>
                <w:szCs w:val="21"/>
              </w:rPr>
            </w:pPr>
            <w:r>
              <w:rPr>
                <w:rFonts w:hint="eastAsia" w:asciiTheme="minorEastAsia" w:hAnsiTheme="minorEastAsia"/>
                <w:szCs w:val="21"/>
              </w:rPr>
              <w:t>投标人通过质量管理体系认证、环境管理体系认证、职业健康安全管理体系认证，每项得5分，最高得15分；</w:t>
            </w:r>
          </w:p>
          <w:p>
            <w:pPr>
              <w:spacing w:line="360" w:lineRule="auto"/>
              <w:jc w:val="left"/>
              <w:rPr>
                <w:rFonts w:asciiTheme="minorEastAsia" w:hAnsiTheme="minorEastAsia"/>
                <w:szCs w:val="21"/>
              </w:rPr>
            </w:pPr>
            <w:r>
              <w:rPr>
                <w:rFonts w:hint="eastAsia" w:asciiTheme="minorEastAsia" w:hAnsiTheme="minorEastAsia"/>
                <w:szCs w:val="21"/>
              </w:rPr>
              <w:t>获得3A级信用企业的得</w:t>
            </w:r>
            <w:r>
              <w:rPr>
                <w:rFonts w:asciiTheme="minorEastAsia" w:hAnsiTheme="minorEastAsia"/>
                <w:szCs w:val="21"/>
              </w:rPr>
              <w:t>5</w:t>
            </w:r>
            <w:r>
              <w:rPr>
                <w:rFonts w:hint="eastAsia" w:asciiTheme="minorEastAsia" w:hAnsiTheme="minorEastAsia"/>
                <w:szCs w:val="21"/>
              </w:rPr>
              <w:t>分，获得市级或省级先进企业得</w:t>
            </w:r>
            <w:r>
              <w:rPr>
                <w:rFonts w:asciiTheme="minorEastAsia" w:hAnsiTheme="minorEastAsia"/>
                <w:szCs w:val="21"/>
              </w:rPr>
              <w:t>4</w:t>
            </w:r>
            <w:r>
              <w:rPr>
                <w:rFonts w:hint="eastAsia" w:asciiTheme="minorEastAsia" w:hAnsiTheme="minorEastAsia"/>
                <w:szCs w:val="21"/>
              </w:rPr>
              <w:t>分，最高得9分。</w:t>
            </w:r>
          </w:p>
        </w:tc>
        <w:tc>
          <w:tcPr>
            <w:tcW w:w="967" w:type="dxa"/>
            <w:vAlign w:val="center"/>
          </w:tcPr>
          <w:p>
            <w:pPr>
              <w:spacing w:line="360" w:lineRule="auto"/>
              <w:jc w:val="center"/>
              <w:rPr>
                <w:rFonts w:asciiTheme="minorEastAsia" w:hAnsiTheme="minorEastAsia"/>
                <w:szCs w:val="21"/>
              </w:rPr>
            </w:pPr>
            <w:r>
              <w:rPr>
                <w:rFonts w:hint="eastAsia" w:asciiTheme="minorEastAsia" w:hAnsiTheme="minorEastAsia"/>
                <w:szCs w:val="21"/>
              </w:rPr>
              <w:t>24</w:t>
            </w:r>
            <w:r>
              <w:rPr>
                <w:rFonts w:hint="eastAsia" w:asciiTheme="minorEastAsia" w:hAnsiTheme="minorEastAsia"/>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业绩</w:t>
            </w:r>
          </w:p>
        </w:tc>
        <w:tc>
          <w:tcPr>
            <w:tcW w:w="6237" w:type="dxa"/>
            <w:vAlign w:val="center"/>
          </w:tcPr>
          <w:p>
            <w:pPr>
              <w:spacing w:line="360" w:lineRule="auto"/>
              <w:jc w:val="left"/>
              <w:rPr>
                <w:rFonts w:asciiTheme="minorEastAsia" w:hAnsiTheme="minorEastAsia"/>
                <w:szCs w:val="21"/>
                <w:lang w:val="en-GB"/>
              </w:rPr>
            </w:pPr>
            <w:r>
              <w:rPr>
                <w:rFonts w:hint="eastAsia" w:asciiTheme="minorEastAsia" w:hAnsiTheme="minorEastAsia"/>
                <w:szCs w:val="21"/>
              </w:rPr>
              <w:t>具有类似河道管护项目或绿化管护项目业绩，合同金额不低于本项目最高限价，每提供1份得3分，最高得12分；</w:t>
            </w:r>
          </w:p>
        </w:tc>
        <w:tc>
          <w:tcPr>
            <w:tcW w:w="967" w:type="dxa"/>
            <w:vAlign w:val="center"/>
          </w:tcPr>
          <w:p>
            <w:pPr>
              <w:spacing w:line="360" w:lineRule="auto"/>
              <w:jc w:val="center"/>
              <w:rPr>
                <w:rFonts w:asciiTheme="minorEastAsia" w:hAnsiTheme="minorEastAsia"/>
                <w:szCs w:val="21"/>
                <w:lang w:val="en-GB"/>
              </w:rPr>
            </w:pPr>
            <w:r>
              <w:rPr>
                <w:rFonts w:hint="eastAsia" w:asciiTheme="minorEastAsia" w:hAnsiTheme="minorEastAsia"/>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投标文件的规范程度</w:t>
            </w:r>
          </w:p>
        </w:tc>
        <w:tc>
          <w:tcPr>
            <w:tcW w:w="6237" w:type="dxa"/>
            <w:vAlign w:val="center"/>
          </w:tcPr>
          <w:p>
            <w:pPr>
              <w:spacing w:line="360" w:lineRule="auto"/>
              <w:jc w:val="left"/>
              <w:rPr>
                <w:rFonts w:asciiTheme="minorEastAsia" w:hAnsiTheme="minorEastAsia"/>
                <w:szCs w:val="21"/>
              </w:rPr>
            </w:pPr>
            <w:r>
              <w:rPr>
                <w:rFonts w:hint="eastAsia" w:asciiTheme="minorEastAsia" w:hAnsiTheme="minorEastAsia"/>
                <w:szCs w:val="21"/>
              </w:rPr>
              <w:t>1、投标文件的编制符合招标文件的规定，装订整齐规范的，得2分；不满足不得分。</w:t>
            </w:r>
          </w:p>
          <w:p>
            <w:pPr>
              <w:spacing w:line="360" w:lineRule="auto"/>
              <w:jc w:val="left"/>
              <w:rPr>
                <w:rFonts w:asciiTheme="minorEastAsia" w:hAnsiTheme="minorEastAsia"/>
                <w:szCs w:val="21"/>
              </w:rPr>
            </w:pPr>
            <w:r>
              <w:rPr>
                <w:rFonts w:hint="eastAsia" w:asciiTheme="minorEastAsia" w:hAnsiTheme="minorEastAsia"/>
                <w:szCs w:val="21"/>
              </w:rPr>
              <w:t>2、投标人编制投标文件逻辑严紧、描述规范、无文字错误的，得2分；不满足不得分。</w:t>
            </w:r>
          </w:p>
        </w:tc>
        <w:tc>
          <w:tcPr>
            <w:tcW w:w="967" w:type="dxa"/>
            <w:vAlign w:val="center"/>
          </w:tcPr>
          <w:p>
            <w:pPr>
              <w:spacing w:line="360" w:lineRule="auto"/>
              <w:jc w:val="center"/>
              <w:rPr>
                <w:rFonts w:asciiTheme="minorEastAsia" w:hAnsiTheme="minorEastAsia"/>
                <w:szCs w:val="21"/>
              </w:rPr>
            </w:pPr>
            <w:r>
              <w:rPr>
                <w:rFonts w:hint="eastAsia" w:asciiTheme="minorEastAsia" w:hAnsiTheme="minorEastAsia"/>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62" w:type="dxa"/>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项目实施</w:t>
            </w:r>
          </w:p>
          <w:p>
            <w:pPr>
              <w:spacing w:line="360" w:lineRule="auto"/>
              <w:jc w:val="center"/>
              <w:rPr>
                <w:rFonts w:asciiTheme="minorEastAsia" w:hAnsiTheme="minorEastAsia"/>
                <w:szCs w:val="21"/>
              </w:rPr>
            </w:pPr>
            <w:r>
              <w:rPr>
                <w:rFonts w:hint="eastAsia" w:asciiTheme="minorEastAsia" w:hAnsiTheme="minorEastAsia"/>
                <w:szCs w:val="21"/>
              </w:rPr>
              <w:t>方案</w:t>
            </w:r>
          </w:p>
        </w:tc>
        <w:tc>
          <w:tcPr>
            <w:tcW w:w="6237" w:type="dxa"/>
            <w:vAlign w:val="center"/>
          </w:tcPr>
          <w:p>
            <w:pPr>
              <w:spacing w:line="360" w:lineRule="auto"/>
              <w:jc w:val="left"/>
              <w:rPr>
                <w:rFonts w:asciiTheme="minorEastAsia" w:hAnsiTheme="minorEastAsia"/>
                <w:szCs w:val="21"/>
              </w:rPr>
            </w:pPr>
            <w:r>
              <w:rPr>
                <w:rFonts w:hint="eastAsia" w:asciiTheme="minorEastAsia" w:hAnsiTheme="minorEastAsia"/>
                <w:szCs w:val="21"/>
              </w:rPr>
              <w:t>1、对服务项目背景现状、实际需求、运作要求等理解到位、分析全面深入的得7分，仅进行了简单概况的得3分，不提供不得分。</w:t>
            </w:r>
          </w:p>
          <w:p>
            <w:pPr>
              <w:spacing w:line="360" w:lineRule="auto"/>
              <w:jc w:val="left"/>
              <w:rPr>
                <w:rFonts w:asciiTheme="minorEastAsia" w:hAnsiTheme="minorEastAsia"/>
                <w:szCs w:val="21"/>
              </w:rPr>
            </w:pPr>
            <w:r>
              <w:rPr>
                <w:rFonts w:hint="eastAsia" w:asciiTheme="minorEastAsia" w:hAnsiTheme="minorEastAsia"/>
                <w:szCs w:val="21"/>
              </w:rPr>
              <w:t>2、工作流程、作业程序及管理方案全面、规范、无漏项的，得7分，仅进行了简单概况的得3分，不提供不得分。</w:t>
            </w:r>
          </w:p>
          <w:p>
            <w:pPr>
              <w:spacing w:line="360" w:lineRule="auto"/>
              <w:jc w:val="left"/>
              <w:rPr>
                <w:rFonts w:asciiTheme="minorEastAsia" w:hAnsiTheme="minorEastAsia"/>
                <w:szCs w:val="21"/>
              </w:rPr>
            </w:pPr>
            <w:r>
              <w:rPr>
                <w:rFonts w:hint="eastAsia" w:asciiTheme="minorEastAsia" w:hAnsiTheme="minorEastAsia"/>
                <w:szCs w:val="21"/>
              </w:rPr>
              <w:t>3、员工日常护理方案、管理全面、有效的，得7分，仅进行了简单概况的得3分，不提供不得分。</w:t>
            </w:r>
          </w:p>
          <w:p>
            <w:pPr>
              <w:spacing w:line="360" w:lineRule="auto"/>
              <w:jc w:val="left"/>
              <w:rPr>
                <w:rFonts w:asciiTheme="minorEastAsia" w:hAnsiTheme="minorEastAsia"/>
                <w:szCs w:val="21"/>
              </w:rPr>
            </w:pPr>
            <w:r>
              <w:rPr>
                <w:rFonts w:hint="eastAsia" w:asciiTheme="minorEastAsia" w:hAnsiTheme="minorEastAsia"/>
                <w:szCs w:val="21"/>
              </w:rPr>
              <w:t>4、应急情况处理方案全面、有效的，得7分，仅进行了简单概况的得3分，不提供不得分。</w:t>
            </w:r>
          </w:p>
          <w:p>
            <w:pPr>
              <w:spacing w:line="360" w:lineRule="auto"/>
              <w:jc w:val="left"/>
              <w:rPr>
                <w:rFonts w:asciiTheme="minorEastAsia" w:hAnsiTheme="minorEastAsia"/>
                <w:szCs w:val="21"/>
              </w:rPr>
            </w:pPr>
            <w:r>
              <w:rPr>
                <w:rFonts w:hint="eastAsia" w:asciiTheme="minorEastAsia" w:hAnsiTheme="minorEastAsia"/>
                <w:szCs w:val="21"/>
              </w:rPr>
              <w:t>5、管护人员岗位分配，能满足要求的，得7分，仅进行了简单概况的得3分，不提供不得分。</w:t>
            </w:r>
          </w:p>
        </w:tc>
        <w:tc>
          <w:tcPr>
            <w:tcW w:w="967" w:type="dxa"/>
            <w:vAlign w:val="center"/>
          </w:tcPr>
          <w:p>
            <w:pPr>
              <w:spacing w:line="360" w:lineRule="auto"/>
              <w:jc w:val="center"/>
              <w:rPr>
                <w:rFonts w:asciiTheme="minorEastAsia" w:hAnsiTheme="minorEastAsia"/>
                <w:szCs w:val="21"/>
              </w:rPr>
            </w:pPr>
            <w:r>
              <w:rPr>
                <w:rFonts w:hint="eastAsia" w:asciiTheme="minorEastAsia" w:hAnsiTheme="minorEastAsia"/>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售后服务方案</w:t>
            </w:r>
          </w:p>
          <w:p>
            <w:pPr>
              <w:spacing w:line="360" w:lineRule="auto"/>
              <w:jc w:val="center"/>
              <w:rPr>
                <w:rFonts w:asciiTheme="minorEastAsia" w:hAnsiTheme="minorEastAsia"/>
                <w:szCs w:val="21"/>
              </w:rPr>
            </w:pPr>
            <w:r>
              <w:rPr>
                <w:rFonts w:hint="eastAsia" w:asciiTheme="minorEastAsia" w:hAnsiTheme="minorEastAsia"/>
                <w:szCs w:val="21"/>
              </w:rPr>
              <w:t>及承诺</w:t>
            </w:r>
          </w:p>
        </w:tc>
        <w:tc>
          <w:tcPr>
            <w:tcW w:w="6237" w:type="dxa"/>
            <w:vAlign w:val="center"/>
          </w:tcPr>
          <w:p>
            <w:pPr>
              <w:spacing w:line="360" w:lineRule="auto"/>
              <w:jc w:val="left"/>
              <w:rPr>
                <w:rFonts w:asciiTheme="minorEastAsia" w:hAnsiTheme="minorEastAsia"/>
                <w:szCs w:val="21"/>
              </w:rPr>
            </w:pPr>
            <w:r>
              <w:rPr>
                <w:rFonts w:hint="eastAsia" w:asciiTheme="minorEastAsia" w:hAnsiTheme="minorEastAsia"/>
                <w:szCs w:val="21"/>
              </w:rPr>
              <w:t>除满足本招标文件内对</w:t>
            </w:r>
            <w:r>
              <w:rPr>
                <w:rFonts w:hint="eastAsia" w:asciiTheme="minorEastAsia" w:hAnsiTheme="minorEastAsia"/>
                <w:szCs w:val="21"/>
                <w:lang w:val="zh-CN"/>
              </w:rPr>
              <w:t>灞陵河流域</w:t>
            </w:r>
            <w:r>
              <w:rPr>
                <w:rFonts w:hint="eastAsia" w:asciiTheme="minorEastAsia" w:hAnsiTheme="minorEastAsia"/>
                <w:szCs w:val="21"/>
              </w:rPr>
              <w:t>综合管护服务的所有实质性要求之外还有其他服务承诺的得5分，仅进行了简单概况的得2分，没有不得分。</w:t>
            </w:r>
          </w:p>
        </w:tc>
        <w:tc>
          <w:tcPr>
            <w:tcW w:w="967" w:type="dxa"/>
            <w:vAlign w:val="center"/>
          </w:tcPr>
          <w:p>
            <w:pPr>
              <w:spacing w:line="360" w:lineRule="auto"/>
              <w:jc w:val="center"/>
              <w:rPr>
                <w:rFonts w:asciiTheme="minorEastAsia" w:hAnsiTheme="minorEastAsia"/>
                <w:szCs w:val="21"/>
              </w:rPr>
            </w:pPr>
            <w:r>
              <w:rPr>
                <w:rFonts w:hint="eastAsia" w:asciiTheme="minorEastAsia" w:hAnsiTheme="minorEastAsia"/>
                <w:szCs w:val="21"/>
              </w:rPr>
              <w:t>5分</w:t>
            </w:r>
          </w:p>
        </w:tc>
      </w:tr>
    </w:tbl>
    <w:p>
      <w:pPr>
        <w:pStyle w:val="2"/>
        <w:rPr>
          <w:color w:val="auto"/>
        </w:rPr>
      </w:pPr>
    </w:p>
    <w:p>
      <w:pPr>
        <w:widowControl/>
        <w:shd w:val="clear" w:color="auto" w:fill="FFFFFF"/>
        <w:spacing w:line="360" w:lineRule="atLeast"/>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shd w:val="clear" w:color="auto" w:fill="FFFFFF"/>
        </w:rPr>
        <w:t>六、采购资金支付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按季支付，即合同签订后服务期满三个月后10日内支付合同总价款的25%，合同签订后服务期满六个月后10日内支付合同总价款的25%，合同签订后服务期满九个月后10日内支付合同总价款的25%，合同签订后服务期满十二个月后10日内支付合同总价款的25%。</w:t>
      </w:r>
    </w:p>
    <w:p>
      <w:pPr>
        <w:widowControl/>
        <w:shd w:val="clear" w:color="auto" w:fill="FFFFFF"/>
        <w:spacing w:line="360" w:lineRule="atLeast"/>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shd w:val="clear" w:color="auto" w:fill="FFFFFF"/>
        </w:rPr>
        <w:t>七、联系方式</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采购人：许昌经济技术开发区法制与社会服务局      </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地  址：许昌经济技术开发区管理委员会（瑞祥路中段）</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联系人：李庆                   联系电话：13837489089</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righ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许昌经济技术开发区法制与社会服务局</w:t>
      </w:r>
    </w:p>
    <w:p>
      <w:pPr>
        <w:widowControl/>
        <w:shd w:val="clear" w:color="auto" w:fill="FFFFFF"/>
        <w:spacing w:line="360" w:lineRule="auto"/>
        <w:ind w:firstLine="480" w:firstLineChars="200"/>
        <w:contextualSpacing/>
        <w:jc w:val="right"/>
        <w:rPr>
          <w:rFonts w:ascii="仿宋" w:hAnsi="仿宋" w:eastAsia="仿宋" w:cs="宋体"/>
          <w:color w:val="auto"/>
          <w:kern w:val="0"/>
          <w:sz w:val="30"/>
          <w:szCs w:val="30"/>
          <w:shd w:val="clear" w:color="auto" w:fill="FFFFFF"/>
        </w:rPr>
      </w:pPr>
      <w:r>
        <w:rPr>
          <w:rFonts w:hint="eastAsia" w:cs="宋体" w:asciiTheme="minorEastAsia" w:hAnsiTheme="minorEastAsia"/>
          <w:color w:val="000000"/>
          <w:kern w:val="0"/>
          <w:sz w:val="24"/>
          <w:szCs w:val="24"/>
          <w:lang w:val="zh-CN"/>
        </w:rPr>
        <w:t>2018年</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lang w:val="zh-CN"/>
        </w:rPr>
        <w:t>月</w:t>
      </w:r>
      <w:r>
        <w:rPr>
          <w:rFonts w:hint="eastAsia" w:cs="宋体" w:asciiTheme="minorEastAsia" w:hAnsiTheme="minorEastAsia"/>
          <w:color w:val="000000"/>
          <w:kern w:val="0"/>
          <w:sz w:val="24"/>
          <w:szCs w:val="24"/>
          <w:lang w:val="en-US" w:eastAsia="zh-CN"/>
        </w:rPr>
        <w:t>12</w:t>
      </w:r>
      <w:r>
        <w:rPr>
          <w:rFonts w:hint="eastAsia" w:cs="宋体" w:asciiTheme="minorEastAsia" w:hAnsiTheme="minorEastAsia"/>
          <w:color w:val="000000"/>
          <w:kern w:val="0"/>
          <w:sz w:val="24"/>
          <w:szCs w:val="24"/>
          <w:lang w:val="zh-CN"/>
        </w:rPr>
        <w:t xml:space="preserve">日 </w:t>
      </w:r>
      <w:r>
        <w:rPr>
          <w:rFonts w:hint="eastAsia" w:ascii="仿宋" w:hAnsi="仿宋" w:eastAsia="仿宋" w:cs="宋体"/>
          <w:color w:val="auto"/>
          <w:kern w:val="0"/>
          <w:sz w:val="30"/>
          <w:szCs w:val="30"/>
          <w:shd w:val="clear" w:color="auto"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A4A207"/>
    <w:multiLevelType w:val="singleLevel"/>
    <w:tmpl w:val="FFA4A2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D522F86"/>
    <w:rsid w:val="0E721B97"/>
    <w:rsid w:val="106C622B"/>
    <w:rsid w:val="15377105"/>
    <w:rsid w:val="156177FD"/>
    <w:rsid w:val="16F05BBC"/>
    <w:rsid w:val="18902C51"/>
    <w:rsid w:val="18A5329E"/>
    <w:rsid w:val="19956D8E"/>
    <w:rsid w:val="19CE5459"/>
    <w:rsid w:val="1A5D51F0"/>
    <w:rsid w:val="1A9951EF"/>
    <w:rsid w:val="1B86206C"/>
    <w:rsid w:val="1F80470C"/>
    <w:rsid w:val="26322F98"/>
    <w:rsid w:val="26DF19C2"/>
    <w:rsid w:val="27E65EE2"/>
    <w:rsid w:val="2B1B1F6E"/>
    <w:rsid w:val="2B4052FD"/>
    <w:rsid w:val="2C291ECD"/>
    <w:rsid w:val="2CB27390"/>
    <w:rsid w:val="2E3C4889"/>
    <w:rsid w:val="2E4036DD"/>
    <w:rsid w:val="2E46196E"/>
    <w:rsid w:val="323D5D4C"/>
    <w:rsid w:val="36D73A7A"/>
    <w:rsid w:val="3AC86A17"/>
    <w:rsid w:val="3CAE7675"/>
    <w:rsid w:val="3E8E3904"/>
    <w:rsid w:val="437F30EA"/>
    <w:rsid w:val="447706E5"/>
    <w:rsid w:val="44DC788F"/>
    <w:rsid w:val="47C909DC"/>
    <w:rsid w:val="4D686C0E"/>
    <w:rsid w:val="4EBC17BD"/>
    <w:rsid w:val="4EE75677"/>
    <w:rsid w:val="50AA7097"/>
    <w:rsid w:val="513E741C"/>
    <w:rsid w:val="51676790"/>
    <w:rsid w:val="516908A9"/>
    <w:rsid w:val="523D68D8"/>
    <w:rsid w:val="571147E1"/>
    <w:rsid w:val="5714055B"/>
    <w:rsid w:val="57580A5D"/>
    <w:rsid w:val="59721DB9"/>
    <w:rsid w:val="5B905D75"/>
    <w:rsid w:val="5D1B0638"/>
    <w:rsid w:val="5FA305C3"/>
    <w:rsid w:val="66DB6307"/>
    <w:rsid w:val="68553B47"/>
    <w:rsid w:val="6B8500D0"/>
    <w:rsid w:val="6BA36862"/>
    <w:rsid w:val="6BD459C8"/>
    <w:rsid w:val="6BE50D64"/>
    <w:rsid w:val="6D0240B0"/>
    <w:rsid w:val="6E194149"/>
    <w:rsid w:val="6E903214"/>
    <w:rsid w:val="71357CC4"/>
    <w:rsid w:val="717605EA"/>
    <w:rsid w:val="71962929"/>
    <w:rsid w:val="74397BE4"/>
    <w:rsid w:val="754A2418"/>
    <w:rsid w:val="772C6E9B"/>
    <w:rsid w:val="77B64123"/>
    <w:rsid w:val="78427F3A"/>
    <w:rsid w:val="78C17500"/>
    <w:rsid w:val="7AA45FD6"/>
    <w:rsid w:val="7AC5313E"/>
    <w:rsid w:val="7ADD0A62"/>
    <w:rsid w:val="7AE621CD"/>
    <w:rsid w:val="7BCD2F49"/>
    <w:rsid w:val="7CED6101"/>
    <w:rsid w:val="7E416CB6"/>
    <w:rsid w:val="7E7C5009"/>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semiHidden/>
    <w:qFormat/>
    <w:uiPriority w:val="99"/>
    <w:pPr>
      <w:spacing w:after="120"/>
    </w:p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Body Text First Indent 2"/>
    <w:basedOn w:val="4"/>
    <w:qFormat/>
    <w:uiPriority w:val="0"/>
    <w:pPr>
      <w:spacing w:after="120"/>
      <w:ind w:left="420" w:leftChars="200" w:firstLine="420" w:firstLineChars="200"/>
    </w:pPr>
    <w:rPr>
      <w:rFonts w:ascii="Times New Roman" w:hAnsi="Times New Roman" w:eastAsia="宋体" w:cs="Times New Roman"/>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eastAsia="宋体" w:cs="宋体"/>
      <w:kern w:val="0"/>
      <w:sz w:val="24"/>
      <w:szCs w:val="24"/>
    </w:rPr>
  </w:style>
  <w:style w:type="character" w:styleId="10">
    <w:name w:val="Strong"/>
    <w:basedOn w:val="9"/>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5"/>
    <w:semiHidden/>
    <w:qFormat/>
    <w:uiPriority w:val="99"/>
    <w:rPr>
      <w:sz w:val="18"/>
      <w:szCs w:val="18"/>
    </w:rPr>
  </w:style>
  <w:style w:type="paragraph" w:styleId="15">
    <w:name w:val="List Paragraph"/>
    <w:basedOn w:val="1"/>
    <w:qFormat/>
    <w:uiPriority w:val="34"/>
    <w:pPr>
      <w:ind w:firstLine="420" w:firstLineChars="200"/>
    </w:pPr>
    <w:rPr>
      <w:rFonts w:ascii="Times New Roman" w:hAnsi="Times New Roman" w:eastAsia="宋体" w:cs="Times New Roman"/>
      <w:szCs w:val="20"/>
    </w:rPr>
  </w:style>
  <w:style w:type="paragraph" w:customStyle="1" w:styleId="16">
    <w:name w:val="列出段落1"/>
    <w:basedOn w:val="1"/>
    <w:qFormat/>
    <w:uiPriority w:val="0"/>
    <w:pPr>
      <w:ind w:firstLine="420" w:firstLineChars="200"/>
    </w:pPr>
  </w:style>
  <w:style w:type="paragraph" w:customStyle="1" w:styleId="17">
    <w:name w:val="列出段落11"/>
    <w:basedOn w:val="1"/>
    <w:qFormat/>
    <w:uiPriority w:val="0"/>
    <w:pPr>
      <w:ind w:firstLine="420" w:firstLineChars="200"/>
    </w:pPr>
    <w:rPr>
      <w:rFonts w:ascii="Times New Roman" w:hAnsi="Times New Roman" w:eastAsia="宋体" w:cs="Times New Roman"/>
      <w:szCs w:val="24"/>
    </w:rPr>
  </w:style>
  <w:style w:type="paragraph" w:customStyle="1" w:styleId="18">
    <w:name w:val="List Paragraph1"/>
    <w:basedOn w:val="1"/>
    <w:qFormat/>
    <w:uiPriority w:val="0"/>
    <w:pPr>
      <w:ind w:firstLine="420" w:firstLineChars="200"/>
    </w:pPr>
  </w:style>
  <w:style w:type="paragraph" w:customStyle="1" w:styleId="19">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4</TotalTime>
  <ScaleCrop>false</ScaleCrop>
  <LinksUpToDate>false</LinksUpToDate>
  <CharactersWithSpaces>13343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2018-07-09T03:37:00Z</cp:lastPrinted>
  <dcterms:modified xsi:type="dcterms:W3CDTF">2018-10-12T00:44:01Z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