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hint="eastAsia" w:ascii="黑体" w:hAnsi="黑体" w:eastAsia="黑体"/>
          <w:b/>
          <w:sz w:val="44"/>
        </w:rPr>
      </w:pPr>
      <w:r>
        <w:rPr>
          <w:rFonts w:hint="eastAsia" w:ascii="黑体" w:hAnsi="黑体" w:eastAsia="黑体"/>
          <w:b/>
          <w:sz w:val="44"/>
        </w:rPr>
        <w:t>禹州市公安局动态人像识别系统（二期）</w:t>
      </w:r>
    </w:p>
    <w:p>
      <w:pPr>
        <w:jc w:val="center"/>
        <w:rPr>
          <w:rFonts w:ascii="黑体" w:hAnsi="黑体" w:eastAsia="黑体"/>
          <w:b/>
          <w:bCs/>
          <w:spacing w:val="-20"/>
          <w:sz w:val="44"/>
          <w:szCs w:val="44"/>
        </w:rPr>
      </w:pPr>
      <w:r>
        <w:rPr>
          <w:rFonts w:hint="eastAsia" w:ascii="黑体" w:hAnsi="黑体" w:eastAsia="黑体"/>
          <w:b/>
          <w:sz w:val="44"/>
        </w:rPr>
        <w:t>采购项目</w:t>
      </w: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spacing w:line="520" w:lineRule="exact"/>
        <w:ind w:firstLine="320" w:firstLineChars="100"/>
        <w:rPr>
          <w:rFonts w:hint="eastAsia" w:ascii="仿宋" w:hAnsi="仿宋" w:eastAsia="仿宋"/>
          <w:sz w:val="32"/>
          <w:lang w:eastAsia="zh-CN"/>
        </w:rPr>
      </w:pPr>
      <w:r>
        <w:rPr>
          <w:rFonts w:hint="eastAsia" w:ascii="仿宋" w:hAnsi="仿宋" w:eastAsia="仿宋"/>
          <w:sz w:val="32"/>
        </w:rPr>
        <w:t>采购单位：</w:t>
      </w:r>
      <w:r>
        <w:rPr>
          <w:rFonts w:hint="eastAsia" w:ascii="仿宋" w:hAnsi="仿宋" w:eastAsia="仿宋" w:cs="仿宋"/>
          <w:sz w:val="32"/>
          <w:szCs w:val="32"/>
        </w:rPr>
        <w:t>禹州市公安局</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项目名称：禹州市公安局动态人像识别系统（二期）</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采购项目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采购编号：</w:t>
      </w:r>
      <w:r>
        <w:rPr>
          <w:rFonts w:hint="eastAsia" w:ascii="仿宋" w:hAnsi="仿宋" w:eastAsia="仿宋" w:cs="仿宋_GB2312"/>
          <w:sz w:val="32"/>
          <w:szCs w:val="32"/>
        </w:rPr>
        <w:t>YZCG-</w:t>
      </w:r>
      <w:r>
        <w:rPr>
          <w:rFonts w:hint="eastAsia" w:ascii="仿宋" w:hAnsi="仿宋" w:eastAsia="仿宋" w:cs="仿宋_GB2312"/>
          <w:sz w:val="32"/>
          <w:szCs w:val="32"/>
          <w:lang w:val="en-US" w:eastAsia="zh-CN"/>
        </w:rPr>
        <w:t>G</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8269</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ind w:firstLine="3520" w:firstLineChars="1100"/>
        <w:rPr>
          <w:rFonts w:ascii="仿宋" w:hAnsi="仿宋" w:eastAsia="仿宋"/>
          <w:bCs/>
          <w:sz w:val="32"/>
        </w:rPr>
      </w:pPr>
      <w:r>
        <w:rPr>
          <w:rFonts w:hint="eastAsia" w:ascii="仿宋" w:hAnsi="仿宋" w:eastAsia="仿宋"/>
          <w:bCs/>
          <w:sz w:val="32"/>
        </w:rPr>
        <w:t>二〇一八年</w:t>
      </w:r>
      <w:r>
        <w:rPr>
          <w:rFonts w:hint="eastAsia" w:ascii="仿宋" w:hAnsi="仿宋" w:eastAsia="仿宋"/>
          <w:bCs/>
          <w:sz w:val="32"/>
          <w:lang w:eastAsia="zh-CN"/>
        </w:rPr>
        <w:t>九</w:t>
      </w:r>
      <w:r>
        <w:rPr>
          <w:rFonts w:hint="eastAsia" w:ascii="仿宋" w:hAnsi="仿宋" w:eastAsia="仿宋"/>
          <w:bCs/>
          <w:sz w:val="32"/>
        </w:rPr>
        <w:t>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spacing w:line="520" w:lineRule="exact"/>
        <w:textAlignment w:val="baseline"/>
        <w:rPr>
          <w:rFonts w:hint="eastAsia" w:ascii="黑体" w:hAnsi="黑体" w:eastAsia="黑体" w:cs="黑体"/>
          <w:b/>
          <w:sz w:val="44"/>
          <w:szCs w:val="44"/>
        </w:rPr>
      </w:pPr>
      <w:r>
        <w:rPr>
          <w:rFonts w:hint="eastAsia" w:ascii="黑体" w:hAnsi="黑体" w:eastAsia="黑体" w:cs="黑体"/>
          <w:b/>
          <w:sz w:val="44"/>
          <w:szCs w:val="44"/>
        </w:rPr>
        <w:t xml:space="preserve"> </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禹州市公安局动态人像识别系统（二期）采购项目</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招标公告</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r>
        <w:rPr>
          <w:rFonts w:hint="eastAsia" w:ascii="仿宋" w:hAnsi="仿宋" w:eastAsia="仿宋" w:cs="仿宋_GB2312"/>
          <w:sz w:val="32"/>
          <w:szCs w:val="32"/>
        </w:rPr>
        <w:t>禹州市政府采购中心受禹州市公安局的委托，就“动态人像识别系统（二期）采购项目”进行</w:t>
      </w:r>
      <w:r>
        <w:rPr>
          <w:rFonts w:hint="eastAsia" w:ascii="仿宋" w:hAnsi="仿宋" w:eastAsia="仿宋" w:cs="仿宋_GB2312"/>
          <w:sz w:val="32"/>
          <w:szCs w:val="32"/>
          <w:lang w:eastAsia="zh-CN"/>
        </w:rPr>
        <w:t>公开招标</w:t>
      </w:r>
      <w:r>
        <w:rPr>
          <w:rFonts w:hint="eastAsia" w:ascii="仿宋" w:hAnsi="仿宋" w:eastAsia="仿宋" w:cs="仿宋_GB2312"/>
          <w:sz w:val="32"/>
          <w:szCs w:val="32"/>
        </w:rPr>
        <w:t>，欢迎合格的投标人前来投标。</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采购人：禹州市公安局</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_GB2312"/>
          <w:sz w:val="32"/>
          <w:szCs w:val="32"/>
          <w:lang w:eastAsia="zh-CN"/>
        </w:rPr>
      </w:pPr>
      <w:r>
        <w:rPr>
          <w:rFonts w:ascii="仿宋" w:hAnsi="仿宋" w:eastAsia="仿宋" w:cs="Arial"/>
          <w:color w:val="000000"/>
          <w:kern w:val="0"/>
          <w:sz w:val="32"/>
          <w:szCs w:val="32"/>
        </w:rPr>
        <w:t>项目名称：</w:t>
      </w:r>
      <w:r>
        <w:rPr>
          <w:rFonts w:hint="eastAsia" w:ascii="仿宋" w:hAnsi="仿宋" w:eastAsia="仿宋" w:cs="仿宋_GB2312"/>
          <w:sz w:val="32"/>
          <w:szCs w:val="32"/>
        </w:rPr>
        <w:t>禹州市公安局动态人像识别系统（二期）采购项目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1" w:leftChars="0" w:right="0" w:rightChars="0"/>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3</w:t>
      </w:r>
      <w:r>
        <w:rPr>
          <w:rFonts w:hint="eastAsia" w:ascii="仿宋" w:hAnsi="仿宋" w:eastAsia="仿宋" w:cs="Arial"/>
          <w:color w:val="000000"/>
          <w:kern w:val="0"/>
          <w:sz w:val="32"/>
          <w:szCs w:val="32"/>
        </w:rPr>
        <w:t>、采购</w:t>
      </w:r>
      <w:r>
        <w:rPr>
          <w:rFonts w:ascii="仿宋" w:hAnsi="仿宋" w:eastAsia="仿宋" w:cs="Arial"/>
          <w:color w:val="000000"/>
          <w:kern w:val="0"/>
          <w:sz w:val="32"/>
          <w:szCs w:val="32"/>
        </w:rPr>
        <w:t>编号：</w:t>
      </w:r>
      <w:r>
        <w:rPr>
          <w:rFonts w:hint="eastAsia" w:ascii="仿宋" w:hAnsi="仿宋" w:eastAsia="仿宋" w:cs="仿宋_GB2312"/>
          <w:sz w:val="32"/>
          <w:szCs w:val="32"/>
        </w:rPr>
        <w:t>YZCG-</w:t>
      </w:r>
      <w:r>
        <w:rPr>
          <w:rFonts w:hint="eastAsia" w:ascii="仿宋" w:hAnsi="仿宋" w:eastAsia="仿宋" w:cs="仿宋_GB2312"/>
          <w:sz w:val="32"/>
          <w:szCs w:val="32"/>
          <w:lang w:val="en-US" w:eastAsia="zh-CN"/>
        </w:rPr>
        <w:t>G</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8269</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rPr>
      </w:pPr>
      <w:r>
        <w:rPr>
          <w:rFonts w:hint="eastAsia" w:ascii="仿宋" w:hAnsi="仿宋" w:eastAsia="仿宋" w:cs="Arial"/>
          <w:color w:val="000000"/>
          <w:kern w:val="0"/>
          <w:sz w:val="32"/>
          <w:szCs w:val="32"/>
          <w:lang w:val="en-US" w:eastAsia="zh-CN"/>
        </w:rPr>
        <w:t>4</w:t>
      </w:r>
      <w:r>
        <w:rPr>
          <w:rFonts w:hint="eastAsia" w:ascii="仿宋" w:hAnsi="仿宋" w:eastAsia="仿宋" w:cs="Arial"/>
          <w:color w:val="000000"/>
          <w:kern w:val="0"/>
          <w:sz w:val="32"/>
          <w:szCs w:val="32"/>
        </w:rPr>
        <w:t>、</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rPr>
        <w:t>动态人像识别系统（二期）</w:t>
      </w:r>
      <w:r>
        <w:rPr>
          <w:rFonts w:hint="eastAsia" w:ascii="仿宋" w:hAnsi="仿宋" w:eastAsia="仿宋" w:cs="仿宋_GB2312"/>
          <w:sz w:val="32"/>
          <w:szCs w:val="32"/>
        </w:rPr>
        <w:t>（详见</w:t>
      </w:r>
      <w:r>
        <w:rPr>
          <w:rFonts w:hint="eastAsia" w:ascii="仿宋" w:hAnsi="仿宋" w:eastAsia="仿宋" w:cs="仿宋_GB2312"/>
          <w:sz w:val="32"/>
          <w:szCs w:val="32"/>
          <w:lang w:eastAsia="zh-CN"/>
        </w:rPr>
        <w:t>招标</w:t>
      </w:r>
      <w:r>
        <w:rPr>
          <w:rFonts w:hint="eastAsia" w:ascii="仿宋" w:hAnsi="仿宋" w:eastAsia="仿宋" w:cs="仿宋_GB2312"/>
          <w:sz w:val="32"/>
          <w:szCs w:val="32"/>
        </w:rPr>
        <w:t>文件）</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lang w:val="en-US" w:eastAsia="zh-CN"/>
        </w:rPr>
        <w:t>5、</w:t>
      </w:r>
      <w:r>
        <w:rPr>
          <w:rFonts w:ascii="仿宋" w:hAnsi="仿宋" w:eastAsia="仿宋" w:cs="Arial"/>
          <w:color w:val="000000"/>
          <w:kern w:val="0"/>
          <w:sz w:val="32"/>
          <w:szCs w:val="32"/>
        </w:rPr>
        <w:t>采购预算：</w:t>
      </w:r>
      <w:r>
        <w:rPr>
          <w:rFonts w:hint="eastAsia" w:ascii="仿宋" w:hAnsi="仿宋" w:eastAsia="仿宋" w:cs="Arial"/>
          <w:color w:val="000000"/>
          <w:kern w:val="0"/>
          <w:sz w:val="32"/>
          <w:szCs w:val="32"/>
          <w:lang w:val="en-US" w:eastAsia="zh-CN"/>
        </w:rPr>
        <w:t>172.04</w:t>
      </w:r>
      <w:r>
        <w:rPr>
          <w:rFonts w:hint="eastAsia" w:ascii="仿宋" w:hAnsi="仿宋" w:eastAsia="仿宋" w:cs="仿宋_GB2312"/>
          <w:sz w:val="32"/>
          <w:szCs w:val="32"/>
          <w:lang w:val="en-US" w:eastAsia="zh-CN"/>
        </w:rPr>
        <w:t>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6、采购限价：172.04万元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72" w:firstLineChars="147"/>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hint="eastAsia" w:ascii="黑体" w:hAnsi="黑体" w:eastAsia="黑体" w:cs="Arial"/>
          <w:b/>
          <w:color w:val="000000"/>
          <w:kern w:val="0"/>
          <w:sz w:val="32"/>
          <w:szCs w:val="32"/>
          <w:lang w:eastAsia="zh-CN"/>
        </w:rPr>
      </w:pPr>
      <w:r>
        <w:rPr>
          <w:rFonts w:hint="eastAsia" w:ascii="黑体" w:hAnsi="黑体" w:eastAsia="黑体" w:cs="Arial"/>
          <w:b/>
          <w:color w:val="000000"/>
          <w:kern w:val="0"/>
          <w:sz w:val="32"/>
          <w:szCs w:val="32"/>
          <w:lang w:eastAsia="zh-CN"/>
        </w:rPr>
        <w:t>三、</w:t>
      </w:r>
      <w:r>
        <w:rPr>
          <w:rFonts w:ascii="黑体" w:hAnsi="黑体" w:eastAsia="黑体" w:cs="Arial"/>
          <w:b/>
          <w:color w:val="000000"/>
          <w:kern w:val="0"/>
          <w:sz w:val="32"/>
          <w:szCs w:val="32"/>
        </w:rPr>
        <w:t>供应商资格要求</w:t>
      </w:r>
      <w:r>
        <w:rPr>
          <w:rFonts w:hint="eastAsia" w:ascii="黑体" w:hAnsi="黑体" w:eastAsia="黑体" w:cs="Arial"/>
          <w:b/>
          <w:color w:val="000000"/>
          <w:kern w:val="0"/>
          <w:sz w:val="32"/>
          <w:szCs w:val="32"/>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ascii="仿宋" w:hAnsi="仿宋" w:eastAsia="仿宋" w:cs="仿宋_GB2312"/>
          <w:sz w:val="32"/>
          <w:szCs w:val="32"/>
        </w:rPr>
      </w:pPr>
      <w:r>
        <w:rPr>
          <w:rFonts w:hint="eastAsia" w:ascii="仿宋" w:hAnsi="仿宋" w:eastAsia="仿宋" w:cs="仿宋_GB2312"/>
          <w:sz w:val="32"/>
          <w:szCs w:val="32"/>
        </w:rPr>
        <w:t>1、</w:t>
      </w:r>
      <w:r>
        <w:rPr>
          <w:rFonts w:ascii="仿宋" w:hAnsi="仿宋" w:eastAsia="仿宋" w:cs="仿宋_GB2312"/>
          <w:sz w:val="32"/>
          <w:szCs w:val="32"/>
        </w:rPr>
        <w:t>符合《政府采购法》第二十二条之规定；</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rPr>
        <w:t>2、投标商须具有独立法人资格及相应的经营范围（以营业执照</w:t>
      </w:r>
      <w:r>
        <w:rPr>
          <w:rFonts w:hint="eastAsia" w:ascii="仿宋" w:hAnsi="仿宋" w:eastAsia="仿宋" w:cs="仿宋_GB2312"/>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3、投标商须具备建设行政主管部门颁发的电子与智能化工程专业承包贰级及以上资质；</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60" w:firstLineChars="5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4、被委托人是须是本单位职工，须提供公司为本人缴纳社会保险证明；</w:t>
      </w:r>
    </w:p>
    <w:p>
      <w:pPr>
        <w:keepNext w:val="0"/>
        <w:keepLines w:val="0"/>
        <w:pageBreakBefore w:val="0"/>
        <w:kinsoku/>
        <w:wordWrap/>
        <w:overflowPunct/>
        <w:topLinePunct w:val="0"/>
        <w:autoSpaceDE/>
        <w:autoSpaceDN/>
        <w:bidi w:val="0"/>
        <w:adjustRightInd/>
        <w:snapToGrid/>
        <w:spacing w:line="400" w:lineRule="exact"/>
        <w:ind w:right="0" w:rightChars="0" w:firstLine="480" w:firstLineChars="150"/>
        <w:textAlignment w:val="auto"/>
        <w:outlineLvl w:val="9"/>
        <w:rPr>
          <w:rFonts w:hint="eastAsia" w:ascii="仿宋" w:hAnsi="仿宋" w:eastAsia="仿宋" w:cs="仿宋_GB2312"/>
          <w:sz w:val="32"/>
          <w:szCs w:val="32"/>
        </w:rPr>
      </w:pPr>
      <w:r>
        <w:rPr>
          <w:rFonts w:hint="eastAsia" w:ascii="仿宋" w:hAnsi="仿宋" w:eastAsia="仿宋" w:cs="仿宋_GB2312"/>
          <w:sz w:val="32"/>
          <w:szCs w:val="32"/>
          <w:lang w:val="en-US" w:eastAsia="zh-CN"/>
        </w:rPr>
        <w:t>5</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b/>
          <w:color w:val="000000"/>
          <w:kern w:val="0"/>
          <w:sz w:val="32"/>
          <w:szCs w:val="32"/>
        </w:rPr>
      </w:pPr>
      <w:r>
        <w:rPr>
          <w:rFonts w:hint="eastAsia" w:ascii="黑体" w:hAnsi="黑体" w:eastAsia="黑体" w:cs="Arial"/>
          <w:b/>
          <w:color w:val="000000"/>
          <w:kern w:val="0"/>
          <w:sz w:val="32"/>
          <w:szCs w:val="32"/>
          <w:lang w:eastAsia="zh-CN"/>
        </w:rPr>
        <w:t>四</w:t>
      </w:r>
      <w:r>
        <w:rPr>
          <w:rFonts w:ascii="黑体" w:hAnsi="黑体" w:eastAsia="黑体" w:cs="Arial"/>
          <w:b/>
          <w:color w:val="000000"/>
          <w:kern w:val="0"/>
          <w:sz w:val="32"/>
          <w:szCs w:val="32"/>
        </w:rPr>
        <w:t>、获取</w:t>
      </w:r>
      <w:r>
        <w:rPr>
          <w:rFonts w:hint="eastAsia" w:ascii="黑体" w:hAnsi="黑体" w:eastAsia="黑体" w:cs="Arial"/>
          <w:b/>
          <w:color w:val="000000"/>
          <w:kern w:val="0"/>
          <w:sz w:val="32"/>
          <w:szCs w:val="32"/>
          <w:lang w:eastAsia="zh-CN"/>
        </w:rPr>
        <w:t>招标</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widowControl w:val="0"/>
        <w:kinsoku/>
        <w:wordWrap w:val="0"/>
        <w:overflowPunct/>
        <w:topLinePunct/>
        <w:bidi w:val="0"/>
        <w:snapToGrid w:val="0"/>
        <w:spacing w:line="400" w:lineRule="exact"/>
        <w:ind w:left="0" w:leftChars="0" w:right="0" w:rightChars="0" w:firstLine="640" w:firstLineChars="200"/>
        <w:jc w:val="both"/>
        <w:textAlignment w:val="auto"/>
        <w:outlineLvl w:val="9"/>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"http://221.14.6.70:8088/ggzy/eps/public/RegistAllJcxx.html"</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http://221.14.6.70:8088/ggzy/eps/public/RegistAllJcxx.html</w:t>
      </w:r>
      <w:r>
        <w:rPr>
          <w:rFonts w:ascii="仿宋" w:hAnsi="仿宋" w:eastAsia="仿宋" w:cs="宋体"/>
          <w:sz w:val="32"/>
          <w:szCs w:val="32"/>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400" w:lineRule="exact"/>
        <w:ind w:left="0" w:leftChars="0" w:right="0" w:rightChars="0" w:firstLine="482"/>
        <w:jc w:val="both"/>
        <w:textAlignment w:val="auto"/>
        <w:outlineLvl w:val="9"/>
        <w:rPr>
          <w:rFonts w:hint="eastAsia"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ascii="仿宋" w:hAnsi="仿宋" w:eastAsia="仿宋" w:cs="宋体"/>
          <w:sz w:val="32"/>
          <w:szCs w:val="32"/>
          <w:lang w:val="zh-CN"/>
        </w:rPr>
        <w:fldChar w:fldCharType="begin"/>
      </w:r>
      <w:r>
        <w:rPr>
          <w:rFonts w:ascii="仿宋" w:hAnsi="仿宋" w:eastAsia="仿宋" w:cs="宋体"/>
          <w:sz w:val="32"/>
          <w:szCs w:val="32"/>
          <w:lang w:val="zh-CN"/>
        </w:rPr>
        <w:instrText xml:space="preserve">HYPERLINK "http://221.14.6.70:8088/ggzy/"</w:instrText>
      </w:r>
      <w:r>
        <w:rPr>
          <w:rFonts w:ascii="仿宋" w:hAnsi="仿宋" w:eastAsia="仿宋" w:cs="宋体"/>
          <w:sz w:val="32"/>
          <w:szCs w:val="32"/>
          <w:lang w:val="zh-CN"/>
        </w:rPr>
        <w:fldChar w:fldCharType="separate"/>
      </w:r>
      <w:r>
        <w:rPr>
          <w:rFonts w:hint="eastAsia" w:ascii="仿宋" w:hAnsi="仿宋" w:eastAsia="仿宋" w:cs="宋体"/>
          <w:sz w:val="32"/>
          <w:szCs w:val="32"/>
          <w:lang w:val="zh-CN"/>
        </w:rPr>
        <w:t>http://221.14.6.70:8088/ggzy/</w:t>
      </w:r>
      <w:r>
        <w:rPr>
          <w:rFonts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400" w:lineRule="exact"/>
        <w:ind w:right="0" w:rightChars="0"/>
        <w:jc w:val="both"/>
        <w:textAlignment w:val="auto"/>
        <w:outlineLvl w:val="9"/>
        <w:rPr>
          <w:rFonts w:ascii="仿宋" w:hAnsi="仿宋" w:eastAsia="仿宋" w:cs="仿宋"/>
          <w:sz w:val="32"/>
          <w:szCs w:val="32"/>
        </w:rPr>
      </w:pPr>
      <w:r>
        <w:rPr>
          <w:rFonts w:hint="eastAsia" w:ascii="仿宋" w:hAnsi="仿宋" w:eastAsia="仿宋" w:cs="仿宋"/>
          <w:sz w:val="32"/>
          <w:szCs w:val="32"/>
          <w:lang w:val="en-US" w:eastAsia="zh-CN"/>
        </w:rPr>
        <w:t>　　3</w:t>
      </w:r>
      <w:r>
        <w:rPr>
          <w:rFonts w:hint="eastAsia" w:ascii="仿宋" w:hAnsi="仿宋" w:eastAsia="仿宋" w:cs="仿宋"/>
          <w:sz w:val="32"/>
          <w:szCs w:val="32"/>
        </w:rPr>
        <w:t>、未通过全国公共资源交易平台（河南省·许昌市）下载招标文件的投标企业，拒收其递交的投标文件</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400" w:lineRule="exact"/>
        <w:ind w:right="0" w:rightChars="0" w:firstLine="640"/>
        <w:textAlignment w:val="auto"/>
        <w:outlineLvl w:val="9"/>
        <w:rPr>
          <w:rFonts w:ascii="仿宋" w:hAnsi="仿宋" w:eastAsia="仿宋" w:cs="仿宋_GB2312"/>
          <w:sz w:val="32"/>
          <w:szCs w:val="32"/>
        </w:rPr>
      </w:pPr>
      <w:r>
        <w:rPr>
          <w:rFonts w:hint="eastAsia" w:ascii="仿宋" w:hAnsi="仿宋" w:eastAsia="仿宋" w:cs="仿宋_GB2312"/>
          <w:sz w:val="32"/>
          <w:szCs w:val="32"/>
        </w:rPr>
        <w:t>4、</w:t>
      </w:r>
      <w:r>
        <w:rPr>
          <w:rFonts w:hint="eastAsia" w:ascii="仿宋" w:hAnsi="仿宋" w:eastAsia="仿宋" w:cs="仿宋_GB2312"/>
          <w:sz w:val="32"/>
          <w:szCs w:val="32"/>
          <w:lang w:eastAsia="zh-CN"/>
        </w:rPr>
        <w:t>招标</w:t>
      </w:r>
      <w:r>
        <w:rPr>
          <w:rFonts w:hint="eastAsia" w:ascii="仿宋" w:hAnsi="仿宋" w:eastAsia="仿宋" w:cs="仿宋_GB2312"/>
          <w:sz w:val="32"/>
          <w:szCs w:val="32"/>
        </w:rPr>
        <w:t>文件每份售价人民币200元，于递交投标文件时缴纳给采购代理机构，售后不退。</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五</w:t>
      </w:r>
      <w:r>
        <w:rPr>
          <w:rFonts w:ascii="黑体" w:hAnsi="黑体" w:eastAsia="黑体" w:cs="Arial"/>
          <w:color w:val="000000"/>
          <w:kern w:val="0"/>
          <w:sz w:val="32"/>
          <w:szCs w:val="32"/>
        </w:rPr>
        <w:t>、</w:t>
      </w:r>
      <w:r>
        <w:rPr>
          <w:rFonts w:hint="eastAsia" w:ascii="黑体" w:hAnsi="黑体" w:eastAsia="黑体" w:cs="Arial"/>
          <w:color w:val="000000"/>
          <w:kern w:val="0"/>
          <w:sz w:val="32"/>
          <w:szCs w:val="32"/>
          <w:lang w:eastAsia="zh-CN"/>
        </w:rPr>
        <w:t>投标</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lang w:eastAsia="zh-CN"/>
        </w:rPr>
        <w:t>开标</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ascii="仿宋" w:hAnsi="仿宋" w:eastAsia="仿宋" w:cs="Arial"/>
          <w:color w:val="000000"/>
          <w:kern w:val="0"/>
          <w:sz w:val="32"/>
          <w:szCs w:val="32"/>
        </w:rPr>
      </w:pPr>
      <w:r>
        <w:rPr>
          <w:rFonts w:hint="eastAsia" w:ascii="仿宋" w:hAnsi="仿宋" w:eastAsia="仿宋" w:cs="Arial"/>
          <w:color w:val="000000"/>
          <w:kern w:val="0"/>
          <w:sz w:val="32"/>
          <w:szCs w:val="32"/>
        </w:rPr>
        <w:t>1、</w:t>
      </w:r>
      <w:r>
        <w:rPr>
          <w:rFonts w:hint="eastAsia" w:ascii="仿宋" w:hAnsi="仿宋" w:eastAsia="仿宋" w:cs="Arial"/>
          <w:color w:val="000000"/>
          <w:kern w:val="0"/>
          <w:sz w:val="32"/>
          <w:szCs w:val="32"/>
          <w:lang w:eastAsia="zh-CN"/>
        </w:rPr>
        <w:t>投标</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w:t>
      </w:r>
      <w:r>
        <w:rPr>
          <w:rFonts w:hint="eastAsia" w:ascii="仿宋" w:hAnsi="仿宋" w:eastAsia="仿宋" w:cs="Times New Roman"/>
          <w:color w:val="000000"/>
          <w:kern w:val="0"/>
          <w:sz w:val="32"/>
          <w:szCs w:val="32"/>
          <w:lang w:val="en-US" w:eastAsia="zh-CN"/>
        </w:rPr>
        <w:t>8</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10</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10</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11:00</w:t>
      </w:r>
      <w:r>
        <w:rPr>
          <w:rFonts w:ascii="仿宋" w:hAnsi="仿宋" w:eastAsia="仿宋" w:cs="Arial"/>
          <w:color w:val="000000"/>
          <w:kern w:val="0"/>
          <w:sz w:val="32"/>
          <w:szCs w:val="32"/>
        </w:rPr>
        <w:t>（北京时间），逾期送达或不符合规定的投标文件不予接受。</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textAlignment w:val="auto"/>
        <w:outlineLvl w:val="9"/>
        <w:rPr>
          <w:rFonts w:ascii="仿宋" w:hAnsi="仿宋" w:eastAsia="仿宋" w:cs="仿宋_GB2312"/>
          <w:sz w:val="32"/>
          <w:szCs w:val="32"/>
        </w:rPr>
      </w:pPr>
      <w:r>
        <w:rPr>
          <w:rFonts w:hint="eastAsia" w:ascii="仿宋" w:hAnsi="仿宋" w:eastAsia="仿宋" w:cs="Arial"/>
          <w:color w:val="000000"/>
          <w:kern w:val="0"/>
          <w:sz w:val="32"/>
          <w:szCs w:val="32"/>
        </w:rPr>
        <w:t>2、</w:t>
      </w:r>
      <w:r>
        <w:rPr>
          <w:rFonts w:hint="eastAsia" w:ascii="仿宋" w:hAnsi="仿宋" w:eastAsia="仿宋" w:cs="Arial"/>
          <w:color w:val="000000"/>
          <w:kern w:val="0"/>
          <w:sz w:val="32"/>
          <w:szCs w:val="32"/>
          <w:lang w:eastAsia="zh-CN"/>
        </w:rPr>
        <w:t>开标</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禹州市公共资源交易中心第二开标室（禹州市行政服务中心楼9楼）</w:t>
      </w:r>
      <w:r>
        <w:rPr>
          <w:rFonts w:ascii="仿宋" w:hAnsi="仿宋" w:eastAsia="仿宋" w:cs="Arial"/>
          <w:color w:val="000000"/>
          <w:kern w:val="0"/>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ascii="黑体" w:hAnsi="黑体" w:eastAsia="黑体" w:cs="Arial"/>
          <w:color w:val="000000"/>
          <w:kern w:val="0"/>
          <w:sz w:val="32"/>
          <w:szCs w:val="32"/>
        </w:rPr>
      </w:pPr>
      <w:r>
        <w:rPr>
          <w:rFonts w:hint="eastAsia" w:ascii="黑体" w:hAnsi="黑体" w:eastAsia="黑体" w:cs="Arial"/>
          <w:color w:val="000000"/>
          <w:kern w:val="0"/>
          <w:sz w:val="32"/>
          <w:szCs w:val="32"/>
          <w:lang w:eastAsia="zh-CN"/>
        </w:rPr>
        <w:t>六</w:t>
      </w:r>
      <w:r>
        <w:rPr>
          <w:rFonts w:ascii="黑体" w:hAnsi="黑体" w:eastAsia="黑体" w:cs="Arial"/>
          <w:color w:val="000000"/>
          <w:kern w:val="0"/>
          <w:sz w:val="32"/>
          <w:szCs w:val="32"/>
        </w:rPr>
        <w:t>、代理机构及采购单位地址、联系人、联系电话</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（一）代理机构：</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市政府采购中心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地址：</w:t>
      </w:r>
      <w:r>
        <w:rPr>
          <w:rFonts w:hint="eastAsia" w:ascii="仿宋" w:hAnsi="仿宋" w:eastAsia="仿宋" w:cs="仿宋_GB2312"/>
          <w:sz w:val="32"/>
          <w:szCs w:val="32"/>
        </w:rPr>
        <w:t>禹州市行政服务中心楼917房间</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ascii="仿宋" w:hAnsi="仿宋" w:eastAsia="仿宋" w:cs="Arial"/>
          <w:color w:val="000000"/>
          <w:kern w:val="0"/>
          <w:sz w:val="32"/>
          <w:szCs w:val="32"/>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艾先生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Times New Roman"/>
          <w:color w:val="000000"/>
          <w:kern w:val="0"/>
          <w:sz w:val="32"/>
          <w:szCs w:val="32"/>
        </w:rPr>
        <w:t>0374-2077111</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color w:val="000000"/>
          <w:kern w:val="0"/>
          <w:sz w:val="32"/>
          <w:szCs w:val="32"/>
          <w:lang w:val="en-US" w:eastAsia="zh-CN"/>
        </w:rPr>
      </w:pPr>
      <w:r>
        <w:rPr>
          <w:rFonts w:hint="eastAsia" w:ascii="仿宋" w:hAnsi="仿宋" w:eastAsia="仿宋" w:cs="Arial"/>
          <w:color w:val="000000"/>
          <w:kern w:val="0"/>
          <w:sz w:val="32"/>
          <w:szCs w:val="32"/>
          <w:lang w:val="en-US" w:eastAsia="zh-CN"/>
        </w:rPr>
        <w:t>(二)</w:t>
      </w:r>
      <w:r>
        <w:rPr>
          <w:rFonts w:ascii="仿宋" w:hAnsi="仿宋" w:eastAsia="仿宋" w:cs="Arial"/>
          <w:color w:val="000000"/>
          <w:kern w:val="0"/>
          <w:sz w:val="32"/>
          <w:szCs w:val="32"/>
        </w:rPr>
        <w:t>采购单位：</w:t>
      </w:r>
      <w:r>
        <w:rPr>
          <w:rFonts w:hint="eastAsia" w:ascii="仿宋" w:hAnsi="仿宋" w:eastAsia="仿宋" w:cs="仿宋_GB2312"/>
          <w:sz w:val="32"/>
          <w:szCs w:val="32"/>
          <w:lang w:val="en-US" w:eastAsia="zh-CN"/>
        </w:rPr>
        <w:t>禹州市公安局</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Arial"/>
          <w:color w:val="000000"/>
          <w:kern w:val="0"/>
          <w:sz w:val="32"/>
          <w:szCs w:val="32"/>
          <w:lang w:val="en-US" w:eastAsia="zh-CN"/>
        </w:rPr>
      </w:pPr>
      <w:r>
        <w:rPr>
          <w:rFonts w:ascii="仿宋" w:hAnsi="仿宋" w:eastAsia="仿宋" w:cs="Arial"/>
          <w:color w:val="000000"/>
          <w:kern w:val="0"/>
          <w:sz w:val="32"/>
          <w:szCs w:val="32"/>
        </w:rPr>
        <w:t>地址：</w:t>
      </w:r>
      <w:r>
        <w:rPr>
          <w:rFonts w:hint="eastAsia" w:ascii="仿宋" w:hAnsi="仿宋" w:eastAsia="仿宋" w:cs="Arial"/>
          <w:color w:val="000000"/>
          <w:kern w:val="0"/>
          <w:sz w:val="32"/>
          <w:szCs w:val="32"/>
        </w:rPr>
        <w:t>禹州</w:t>
      </w:r>
      <w:r>
        <w:rPr>
          <w:rFonts w:ascii="仿宋" w:hAnsi="仿宋" w:eastAsia="仿宋" w:cs="Arial"/>
          <w:color w:val="000000"/>
          <w:kern w:val="0"/>
          <w:sz w:val="32"/>
          <w:szCs w:val="32"/>
        </w:rPr>
        <w:t>市</w:t>
      </w:r>
      <w:r>
        <w:rPr>
          <w:rFonts w:hint="eastAsia" w:ascii="仿宋" w:hAnsi="仿宋" w:eastAsia="仿宋" w:cs="Arial"/>
          <w:color w:val="000000"/>
          <w:kern w:val="0"/>
          <w:sz w:val="32"/>
          <w:szCs w:val="32"/>
          <w:lang w:eastAsia="zh-CN"/>
        </w:rPr>
        <w:t>华夏大道</w:t>
      </w:r>
      <w:r>
        <w:rPr>
          <w:rFonts w:hint="eastAsia" w:ascii="仿宋" w:hAnsi="仿宋" w:eastAsia="仿宋" w:cs="Arial"/>
          <w:color w:val="000000"/>
          <w:kern w:val="0"/>
          <w:sz w:val="32"/>
          <w:szCs w:val="32"/>
          <w:lang w:val="en-US" w:eastAsia="zh-CN"/>
        </w:rPr>
        <w:t>2号</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Arial"/>
          <w:color w:val="000000"/>
          <w:kern w:val="0"/>
          <w:sz w:val="32"/>
          <w:szCs w:val="32"/>
          <w:lang w:val="en-US" w:eastAsia="zh-CN"/>
        </w:rPr>
      </w:pPr>
      <w:r>
        <w:rPr>
          <w:rFonts w:ascii="仿宋" w:hAnsi="仿宋" w:eastAsia="仿宋" w:cs="Arial"/>
          <w:color w:val="000000"/>
          <w:kern w:val="0"/>
          <w:sz w:val="32"/>
          <w:szCs w:val="32"/>
        </w:rPr>
        <w:t>联系人：</w:t>
      </w:r>
      <w:r>
        <w:rPr>
          <w:rFonts w:hint="eastAsia" w:ascii="仿宋" w:hAnsi="仿宋" w:eastAsia="仿宋" w:cs="Arial"/>
          <w:color w:val="000000"/>
          <w:kern w:val="0"/>
          <w:sz w:val="32"/>
          <w:szCs w:val="32"/>
          <w:lang w:eastAsia="zh-CN"/>
        </w:rPr>
        <w:t>董先生</w:t>
      </w:r>
      <w:r>
        <w:rPr>
          <w:rFonts w:hint="eastAsia" w:ascii="仿宋" w:hAnsi="仿宋" w:eastAsia="仿宋" w:cs="Arial"/>
          <w:color w:val="000000"/>
          <w:kern w:val="0"/>
          <w:sz w:val="32"/>
          <w:szCs w:val="32"/>
        </w:rPr>
        <w:t xml:space="preserve">   </w:t>
      </w:r>
      <w:r>
        <w:rPr>
          <w:rFonts w:ascii="仿宋" w:hAnsi="仿宋" w:eastAsia="仿宋" w:cs="Arial"/>
          <w:color w:val="000000"/>
          <w:kern w:val="0"/>
          <w:sz w:val="32"/>
          <w:szCs w:val="32"/>
        </w:rPr>
        <w:t>联系电话</w:t>
      </w:r>
      <w:r>
        <w:rPr>
          <w:rFonts w:hint="eastAsia" w:ascii="仿宋" w:hAnsi="仿宋" w:eastAsia="仿宋" w:cs="Arial"/>
          <w:color w:val="000000"/>
          <w:kern w:val="0"/>
          <w:sz w:val="32"/>
          <w:szCs w:val="32"/>
          <w:lang w:eastAsia="zh-CN"/>
        </w:rPr>
        <w:t>：</w:t>
      </w:r>
      <w:r>
        <w:rPr>
          <w:rFonts w:hint="eastAsia" w:ascii="仿宋" w:hAnsi="仿宋" w:eastAsia="仿宋" w:cs="Arial"/>
          <w:color w:val="000000"/>
          <w:kern w:val="0"/>
          <w:sz w:val="32"/>
          <w:szCs w:val="32"/>
          <w:lang w:val="en-US" w:eastAsia="zh-CN"/>
        </w:rPr>
        <w:t>18839906082</w:t>
      </w:r>
    </w:p>
    <w:p>
      <w:pPr>
        <w:keepNext w:val="0"/>
        <w:keepLines w:val="0"/>
        <w:pageBreakBefore w:val="0"/>
        <w:kinsoku/>
        <w:wordWrap/>
        <w:overflowPunct/>
        <w:topLinePunct w:val="0"/>
        <w:autoSpaceDE/>
        <w:autoSpaceDN/>
        <w:bidi w:val="0"/>
        <w:adjustRightInd/>
        <w:snapToGrid/>
        <w:spacing w:line="400" w:lineRule="exact"/>
        <w:ind w:right="0" w:rightChars="0" w:firstLine="5440" w:firstLineChars="1700"/>
        <w:textAlignment w:val="auto"/>
        <w:outlineLvl w:val="9"/>
        <w:rPr>
          <w:rFonts w:hint="eastAsia" w:ascii="仿宋" w:hAnsi="仿宋" w:eastAsia="仿宋" w:cs="仿宋_GB2312"/>
          <w:sz w:val="32"/>
          <w:szCs w:val="32"/>
          <w:lang w:val="en-US" w:eastAsia="zh-CN"/>
        </w:rPr>
      </w:pPr>
      <w:r>
        <w:rPr>
          <w:rFonts w:hint="eastAsia" w:ascii="仿宋" w:hAnsi="仿宋" w:eastAsia="仿宋" w:cs="仿宋_GB2312"/>
          <w:sz w:val="32"/>
          <w:szCs w:val="32"/>
        </w:rPr>
        <w:t xml:space="preserve"> </w:t>
      </w:r>
      <w:r>
        <w:rPr>
          <w:rFonts w:hint="eastAsia" w:ascii="仿宋" w:hAnsi="仿宋" w:eastAsia="仿宋" w:cs="仿宋_GB23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hint="eastAsia" w:ascii="仿宋" w:hAnsi="仿宋" w:eastAsia="仿宋"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6080" w:firstLineChars="1900"/>
        <w:textAlignment w:val="auto"/>
        <w:outlineLvl w:val="9"/>
        <w:rPr>
          <w:rFonts w:ascii="仿宋" w:hAnsi="仿宋" w:eastAsia="仿宋" w:cs="仿宋_GB2312"/>
          <w:sz w:val="32"/>
          <w:szCs w:val="32"/>
        </w:rPr>
      </w:pPr>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日</w:t>
      </w:r>
    </w:p>
    <w:p>
      <w:pPr>
        <w:pStyle w:val="2"/>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spacing w:line="520" w:lineRule="exact"/>
              <w:ind w:firstLine="0" w:firstLineChars="0"/>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jc w:val="left"/>
              <w:textAlignment w:val="auto"/>
              <w:outlineLvl w:val="9"/>
              <w:rPr>
                <w:rFonts w:ascii="仿宋" w:hAnsi="仿宋" w:eastAsia="仿宋"/>
                <w:color w:val="000000"/>
                <w:kern w:val="0"/>
                <w:sz w:val="24"/>
                <w:szCs w:val="24"/>
              </w:rPr>
            </w:pPr>
            <w:r>
              <w:rPr>
                <w:rFonts w:hint="eastAsia" w:ascii="仿宋" w:hAnsi="仿宋" w:eastAsia="仿宋" w:cs="仿宋"/>
                <w:sz w:val="24"/>
                <w:szCs w:val="24"/>
              </w:rPr>
              <w:t>禹州市公安局动态人像识别系统（二期）采购项目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hint="eastAsia" w:ascii="仿宋" w:hAnsi="仿宋" w:eastAsia="仿宋"/>
                <w:sz w:val="24"/>
                <w:szCs w:val="24"/>
                <w:lang w:eastAsia="zh-CN"/>
              </w:rPr>
            </w:pPr>
            <w:r>
              <w:rPr>
                <w:rFonts w:hint="eastAsia" w:ascii="仿宋" w:hAnsi="仿宋" w:eastAsia="仿宋"/>
                <w:sz w:val="24"/>
                <w:szCs w:val="24"/>
                <w:lang w:eastAsia="zh-CN"/>
              </w:rPr>
              <w:t>以</w:t>
            </w:r>
            <w:r>
              <w:rPr>
                <w:rFonts w:hint="eastAsia" w:ascii="仿宋" w:hAnsi="仿宋" w:eastAsia="仿宋"/>
                <w:sz w:val="24"/>
                <w:szCs w:val="24"/>
              </w:rPr>
              <w:t>合同签订</w:t>
            </w:r>
            <w:r>
              <w:rPr>
                <w:rFonts w:hint="eastAsia" w:ascii="仿宋" w:hAnsi="仿宋" w:eastAsia="仿宋"/>
                <w:sz w:val="24"/>
                <w:szCs w:val="24"/>
                <w:lang w:eastAsia="zh-CN"/>
              </w:rPr>
              <w:t>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eastAsia="zh-CN"/>
              </w:rPr>
            </w:pPr>
            <w:r>
              <w:rPr>
                <w:rFonts w:hint="eastAsia" w:ascii="仿宋" w:hAnsi="仿宋" w:eastAsia="仿宋"/>
                <w:color w:val="FF0000"/>
                <w:sz w:val="24"/>
                <w:szCs w:val="24"/>
                <w:lang w:eastAsia="zh-CN"/>
              </w:rPr>
              <w:t>贰万元整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11</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注：投标人须提供电子版投标文件一份，单独密封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5"/>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spacing w:line="440" w:lineRule="exact"/>
              <w:ind w:firstLine="0"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11</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 xml:space="preserve">  11</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w:t>
            </w:r>
            <w:r>
              <w:rPr>
                <w:rFonts w:hint="eastAsia" w:ascii="仿宋" w:hAnsi="仿宋" w:eastAsia="仿宋" w:cstheme="minorBidi"/>
                <w:color w:val="FF0000"/>
                <w:kern w:val="2"/>
                <w:sz w:val="24"/>
                <w:szCs w:val="24"/>
                <w:lang w:val="en-US" w:eastAsia="zh-CN" w:bidi="ar-SA"/>
              </w:rPr>
              <w:t>172.04</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50" w:firstLineChars="600"/>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5.1.8合同书（参考样本)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360" w:lineRule="auto"/>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6"/>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投标人认为本次招标活动违反法律、法规和规章规定的，应当遵守《中华人民共和国财政部94号令》规定。</w:t>
      </w:r>
    </w:p>
    <w:p>
      <w:pPr>
        <w:widowControl/>
        <w:spacing w:line="360" w:lineRule="auto"/>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numPr>
          <w:ilvl w:val="0"/>
          <w:numId w:val="7"/>
        </w:numPr>
        <w:spacing w:line="440" w:lineRule="exact"/>
        <w:ind w:firstLine="1533" w:firstLineChars="347"/>
        <w:rPr>
          <w:rFonts w:ascii="仿宋" w:hAnsi="仿宋" w:eastAsia="仿宋"/>
          <w:b/>
          <w:sz w:val="44"/>
        </w:rPr>
        <w:sectPr>
          <w:headerReference r:id="rId9" w:type="default"/>
          <w:footerReference r:id="rId10" w:type="default"/>
          <w:pgSz w:w="11907" w:h="16840"/>
          <w:pgMar w:top="1440" w:right="1474" w:bottom="1440" w:left="1474" w:header="851" w:footer="992" w:gutter="0"/>
          <w:cols w:space="425" w:num="1"/>
          <w:docGrid w:linePitch="312" w:charSpace="0"/>
        </w:sectPr>
      </w:pPr>
    </w:p>
    <w:p>
      <w:pPr>
        <w:widowControl/>
        <w:numPr>
          <w:ilvl w:val="0"/>
          <w:numId w:val="8"/>
        </w:numPr>
        <w:spacing w:line="440" w:lineRule="exact"/>
        <w:ind w:firstLine="1325" w:firstLineChars="300"/>
        <w:rPr>
          <w:rFonts w:ascii="仿宋" w:hAnsi="仿宋" w:eastAsia="仿宋"/>
          <w:b/>
          <w:sz w:val="44"/>
        </w:rPr>
      </w:pPr>
      <w:r>
        <w:rPr>
          <w:rFonts w:hint="eastAsia" w:ascii="仿宋" w:hAnsi="仿宋" w:eastAsia="仿宋"/>
          <w:b/>
          <w:sz w:val="44"/>
        </w:rPr>
        <w:t xml:space="preserve">  采购内容及其他要求</w:t>
      </w:r>
    </w:p>
    <w:p>
      <w:pPr>
        <w:widowControl/>
        <w:spacing w:line="440" w:lineRule="exact"/>
        <w:rPr>
          <w:rFonts w:ascii="仿宋" w:hAnsi="仿宋" w:eastAsia="仿宋"/>
          <w:b/>
          <w:sz w:val="44"/>
        </w:rPr>
      </w:pPr>
    </w:p>
    <w:p>
      <w:pPr>
        <w:widowControl/>
        <w:numPr>
          <w:ilvl w:val="0"/>
          <w:numId w:val="9"/>
        </w:numPr>
        <w:spacing w:line="440" w:lineRule="exact"/>
        <w:rPr>
          <w:rFonts w:ascii="仿宋" w:hAnsi="仿宋" w:eastAsia="仿宋" w:cs="仿宋"/>
          <w:b/>
          <w:sz w:val="24"/>
          <w:szCs w:val="24"/>
        </w:rPr>
      </w:pPr>
      <w:r>
        <w:rPr>
          <w:rFonts w:hint="eastAsia" w:ascii="仿宋" w:hAnsi="仿宋" w:eastAsia="仿宋" w:cs="仿宋"/>
          <w:b/>
          <w:sz w:val="24"/>
          <w:szCs w:val="24"/>
        </w:rPr>
        <w:t>采购内容及其它要求：</w:t>
      </w:r>
    </w:p>
    <w:p>
      <w:pPr>
        <w:pStyle w:val="2"/>
        <w:rPr>
          <w:rFonts w:hint="eastAsia" w:eastAsia="宋体"/>
          <w:lang w:val="en-US" w:eastAsia="zh-CN"/>
        </w:rPr>
      </w:pPr>
      <w:r>
        <w:rPr>
          <w:rFonts w:hint="eastAsia"/>
          <w:lang w:val="en-US" w:eastAsia="zh-CN"/>
        </w:rPr>
        <w:t>（一）采购清单</w:t>
      </w:r>
    </w:p>
    <w:tbl>
      <w:tblPr>
        <w:tblStyle w:val="36"/>
        <w:tblW w:w="91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
      <w:tblGrid>
        <w:gridCol w:w="350"/>
        <w:gridCol w:w="963"/>
        <w:gridCol w:w="6262"/>
        <w:gridCol w:w="349"/>
        <w:gridCol w:w="593"/>
        <w:gridCol w:w="5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Ex>
        <w:trPr>
          <w:trHeight w:val="90" w:hRule="atLeast"/>
          <w:jc w:val="center"/>
        </w:trPr>
        <w:tc>
          <w:tcPr>
            <w:tcW w:w="35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序号</w:t>
            </w:r>
          </w:p>
        </w:tc>
        <w:tc>
          <w:tcPr>
            <w:tcW w:w="96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货物名称</w:t>
            </w:r>
          </w:p>
        </w:tc>
        <w:tc>
          <w:tcPr>
            <w:tcW w:w="626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技术规格及主要参数</w:t>
            </w:r>
          </w:p>
        </w:tc>
        <w:tc>
          <w:tcPr>
            <w:tcW w:w="34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单位</w:t>
            </w:r>
          </w:p>
        </w:tc>
        <w:tc>
          <w:tcPr>
            <w:tcW w:w="59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数量</w:t>
            </w:r>
          </w:p>
        </w:tc>
        <w:tc>
          <w:tcPr>
            <w:tcW w:w="58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是否为核心产品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5136"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600万像素人脸抓拍机</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信噪比不小于59dB。</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在3072x2048@25fps下，清晰度不小于1900TVL。</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★需支持五码流技术，主码流最高≥3072x2048@25fps；子码流≥704x576@25fps；第三码流最高≥3072x2048@25fps；第四码流最高≥704x576@25fps；第五码流最高≥704x576@25fps。</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最低照度彩色：0.001lx，黑白:0.0001lx，灰度等级不小于10级。</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支持H.264、H.265、MJPEG视频编码格式，且具有HighProfile编码能力。</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在丢包率设置为20%的网络环境下，可正常显示监视画面。</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需具有透雾、强光抑制、背光补偿、数字降噪、走廊模式、电子防抖、ROI感兴趣区域、SVC可伸缩编码、视频水印等功能。</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设置密码时，需可以自动提示密码复杂度为高、中、低。</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★支持人脸抓拍功能，可对经过设定区域的行人进行人脸检测和人脸跟踪，当检测到人脸后，可抓拍人脸图片，抓拍图片数量可设。</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支持人脸区域屏蔽功能，可在监视画面上设置屏蔽人脸识别的区域，区域形状可设置为多边形。</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★不低于IP66防尘防水、IK10防暴等级。</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摄像机支架</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摄像机专用支架</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1021"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多画面摄像机</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★设备可输出两路视频图像：通道1、通道2。支持同时输出3路码流，且通道1的主码流、第三码流同时支持1920×1080、60帧/秒，通道2的主码流、第三码流同时支持2560×1440、30帧/秒。</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视频输出支持分辨率设置为1920x1080，帧率设置为25fps，分辨力不小于1100线。</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★支持最低照度可达彩色0.0003Lux，黑白0.0001Lux。</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★在设定的侦测区域内有目标移动时，设备可联动开启白光灯并抓拍图像。</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支持水平、垂直旋转，水平手控速度不小于240°/s，定位准确度不大于0.1°。</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设备支持设置300个预置位和18条巡航路径，支持自动扫描和守望功能。</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设备支持断电记忆、背光补偿功能，通道2支持自动聚焦、自动定位功能。</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★设备可同时对监控区域内的行人、机动车、非机动车进行抓拍，并可生成人体、机动车、非机动车图片。（以公安部检验报告为准）</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★可在监控画面实时显示行人、车辆的信息。</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★设备支持看清70米处人体轮廓，并可生成人体小图。</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★通道1检测到且框出移动目标至通道2摄像机开始转动的时间小于0.3秒。</w:t>
            </w:r>
            <w:bookmarkStart w:id="1" w:name="_GoBack"/>
            <w:bookmarkEnd w:id="1"/>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★具备BDS定位和GPS定位功能，并能够在监控画面叠加设备所在的经纬度信息。</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支持本机存储功能，支持SD卡热插拔，SD卡最大支持128GB。</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符合《GB/T28181-2016公共安全视频监控联网系统信息传输、交换、控制技术要求》中的相关规定。</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多画面摄像机支架</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座装支架/铂晶灰/铝合金</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64"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摄像机立杆</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室外立杆，所用钢材刚度40，高度6米，挑臂长度0-3米，立柱口径对角250-200，壁厚不少于6mm；经酸洗除锈，采用内外热镀锌处理，镀锌层厚度为60μm，表面白色静电喷塑；</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底盘法兰500,具体长度根据现场情况选择</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根</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64"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立杆水泥底座工程材料、手井</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混泥土基础：C20；</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水泥基座尺寸不小于800(长)X800(宽)X1000mm(深)；</w:t>
            </w:r>
            <w:r>
              <w:rPr>
                <w:rFonts w:hint="eastAsia" w:ascii="仿宋" w:hAnsi="仿宋" w:eastAsia="仿宋" w:cs="仿宋"/>
                <w:i w:val="0"/>
                <w:color w:val="000000"/>
                <w:kern w:val="0"/>
                <w:sz w:val="22"/>
                <w:szCs w:val="22"/>
                <w:u w:val="none"/>
                <w:lang w:val="en-US" w:eastAsia="zh-CN" w:bidi="ar"/>
              </w:rPr>
              <w:br w:type="textWrapping"/>
            </w:r>
            <w:r>
              <w:rPr>
                <w:rFonts w:hint="eastAsia" w:ascii="仿宋" w:hAnsi="仿宋" w:eastAsia="仿宋" w:cs="仿宋"/>
                <w:i w:val="0"/>
                <w:color w:val="000000"/>
                <w:kern w:val="0"/>
                <w:sz w:val="22"/>
                <w:szCs w:val="22"/>
                <w:u w:val="none"/>
                <w:lang w:val="en-US" w:eastAsia="zh-CN" w:bidi="ar"/>
              </w:rPr>
              <w:t>地笼尺寸不小于300X300X600mm，钢筋直径不小于16mm，含基础开挖机土方清运、基面维护等。</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接地系统</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立杆、机箱接地，2.5mm热镀锌接地棒，采用16mm裸铜线和杆件连接，接地电阻为＜10欧姆</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64"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室外抱杆控制箱</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耐酸碱腐蚀；耐高温暴晒，永不掉漆、开裂、粉化；双坡型防雨帽，具备高50mm的隔热层，内置宽面积百叶进风通道有效阻挡灰尘、雨水及昆虫；门框有经严格设计的雨水导流槽；含有必要的空开、插板、接地端子、专业电源等；尺寸不小于450mm*350mm*200mm。</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个</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lang w:val="en-US"/>
              </w:rPr>
            </w:pPr>
            <w:r>
              <w:rPr>
                <w:rFonts w:hint="eastAsia" w:ascii="仿宋" w:hAnsi="仿宋" w:eastAsia="仿宋" w:cs="仿宋"/>
                <w:i w:val="0"/>
                <w:color w:val="000000"/>
                <w:kern w:val="0"/>
                <w:sz w:val="22"/>
                <w:szCs w:val="22"/>
                <w:u w:val="none"/>
                <w:lang w:val="en-US" w:eastAsia="zh-CN" w:bidi="ar"/>
              </w:rPr>
              <w:t>60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电源线</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国标电缆RVV3*1</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米</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8000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网线</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超五类网线（国标）</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米</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3000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接电费用</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电力供电引线施工及配套费用</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批</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12</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接入交换机</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百兆5口监控专用交换机</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28"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13</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配套辅材</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穿线金属管，金属软管，PVC管，接头，焊接，膨胀丝，自攻丝，胶栓，胶带，扎带等</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批</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864"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lang w:val="en-US"/>
              </w:rPr>
            </w:pPr>
            <w:r>
              <w:rPr>
                <w:rFonts w:hint="eastAsia" w:ascii="仿宋" w:hAnsi="仿宋" w:eastAsia="仿宋" w:cs="仿宋"/>
                <w:i w:val="0"/>
                <w:color w:val="000000"/>
                <w:kern w:val="0"/>
                <w:sz w:val="22"/>
                <w:szCs w:val="22"/>
                <w:u w:val="none"/>
                <w:lang w:val="en-US" w:eastAsia="zh-CN" w:bidi="ar"/>
              </w:rPr>
              <w:t>14</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核心交换机</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24口千兆非网管二层光电混合交换机，机架式，12个千兆电口,12个千兆光口，非网管。交换容量48Gbps,包转发率35.7Mpps,1U高度，19英寸宽，工作温度：0～40</w:t>
            </w:r>
            <w:r>
              <w:rPr>
                <w:rFonts w:hint="default" w:ascii="Times New Roman" w:hAnsi="Times New Roman" w:eastAsia="仿宋" w:cs="Times New Roman"/>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C，支持220v交流，满负荷功耗25瓦</w:t>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台</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0" w:hRule="atLeast"/>
          <w:jc w:val="center"/>
        </w:trPr>
        <w:tc>
          <w:tcPr>
            <w:tcW w:w="350"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lang w:val="en-US"/>
              </w:rPr>
            </w:pPr>
            <w:r>
              <w:rPr>
                <w:rFonts w:hint="eastAsia" w:ascii="仿宋" w:hAnsi="仿宋" w:eastAsia="仿宋" w:cs="仿宋"/>
                <w:i w:val="0"/>
                <w:color w:val="000000"/>
                <w:kern w:val="0"/>
                <w:sz w:val="22"/>
                <w:szCs w:val="22"/>
                <w:u w:val="none"/>
                <w:lang w:val="en-US" w:eastAsia="zh-CN" w:bidi="ar"/>
              </w:rPr>
              <w:t>15</w:t>
            </w:r>
          </w:p>
        </w:tc>
        <w:tc>
          <w:tcPr>
            <w:tcW w:w="96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lang w:val="en-US"/>
              </w:rPr>
            </w:pPr>
            <w:r>
              <w:rPr>
                <w:rFonts w:hint="eastAsia" w:ascii="仿宋" w:hAnsi="仿宋" w:eastAsia="仿宋" w:cs="仿宋"/>
                <w:i w:val="0"/>
                <w:color w:val="000000"/>
                <w:kern w:val="0"/>
                <w:sz w:val="22"/>
                <w:szCs w:val="22"/>
                <w:u w:val="none"/>
                <w:lang w:val="en-US" w:eastAsia="zh-CN" w:bidi="ar"/>
              </w:rPr>
              <w:t>人脸识别系统扩容</w:t>
            </w:r>
          </w:p>
        </w:tc>
        <w:tc>
          <w:tcPr>
            <w:tcW w:w="6262"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对原有人脸大数据比对系统进行扩容60路授权</w:t>
            </w:r>
            <w:r>
              <w:rPr>
                <w:rFonts w:hint="eastAsia" w:ascii="仿宋" w:hAnsi="仿宋" w:eastAsia="仿宋" w:cs="仿宋"/>
                <w:i w:val="0"/>
                <w:color w:val="000000"/>
                <w:kern w:val="0"/>
                <w:sz w:val="22"/>
                <w:szCs w:val="22"/>
                <w:u w:val="none"/>
                <w:lang w:val="en-US" w:eastAsia="zh-CN" w:bidi="ar"/>
              </w:rPr>
              <w:br w:type="textWrapping"/>
            </w:r>
          </w:p>
        </w:tc>
        <w:tc>
          <w:tcPr>
            <w:tcW w:w="349"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套</w:t>
            </w:r>
          </w:p>
        </w:tc>
        <w:tc>
          <w:tcPr>
            <w:tcW w:w="59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583" w:type="dxa"/>
            <w:tcBorders>
              <w:tl2br w:val="nil"/>
              <w:tr2bl w:val="nil"/>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否</w:t>
            </w:r>
          </w:p>
        </w:tc>
      </w:tr>
    </w:tbl>
    <w:p>
      <w:pPr>
        <w:pStyle w:val="2"/>
        <w:rPr>
          <w:rFonts w:hint="eastAsia" w:eastAsia="宋体"/>
          <w:lang w:val="en-US" w:eastAsia="zh-CN"/>
        </w:rPr>
      </w:pPr>
      <w:r>
        <w:rPr>
          <w:rFonts w:hint="eastAsia" w:eastAsia="宋体"/>
          <w:lang w:val="en-US" w:eastAsia="zh-CN"/>
        </w:rPr>
        <w:t>注：中标方需在签订合同前需进行与原有平台进行对接测试，如不能完成无缝对接，则取消其中标资格。</w:t>
      </w:r>
    </w:p>
    <w:p>
      <w:pPr>
        <w:pStyle w:val="2"/>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lang w:eastAsia="zh-CN"/>
        </w:rPr>
        <w:t>（二）</w:t>
      </w:r>
      <w:r>
        <w:rPr>
          <w:rFonts w:hint="eastAsia" w:ascii="仿宋" w:hAnsi="仿宋" w:eastAsia="仿宋" w:cs="宋体"/>
          <w:color w:val="000000"/>
          <w:kern w:val="0"/>
          <w:sz w:val="32"/>
          <w:szCs w:val="32"/>
        </w:rPr>
        <w:t>采购标的执行标准</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1、所投产品需和禹州市公安局人脸一期平台无缝对接，不接受新建平台。</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投标人所投系统及相关硬件要符合《河南公安人像识别系统技术规范(试行)》、公安部《公安视频图像分析系统》、《公安视频图像信息应用系统》、《公共安全视频监控联网系统信息传输、交换、控制技术要求》（GB/T28181-2016）、《安全防范视频监控人脸识别系统技术要求》（GAT31488-2015）、《安防人脸识别应用视频人脸图像提取技术要求》（GA/T 1334-2016）、《安防人脸识别应用系统》GA/T922.2等技术标准和国家、行业相关标准、规范；</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3、投标人必须响应《河南公安人像识别系统技术规范(试行)》后续修订版时，免费进行接口开发；</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4、实现与许昌市局平台联网为验收条件；</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5、投标人须承诺在省公安厅和许昌市公安局的公安信息网和视频专网各免费部署一套人像识别系统，提供识别比对、布控告警等相关服务，实现与省厅、市局人像识别集成平台系统的对接与集成。</w:t>
      </w:r>
    </w:p>
    <w:p>
      <w:pPr>
        <w:widowControl/>
        <w:numPr>
          <w:numId w:val="0"/>
        </w:numPr>
        <w:shd w:val="clear" w:color="auto" w:fill="FFFFFF"/>
        <w:spacing w:line="360" w:lineRule="auto"/>
        <w:contextualSpacing/>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lang w:eastAsia="zh-CN"/>
        </w:rPr>
        <w:t>（三）</w:t>
      </w:r>
      <w:r>
        <w:rPr>
          <w:rFonts w:hint="eastAsia" w:ascii="仿宋" w:hAnsi="仿宋" w:eastAsia="仿宋" w:cs="宋体"/>
          <w:color w:val="000000"/>
          <w:kern w:val="0"/>
          <w:sz w:val="32"/>
          <w:szCs w:val="32"/>
        </w:rPr>
        <w:t>服务标准、期限、效率等要求</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1、本采购项目报价应包含前端抓拍系统、中心人像比对系统、系统5年维护费用、五年网络租赁费用、五年电费；</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2、本采购项目建设完成后5年内，中标供应商负责系统维护，负担系统前端设备电费、光纤租赁费，确保系统正常运行；</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系统建成后5年期间，为了确保人像识别系统服务实战的能力和效果，供应商应确保系统稳定运行，前端摄像头运行完好率≥95%，招标人对系统运行情况进行考核，因供应商维护不到位或出现故障不能及时处置，造成系统运行完好率低于95%的，招标人视情扣除相应合同款；</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lang w:val="en-US" w:eastAsia="zh-CN"/>
        </w:rPr>
        <w:t>4</w:t>
      </w:r>
      <w:r>
        <w:rPr>
          <w:rFonts w:hint="eastAsia" w:ascii="仿宋" w:hAnsi="仿宋" w:eastAsia="仿宋" w:cs="宋体"/>
          <w:color w:val="000000"/>
          <w:kern w:val="0"/>
          <w:sz w:val="32"/>
          <w:szCs w:val="32"/>
        </w:rPr>
        <w:t>、建设工期，合同签订后</w:t>
      </w:r>
      <w:r>
        <w:rPr>
          <w:rFonts w:hint="eastAsia" w:ascii="仿宋" w:hAnsi="仿宋" w:eastAsia="仿宋" w:cs="宋体"/>
          <w:color w:val="000000"/>
          <w:kern w:val="0"/>
          <w:sz w:val="32"/>
          <w:szCs w:val="32"/>
          <w:lang w:val="en-US" w:eastAsia="zh-CN"/>
        </w:rPr>
        <w:t>3</w:t>
      </w:r>
      <w:r>
        <w:rPr>
          <w:rFonts w:hint="eastAsia" w:ascii="仿宋" w:hAnsi="仿宋" w:eastAsia="仿宋" w:cs="宋体"/>
          <w:color w:val="000000"/>
          <w:kern w:val="0"/>
          <w:sz w:val="32"/>
          <w:szCs w:val="32"/>
        </w:rPr>
        <w:t>0日内完成，延迟一天扣除合同总额的0.5%；</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lang w:val="en-US" w:eastAsia="zh-CN"/>
        </w:rPr>
        <w:t>5</w:t>
      </w:r>
      <w:r>
        <w:rPr>
          <w:rFonts w:hint="eastAsia" w:ascii="仿宋" w:hAnsi="仿宋" w:eastAsia="仿宋" w:cs="宋体"/>
          <w:color w:val="000000"/>
          <w:kern w:val="0"/>
          <w:sz w:val="32"/>
          <w:szCs w:val="32"/>
        </w:rPr>
        <w:t>、供应商应确保视频图像监控正常运行和信息安全，同时不得以任何理由和方式将视频图像监控的有关图像、资料和信息向第三方公开，不得将视频图像传输网络（线路）以任何理由和方式接入其他网络。由于维保服务责任单位和相关人员原因发生失密泄密的，公安机关保留追究维保责任单位和个人法律责任的权利；</w:t>
      </w:r>
    </w:p>
    <w:p>
      <w:pPr>
        <w:widowControl/>
        <w:numPr>
          <w:ilvl w:val="0"/>
          <w:numId w:val="0"/>
        </w:numPr>
        <w:shd w:val="clear" w:color="auto" w:fill="FFFFFF"/>
        <w:spacing w:line="360" w:lineRule="auto"/>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lang w:val="en-US" w:eastAsia="zh-CN"/>
        </w:rPr>
        <w:t>6</w:t>
      </w:r>
      <w:r>
        <w:rPr>
          <w:rFonts w:hint="eastAsia" w:ascii="仿宋" w:hAnsi="仿宋" w:eastAsia="仿宋" w:cs="宋体"/>
          <w:color w:val="000000"/>
          <w:kern w:val="0"/>
          <w:sz w:val="32"/>
          <w:szCs w:val="32"/>
        </w:rPr>
        <w:t>、招标人对投标人投标文件中关于主要设备供货时间的承诺进行考核，未按照投标文件承诺主要设备供货时间供货的，延迟1天扣除1万元。</w:t>
      </w: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p>
      <w:pPr>
        <w:pStyle w:val="2"/>
        <w:rPr>
          <w:rFonts w:hint="eastAsia" w:ascii="仿宋" w:hAnsi="仿宋" w:eastAsia="仿宋" w:cs="宋体"/>
          <w:color w:val="000000"/>
          <w:kern w:val="0"/>
          <w:sz w:val="32"/>
          <w:szCs w:val="32"/>
        </w:rPr>
      </w:pPr>
    </w:p>
    <w:tbl>
      <w:tblPr>
        <w:tblStyle w:val="36"/>
        <w:tblW w:w="89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4"/>
        <w:gridCol w:w="3072"/>
        <w:gridCol w:w="3900"/>
        <w:gridCol w:w="11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32" w:hRule="atLeast"/>
        </w:trPr>
        <w:tc>
          <w:tcPr>
            <w:tcW w:w="89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8"/>
                <w:szCs w:val="28"/>
                <w:u w:val="none"/>
              </w:rPr>
            </w:pPr>
            <w:r>
              <w:rPr>
                <w:rFonts w:hint="eastAsia" w:ascii="仿宋" w:hAnsi="仿宋" w:eastAsia="仿宋" w:cs="仿宋"/>
                <w:i w:val="0"/>
                <w:color w:val="000000"/>
                <w:kern w:val="0"/>
                <w:sz w:val="28"/>
                <w:szCs w:val="28"/>
                <w:u w:val="none"/>
                <w:lang w:val="en-US" w:eastAsia="zh-CN" w:bidi="ar"/>
              </w:rPr>
              <w:t>动态人像卡口拟建设位置及数量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序号</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场所</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位置</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人民医院</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门诊大厅门口1个 ，急诊大厅门口1个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中医院</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住院部2个，门诊1个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钧都医院</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住院部1个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西商贸牌坊对面汇聚购物连锁</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钧州大街白霜步行街</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东西路口各1个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嘉悦超市</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北门1个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钧悦商场</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根据实际情况确定3个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05"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朱阁、火龙、褚河、范坡、小吕乡镇中心大型商超各1个</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入口各1个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事故科</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大厅1个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车管所</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大厅门口2个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车辆审验中心</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登记处1个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轩辕桥</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两侧人行道各1个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颍川桥</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两侧人行道各1个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彩虹桥</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两侧人行道各1个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北关新桥</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两侧人行道各1个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北关老桥</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两侧人行道各1个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一坝下边景观桥</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两侧人行道各1个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植物园</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东门景观桥2个、南门北侧步道1个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6"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远航路三监狱卡口</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附近人行道</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南测、北侧人行道各1个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老体育场</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根据实际情况确定3个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批发街</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长春小学门口附近</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一峰北河边小吃街</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南北两端各1个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东区体育公园</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北门、东门各2个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梨园酒店</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大厅电梯口1个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禹襄公路箕啊卡口</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路西向北1个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禹郏公路梁北牌坊北视频杆</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向北1个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禹郏公路梁北矿卡口</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向南1个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治安检查卡点</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6个治安检查卡点各1个</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29</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总计</w:t>
            </w:r>
          </w:p>
        </w:tc>
        <w:tc>
          <w:tcPr>
            <w:tcW w:w="5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w:t>
            </w:r>
          </w:p>
        </w:tc>
      </w:tr>
    </w:tbl>
    <w:p>
      <w:pPr>
        <w:widowControl/>
        <w:numPr>
          <w:ilvl w:val="0"/>
          <w:numId w:val="0"/>
        </w:numPr>
        <w:shd w:val="clear" w:color="auto" w:fill="FFFFFF"/>
        <w:spacing w:line="360" w:lineRule="auto"/>
        <w:contextualSpacing/>
        <w:jc w:val="left"/>
        <w:rPr>
          <w:rFonts w:hint="eastAsia" w:ascii="仿宋" w:hAnsi="仿宋" w:eastAsia="仿宋" w:cs="宋体"/>
          <w:color w:val="000000"/>
          <w:kern w:val="0"/>
          <w:sz w:val="32"/>
          <w:szCs w:val="32"/>
        </w:rPr>
      </w:pPr>
    </w:p>
    <w:p>
      <w:pPr>
        <w:widowControl/>
        <w:shd w:val="clear" w:color="auto" w:fill="FFFFFF"/>
        <w:spacing w:line="360" w:lineRule="auto"/>
        <w:ind w:firstLine="600"/>
        <w:jc w:val="left"/>
        <w:rPr>
          <w:rFonts w:hint="eastAsia" w:ascii="仿宋" w:hAnsi="仿宋" w:eastAsia="仿宋" w:cs="宋体"/>
          <w:color w:val="000000"/>
          <w:kern w:val="0"/>
          <w:sz w:val="32"/>
          <w:szCs w:val="32"/>
        </w:rPr>
      </w:pP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w:t>
      </w:r>
      <w:r>
        <w:rPr>
          <w:rFonts w:hint="eastAsia" w:ascii="仿宋" w:hAnsi="仿宋" w:eastAsia="仿宋" w:cs="宋体"/>
          <w:color w:val="000000"/>
          <w:kern w:val="0"/>
          <w:sz w:val="32"/>
          <w:szCs w:val="32"/>
          <w:lang w:eastAsia="zh-CN"/>
        </w:rPr>
        <w:t>四</w:t>
      </w:r>
      <w:r>
        <w:rPr>
          <w:rFonts w:hint="eastAsia" w:ascii="仿宋" w:hAnsi="仿宋" w:eastAsia="仿宋" w:cs="宋体"/>
          <w:color w:val="000000"/>
          <w:kern w:val="0"/>
          <w:sz w:val="32"/>
          <w:szCs w:val="32"/>
        </w:rPr>
        <w:t>）验收标准</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600"/>
        <w:jc w:val="left"/>
        <w:rPr>
          <w:rFonts w:hint="eastAsia" w:ascii="仿宋" w:hAnsi="仿宋" w:eastAsia="仿宋" w:cs="宋体"/>
          <w:color w:val="000000"/>
          <w:kern w:val="0"/>
          <w:sz w:val="32"/>
          <w:szCs w:val="32"/>
          <w:lang w:eastAsia="zh-CN"/>
        </w:rPr>
      </w:pPr>
      <w:r>
        <w:rPr>
          <w:rFonts w:hint="eastAsia" w:ascii="仿宋" w:hAnsi="仿宋" w:eastAsia="仿宋" w:cs="宋体"/>
          <w:color w:val="000000"/>
          <w:kern w:val="0"/>
          <w:sz w:val="32"/>
          <w:szCs w:val="32"/>
        </w:rPr>
        <w:t>1、</w:t>
      </w:r>
      <w:r>
        <w:rPr>
          <w:rFonts w:hint="eastAsia" w:ascii="仿宋" w:hAnsi="仿宋" w:eastAsia="仿宋" w:cs="宋体"/>
          <w:iCs/>
          <w:color w:val="000000"/>
          <w:kern w:val="0"/>
          <w:sz w:val="32"/>
          <w:szCs w:val="32"/>
        </w:rPr>
        <w:t>按照国家相关标准、行业标准、地方标准或者其他标准、规范验收</w:t>
      </w:r>
      <w:r>
        <w:rPr>
          <w:rFonts w:hint="eastAsia" w:ascii="仿宋" w:hAnsi="仿宋" w:eastAsia="仿宋" w:cs="宋体"/>
          <w:iCs/>
          <w:color w:val="000000"/>
          <w:kern w:val="0"/>
          <w:sz w:val="32"/>
          <w:szCs w:val="32"/>
          <w:lang w:eastAsia="zh-CN"/>
        </w:rPr>
        <w:t>。</w:t>
      </w:r>
    </w:p>
    <w:p>
      <w:pPr>
        <w:widowControl/>
        <w:shd w:val="clear" w:color="auto" w:fill="FFFFFF"/>
        <w:spacing w:line="360" w:lineRule="auto"/>
        <w:ind w:firstLine="600"/>
        <w:jc w:val="left"/>
        <w:rPr>
          <w:rFonts w:hint="eastAsia" w:ascii="仿宋" w:hAnsi="仿宋" w:eastAsia="仿宋" w:cs="宋体"/>
          <w:color w:val="000000"/>
          <w:kern w:val="0"/>
          <w:sz w:val="32"/>
          <w:szCs w:val="32"/>
          <w:lang w:eastAsia="zh-CN"/>
        </w:rPr>
      </w:pPr>
      <w:r>
        <w:rPr>
          <w:rFonts w:hint="eastAsia" w:ascii="仿宋" w:hAnsi="仿宋" w:eastAsia="仿宋" w:cs="宋体"/>
          <w:color w:val="000000"/>
          <w:kern w:val="0"/>
          <w:sz w:val="32"/>
          <w:szCs w:val="32"/>
        </w:rPr>
        <w:t>2、按照招标文件要求、投标文件响应和承诺验收</w:t>
      </w:r>
      <w:r>
        <w:rPr>
          <w:rFonts w:hint="eastAsia" w:ascii="仿宋" w:hAnsi="仿宋" w:eastAsia="仿宋" w:cs="宋体"/>
          <w:color w:val="000000"/>
          <w:kern w:val="0"/>
          <w:sz w:val="32"/>
          <w:szCs w:val="32"/>
          <w:lang w:eastAsia="zh-CN"/>
        </w:rPr>
        <w:t>。</w:t>
      </w:r>
    </w:p>
    <w:p>
      <w:pPr>
        <w:widowControl/>
        <w:shd w:val="clear" w:color="auto" w:fill="FFFFFF"/>
        <w:spacing w:line="360" w:lineRule="auto"/>
        <w:ind w:firstLine="600"/>
        <w:jc w:val="left"/>
        <w:rPr>
          <w:rFonts w:hint="eastAsia" w:eastAsia="宋体"/>
          <w:lang w:val="en-US" w:eastAsia="zh-CN"/>
        </w:rPr>
      </w:pPr>
      <w:r>
        <w:rPr>
          <w:rFonts w:hint="eastAsia" w:ascii="仿宋" w:hAnsi="仿宋" w:eastAsia="仿宋" w:cs="宋体"/>
          <w:color w:val="000000"/>
          <w:kern w:val="0"/>
          <w:sz w:val="32"/>
          <w:szCs w:val="32"/>
        </w:rPr>
        <w:t>3、实现与许昌市局平台联网。</w:t>
      </w:r>
    </w:p>
    <w:p>
      <w:pPr>
        <w:widowControl/>
        <w:numPr>
          <w:ilvl w:val="0"/>
          <w:numId w:val="0"/>
        </w:numPr>
        <w:spacing w:line="440" w:lineRule="exact"/>
        <w:rPr>
          <w:rFonts w:hint="eastAsia" w:ascii="仿宋" w:hAnsi="仿宋" w:eastAsia="仿宋" w:cs="仿宋"/>
          <w:b/>
          <w:sz w:val="24"/>
          <w:szCs w:val="24"/>
          <w:lang w:val="zh-CN"/>
        </w:rPr>
      </w:pPr>
      <w:r>
        <w:rPr>
          <w:rFonts w:hint="eastAsia" w:ascii="仿宋" w:hAnsi="仿宋" w:eastAsia="仿宋" w:cs="仿宋"/>
          <w:b/>
          <w:sz w:val="24"/>
          <w:szCs w:val="24"/>
          <w:lang w:val="en-US" w:eastAsia="zh-CN"/>
        </w:rPr>
        <w:t>二</w:t>
      </w:r>
      <w:r>
        <w:rPr>
          <w:rFonts w:hint="eastAsia" w:ascii="仿宋" w:hAnsi="仿宋" w:eastAsia="仿宋" w:cs="仿宋"/>
          <w:b/>
          <w:sz w:val="24"/>
          <w:szCs w:val="24"/>
          <w:lang w:val="zh-CN"/>
        </w:rPr>
        <w:t>、其它要求</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zh-CN"/>
        </w:rPr>
        <w:t>1、投标人须明确投标产品的厂家、产地、品牌、型号、详细参数，否则为无效投标。</w:t>
      </w:r>
    </w:p>
    <w:p>
      <w:pPr>
        <w:spacing w:line="360" w:lineRule="auto"/>
        <w:ind w:firstLine="480" w:firstLineChars="200"/>
        <w:rPr>
          <w:rFonts w:hint="eastAsia" w:eastAsia="仿宋"/>
          <w:lang w:val="en-US" w:eastAsia="zh-CN"/>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val="zh-CN"/>
        </w:rPr>
        <w:t>、投标人应就该项目完整投标，否则为无效投标。</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zh-CN"/>
        </w:rPr>
        <w:t>、招标文件列明不允许或未列明允许进口产品参加投标的，均视为拒绝进口产品参加投标。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sz w:val="24"/>
          <w:szCs w:val="24"/>
          <w:lang w:val="en-US" w:eastAsia="zh-CN"/>
        </w:rPr>
        <w:t>6</w:t>
      </w:r>
      <w:r>
        <w:rPr>
          <w:rFonts w:hint="eastAsia" w:ascii="仿宋" w:hAnsi="仿宋" w:eastAsia="仿宋" w:cs="仿宋"/>
          <w:sz w:val="24"/>
          <w:szCs w:val="24"/>
        </w:rPr>
        <w:t>、根据《财政部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lang w:val="zh-CN"/>
        </w:rPr>
        <w:t>、产品必须符合国家质量检测标准和本招标文件规定标准的全新正品现货，供货时提供随货物《产品合格证》及其它相关质量证明文件。</w:t>
      </w:r>
    </w:p>
    <w:p>
      <w:pPr>
        <w:spacing w:line="360" w:lineRule="auto"/>
        <w:ind w:firstLine="480" w:firstLineChars="200"/>
        <w:rPr>
          <w:rFonts w:ascii="仿宋" w:hAnsi="仿宋" w:eastAsia="仿宋" w:cs="仿宋"/>
          <w:color w:val="FF0000"/>
          <w:sz w:val="24"/>
          <w:szCs w:val="24"/>
          <w:lang w:val="zh-CN"/>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lang w:val="zh-CN"/>
        </w:rPr>
        <w:t>、专利权：投标人应</w:t>
      </w:r>
      <w:r>
        <w:rPr>
          <w:rFonts w:hint="eastAsia" w:ascii="仿宋" w:hAnsi="仿宋" w:eastAsia="仿宋" w:cs="仿宋"/>
          <w:color w:val="000000"/>
          <w:sz w:val="24"/>
          <w:szCs w:val="24"/>
        </w:rPr>
        <w:t>承诺</w:t>
      </w:r>
      <w:r>
        <w:rPr>
          <w:rFonts w:hint="eastAsia" w:ascii="仿宋" w:hAnsi="仿宋" w:eastAsia="仿宋" w:cs="仿宋"/>
          <w:color w:val="000000"/>
          <w:sz w:val="24"/>
          <w:szCs w:val="24"/>
          <w:lang w:val="zh-CN"/>
        </w:rPr>
        <w:t>用户在使用该货物或其任何一部分时不受第三方提出侵犯其专利权、商标权和工业设计权等的起诉。</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lang w:val="zh-CN"/>
        </w:rPr>
        <w:t>、投标人须明确维修点地址、负责人、联系人和联系电话等详细资料。</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lang w:val="zh-CN"/>
        </w:rPr>
        <w:t>、</w:t>
      </w:r>
      <w:r>
        <w:rPr>
          <w:rFonts w:hint="eastAsia" w:ascii="仿宋" w:hAnsi="仿宋" w:eastAsia="仿宋" w:cs="仿宋"/>
          <w:color w:val="000000"/>
          <w:sz w:val="24"/>
          <w:szCs w:val="24"/>
        </w:rPr>
        <w:t>付款方式</w:t>
      </w:r>
      <w:r>
        <w:rPr>
          <w:rFonts w:hint="eastAsia" w:ascii="仿宋" w:hAnsi="仿宋" w:eastAsia="仿宋" w:cs="仿宋"/>
          <w:color w:val="000000"/>
          <w:sz w:val="24"/>
          <w:szCs w:val="24"/>
          <w:lang w:eastAsia="zh-CN"/>
        </w:rPr>
        <w:t>：系统安装调试完毕，经验收合格后支付合同总金额的80%，剩余20%每年支付5%</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1</w:t>
      </w:r>
      <w:r>
        <w:rPr>
          <w:rFonts w:hint="eastAsia" w:ascii="仿宋" w:hAnsi="仿宋" w:eastAsia="仿宋" w:cs="仿宋"/>
          <w:color w:val="000000"/>
          <w:sz w:val="24"/>
          <w:szCs w:val="24"/>
        </w:rPr>
        <w:t>、投标商必须由法定代表人或委托代理人参加开标会议，随时接受评标委员会询问，并予作出书面解答。</w:t>
      </w:r>
    </w:p>
    <w:p>
      <w:pPr>
        <w:spacing w:line="360" w:lineRule="auto"/>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rPr>
        <w:t>、验收标准</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zh-CN"/>
        </w:rPr>
        <w:t>由采购人成立验收小组,按照采购合同的约定对中标人履约情况进行验收。验收时,按照采购合同的约定对每一项技术、服务、安全标准的履约情况进行确认。验收结束后,出具验收报告,列明各项标准的验收情况及项目总体评价,由验收双方共同签署。</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zh-CN"/>
        </w:rPr>
        <w:t>（2）按照招标文件要求、投标文件响应和承诺验收。</w:t>
      </w:r>
    </w:p>
    <w:p>
      <w:pPr>
        <w:spacing w:line="600" w:lineRule="exact"/>
        <w:rPr>
          <w:rFonts w:ascii="仿宋" w:hAnsi="仿宋" w:eastAsia="仿宋" w:cs="仿宋"/>
          <w:color w:val="000000"/>
          <w:sz w:val="24"/>
          <w:szCs w:val="24"/>
        </w:rPr>
      </w:pPr>
    </w:p>
    <w:p>
      <w:pPr>
        <w:ind w:left="424" w:leftChars="202" w:right="567" w:firstLine="360" w:firstLineChars="150"/>
        <w:rPr>
          <w:rFonts w:ascii="仿宋" w:hAnsi="仿宋" w:eastAsia="仿宋" w:cs="仿宋"/>
          <w:color w:val="000000"/>
          <w:sz w:val="24"/>
          <w:szCs w:val="24"/>
        </w:rPr>
      </w:pPr>
    </w:p>
    <w:p>
      <w:pPr>
        <w:spacing w:line="520" w:lineRule="exact"/>
        <w:rPr>
          <w:rFonts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color w:val="000000"/>
          <w:sz w:val="24"/>
          <w:szCs w:val="24"/>
        </w:rPr>
        <w:br w:type="page"/>
      </w:r>
    </w:p>
    <w:p>
      <w:pPr>
        <w:spacing w:line="520" w:lineRule="exact"/>
        <w:ind w:firstLine="2409" w:firstLineChars="800"/>
        <w:rPr>
          <w:rFonts w:ascii="仿宋" w:hAnsi="仿宋" w:eastAsia="仿宋" w:cs="仿宋"/>
          <w:b/>
          <w:sz w:val="30"/>
          <w:szCs w:val="30"/>
        </w:rPr>
      </w:pPr>
      <w:r>
        <w:rPr>
          <w:rFonts w:hint="eastAsia" w:ascii="仿宋" w:hAnsi="仿宋" w:eastAsia="仿宋" w:cs="仿宋"/>
          <w:b/>
          <w:sz w:val="30"/>
          <w:szCs w:val="30"/>
        </w:rPr>
        <w:t>第五部分  开标和评标</w:t>
      </w:r>
    </w:p>
    <w:p>
      <w:pPr>
        <w:spacing w:line="520" w:lineRule="exact"/>
        <w:rPr>
          <w:rFonts w:ascii="仿宋" w:hAnsi="仿宋" w:eastAsia="仿宋" w:cs="仿宋"/>
          <w:b/>
          <w:sz w:val="24"/>
          <w:szCs w:val="24"/>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（2）营业执照副本、银行开户许可证、法定代表人授权代表社保证明、法人代表授权委托书</w:t>
      </w:r>
      <w:r>
        <w:rPr>
          <w:rFonts w:hint="eastAsia" w:ascii="仿宋" w:hAnsi="仿宋" w:eastAsia="仿宋" w:cs="仿宋"/>
          <w:sz w:val="24"/>
          <w:szCs w:val="24"/>
          <w:lang w:eastAsia="zh-CN"/>
        </w:rPr>
        <w:t>、资质证书</w:t>
      </w:r>
      <w:r>
        <w:rPr>
          <w:rFonts w:hint="eastAsia" w:ascii="仿宋" w:hAnsi="仿宋" w:eastAsia="仿宋" w:cs="仿宋"/>
          <w:sz w:val="24"/>
          <w:szCs w:val="24"/>
        </w:rPr>
        <w:t>（</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w:t>
      </w:r>
      <w:r>
        <w:rPr>
          <w:rFonts w:hint="eastAsia" w:ascii="仿宋" w:hAnsi="仿宋" w:eastAsia="仿宋" w:cs="仿宋"/>
          <w:sz w:val="24"/>
          <w:szCs w:val="24"/>
          <w:lang w:eastAsia="zh-CN"/>
        </w:rPr>
        <w:t>情况</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pStyle w:val="125"/>
        <w:spacing w:before="120" w:after="120"/>
        <w:ind w:firstLine="0" w:firstLineChars="0"/>
        <w:rPr>
          <w:rFonts w:hint="eastAsia" w:ascii="仿宋" w:hAnsi="仿宋" w:eastAsia="仿宋" w:cs="仿宋"/>
          <w:szCs w:val="24"/>
          <w:lang w:eastAsia="zh-CN"/>
        </w:rPr>
      </w:pPr>
      <w:r>
        <w:rPr>
          <w:rFonts w:hint="eastAsia" w:ascii="仿宋" w:hAnsi="仿宋" w:eastAsia="仿宋" w:cs="仿宋"/>
          <w:szCs w:val="24"/>
        </w:rPr>
        <w:t>3.5评分</w:t>
      </w:r>
      <w:r>
        <w:rPr>
          <w:rFonts w:hint="eastAsia" w:ascii="仿宋" w:hAnsi="仿宋" w:eastAsia="仿宋" w:cs="仿宋"/>
          <w:szCs w:val="24"/>
          <w:lang w:eastAsia="zh-CN"/>
        </w:rPr>
        <w:t>标准</w:t>
      </w:r>
    </w:p>
    <w:tbl>
      <w:tblPr>
        <w:tblStyle w:val="36"/>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6165"/>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分值构成</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(总分100分)</w:t>
            </w:r>
          </w:p>
        </w:tc>
        <w:tc>
          <w:tcPr>
            <w:tcW w:w="7167"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价格分值：</w:t>
            </w:r>
            <w:r>
              <w:rPr>
                <w:rFonts w:hint="eastAsia" w:ascii="仿宋" w:hAnsi="仿宋" w:eastAsia="仿宋" w:cs="仿宋"/>
                <w:sz w:val="24"/>
                <w:szCs w:val="24"/>
                <w:lang w:val="en-US" w:eastAsia="zh-CN"/>
              </w:rPr>
              <w:t>50</w:t>
            </w:r>
            <w:r>
              <w:rPr>
                <w:rFonts w:hint="eastAsia" w:ascii="仿宋" w:hAnsi="仿宋" w:eastAsia="仿宋" w:cs="仿宋"/>
                <w:sz w:val="24"/>
                <w:szCs w:val="24"/>
              </w:rPr>
              <w:t>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商务部分：</w:t>
            </w:r>
            <w:r>
              <w:rPr>
                <w:rFonts w:hint="eastAsia" w:ascii="仿宋" w:hAnsi="仿宋" w:eastAsia="仿宋" w:cs="仿宋"/>
                <w:sz w:val="24"/>
                <w:szCs w:val="24"/>
                <w:lang w:val="en-US" w:eastAsia="zh-CN"/>
              </w:rPr>
              <w:t>35</w:t>
            </w:r>
            <w:r>
              <w:rPr>
                <w:rFonts w:hint="eastAsia" w:ascii="仿宋" w:hAnsi="仿宋" w:eastAsia="仿宋" w:cs="仿宋"/>
                <w:sz w:val="24"/>
                <w:szCs w:val="24"/>
              </w:rPr>
              <w:t>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技术部分：</w:t>
            </w:r>
            <w:r>
              <w:rPr>
                <w:rFonts w:hint="eastAsia" w:ascii="仿宋" w:hAnsi="仿宋" w:eastAsia="仿宋" w:cs="仿宋"/>
                <w:sz w:val="24"/>
                <w:szCs w:val="24"/>
                <w:lang w:val="en-US" w:eastAsia="zh-CN"/>
              </w:rPr>
              <w:t>15</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一、价格部分（满分</w:t>
            </w:r>
            <w:r>
              <w:rPr>
                <w:rFonts w:hint="eastAsia" w:ascii="仿宋" w:hAnsi="仿宋" w:eastAsia="仿宋" w:cs="仿宋"/>
                <w:sz w:val="24"/>
                <w:szCs w:val="24"/>
                <w:lang w:val="en-US" w:eastAsia="zh-CN"/>
              </w:rPr>
              <w:t>50</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投标报价</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评分标准</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评标基准价：满足招标文件要求的有效投标报价中，最低的投标报价为评标基准价。</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投标报价得分=（评标基准价/投标报价）×</w:t>
            </w:r>
            <w:r>
              <w:rPr>
                <w:rFonts w:hint="eastAsia" w:ascii="仿宋" w:hAnsi="仿宋" w:eastAsia="仿宋" w:cs="仿宋"/>
                <w:sz w:val="24"/>
                <w:szCs w:val="24"/>
                <w:lang w:val="en-US" w:eastAsia="zh-CN"/>
              </w:rPr>
              <w:t>50</w:t>
            </w:r>
            <w:r>
              <w:rPr>
                <w:rFonts w:hint="eastAsia" w:ascii="仿宋" w:hAnsi="仿宋" w:eastAsia="仿宋" w:cs="仿宋"/>
                <w:sz w:val="24"/>
                <w:szCs w:val="24"/>
              </w:rPr>
              <w:t xml:space="preserve">   </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50</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二、商务部分（满分</w:t>
            </w:r>
            <w:r>
              <w:rPr>
                <w:rFonts w:hint="eastAsia" w:ascii="仿宋" w:hAnsi="仿宋" w:eastAsia="仿宋" w:cs="仿宋"/>
                <w:sz w:val="24"/>
                <w:szCs w:val="24"/>
                <w:lang w:val="en-US" w:eastAsia="zh-CN"/>
              </w:rPr>
              <w:t>35</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企业实力</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1、投标人须提供工商企业信用信息公示报告【国家企业信用信息公示系统http://www.gsxt.gov.cn包括基础信息、行政许可信息、行政处罚信息、列入经营异常名录信息、列入严重违法失信企业名单（黑名单）信息】（加盖投标人公章），提供完整且无不良信息者得1分；提供企业所在地税务主管部门出具的纳税情况证明等信用情况（加盖企业所在地税务主管部门公章）的得1分，该项满分2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2、投标人同时具有信息安全管理体系、IT服务管理体系证书，得</w:t>
            </w:r>
            <w:r>
              <w:rPr>
                <w:rFonts w:hint="eastAsia" w:ascii="仿宋" w:hAnsi="仿宋" w:eastAsia="仿宋" w:cs="仿宋"/>
                <w:sz w:val="24"/>
                <w:szCs w:val="24"/>
                <w:lang w:val="en-US" w:eastAsia="zh-CN"/>
              </w:rPr>
              <w:t>4</w:t>
            </w:r>
            <w:r>
              <w:rPr>
                <w:rFonts w:hint="eastAsia" w:ascii="仿宋" w:hAnsi="仿宋" w:eastAsia="仿宋" w:cs="仿宋"/>
                <w:sz w:val="24"/>
                <w:szCs w:val="24"/>
              </w:rPr>
              <w:t>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3、投标人具备信息系统集成及服务资质一级得3分，二级得1分，低于二级不得分。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4、投标人具有ISCCC信息系统安全集成服务壹级资质证书的得</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、投标人获得CMMI三级及以上证书认证的得</w:t>
            </w:r>
            <w:r>
              <w:rPr>
                <w:rFonts w:hint="eastAsia" w:ascii="仿宋" w:hAnsi="仿宋" w:eastAsia="仿宋" w:cs="仿宋"/>
                <w:sz w:val="24"/>
                <w:szCs w:val="24"/>
                <w:lang w:val="en-US" w:eastAsia="zh-CN"/>
              </w:rPr>
              <w:t>2</w:t>
            </w:r>
            <w:r>
              <w:rPr>
                <w:rFonts w:hint="eastAsia" w:ascii="仿宋" w:hAnsi="仿宋" w:eastAsia="仿宋" w:cs="仿宋"/>
                <w:sz w:val="24"/>
                <w:szCs w:val="24"/>
              </w:rPr>
              <w:t>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14</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主要设备、材料的质量和性能</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 1、主要设备同一品牌，人脸抓拍机、多画面摄像机、核心交换机为同一品牌，得</w:t>
            </w:r>
            <w:r>
              <w:rPr>
                <w:rFonts w:hint="eastAsia" w:ascii="仿宋" w:hAnsi="仿宋" w:eastAsia="仿宋" w:cs="仿宋"/>
                <w:sz w:val="24"/>
                <w:szCs w:val="24"/>
                <w:lang w:val="en-US" w:eastAsia="zh-CN"/>
              </w:rPr>
              <w:t>1</w:t>
            </w:r>
            <w:r>
              <w:rPr>
                <w:rFonts w:hint="eastAsia" w:ascii="仿宋" w:hAnsi="仿宋" w:eastAsia="仿宋" w:cs="仿宋"/>
                <w:sz w:val="24"/>
                <w:szCs w:val="24"/>
              </w:rPr>
              <w:t>分，否则不得分。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2、主要产品设备制造商应通过ISO9001质量管理体系认证、中国合格评定国家认可委员会实验室认可证书、ISO27001信息安全管理体系认证，提供有效的证书复印件并加盖产品制造商公章，得3分，缺项不得分。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3、所投主要产品设备制造商应具备产品及平台开发体系CMMI五级或以上认证证书，提供有效的证书复印件加盖产品制造商公章，提供5级得3分，4级得1分，低于4级不得分。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4、设备技术参数（1</w:t>
            </w:r>
            <w:r>
              <w:rPr>
                <w:rFonts w:hint="eastAsia" w:ascii="仿宋" w:hAnsi="仿宋" w:eastAsia="仿宋" w:cs="仿宋"/>
                <w:sz w:val="24"/>
                <w:szCs w:val="24"/>
                <w:lang w:val="en-US" w:eastAsia="zh-CN"/>
              </w:rPr>
              <w:t>1</w:t>
            </w:r>
            <w:r>
              <w:rPr>
                <w:rFonts w:hint="eastAsia" w:ascii="仿宋" w:hAnsi="仿宋" w:eastAsia="仿宋" w:cs="仿宋"/>
                <w:sz w:val="24"/>
                <w:szCs w:val="24"/>
              </w:rPr>
              <w:t>分）</w:t>
            </w:r>
          </w:p>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投标人所提供货物必须为“无偏离或正偏离”，其中加★项每满足一项并提供检测报告复印件加盖生产厂家公章证明的加</w:t>
            </w:r>
            <w:r>
              <w:rPr>
                <w:rFonts w:hint="eastAsia" w:ascii="仿宋" w:hAnsi="仿宋" w:eastAsia="仿宋" w:cs="仿宋"/>
                <w:sz w:val="24"/>
                <w:szCs w:val="24"/>
                <w:lang w:val="en-US" w:eastAsia="zh-CN"/>
              </w:rPr>
              <w:t>1</w:t>
            </w:r>
            <w:r>
              <w:rPr>
                <w:rFonts w:hint="eastAsia" w:ascii="仿宋" w:hAnsi="仿宋" w:eastAsia="仿宋" w:cs="仿宋"/>
                <w:sz w:val="24"/>
                <w:szCs w:val="24"/>
              </w:rPr>
              <w:t>分，最多加1</w:t>
            </w:r>
            <w:r>
              <w:rPr>
                <w:rFonts w:hint="eastAsia" w:ascii="仿宋" w:hAnsi="仿宋" w:eastAsia="仿宋" w:cs="仿宋"/>
                <w:sz w:val="24"/>
                <w:szCs w:val="24"/>
                <w:lang w:val="en-US" w:eastAsia="zh-CN"/>
              </w:rPr>
              <w:t>1</w:t>
            </w:r>
            <w:r>
              <w:rPr>
                <w:rFonts w:hint="eastAsia" w:ascii="仿宋" w:hAnsi="仿宋" w:eastAsia="仿宋" w:cs="仿宋"/>
                <w:sz w:val="24"/>
                <w:szCs w:val="24"/>
              </w:rPr>
              <w:t>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不满足不得分</w:t>
            </w:r>
            <w:r>
              <w:rPr>
                <w:rFonts w:hint="eastAsia" w:ascii="仿宋" w:hAnsi="仿宋" w:eastAsia="仿宋" w:cs="仿宋"/>
                <w:sz w:val="24"/>
                <w:szCs w:val="24"/>
              </w:rPr>
              <w:t>。</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18</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售后服务</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根据投标人的售后服务方案全面周到及优惠幅度，由评委根据标书内容酌情在0-3分之间打分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3分</w:t>
            </w: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三、技术部分（满分</w:t>
            </w:r>
            <w:r>
              <w:rPr>
                <w:rFonts w:hint="eastAsia" w:ascii="仿宋" w:hAnsi="仿宋" w:eastAsia="仿宋" w:cs="仿宋"/>
                <w:sz w:val="24"/>
                <w:szCs w:val="24"/>
                <w:lang w:val="en-US" w:eastAsia="zh-CN"/>
              </w:rPr>
              <w:t>15</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项目实施方案</w:t>
            </w:r>
          </w:p>
          <w:p>
            <w:pPr>
              <w:widowControl/>
              <w:spacing w:line="400" w:lineRule="exact"/>
              <w:jc w:val="left"/>
              <w:rPr>
                <w:rFonts w:hint="eastAsia" w:ascii="仿宋" w:hAnsi="仿宋" w:eastAsia="仿宋" w:cs="仿宋"/>
                <w:sz w:val="24"/>
                <w:szCs w:val="24"/>
              </w:rPr>
            </w:pPr>
          </w:p>
        </w:tc>
        <w:tc>
          <w:tcPr>
            <w:tcW w:w="616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360" w:lineRule="auto"/>
              <w:jc w:val="left"/>
              <w:rPr>
                <w:rFonts w:ascii="仿宋" w:hAnsi="仿宋" w:eastAsia="仿宋" w:cs="仿宋"/>
                <w:sz w:val="24"/>
                <w:szCs w:val="24"/>
              </w:rPr>
            </w:pPr>
            <w:r>
              <w:rPr>
                <w:rFonts w:hint="eastAsia" w:ascii="仿宋" w:hAnsi="仿宋" w:eastAsia="仿宋" w:cs="仿宋"/>
                <w:sz w:val="24"/>
                <w:szCs w:val="24"/>
              </w:rPr>
              <w:t>（1）设备供货、安装、调试方案（0-2分）</w:t>
            </w:r>
          </w:p>
          <w:p>
            <w:pPr>
              <w:widowControl/>
              <w:adjustRightInd w:val="0"/>
              <w:spacing w:line="360" w:lineRule="auto"/>
              <w:jc w:val="left"/>
              <w:rPr>
                <w:rFonts w:ascii="仿宋" w:hAnsi="仿宋" w:eastAsia="仿宋" w:cs="仿宋"/>
                <w:sz w:val="24"/>
                <w:szCs w:val="24"/>
              </w:rPr>
            </w:pPr>
            <w:r>
              <w:rPr>
                <w:rFonts w:hint="eastAsia" w:ascii="仿宋" w:hAnsi="仿宋" w:eastAsia="仿宋" w:cs="仿宋"/>
                <w:sz w:val="24"/>
                <w:szCs w:val="24"/>
              </w:rPr>
              <w:t>（2）伴随服务（0-1分）</w:t>
            </w:r>
          </w:p>
          <w:p>
            <w:pPr>
              <w:widowControl/>
              <w:adjustRightInd w:val="0"/>
              <w:spacing w:line="360" w:lineRule="auto"/>
              <w:jc w:val="left"/>
              <w:rPr>
                <w:rFonts w:hint="eastAsia" w:ascii="仿宋" w:hAnsi="仿宋" w:eastAsia="仿宋" w:cs="仿宋"/>
                <w:sz w:val="24"/>
                <w:szCs w:val="24"/>
              </w:rPr>
            </w:pPr>
            <w:r>
              <w:rPr>
                <w:rFonts w:hint="eastAsia" w:ascii="仿宋" w:hAnsi="仿宋" w:eastAsia="仿宋" w:cs="仿宋"/>
                <w:sz w:val="24"/>
                <w:szCs w:val="24"/>
              </w:rPr>
              <w:t>（3）成品保护措施（0-1分）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4</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供货安装质量保证措施</w:t>
            </w:r>
          </w:p>
          <w:p>
            <w:pPr>
              <w:widowControl/>
              <w:spacing w:line="400" w:lineRule="exact"/>
              <w:jc w:val="left"/>
              <w:rPr>
                <w:rFonts w:hint="eastAsia" w:ascii="仿宋" w:hAnsi="仿宋" w:eastAsia="仿宋" w:cs="仿宋"/>
                <w:sz w:val="24"/>
                <w:szCs w:val="24"/>
              </w:rPr>
            </w:pPr>
          </w:p>
        </w:tc>
        <w:tc>
          <w:tcPr>
            <w:tcW w:w="6165" w:type="dxa"/>
            <w:tcBorders>
              <w:top w:val="single" w:color="auto" w:sz="4" w:space="0"/>
              <w:left w:val="single" w:color="auto" w:sz="4" w:space="0"/>
              <w:bottom w:val="single" w:color="auto" w:sz="4" w:space="0"/>
              <w:right w:val="single" w:color="auto" w:sz="4" w:space="0"/>
            </w:tcBorders>
            <w:vAlign w:val="center"/>
          </w:tcPr>
          <w:p>
            <w:pPr>
              <w:pStyle w:val="19"/>
              <w:spacing w:line="360" w:lineRule="auto"/>
              <w:jc w:val="left"/>
              <w:rPr>
                <w:rFonts w:hint="eastAsia" w:ascii="仿宋" w:hAnsi="仿宋" w:eastAsia="仿宋" w:cs="仿宋"/>
                <w:sz w:val="24"/>
                <w:szCs w:val="24"/>
              </w:rPr>
            </w:pPr>
            <w:r>
              <w:rPr>
                <w:rFonts w:hint="eastAsia" w:ascii="仿宋" w:hAnsi="仿宋" w:eastAsia="仿宋" w:cs="仿宋"/>
                <w:kern w:val="2"/>
                <w:sz w:val="24"/>
                <w:szCs w:val="24"/>
              </w:rPr>
              <w:t>供货及安装质量保证措施可行的得0-2分。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2</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供货及安装进度保证措施</w:t>
            </w:r>
          </w:p>
          <w:p>
            <w:pPr>
              <w:widowControl/>
              <w:spacing w:line="400" w:lineRule="exact"/>
              <w:jc w:val="left"/>
              <w:rPr>
                <w:rFonts w:hint="eastAsia" w:ascii="仿宋" w:hAnsi="仿宋" w:eastAsia="仿宋" w:cs="仿宋"/>
                <w:sz w:val="24"/>
                <w:szCs w:val="24"/>
              </w:rPr>
            </w:pPr>
          </w:p>
        </w:tc>
        <w:tc>
          <w:tcPr>
            <w:tcW w:w="6165" w:type="dxa"/>
            <w:tcBorders>
              <w:top w:val="single" w:color="auto" w:sz="4" w:space="0"/>
              <w:left w:val="single" w:color="auto" w:sz="4" w:space="0"/>
              <w:bottom w:val="single" w:color="auto" w:sz="4" w:space="0"/>
              <w:right w:val="single" w:color="auto" w:sz="4" w:space="0"/>
            </w:tcBorders>
            <w:vAlign w:val="center"/>
          </w:tcPr>
          <w:p>
            <w:pPr>
              <w:pStyle w:val="19"/>
              <w:spacing w:line="360" w:lineRule="auto"/>
              <w:jc w:val="left"/>
              <w:rPr>
                <w:rFonts w:hint="eastAsia" w:ascii="仿宋" w:hAnsi="仿宋" w:eastAsia="仿宋" w:cs="仿宋"/>
                <w:sz w:val="24"/>
                <w:szCs w:val="24"/>
              </w:rPr>
            </w:pPr>
            <w:r>
              <w:rPr>
                <w:rFonts w:hint="eastAsia" w:ascii="仿宋" w:hAnsi="仿宋" w:eastAsia="仿宋" w:cs="仿宋"/>
                <w:kern w:val="2"/>
                <w:sz w:val="24"/>
                <w:szCs w:val="24"/>
              </w:rPr>
              <w:t>主要设备1</w:t>
            </w:r>
            <w:r>
              <w:rPr>
                <w:rFonts w:hint="eastAsia" w:ascii="仿宋" w:hAnsi="仿宋" w:eastAsia="仿宋" w:cs="仿宋"/>
                <w:kern w:val="2"/>
                <w:sz w:val="24"/>
                <w:szCs w:val="24"/>
                <w:lang w:val="en-US" w:eastAsia="zh-CN"/>
              </w:rPr>
              <w:t>0</w:t>
            </w:r>
            <w:r>
              <w:rPr>
                <w:rFonts w:hint="eastAsia" w:ascii="仿宋" w:hAnsi="仿宋" w:eastAsia="仿宋" w:cs="仿宋"/>
                <w:kern w:val="2"/>
                <w:sz w:val="24"/>
                <w:szCs w:val="24"/>
              </w:rPr>
              <w:t>日内全部到位得4分，</w:t>
            </w:r>
            <w:r>
              <w:rPr>
                <w:rFonts w:hint="eastAsia" w:ascii="仿宋" w:hAnsi="仿宋" w:eastAsia="仿宋" w:cs="仿宋"/>
                <w:kern w:val="2"/>
                <w:sz w:val="24"/>
                <w:szCs w:val="24"/>
                <w:lang w:val="en-US" w:eastAsia="zh-CN"/>
              </w:rPr>
              <w:t>20</w:t>
            </w:r>
            <w:r>
              <w:rPr>
                <w:rFonts w:hint="eastAsia" w:ascii="仿宋" w:hAnsi="仿宋" w:eastAsia="仿宋" w:cs="仿宋"/>
                <w:kern w:val="2"/>
                <w:sz w:val="24"/>
                <w:szCs w:val="24"/>
              </w:rPr>
              <w:t>日内到位得2分。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lang w:val="en-US" w:eastAsia="zh-CN"/>
              </w:rPr>
              <w:t>4分</w:t>
            </w:r>
            <w:r>
              <w:rPr>
                <w:rFonts w:hint="eastAsia" w:ascii="仿宋" w:hAnsi="仿宋" w:eastAsia="仿宋" w:cs="仿宋"/>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后续服务的安排及保证措施</w:t>
            </w:r>
          </w:p>
        </w:tc>
        <w:tc>
          <w:tcPr>
            <w:tcW w:w="6165" w:type="dxa"/>
            <w:tcBorders>
              <w:top w:val="single" w:color="auto" w:sz="4" w:space="0"/>
              <w:left w:val="single" w:color="auto" w:sz="4" w:space="0"/>
              <w:bottom w:val="single" w:color="auto" w:sz="4" w:space="0"/>
              <w:right w:val="single" w:color="auto" w:sz="4" w:space="0"/>
            </w:tcBorders>
            <w:vAlign w:val="center"/>
          </w:tcPr>
          <w:p>
            <w:pPr>
              <w:pStyle w:val="19"/>
              <w:spacing w:line="360" w:lineRule="auto"/>
              <w:jc w:val="left"/>
              <w:rPr>
                <w:rFonts w:hint="eastAsia" w:ascii="仿宋" w:hAnsi="仿宋" w:eastAsia="仿宋" w:cs="仿宋"/>
                <w:sz w:val="24"/>
                <w:szCs w:val="24"/>
              </w:rPr>
            </w:pPr>
            <w:r>
              <w:rPr>
                <w:rFonts w:hint="eastAsia" w:ascii="仿宋" w:hAnsi="仿宋" w:eastAsia="仿宋" w:cs="仿宋"/>
                <w:kern w:val="2"/>
                <w:sz w:val="24"/>
                <w:szCs w:val="24"/>
              </w:rPr>
              <w:t>有后续服务的安排及保证措施得在0-3分范围内酌情打分。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技术培训计划</w:t>
            </w:r>
          </w:p>
        </w:tc>
        <w:tc>
          <w:tcPr>
            <w:tcW w:w="6165" w:type="dxa"/>
            <w:tcBorders>
              <w:top w:val="single" w:color="auto" w:sz="4" w:space="0"/>
              <w:left w:val="single" w:color="auto" w:sz="4" w:space="0"/>
              <w:bottom w:val="single" w:color="auto" w:sz="4" w:space="0"/>
              <w:right w:val="single" w:color="auto" w:sz="4" w:space="0"/>
            </w:tcBorders>
            <w:vAlign w:val="center"/>
          </w:tcPr>
          <w:p>
            <w:pPr>
              <w:pStyle w:val="19"/>
              <w:spacing w:line="360" w:lineRule="auto"/>
              <w:jc w:val="left"/>
              <w:rPr>
                <w:rFonts w:hint="eastAsia" w:ascii="仿宋" w:hAnsi="仿宋" w:eastAsia="仿宋" w:cs="仿宋"/>
                <w:sz w:val="24"/>
                <w:szCs w:val="24"/>
              </w:rPr>
            </w:pPr>
            <w:r>
              <w:rPr>
                <w:rFonts w:hint="eastAsia" w:ascii="仿宋" w:hAnsi="仿宋" w:eastAsia="仿宋" w:cs="仿宋"/>
                <w:kern w:val="2"/>
                <w:sz w:val="24"/>
                <w:szCs w:val="24"/>
              </w:rPr>
              <w:t>根据技术培训内容、形式、时间安排的合理性在0-2分范围内酌情打分。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2分</w:t>
            </w:r>
          </w:p>
        </w:tc>
      </w:tr>
    </w:tbl>
    <w:p>
      <w:pPr>
        <w:spacing w:line="360" w:lineRule="auto"/>
        <w:ind w:firstLine="480"/>
        <w:textAlignment w:val="baseline"/>
        <w:rPr>
          <w:rFonts w:hint="eastAsia" w:ascii="仿宋" w:hAnsi="仿宋" w:eastAsia="仿宋" w:cs="仿宋"/>
          <w:sz w:val="24"/>
          <w:szCs w:val="24"/>
          <w:lang w:eastAsia="zh-CN"/>
        </w:rPr>
      </w:pP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s="仿宋"/>
                <w:color w:val="0000FF"/>
                <w:szCs w:val="24"/>
              </w:rPr>
            </w:pPr>
            <w:bookmarkStart w:id="0" w:name="_Toc606"/>
          </w:p>
        </w:tc>
      </w:tr>
      <w:bookmarkEnd w:id="0"/>
    </w:tbl>
    <w:p>
      <w:pPr>
        <w:spacing w:line="50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各标段推荐三名中标候选人，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黑体"/>
          <w:b/>
          <w:bCs/>
          <w:sz w:val="24"/>
          <w:szCs w:val="24"/>
          <w:lang w:val="zh-CN"/>
        </w:rPr>
      </w:pPr>
      <w:r>
        <w:rPr>
          <w:rFonts w:hint="eastAsia" w:ascii="仿宋" w:hAnsi="仿宋" w:eastAsia="仿宋" w:cs="仿宋"/>
          <w:sz w:val="24"/>
          <w:szCs w:val="24"/>
          <w:shd w:val="clear" w:color="auto" w:fill="FFFFFF"/>
        </w:rPr>
        <w:t>7、付款方式:系统安装调试完毕，经验收合格后支付合同总金额的80%，剩余20%每年支付5%；</w:t>
      </w:r>
    </w:p>
    <w:p>
      <w:pPr>
        <w:wordWrap w:val="0"/>
        <w:topLinePunct/>
        <w:autoSpaceDE w:val="0"/>
        <w:autoSpaceDN w:val="0"/>
        <w:adjustRightInd w:val="0"/>
        <w:snapToGrid w:val="0"/>
        <w:spacing w:line="360" w:lineRule="auto"/>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pStyle w:val="2"/>
        <w:rPr>
          <w:rFonts w:hint="eastAsia"/>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仿宋_GB2312"/>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spacing w:line="500" w:lineRule="exact"/>
        <w:ind w:firstLine="723" w:firstLineChars="300"/>
        <w:rPr>
          <w:rFonts w:ascii="仿宋" w:hAnsi="仿宋" w:eastAsia="仿宋" w:cs="仿宋_GB2312"/>
          <w:sz w:val="24"/>
          <w:szCs w:val="24"/>
          <w:lang w:val="zh-CN"/>
        </w:rPr>
      </w:pPr>
      <w:r>
        <w:rPr>
          <w:rFonts w:ascii="仿宋" w:hAnsi="仿宋" w:eastAsia="仿宋" w:cs="黑体"/>
          <w:b/>
          <w:bCs/>
          <w:sz w:val="24"/>
          <w:szCs w:val="24"/>
          <w:lang w:val="zh-CN"/>
        </w:rPr>
        <w:br w:type="page"/>
      </w:r>
      <w:r>
        <w:rPr>
          <w:rFonts w:ascii="仿宋" w:hAnsi="仿宋" w:eastAsia="仿宋" w:cs="仿宋_GB2312"/>
          <w:sz w:val="24"/>
          <w:szCs w:val="24"/>
          <w:lang w:val="zh-CN"/>
        </w:rPr>
        <w:t xml:space="preserve">            </w:t>
      </w:r>
    </w:p>
    <w:p>
      <w:pPr>
        <w:pStyle w:val="2"/>
      </w:pPr>
    </w:p>
    <w:p>
      <w:pPr>
        <w:spacing w:line="500" w:lineRule="exact"/>
        <w:ind w:firstLine="1325" w:firstLineChars="300"/>
        <w:rPr>
          <w:rFonts w:ascii="仿宋_GB2312" w:hAnsi="仿宋_GB2312" w:eastAsia="仿宋_GB2312" w:cs="仿宋_GB2312"/>
          <w:b/>
          <w:sz w:val="44"/>
        </w:rPr>
      </w:pPr>
    </w:p>
    <w:p>
      <w:pPr>
        <w:numPr>
          <w:ilvl w:val="0"/>
          <w:numId w:val="10"/>
        </w:numPr>
        <w:autoSpaceDE w:val="0"/>
        <w:autoSpaceDN w:val="0"/>
        <w:adjustRightInd w:val="0"/>
        <w:spacing w:line="360" w:lineRule="auto"/>
        <w:rPr>
          <w:rFonts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投标文件（一）</w:t>
      </w:r>
    </w:p>
    <w:p>
      <w:pPr>
        <w:spacing w:line="360" w:lineRule="auto"/>
        <w:ind w:firstLine="3120" w:firstLineChars="1300"/>
        <w:rPr>
          <w:rFonts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投标文件（二）</w:t>
      </w:r>
    </w:p>
    <w:p>
      <w:pPr>
        <w:spacing w:line="360" w:lineRule="auto"/>
        <w:ind w:firstLine="3360" w:firstLineChars="1400"/>
        <w:rPr>
          <w:rFonts w:ascii="仿宋_GB2312" w:hAnsi="仿宋_GB2312" w:eastAsia="仿宋_GB2312" w:cs="仿宋_GB2312"/>
          <w:sz w:val="24"/>
          <w:szCs w:val="24"/>
        </w:rPr>
      </w:pPr>
      <w:r>
        <w:rPr>
          <w:rFonts w:hint="eastAsia" w:ascii="仿宋_GB2312" w:hAnsi="仿宋_GB2312" w:eastAsia="仿宋_GB2312" w:cs="仿宋_GB2312"/>
          <w:sz w:val="24"/>
          <w:szCs w:val="24"/>
        </w:rPr>
        <w:t>（符合性证明文件）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r>
        <w:rPr>
          <w:rFonts w:hint="eastAsia" w:ascii="仿宋" w:hAnsi="仿宋" w:eastAsia="仿宋" w:cs="宋体"/>
          <w:bCs/>
          <w:color w:val="FF0000"/>
          <w:sz w:val="24"/>
          <w:szCs w:val="24"/>
          <w:lang w:val="en-US" w:eastAsia="zh-CN"/>
        </w:rPr>
        <w:t>2015年1月1日以来</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仿宋"/>
          <w:sz w:val="24"/>
          <w:szCs w:val="24"/>
        </w:rPr>
        <w:t>所附报价表中规定的应提供和交付的货物总价为人民币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w:t>
      </w:r>
      <w:r>
        <w:rPr>
          <w:rFonts w:hint="eastAsia" w:ascii="仿宋" w:hAnsi="仿宋" w:eastAsia="仿宋" w:cs="宋体"/>
          <w:sz w:val="24"/>
          <w:szCs w:val="24"/>
          <w:lang w:val="zh-CN" w:eastAsia="zh-CN"/>
        </w:rPr>
        <w:t>盖</w:t>
      </w:r>
      <w:r>
        <w:rPr>
          <w:rFonts w:hint="eastAsia" w:ascii="仿宋" w:hAnsi="仿宋" w:eastAsia="仿宋" w:cs="宋体"/>
          <w:sz w:val="24"/>
          <w:szCs w:val="24"/>
          <w:lang w:val="zh-CN"/>
        </w:rPr>
        <w:t>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1205" w:firstLineChars="500"/>
        <w:jc w:val="left"/>
        <w:rPr>
          <w:rFonts w:ascii="仿宋" w:hAnsi="仿宋" w:eastAsia="仿宋" w:cs="仿宋_GB2312"/>
          <w:b/>
          <w:bCs/>
          <w:sz w:val="24"/>
          <w:szCs w:val="24"/>
        </w:rPr>
      </w:pPr>
      <w:r>
        <w:rPr>
          <w:rFonts w:hint="eastAsia" w:ascii="仿宋" w:hAnsi="仿宋" w:eastAsia="仿宋" w:cs="仿宋_GB2312"/>
          <w:b/>
          <w:bCs/>
          <w:sz w:val="24"/>
          <w:szCs w:val="24"/>
        </w:rPr>
        <w:t>（技术参数及评分标准要求中所提供的相关证明材料复印件）</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7AFEC"/>
    <w:multiLevelType w:val="singleLevel"/>
    <w:tmpl w:val="8CE7AFEC"/>
    <w:lvl w:ilvl="0" w:tentative="0">
      <w:start w:val="1"/>
      <w:numFmt w:val="decimal"/>
      <w:suff w:val="nothing"/>
      <w:lvlText w:val="%1、"/>
      <w:lvlJc w:val="left"/>
      <w:pPr>
        <w:ind w:left="481" w:leftChars="0" w:firstLine="0" w:firstLineChars="0"/>
      </w:pPr>
    </w:lvl>
  </w:abstractNum>
  <w:abstractNum w:abstractNumId="1">
    <w:nsid w:val="FE154340"/>
    <w:multiLevelType w:val="singleLevel"/>
    <w:tmpl w:val="FE154340"/>
    <w:lvl w:ilvl="0" w:tentative="0">
      <w:start w:val="1"/>
      <w:numFmt w:val="chineseCounting"/>
      <w:suff w:val="nothing"/>
      <w:lvlText w:val="%1、"/>
      <w:lvlJc w:val="left"/>
      <w:rPr>
        <w:rFonts w:hint="eastAsia"/>
      </w:rPr>
    </w:lvl>
  </w:abstractNum>
  <w:abstractNum w:abstractNumId="2">
    <w:nsid w:val="0B9F259E"/>
    <w:multiLevelType w:val="singleLevel"/>
    <w:tmpl w:val="0B9F259E"/>
    <w:lvl w:ilvl="0" w:tentative="0">
      <w:start w:val="9"/>
      <w:numFmt w:val="chineseCounting"/>
      <w:suff w:val="nothing"/>
      <w:lvlText w:val="第%1部分　"/>
      <w:lvlJc w:val="left"/>
      <w:pPr>
        <w:ind w:left="2813" w:firstLine="0"/>
      </w:pPr>
      <w:rPr>
        <w:rFonts w:hint="eastAsia"/>
      </w:rPr>
    </w:lvl>
  </w:abstractNum>
  <w:abstractNum w:abstractNumId="3">
    <w:nsid w:val="28A4CB1C"/>
    <w:multiLevelType w:val="singleLevel"/>
    <w:tmpl w:val="28A4CB1C"/>
    <w:lvl w:ilvl="0" w:tentative="0">
      <w:start w:val="19"/>
      <w:numFmt w:val="decimal"/>
      <w:suff w:val="nothing"/>
      <w:lvlText w:val="%1、"/>
      <w:lvlJc w:val="left"/>
    </w:lvl>
  </w:abstractNum>
  <w:abstractNum w:abstractNumId="4">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B38C3AC"/>
    <w:multiLevelType w:val="singleLevel"/>
    <w:tmpl w:val="3B38C3AC"/>
    <w:lvl w:ilvl="0" w:tentative="0">
      <w:start w:val="4"/>
      <w:numFmt w:val="chineseCounting"/>
      <w:suff w:val="space"/>
      <w:lvlText w:val="第%1部分"/>
      <w:lvlJc w:val="left"/>
      <w:rPr>
        <w:rFonts w:hint="eastAsia"/>
      </w:rPr>
    </w:lvl>
  </w:abstractNum>
  <w:abstractNum w:abstractNumId="6">
    <w:nsid w:val="56E374A4"/>
    <w:multiLevelType w:val="singleLevel"/>
    <w:tmpl w:val="56E374A4"/>
    <w:lvl w:ilvl="0" w:tentative="0">
      <w:start w:val="9"/>
      <w:numFmt w:val="decimal"/>
      <w:pStyle w:val="119"/>
      <w:suff w:val="nothing"/>
      <w:lvlText w:val="%1、"/>
      <w:lvlJc w:val="left"/>
    </w:lvl>
  </w:abstractNum>
  <w:abstractNum w:abstractNumId="7">
    <w:nsid w:val="5A051E9E"/>
    <w:multiLevelType w:val="singleLevel"/>
    <w:tmpl w:val="5A051E9E"/>
    <w:lvl w:ilvl="0" w:tentative="0">
      <w:start w:val="1"/>
      <w:numFmt w:val="chineseCounting"/>
      <w:suff w:val="nothing"/>
      <w:lvlText w:val="%1、"/>
      <w:lvlJc w:val="left"/>
    </w:lvl>
  </w:abstractNum>
  <w:abstractNum w:abstractNumId="8">
    <w:nsid w:val="5A0532E2"/>
    <w:multiLevelType w:val="singleLevel"/>
    <w:tmpl w:val="5A0532E2"/>
    <w:lvl w:ilvl="0" w:tentative="0">
      <w:start w:val="4"/>
      <w:numFmt w:val="chineseCounting"/>
      <w:suff w:val="nothing"/>
      <w:lvlText w:val="第%1部"/>
      <w:lvlJc w:val="left"/>
    </w:lvl>
  </w:abstractNum>
  <w:abstractNum w:abstractNumId="9">
    <w:nsid w:val="5A30CB82"/>
    <w:multiLevelType w:val="singleLevel"/>
    <w:tmpl w:val="5A30CB82"/>
    <w:lvl w:ilvl="0" w:tentative="0">
      <w:start w:val="1"/>
      <w:numFmt w:val="chineseCounting"/>
      <w:suff w:val="space"/>
      <w:lvlText w:val="第%1部分"/>
      <w:lvlJc w:val="left"/>
    </w:lvl>
  </w:abstractNum>
  <w:num w:numId="1">
    <w:abstractNumId w:val="6"/>
  </w:num>
  <w:num w:numId="2">
    <w:abstractNumId w:val="9"/>
  </w:num>
  <w:num w:numId="3">
    <w:abstractNumId w:val="7"/>
  </w:num>
  <w:num w:numId="4">
    <w:abstractNumId w:val="0"/>
  </w:num>
  <w:num w:numId="5">
    <w:abstractNumId w:val="4"/>
  </w:num>
  <w:num w:numId="6">
    <w:abstractNumId w:val="3"/>
  </w:num>
  <w:num w:numId="7">
    <w:abstractNumId w:val="8"/>
  </w:num>
  <w:num w:numId="8">
    <w:abstractNumId w:val="5"/>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3474C"/>
    <w:rsid w:val="000401F4"/>
    <w:rsid w:val="000403D3"/>
    <w:rsid w:val="0004040B"/>
    <w:rsid w:val="00045C71"/>
    <w:rsid w:val="00046011"/>
    <w:rsid w:val="00053691"/>
    <w:rsid w:val="0005417E"/>
    <w:rsid w:val="00055FE9"/>
    <w:rsid w:val="00057824"/>
    <w:rsid w:val="00062FB4"/>
    <w:rsid w:val="00064349"/>
    <w:rsid w:val="00067144"/>
    <w:rsid w:val="00070CCA"/>
    <w:rsid w:val="0007139F"/>
    <w:rsid w:val="00072DE0"/>
    <w:rsid w:val="00082E72"/>
    <w:rsid w:val="00083AE7"/>
    <w:rsid w:val="0009644A"/>
    <w:rsid w:val="000A1737"/>
    <w:rsid w:val="000A4A5C"/>
    <w:rsid w:val="000B1DEF"/>
    <w:rsid w:val="000B7D76"/>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517"/>
    <w:rsid w:val="00134A1E"/>
    <w:rsid w:val="0013506F"/>
    <w:rsid w:val="001371EA"/>
    <w:rsid w:val="0013743A"/>
    <w:rsid w:val="00140518"/>
    <w:rsid w:val="00142D29"/>
    <w:rsid w:val="00151EA5"/>
    <w:rsid w:val="001547B1"/>
    <w:rsid w:val="0016013C"/>
    <w:rsid w:val="00161BFD"/>
    <w:rsid w:val="00164B95"/>
    <w:rsid w:val="001675F5"/>
    <w:rsid w:val="00172A27"/>
    <w:rsid w:val="001754C8"/>
    <w:rsid w:val="00177C1F"/>
    <w:rsid w:val="00181789"/>
    <w:rsid w:val="00186B61"/>
    <w:rsid w:val="00192253"/>
    <w:rsid w:val="001973FA"/>
    <w:rsid w:val="001A0E1D"/>
    <w:rsid w:val="001A6444"/>
    <w:rsid w:val="001A663A"/>
    <w:rsid w:val="001A7E89"/>
    <w:rsid w:val="001B0A65"/>
    <w:rsid w:val="001B4D0B"/>
    <w:rsid w:val="001B67B3"/>
    <w:rsid w:val="001B7C79"/>
    <w:rsid w:val="001C154B"/>
    <w:rsid w:val="001C5D7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401"/>
    <w:rsid w:val="00261F28"/>
    <w:rsid w:val="00265DC0"/>
    <w:rsid w:val="002661D5"/>
    <w:rsid w:val="0027580D"/>
    <w:rsid w:val="002821B7"/>
    <w:rsid w:val="00284351"/>
    <w:rsid w:val="00284A6E"/>
    <w:rsid w:val="00290622"/>
    <w:rsid w:val="002906D4"/>
    <w:rsid w:val="002934EE"/>
    <w:rsid w:val="002955C9"/>
    <w:rsid w:val="00297AA7"/>
    <w:rsid w:val="002A0FC7"/>
    <w:rsid w:val="002A1D45"/>
    <w:rsid w:val="002A68EA"/>
    <w:rsid w:val="002B3C52"/>
    <w:rsid w:val="002D58C8"/>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178B"/>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277"/>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6741"/>
    <w:rsid w:val="004072DE"/>
    <w:rsid w:val="0041597D"/>
    <w:rsid w:val="004173C2"/>
    <w:rsid w:val="004230F5"/>
    <w:rsid w:val="00423231"/>
    <w:rsid w:val="004236A4"/>
    <w:rsid w:val="00424558"/>
    <w:rsid w:val="00431C98"/>
    <w:rsid w:val="00433B29"/>
    <w:rsid w:val="00437087"/>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87F9C"/>
    <w:rsid w:val="0049332D"/>
    <w:rsid w:val="00493F1D"/>
    <w:rsid w:val="00493F4B"/>
    <w:rsid w:val="00494C4F"/>
    <w:rsid w:val="004950C4"/>
    <w:rsid w:val="004A41F5"/>
    <w:rsid w:val="004B20F6"/>
    <w:rsid w:val="004C5C48"/>
    <w:rsid w:val="004C699A"/>
    <w:rsid w:val="004D39B1"/>
    <w:rsid w:val="004D5284"/>
    <w:rsid w:val="004D79E5"/>
    <w:rsid w:val="004D7EA1"/>
    <w:rsid w:val="004E1761"/>
    <w:rsid w:val="004E353C"/>
    <w:rsid w:val="004E3895"/>
    <w:rsid w:val="004E76CE"/>
    <w:rsid w:val="004F0275"/>
    <w:rsid w:val="00503082"/>
    <w:rsid w:val="005032D1"/>
    <w:rsid w:val="005067CB"/>
    <w:rsid w:val="00510B62"/>
    <w:rsid w:val="0051183E"/>
    <w:rsid w:val="005365BA"/>
    <w:rsid w:val="00536AC1"/>
    <w:rsid w:val="00540DBB"/>
    <w:rsid w:val="00541014"/>
    <w:rsid w:val="00544554"/>
    <w:rsid w:val="00546F35"/>
    <w:rsid w:val="00552ED5"/>
    <w:rsid w:val="005540F0"/>
    <w:rsid w:val="00554F2F"/>
    <w:rsid w:val="00561640"/>
    <w:rsid w:val="00562A43"/>
    <w:rsid w:val="00565ECC"/>
    <w:rsid w:val="00574F8B"/>
    <w:rsid w:val="00575253"/>
    <w:rsid w:val="00590BFE"/>
    <w:rsid w:val="005937E8"/>
    <w:rsid w:val="005A3789"/>
    <w:rsid w:val="005B17A0"/>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31B9"/>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34AE"/>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2F16"/>
    <w:rsid w:val="008C7B11"/>
    <w:rsid w:val="008E2D50"/>
    <w:rsid w:val="008E310B"/>
    <w:rsid w:val="008E3D91"/>
    <w:rsid w:val="008E5D63"/>
    <w:rsid w:val="008E6B23"/>
    <w:rsid w:val="008E7ABE"/>
    <w:rsid w:val="008F132A"/>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4D27"/>
    <w:rsid w:val="009A6B63"/>
    <w:rsid w:val="009A7ED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12F42"/>
    <w:rsid w:val="00A20320"/>
    <w:rsid w:val="00A265C8"/>
    <w:rsid w:val="00A32183"/>
    <w:rsid w:val="00A4579E"/>
    <w:rsid w:val="00A475BA"/>
    <w:rsid w:val="00A52ED4"/>
    <w:rsid w:val="00A535FA"/>
    <w:rsid w:val="00A564A6"/>
    <w:rsid w:val="00A5710E"/>
    <w:rsid w:val="00A65ADC"/>
    <w:rsid w:val="00A712DC"/>
    <w:rsid w:val="00A71C22"/>
    <w:rsid w:val="00A73A17"/>
    <w:rsid w:val="00A73BA7"/>
    <w:rsid w:val="00A76289"/>
    <w:rsid w:val="00A7728B"/>
    <w:rsid w:val="00A81308"/>
    <w:rsid w:val="00A81E8A"/>
    <w:rsid w:val="00A8484C"/>
    <w:rsid w:val="00A850DC"/>
    <w:rsid w:val="00A85F6C"/>
    <w:rsid w:val="00A869E4"/>
    <w:rsid w:val="00A86EF2"/>
    <w:rsid w:val="00AA467B"/>
    <w:rsid w:val="00AA5AC3"/>
    <w:rsid w:val="00AA642C"/>
    <w:rsid w:val="00AA6FFB"/>
    <w:rsid w:val="00AB2898"/>
    <w:rsid w:val="00AB30FD"/>
    <w:rsid w:val="00AB3B8F"/>
    <w:rsid w:val="00AB615C"/>
    <w:rsid w:val="00AB7C9A"/>
    <w:rsid w:val="00AC0242"/>
    <w:rsid w:val="00AC1BB2"/>
    <w:rsid w:val="00AD377B"/>
    <w:rsid w:val="00AD3E47"/>
    <w:rsid w:val="00AD5870"/>
    <w:rsid w:val="00AD7EF1"/>
    <w:rsid w:val="00AD7F6D"/>
    <w:rsid w:val="00AE10C6"/>
    <w:rsid w:val="00AE41AE"/>
    <w:rsid w:val="00AE4AD2"/>
    <w:rsid w:val="00AE5327"/>
    <w:rsid w:val="00AE64F2"/>
    <w:rsid w:val="00AF19E3"/>
    <w:rsid w:val="00AF54D7"/>
    <w:rsid w:val="00AF55F2"/>
    <w:rsid w:val="00AF5BDA"/>
    <w:rsid w:val="00B01B85"/>
    <w:rsid w:val="00B03111"/>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19A4"/>
    <w:rsid w:val="00BA2A27"/>
    <w:rsid w:val="00BA5006"/>
    <w:rsid w:val="00BA5E88"/>
    <w:rsid w:val="00BB15C9"/>
    <w:rsid w:val="00BB4037"/>
    <w:rsid w:val="00BB4153"/>
    <w:rsid w:val="00BC01D8"/>
    <w:rsid w:val="00BC02CE"/>
    <w:rsid w:val="00BC292B"/>
    <w:rsid w:val="00BC3942"/>
    <w:rsid w:val="00BD33BB"/>
    <w:rsid w:val="00BD7CAD"/>
    <w:rsid w:val="00BE21A1"/>
    <w:rsid w:val="00BE3E20"/>
    <w:rsid w:val="00BE4D04"/>
    <w:rsid w:val="00BE53BA"/>
    <w:rsid w:val="00BE60FC"/>
    <w:rsid w:val="00BE6842"/>
    <w:rsid w:val="00BE7841"/>
    <w:rsid w:val="00BF5C98"/>
    <w:rsid w:val="00C03A90"/>
    <w:rsid w:val="00C04493"/>
    <w:rsid w:val="00C0471C"/>
    <w:rsid w:val="00C21FF9"/>
    <w:rsid w:val="00C23204"/>
    <w:rsid w:val="00C26061"/>
    <w:rsid w:val="00C26DFB"/>
    <w:rsid w:val="00C3340E"/>
    <w:rsid w:val="00C3452B"/>
    <w:rsid w:val="00C432F7"/>
    <w:rsid w:val="00C5085A"/>
    <w:rsid w:val="00C55FD8"/>
    <w:rsid w:val="00C57044"/>
    <w:rsid w:val="00C611F9"/>
    <w:rsid w:val="00C6232F"/>
    <w:rsid w:val="00C65549"/>
    <w:rsid w:val="00C74EBE"/>
    <w:rsid w:val="00C75F1E"/>
    <w:rsid w:val="00C762BD"/>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0281"/>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A7A75"/>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936BA"/>
    <w:rsid w:val="00FA4695"/>
    <w:rsid w:val="00FA5DA2"/>
    <w:rsid w:val="00FA736E"/>
    <w:rsid w:val="00FB076C"/>
    <w:rsid w:val="00FB096C"/>
    <w:rsid w:val="00FB38CF"/>
    <w:rsid w:val="00FC01F2"/>
    <w:rsid w:val="00FC4AFE"/>
    <w:rsid w:val="00FC7FD0"/>
    <w:rsid w:val="00FD48A1"/>
    <w:rsid w:val="00FD6801"/>
    <w:rsid w:val="00FD72BC"/>
    <w:rsid w:val="00FE2E7D"/>
    <w:rsid w:val="00FE7864"/>
    <w:rsid w:val="00FF3912"/>
    <w:rsid w:val="00FF3C91"/>
    <w:rsid w:val="00FF6AB2"/>
    <w:rsid w:val="00FF73DB"/>
    <w:rsid w:val="01017847"/>
    <w:rsid w:val="010D4DDA"/>
    <w:rsid w:val="01536E45"/>
    <w:rsid w:val="015F5D2B"/>
    <w:rsid w:val="01AE553D"/>
    <w:rsid w:val="01D912AA"/>
    <w:rsid w:val="031A41B0"/>
    <w:rsid w:val="03CB53C9"/>
    <w:rsid w:val="03D744EF"/>
    <w:rsid w:val="04252D6C"/>
    <w:rsid w:val="0434488A"/>
    <w:rsid w:val="04524D74"/>
    <w:rsid w:val="048C72C6"/>
    <w:rsid w:val="04973478"/>
    <w:rsid w:val="04E5185D"/>
    <w:rsid w:val="04EF7AD9"/>
    <w:rsid w:val="04F1400C"/>
    <w:rsid w:val="054A14EB"/>
    <w:rsid w:val="055236E0"/>
    <w:rsid w:val="058277B4"/>
    <w:rsid w:val="05D7384A"/>
    <w:rsid w:val="05F47DA2"/>
    <w:rsid w:val="05F65379"/>
    <w:rsid w:val="05FF5666"/>
    <w:rsid w:val="0603119A"/>
    <w:rsid w:val="0669725A"/>
    <w:rsid w:val="067E4800"/>
    <w:rsid w:val="0689407C"/>
    <w:rsid w:val="06902805"/>
    <w:rsid w:val="06B75E86"/>
    <w:rsid w:val="071151B2"/>
    <w:rsid w:val="073A7B6E"/>
    <w:rsid w:val="073F7793"/>
    <w:rsid w:val="080A00AF"/>
    <w:rsid w:val="0859217C"/>
    <w:rsid w:val="088D4853"/>
    <w:rsid w:val="089557D7"/>
    <w:rsid w:val="09102145"/>
    <w:rsid w:val="09891681"/>
    <w:rsid w:val="09900A5B"/>
    <w:rsid w:val="09AE4842"/>
    <w:rsid w:val="09C60246"/>
    <w:rsid w:val="09CE2BB7"/>
    <w:rsid w:val="09E57E48"/>
    <w:rsid w:val="0A2B0E2A"/>
    <w:rsid w:val="0AB05B6D"/>
    <w:rsid w:val="0B047399"/>
    <w:rsid w:val="0B0B3BB8"/>
    <w:rsid w:val="0B8F0D95"/>
    <w:rsid w:val="0BC25BE0"/>
    <w:rsid w:val="0C053D42"/>
    <w:rsid w:val="0C232636"/>
    <w:rsid w:val="0C2916F0"/>
    <w:rsid w:val="0C3957DB"/>
    <w:rsid w:val="0C3C6A01"/>
    <w:rsid w:val="0C662DD8"/>
    <w:rsid w:val="0CBA4EC9"/>
    <w:rsid w:val="0CBE01FC"/>
    <w:rsid w:val="0CE25187"/>
    <w:rsid w:val="0D2824A3"/>
    <w:rsid w:val="0D62434A"/>
    <w:rsid w:val="0D832C84"/>
    <w:rsid w:val="0DD45553"/>
    <w:rsid w:val="0DFD39BC"/>
    <w:rsid w:val="0E1F7A52"/>
    <w:rsid w:val="0E3119C4"/>
    <w:rsid w:val="0F0D73B6"/>
    <w:rsid w:val="0F2C7289"/>
    <w:rsid w:val="0FBA420F"/>
    <w:rsid w:val="10240870"/>
    <w:rsid w:val="105F0CCD"/>
    <w:rsid w:val="10A25988"/>
    <w:rsid w:val="10DE7BA5"/>
    <w:rsid w:val="10EF23EF"/>
    <w:rsid w:val="11472FC4"/>
    <w:rsid w:val="11662A8F"/>
    <w:rsid w:val="1171773E"/>
    <w:rsid w:val="11D75144"/>
    <w:rsid w:val="11DE60C8"/>
    <w:rsid w:val="12362245"/>
    <w:rsid w:val="12575BFE"/>
    <w:rsid w:val="127D4879"/>
    <w:rsid w:val="129F4391"/>
    <w:rsid w:val="12B07257"/>
    <w:rsid w:val="12D424CB"/>
    <w:rsid w:val="12F46B93"/>
    <w:rsid w:val="12FB62CF"/>
    <w:rsid w:val="130F3467"/>
    <w:rsid w:val="131F25B3"/>
    <w:rsid w:val="132168C4"/>
    <w:rsid w:val="133638CF"/>
    <w:rsid w:val="134B3E21"/>
    <w:rsid w:val="135C1261"/>
    <w:rsid w:val="135D1987"/>
    <w:rsid w:val="13705BCF"/>
    <w:rsid w:val="141176DD"/>
    <w:rsid w:val="146639B0"/>
    <w:rsid w:val="14810804"/>
    <w:rsid w:val="14A85B1E"/>
    <w:rsid w:val="14AB5037"/>
    <w:rsid w:val="14AC2982"/>
    <w:rsid w:val="14C32394"/>
    <w:rsid w:val="14E7756C"/>
    <w:rsid w:val="15555471"/>
    <w:rsid w:val="15D15729"/>
    <w:rsid w:val="162949D9"/>
    <w:rsid w:val="166F3B31"/>
    <w:rsid w:val="16BB3F9C"/>
    <w:rsid w:val="17093EDF"/>
    <w:rsid w:val="171656DB"/>
    <w:rsid w:val="17411E12"/>
    <w:rsid w:val="175B5BC6"/>
    <w:rsid w:val="17D43D54"/>
    <w:rsid w:val="17E545EE"/>
    <w:rsid w:val="180F6DA6"/>
    <w:rsid w:val="183733AB"/>
    <w:rsid w:val="183D0ACD"/>
    <w:rsid w:val="18553478"/>
    <w:rsid w:val="186A4EF9"/>
    <w:rsid w:val="18AD21CB"/>
    <w:rsid w:val="18B95492"/>
    <w:rsid w:val="19491C75"/>
    <w:rsid w:val="19786E3B"/>
    <w:rsid w:val="1A107C46"/>
    <w:rsid w:val="1A4540A3"/>
    <w:rsid w:val="1A717838"/>
    <w:rsid w:val="1A8E3CC9"/>
    <w:rsid w:val="1B1630FE"/>
    <w:rsid w:val="1B2E5B92"/>
    <w:rsid w:val="1BFB31C4"/>
    <w:rsid w:val="1C7F2DEC"/>
    <w:rsid w:val="1CAE5C61"/>
    <w:rsid w:val="1CC57EEC"/>
    <w:rsid w:val="1D1E07AB"/>
    <w:rsid w:val="1D285414"/>
    <w:rsid w:val="1D5D79CE"/>
    <w:rsid w:val="1D846EFB"/>
    <w:rsid w:val="1DD92148"/>
    <w:rsid w:val="1E1761B2"/>
    <w:rsid w:val="1F7C3C3A"/>
    <w:rsid w:val="1F8F7C87"/>
    <w:rsid w:val="1FA97651"/>
    <w:rsid w:val="1FD141B8"/>
    <w:rsid w:val="1FE67A99"/>
    <w:rsid w:val="200E5455"/>
    <w:rsid w:val="201B4BF9"/>
    <w:rsid w:val="20852B17"/>
    <w:rsid w:val="208F4659"/>
    <w:rsid w:val="20C91244"/>
    <w:rsid w:val="20CB6D0B"/>
    <w:rsid w:val="20E71C78"/>
    <w:rsid w:val="21093329"/>
    <w:rsid w:val="212773A1"/>
    <w:rsid w:val="214A163F"/>
    <w:rsid w:val="21D44845"/>
    <w:rsid w:val="221572B4"/>
    <w:rsid w:val="22311600"/>
    <w:rsid w:val="226550CC"/>
    <w:rsid w:val="22E0365B"/>
    <w:rsid w:val="23523DCA"/>
    <w:rsid w:val="23645A59"/>
    <w:rsid w:val="23794CD9"/>
    <w:rsid w:val="247F5411"/>
    <w:rsid w:val="24BB4D59"/>
    <w:rsid w:val="24BF19AA"/>
    <w:rsid w:val="24CA4202"/>
    <w:rsid w:val="24D66891"/>
    <w:rsid w:val="25302039"/>
    <w:rsid w:val="254515EA"/>
    <w:rsid w:val="256C7451"/>
    <w:rsid w:val="25AD30A0"/>
    <w:rsid w:val="25E3691E"/>
    <w:rsid w:val="26201801"/>
    <w:rsid w:val="2667745A"/>
    <w:rsid w:val="26E95B4E"/>
    <w:rsid w:val="276906C7"/>
    <w:rsid w:val="278238A3"/>
    <w:rsid w:val="28742078"/>
    <w:rsid w:val="288E3F7A"/>
    <w:rsid w:val="288F49C5"/>
    <w:rsid w:val="28BF1B33"/>
    <w:rsid w:val="28BF2210"/>
    <w:rsid w:val="28CE556E"/>
    <w:rsid w:val="29366E7C"/>
    <w:rsid w:val="299315DB"/>
    <w:rsid w:val="29C152D2"/>
    <w:rsid w:val="2A292F06"/>
    <w:rsid w:val="2A29332E"/>
    <w:rsid w:val="2A666F4C"/>
    <w:rsid w:val="2A6671E5"/>
    <w:rsid w:val="2A8574C7"/>
    <w:rsid w:val="2B0B3F2F"/>
    <w:rsid w:val="2B5A4161"/>
    <w:rsid w:val="2B9F495B"/>
    <w:rsid w:val="2BB70DAF"/>
    <w:rsid w:val="2BBD2870"/>
    <w:rsid w:val="2BF938D1"/>
    <w:rsid w:val="2C01063D"/>
    <w:rsid w:val="2C222746"/>
    <w:rsid w:val="2C824188"/>
    <w:rsid w:val="2C8C63A5"/>
    <w:rsid w:val="2CF845CD"/>
    <w:rsid w:val="2D562101"/>
    <w:rsid w:val="2D7249A1"/>
    <w:rsid w:val="2D873A70"/>
    <w:rsid w:val="2DB610BD"/>
    <w:rsid w:val="2DEC176C"/>
    <w:rsid w:val="2DFB43CE"/>
    <w:rsid w:val="2E3D7FDF"/>
    <w:rsid w:val="2E5606EB"/>
    <w:rsid w:val="2E5C72E5"/>
    <w:rsid w:val="2E9D5FE0"/>
    <w:rsid w:val="2EE81E75"/>
    <w:rsid w:val="2F232D02"/>
    <w:rsid w:val="2F2A34A3"/>
    <w:rsid w:val="2F38041E"/>
    <w:rsid w:val="2F433D86"/>
    <w:rsid w:val="2F9A5364"/>
    <w:rsid w:val="2F9D183B"/>
    <w:rsid w:val="2FAF6E25"/>
    <w:rsid w:val="2FEB36BE"/>
    <w:rsid w:val="30006487"/>
    <w:rsid w:val="30842425"/>
    <w:rsid w:val="30F82434"/>
    <w:rsid w:val="314C2E93"/>
    <w:rsid w:val="316C02DE"/>
    <w:rsid w:val="316C3B35"/>
    <w:rsid w:val="31754AAE"/>
    <w:rsid w:val="317F2E7E"/>
    <w:rsid w:val="31804229"/>
    <w:rsid w:val="319970FC"/>
    <w:rsid w:val="31AD13B4"/>
    <w:rsid w:val="31BA74D8"/>
    <w:rsid w:val="31BB6118"/>
    <w:rsid w:val="31C57F0B"/>
    <w:rsid w:val="321A4FF8"/>
    <w:rsid w:val="328D4D46"/>
    <w:rsid w:val="32DE3410"/>
    <w:rsid w:val="333C55A2"/>
    <w:rsid w:val="335D45FD"/>
    <w:rsid w:val="33656785"/>
    <w:rsid w:val="33C315C2"/>
    <w:rsid w:val="33CF722B"/>
    <w:rsid w:val="33EF6302"/>
    <w:rsid w:val="3453306F"/>
    <w:rsid w:val="345D6725"/>
    <w:rsid w:val="34876DB2"/>
    <w:rsid w:val="34B022E5"/>
    <w:rsid w:val="34B44BD6"/>
    <w:rsid w:val="34CE04B2"/>
    <w:rsid w:val="34F94C42"/>
    <w:rsid w:val="35020BCE"/>
    <w:rsid w:val="354E2015"/>
    <w:rsid w:val="35636C46"/>
    <w:rsid w:val="35736992"/>
    <w:rsid w:val="373829BC"/>
    <w:rsid w:val="37692631"/>
    <w:rsid w:val="37B10108"/>
    <w:rsid w:val="38100B8C"/>
    <w:rsid w:val="389F7F0D"/>
    <w:rsid w:val="38B66F17"/>
    <w:rsid w:val="38C90C5D"/>
    <w:rsid w:val="39264E83"/>
    <w:rsid w:val="397D15ED"/>
    <w:rsid w:val="398A053F"/>
    <w:rsid w:val="39A31772"/>
    <w:rsid w:val="39E86E10"/>
    <w:rsid w:val="3A0511AE"/>
    <w:rsid w:val="3A252A28"/>
    <w:rsid w:val="3A361775"/>
    <w:rsid w:val="3A5B0DB6"/>
    <w:rsid w:val="3AFB2C67"/>
    <w:rsid w:val="3B1A3171"/>
    <w:rsid w:val="3B8A1786"/>
    <w:rsid w:val="3BF37AE3"/>
    <w:rsid w:val="3C5A516A"/>
    <w:rsid w:val="3CB85FD2"/>
    <w:rsid w:val="3CD05D89"/>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9A7D1F"/>
    <w:rsid w:val="40A94FC2"/>
    <w:rsid w:val="40DD14B7"/>
    <w:rsid w:val="41595C3E"/>
    <w:rsid w:val="42031639"/>
    <w:rsid w:val="420D6E21"/>
    <w:rsid w:val="42551AC7"/>
    <w:rsid w:val="426D69CE"/>
    <w:rsid w:val="43123999"/>
    <w:rsid w:val="432A385C"/>
    <w:rsid w:val="43306F54"/>
    <w:rsid w:val="439D162E"/>
    <w:rsid w:val="43AF4EB6"/>
    <w:rsid w:val="43D47894"/>
    <w:rsid w:val="43DA0DF8"/>
    <w:rsid w:val="43F21A5E"/>
    <w:rsid w:val="449D0BDB"/>
    <w:rsid w:val="44A75B9D"/>
    <w:rsid w:val="44C97D50"/>
    <w:rsid w:val="44CC251D"/>
    <w:rsid w:val="44ED61E4"/>
    <w:rsid w:val="44F765DB"/>
    <w:rsid w:val="452D2CD2"/>
    <w:rsid w:val="452D609E"/>
    <w:rsid w:val="454558E1"/>
    <w:rsid w:val="454E1873"/>
    <w:rsid w:val="45570A50"/>
    <w:rsid w:val="45717854"/>
    <w:rsid w:val="46C60C9C"/>
    <w:rsid w:val="46FF7143"/>
    <w:rsid w:val="476E4F77"/>
    <w:rsid w:val="479A1D63"/>
    <w:rsid w:val="479E2BBB"/>
    <w:rsid w:val="48164989"/>
    <w:rsid w:val="485B029F"/>
    <w:rsid w:val="48AF4A09"/>
    <w:rsid w:val="49B4550E"/>
    <w:rsid w:val="49F50EB5"/>
    <w:rsid w:val="4AA12C96"/>
    <w:rsid w:val="4AB76254"/>
    <w:rsid w:val="4AF72F43"/>
    <w:rsid w:val="4AFC078A"/>
    <w:rsid w:val="4AFE130C"/>
    <w:rsid w:val="4B06415A"/>
    <w:rsid w:val="4B2C4572"/>
    <w:rsid w:val="4B307A80"/>
    <w:rsid w:val="4BBD5B2C"/>
    <w:rsid w:val="4BF36702"/>
    <w:rsid w:val="4C0E0B24"/>
    <w:rsid w:val="4D5610A9"/>
    <w:rsid w:val="4DD508B9"/>
    <w:rsid w:val="4E77264E"/>
    <w:rsid w:val="4F071606"/>
    <w:rsid w:val="4F403B1D"/>
    <w:rsid w:val="4F7F31B2"/>
    <w:rsid w:val="4F827ABA"/>
    <w:rsid w:val="4FA93F1C"/>
    <w:rsid w:val="4FCB730B"/>
    <w:rsid w:val="504A74E2"/>
    <w:rsid w:val="50D62ACD"/>
    <w:rsid w:val="510C3D06"/>
    <w:rsid w:val="51937900"/>
    <w:rsid w:val="51ED5B69"/>
    <w:rsid w:val="523B25C7"/>
    <w:rsid w:val="536A53D4"/>
    <w:rsid w:val="53857B5E"/>
    <w:rsid w:val="54207CFD"/>
    <w:rsid w:val="54C67D23"/>
    <w:rsid w:val="55005AF5"/>
    <w:rsid w:val="551F63D6"/>
    <w:rsid w:val="556B4E8B"/>
    <w:rsid w:val="55BE2AF4"/>
    <w:rsid w:val="55CC6A46"/>
    <w:rsid w:val="55D8131E"/>
    <w:rsid w:val="55DE4946"/>
    <w:rsid w:val="55EA1952"/>
    <w:rsid w:val="55FD0CFB"/>
    <w:rsid w:val="561945F1"/>
    <w:rsid w:val="566F3E01"/>
    <w:rsid w:val="56BE79D8"/>
    <w:rsid w:val="573B2A77"/>
    <w:rsid w:val="577F1EF5"/>
    <w:rsid w:val="58266B57"/>
    <w:rsid w:val="588A5505"/>
    <w:rsid w:val="58CE0AFE"/>
    <w:rsid w:val="58E11F40"/>
    <w:rsid w:val="58EA7FCE"/>
    <w:rsid w:val="593B360F"/>
    <w:rsid w:val="597E7640"/>
    <w:rsid w:val="5A8975CA"/>
    <w:rsid w:val="5A8D6038"/>
    <w:rsid w:val="5AF228EA"/>
    <w:rsid w:val="5B176006"/>
    <w:rsid w:val="5B300A9C"/>
    <w:rsid w:val="5B443F2C"/>
    <w:rsid w:val="5B8B5722"/>
    <w:rsid w:val="5C1D3EC2"/>
    <w:rsid w:val="5C2A1394"/>
    <w:rsid w:val="5C6F34F3"/>
    <w:rsid w:val="5CDE1B94"/>
    <w:rsid w:val="5CF82CA1"/>
    <w:rsid w:val="5D2B1C2D"/>
    <w:rsid w:val="5DAD4A6A"/>
    <w:rsid w:val="5DD07849"/>
    <w:rsid w:val="5E347402"/>
    <w:rsid w:val="5E6E4ACB"/>
    <w:rsid w:val="5EEA3B04"/>
    <w:rsid w:val="5F092277"/>
    <w:rsid w:val="5F4B6391"/>
    <w:rsid w:val="5F50568C"/>
    <w:rsid w:val="5F8471B4"/>
    <w:rsid w:val="5FCE7ED4"/>
    <w:rsid w:val="5FEB58A2"/>
    <w:rsid w:val="5FED7CD7"/>
    <w:rsid w:val="601B36B0"/>
    <w:rsid w:val="605A5E28"/>
    <w:rsid w:val="60A449E5"/>
    <w:rsid w:val="60E1238B"/>
    <w:rsid w:val="61197906"/>
    <w:rsid w:val="612A61E3"/>
    <w:rsid w:val="61B82A98"/>
    <w:rsid w:val="61F84732"/>
    <w:rsid w:val="62352BFE"/>
    <w:rsid w:val="62530EF5"/>
    <w:rsid w:val="62E716B2"/>
    <w:rsid w:val="63097C59"/>
    <w:rsid w:val="633B4DD3"/>
    <w:rsid w:val="633D6D93"/>
    <w:rsid w:val="634F7C15"/>
    <w:rsid w:val="63736A17"/>
    <w:rsid w:val="63937116"/>
    <w:rsid w:val="63C05B9E"/>
    <w:rsid w:val="642F4F3E"/>
    <w:rsid w:val="647F4A97"/>
    <w:rsid w:val="64C26DF0"/>
    <w:rsid w:val="651A4BCA"/>
    <w:rsid w:val="659F5C58"/>
    <w:rsid w:val="65D24C12"/>
    <w:rsid w:val="65F1505D"/>
    <w:rsid w:val="668F2678"/>
    <w:rsid w:val="66BA2132"/>
    <w:rsid w:val="6701680A"/>
    <w:rsid w:val="67547205"/>
    <w:rsid w:val="676C3EA8"/>
    <w:rsid w:val="676E5060"/>
    <w:rsid w:val="67FC0C69"/>
    <w:rsid w:val="686A32EA"/>
    <w:rsid w:val="698529F7"/>
    <w:rsid w:val="69981330"/>
    <w:rsid w:val="69D62811"/>
    <w:rsid w:val="6A001D5E"/>
    <w:rsid w:val="6A690960"/>
    <w:rsid w:val="6AB109E9"/>
    <w:rsid w:val="6AF86FE1"/>
    <w:rsid w:val="6AFE3DEE"/>
    <w:rsid w:val="6B226842"/>
    <w:rsid w:val="6B5477D0"/>
    <w:rsid w:val="6B5A4DFF"/>
    <w:rsid w:val="6B891582"/>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3E5839"/>
    <w:rsid w:val="6E66357B"/>
    <w:rsid w:val="6EB95270"/>
    <w:rsid w:val="6ED05626"/>
    <w:rsid w:val="6F8956C3"/>
    <w:rsid w:val="6FB90394"/>
    <w:rsid w:val="6FC41E1E"/>
    <w:rsid w:val="6FE86904"/>
    <w:rsid w:val="70241AB8"/>
    <w:rsid w:val="706476AA"/>
    <w:rsid w:val="7105714A"/>
    <w:rsid w:val="710F25A0"/>
    <w:rsid w:val="71304406"/>
    <w:rsid w:val="714177A5"/>
    <w:rsid w:val="72131DFF"/>
    <w:rsid w:val="72271804"/>
    <w:rsid w:val="7255719B"/>
    <w:rsid w:val="736926A1"/>
    <w:rsid w:val="73E42F9A"/>
    <w:rsid w:val="744C618D"/>
    <w:rsid w:val="74920FD0"/>
    <w:rsid w:val="74924B26"/>
    <w:rsid w:val="74B50A85"/>
    <w:rsid w:val="74DF7784"/>
    <w:rsid w:val="75125292"/>
    <w:rsid w:val="753241CE"/>
    <w:rsid w:val="758826A4"/>
    <w:rsid w:val="75B01AA9"/>
    <w:rsid w:val="76140509"/>
    <w:rsid w:val="763C41F4"/>
    <w:rsid w:val="768649B8"/>
    <w:rsid w:val="76EF0C8A"/>
    <w:rsid w:val="76F83624"/>
    <w:rsid w:val="77295F6A"/>
    <w:rsid w:val="773F1990"/>
    <w:rsid w:val="776A79F9"/>
    <w:rsid w:val="777A7DC6"/>
    <w:rsid w:val="78640367"/>
    <w:rsid w:val="78C403B7"/>
    <w:rsid w:val="78F73182"/>
    <w:rsid w:val="79400909"/>
    <w:rsid w:val="79640B02"/>
    <w:rsid w:val="796E4180"/>
    <w:rsid w:val="797962E6"/>
    <w:rsid w:val="79874C47"/>
    <w:rsid w:val="79D2695D"/>
    <w:rsid w:val="7A731DE7"/>
    <w:rsid w:val="7ABE7E81"/>
    <w:rsid w:val="7AE73174"/>
    <w:rsid w:val="7B1234F7"/>
    <w:rsid w:val="7B5007DD"/>
    <w:rsid w:val="7BD60299"/>
    <w:rsid w:val="7BDD1DA1"/>
    <w:rsid w:val="7BE5680C"/>
    <w:rsid w:val="7C09693B"/>
    <w:rsid w:val="7C0A69CC"/>
    <w:rsid w:val="7C504BF4"/>
    <w:rsid w:val="7C6B7787"/>
    <w:rsid w:val="7C6F62EE"/>
    <w:rsid w:val="7C8C5F2D"/>
    <w:rsid w:val="7C9F5AAF"/>
    <w:rsid w:val="7CAF0D4D"/>
    <w:rsid w:val="7CCC29A0"/>
    <w:rsid w:val="7CE212D7"/>
    <w:rsid w:val="7CF42D7A"/>
    <w:rsid w:val="7D171AFF"/>
    <w:rsid w:val="7D4359D2"/>
    <w:rsid w:val="7D9A0C78"/>
    <w:rsid w:val="7DFE466B"/>
    <w:rsid w:val="7E3459C9"/>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5"/>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6">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7">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8">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9">
    <w:name w:val="heading 6"/>
    <w:basedOn w:val="1"/>
    <w:next w:val="10"/>
    <w:link w:val="48"/>
    <w:qFormat/>
    <w:uiPriority w:val="0"/>
    <w:pPr>
      <w:keepNext/>
      <w:jc w:val="center"/>
      <w:outlineLvl w:val="5"/>
    </w:pPr>
    <w:rPr>
      <w:rFonts w:ascii="Times New Roman" w:hAnsi="Times New Roman" w:eastAsia="宋体" w:cs="Times New Roman"/>
      <w:b/>
      <w:kern w:val="0"/>
      <w:sz w:val="44"/>
      <w:szCs w:val="20"/>
    </w:rPr>
  </w:style>
  <w:style w:type="paragraph" w:styleId="11">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2">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3">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90"/>
    <w:qFormat/>
    <w:uiPriority w:val="0"/>
    <w:pPr>
      <w:spacing w:after="120"/>
      <w:ind w:firstLine="420" w:firstLineChars="100"/>
    </w:pPr>
    <w:rPr>
      <w:rFonts w:ascii="Times New Roman" w:eastAsia="宋体"/>
      <w:szCs w:val="24"/>
    </w:rPr>
  </w:style>
  <w:style w:type="paragraph" w:styleId="3">
    <w:name w:val="Body Text"/>
    <w:basedOn w:val="1"/>
    <w:link w:val="89"/>
    <w:qFormat/>
    <w:uiPriority w:val="0"/>
    <w:rPr>
      <w:rFonts w:ascii="仿宋_GB2312" w:hAnsi="Times New Roman" w:eastAsia="仿宋_GB2312" w:cs="Times New Roman"/>
      <w:kern w:val="0"/>
      <w:sz w:val="24"/>
      <w:szCs w:val="20"/>
    </w:rPr>
  </w:style>
  <w:style w:type="paragraph" w:styleId="10">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4">
    <w:name w:val="annotation subject"/>
    <w:basedOn w:val="15"/>
    <w:next w:val="15"/>
    <w:link w:val="87"/>
    <w:unhideWhenUsed/>
    <w:qFormat/>
    <w:uiPriority w:val="99"/>
    <w:rPr>
      <w:b/>
      <w:bCs/>
    </w:rPr>
  </w:style>
  <w:style w:type="paragraph" w:styleId="15">
    <w:name w:val="annotation text"/>
    <w:basedOn w:val="1"/>
    <w:link w:val="84"/>
    <w:unhideWhenUsed/>
    <w:qFormat/>
    <w:uiPriority w:val="0"/>
    <w:pPr>
      <w:jc w:val="left"/>
    </w:pPr>
    <w:rPr>
      <w:rFonts w:ascii="Times New Roman" w:hAnsi="Times New Roman" w:eastAsia="宋体" w:cs="Times New Roman"/>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5"/>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4"/>
    <w:qFormat/>
    <w:uiPriority w:val="0"/>
    <w:rPr>
      <w:b/>
      <w:bCs/>
      <w:kern w:val="44"/>
      <w:sz w:val="44"/>
      <w:szCs w:val="44"/>
    </w:rPr>
  </w:style>
  <w:style w:type="character" w:customStyle="1" w:styleId="45">
    <w:name w:val="标题 3 Char"/>
    <w:basedOn w:val="30"/>
    <w:link w:val="6"/>
    <w:qFormat/>
    <w:uiPriority w:val="0"/>
    <w:rPr>
      <w:b/>
      <w:bCs/>
      <w:sz w:val="32"/>
      <w:szCs w:val="32"/>
    </w:rPr>
  </w:style>
  <w:style w:type="character" w:customStyle="1" w:styleId="46">
    <w:name w:val="标题 4 Char"/>
    <w:basedOn w:val="30"/>
    <w:link w:val="7"/>
    <w:qFormat/>
    <w:uiPriority w:val="0"/>
    <w:rPr>
      <w:rFonts w:eastAsia="新宋体"/>
      <w:sz w:val="30"/>
      <w:szCs w:val="21"/>
    </w:rPr>
  </w:style>
  <w:style w:type="character" w:customStyle="1" w:styleId="47">
    <w:name w:val="标题 5 Char"/>
    <w:basedOn w:val="30"/>
    <w:link w:val="8"/>
    <w:qFormat/>
    <w:uiPriority w:val="0"/>
    <w:rPr>
      <w:b/>
      <w:bCs/>
      <w:sz w:val="28"/>
      <w:szCs w:val="28"/>
    </w:rPr>
  </w:style>
  <w:style w:type="character" w:customStyle="1" w:styleId="48">
    <w:name w:val="标题 6 Char"/>
    <w:basedOn w:val="30"/>
    <w:link w:val="9"/>
    <w:qFormat/>
    <w:uiPriority w:val="0"/>
    <w:rPr>
      <w:b/>
      <w:sz w:val="44"/>
    </w:rPr>
  </w:style>
  <w:style w:type="character" w:customStyle="1" w:styleId="49">
    <w:name w:val="标题 7 Char"/>
    <w:basedOn w:val="30"/>
    <w:link w:val="11"/>
    <w:qFormat/>
    <w:uiPriority w:val="0"/>
    <w:rPr>
      <w:b/>
      <w:bCs/>
      <w:sz w:val="24"/>
      <w:szCs w:val="24"/>
    </w:rPr>
  </w:style>
  <w:style w:type="character" w:customStyle="1" w:styleId="50">
    <w:name w:val="标题 8 Char"/>
    <w:basedOn w:val="30"/>
    <w:link w:val="12"/>
    <w:qFormat/>
    <w:uiPriority w:val="0"/>
    <w:rPr>
      <w:rFonts w:ascii="Arial" w:hAnsi="Arial" w:eastAsia="黑体"/>
      <w:sz w:val="24"/>
      <w:szCs w:val="24"/>
    </w:rPr>
  </w:style>
  <w:style w:type="character" w:customStyle="1" w:styleId="51">
    <w:name w:val="标题 9 Char"/>
    <w:basedOn w:val="30"/>
    <w:link w:val="13"/>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10"/>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4"/>
    <w:qFormat/>
    <w:uiPriority w:val="99"/>
    <w:rPr>
      <w:b/>
      <w:bCs/>
      <w:kern w:val="2"/>
      <w:sz w:val="21"/>
      <w:szCs w:val="24"/>
    </w:rPr>
  </w:style>
  <w:style w:type="character" w:customStyle="1" w:styleId="59">
    <w:name w:val="正文文本 Char"/>
    <w:link w:val="3"/>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2"/>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5"/>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5"/>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5"/>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4"/>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3"/>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2"/>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7"/>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6"/>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spacing w:afterLines="70" w:line="360" w:lineRule="auto"/>
      <w:ind w:firstLine="200" w:firstLineChars="200"/>
    </w:pPr>
    <w:rPr>
      <w:rFonts w:ascii="宋体" w:hAnsi="宋体" w:eastAsia="宋体" w:cs="Times New Roman"/>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a2"/>
    <w:basedOn w:val="1"/>
    <w:qFormat/>
    <w:uiPriority w:val="0"/>
    <w:pPr>
      <w:widowControl/>
      <w:spacing w:before="100" w:beforeAutospacing="1" w:after="100" w:afterAutospacing="1"/>
    </w:pPr>
    <w:rPr>
      <w:rFonts w:ascii="宋体" w:hAnsi="宋体" w:cs="宋体"/>
      <w:sz w:val="24"/>
      <w:szCs w:val="24"/>
    </w:rPr>
  </w:style>
  <w:style w:type="paragraph" w:styleId="130">
    <w:name w:val="List Paragraph"/>
    <w:basedOn w:val="1"/>
    <w:unhideWhenUsed/>
    <w:qFormat/>
    <w:uiPriority w:val="99"/>
    <w:pPr>
      <w:ind w:firstLine="420" w:firstLineChars="200"/>
    </w:pPr>
    <w:rPr>
      <w:rFonts w:cs="Times New Roman"/>
    </w:rPr>
  </w:style>
  <w:style w:type="character" w:customStyle="1" w:styleId="131">
    <w:name w:val="font61"/>
    <w:basedOn w:val="30"/>
    <w:qFormat/>
    <w:uiPriority w:val="0"/>
    <w:rPr>
      <w:rFonts w:hint="eastAsia" w:ascii="仿宋" w:hAnsi="仿宋" w:eastAsia="仿宋" w:cs="仿宋"/>
      <w:b/>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A9D36D-0A15-42B4-B98F-FEFBB98B41A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50</Pages>
  <Words>4312</Words>
  <Characters>24583</Characters>
  <Lines>204</Lines>
  <Paragraphs>57</Paragraphs>
  <TotalTime>46</TotalTime>
  <ScaleCrop>false</ScaleCrop>
  <LinksUpToDate>false</LinksUpToDate>
  <CharactersWithSpaces>28838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禹州市公共资源交易中心:郭亚青</cp:lastModifiedBy>
  <cp:lastPrinted>2018-07-05T02:41:00Z</cp:lastPrinted>
  <dcterms:modified xsi:type="dcterms:W3CDTF">2018-09-17T08:03:38Z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