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许昌市城乡一体化示范区建设环保局</w:t>
      </w:r>
      <w:bookmarkStart w:id="9" w:name="_GoBack"/>
      <w:r>
        <w:rPr>
          <w:rFonts w:hint="eastAsia" w:asciiTheme="majorEastAsia" w:hAnsiTheme="majorEastAsia" w:eastAsiaTheme="majorEastAsia" w:cstheme="majorEastAsia"/>
          <w:b/>
          <w:bCs/>
          <w:sz w:val="44"/>
          <w:szCs w:val="44"/>
        </w:rPr>
        <w:t>“芙蓉广场环保监测站点巡查管控服务”</w:t>
      </w:r>
      <w:bookmarkEnd w:id="9"/>
      <w:r>
        <w:rPr>
          <w:rFonts w:hint="eastAsia" w:asciiTheme="majorEastAsia" w:hAnsiTheme="majorEastAsia" w:eastAsiaTheme="majorEastAsia" w:cstheme="majorEastAsia"/>
          <w:b/>
          <w:bCs/>
          <w:sz w:val="44"/>
          <w:szCs w:val="44"/>
        </w:rPr>
        <w:t>项目</w:t>
      </w:r>
    </w:p>
    <w:p>
      <w:pPr>
        <w:rPr>
          <w:rFonts w:ascii="微软简隶书" w:eastAsia="微软简隶书"/>
          <w:u w:val="single"/>
        </w:rPr>
      </w:pPr>
    </w:p>
    <w:p>
      <w:pPr>
        <w:rPr>
          <w:rFonts w:ascii="微软简隶书" w:eastAsia="微软简隶书"/>
        </w:rPr>
      </w:pPr>
    </w:p>
    <w:p>
      <w:pPr>
        <w:pStyle w:val="2"/>
        <w:ind w:firstLine="340"/>
      </w:pPr>
    </w:p>
    <w:p>
      <w:pPr>
        <w:pStyle w:val="2"/>
        <w:ind w:firstLine="340"/>
      </w:pPr>
    </w:p>
    <w:p>
      <w:pPr>
        <w:pStyle w:val="2"/>
        <w:ind w:firstLine="340"/>
      </w:pPr>
    </w:p>
    <w:p>
      <w:pPr>
        <w:pStyle w:val="2"/>
        <w:ind w:firstLine="340"/>
      </w:pPr>
    </w:p>
    <w:p>
      <w:pPr>
        <w:jc w:val="center"/>
        <w:rPr>
          <w:rFonts w:ascii="微软简隶书" w:eastAsia="微软简隶书"/>
        </w:rPr>
      </w:pPr>
      <w:r>
        <w:rPr>
          <w:rFonts w:hint="eastAsia" w:asciiTheme="majorEastAsia" w:hAnsiTheme="majorEastAsia" w:eastAsiaTheme="majorEastAsia" w:cstheme="majorEastAsia"/>
          <w:bCs/>
          <w:w w:val="90"/>
          <w:sz w:val="96"/>
          <w:szCs w:val="120"/>
        </w:rPr>
        <w:t>招　标　文　件</w:t>
      </w:r>
    </w:p>
    <w:p>
      <w:pPr>
        <w:jc w:val="center"/>
        <w:rPr>
          <w:rFonts w:asciiTheme="majorEastAsia" w:hAnsiTheme="majorEastAsia" w:eastAsiaTheme="majorEastAsia" w:cstheme="majorEastAsia"/>
          <w:bCs/>
          <w:w w:val="90"/>
          <w:sz w:val="120"/>
          <w:szCs w:val="120"/>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ind w:firstLine="340"/>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r>
        <w:rPr>
          <w:rFonts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rPr>
        <w:t>项目编号：JZFCG-G2018088号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采购单位：许昌市城乡一体化示范区建设环保局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代理机构：中大国信工程管理有限公司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二〇一八年十月</w:t>
      </w: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2"/>
        <w:ind w:firstLine="340"/>
      </w:pPr>
    </w:p>
    <w:p>
      <w:pPr>
        <w:pStyle w:val="2"/>
        <w:ind w:firstLine="34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（一）项目名称：许昌市城乡一体化示范区建设环保局“芙蓉广场环保监测站点巡查管控服务”项目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（二）项目编号：JZFCG-G2018088号    </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（三）采购方式：公开招标</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（四）项目主要内容、数量及要求： 1、对辖区内环境空气“六因子（PM</w:t>
      </w:r>
      <w:r>
        <w:rPr>
          <w:rFonts w:hint="eastAsia" w:cs="仿宋_GB2312" w:asciiTheme="minorEastAsia" w:hAnsiTheme="minorEastAsia" w:eastAsiaTheme="minorEastAsia"/>
          <w:sz w:val="21"/>
          <w:szCs w:val="21"/>
          <w:shd w:val="clear" w:color="auto" w:fill="FFFFFF"/>
          <w:vertAlign w:val="subscript"/>
        </w:rPr>
        <w:t>10</w:t>
      </w:r>
      <w:r>
        <w:rPr>
          <w:rFonts w:hint="eastAsia" w:cs="仿宋_GB2312" w:asciiTheme="minorEastAsia" w:hAnsiTheme="minorEastAsia" w:eastAsiaTheme="minorEastAsia"/>
          <w:sz w:val="21"/>
          <w:szCs w:val="21"/>
          <w:shd w:val="clear" w:color="auto" w:fill="FFFFFF"/>
        </w:rPr>
        <w:t>、PM</w:t>
      </w:r>
      <w:r>
        <w:rPr>
          <w:rFonts w:hint="eastAsia" w:cs="仿宋_GB2312" w:asciiTheme="minorEastAsia" w:hAnsiTheme="minorEastAsia" w:eastAsiaTheme="minorEastAsia"/>
          <w:sz w:val="21"/>
          <w:szCs w:val="21"/>
          <w:shd w:val="clear" w:color="auto" w:fill="FFFFFF"/>
          <w:vertAlign w:val="subscript"/>
        </w:rPr>
        <w:t>2.5</w:t>
      </w:r>
      <w:r>
        <w:rPr>
          <w:rFonts w:hint="eastAsia" w:cs="仿宋_GB2312" w:asciiTheme="minorEastAsia" w:hAnsiTheme="minorEastAsia" w:eastAsiaTheme="minorEastAsia"/>
          <w:sz w:val="21"/>
          <w:szCs w:val="21"/>
          <w:shd w:val="clear" w:color="auto" w:fill="FFFFFF"/>
        </w:rPr>
        <w:t>、SO</w:t>
      </w:r>
      <w:r>
        <w:rPr>
          <w:rFonts w:hint="eastAsia" w:cs="仿宋_GB2312" w:asciiTheme="minorEastAsia" w:hAnsiTheme="minorEastAsia" w:eastAsiaTheme="minorEastAsia"/>
          <w:sz w:val="21"/>
          <w:szCs w:val="21"/>
          <w:shd w:val="clear" w:color="auto" w:fill="FFFFFF"/>
          <w:vertAlign w:val="subscript"/>
        </w:rPr>
        <w:t>2</w:t>
      </w:r>
      <w:r>
        <w:rPr>
          <w:rFonts w:hint="eastAsia" w:cs="仿宋_GB2312" w:asciiTheme="minorEastAsia" w:hAnsiTheme="minorEastAsia" w:eastAsiaTheme="minorEastAsia"/>
          <w:sz w:val="21"/>
          <w:szCs w:val="21"/>
          <w:shd w:val="clear" w:color="auto" w:fill="FFFFFF"/>
        </w:rPr>
        <w:t>、NO</w:t>
      </w:r>
      <w:r>
        <w:rPr>
          <w:rFonts w:hint="eastAsia" w:cs="仿宋_GB2312" w:asciiTheme="minorEastAsia" w:hAnsiTheme="minorEastAsia" w:eastAsiaTheme="minorEastAsia"/>
          <w:sz w:val="21"/>
          <w:szCs w:val="21"/>
          <w:shd w:val="clear" w:color="auto" w:fill="FFFFFF"/>
          <w:vertAlign w:val="subscript"/>
        </w:rPr>
        <w:t>x</w:t>
      </w:r>
      <w:r>
        <w:rPr>
          <w:rFonts w:hint="eastAsia" w:cs="仿宋_GB2312" w:asciiTheme="minorEastAsia" w:hAnsiTheme="minorEastAsia" w:eastAsiaTheme="minorEastAsia"/>
          <w:sz w:val="21"/>
          <w:szCs w:val="21"/>
          <w:shd w:val="clear" w:color="auto" w:fill="FFFFFF"/>
        </w:rPr>
        <w:t>、CO、O</w:t>
      </w:r>
      <w:r>
        <w:rPr>
          <w:rFonts w:hint="eastAsia" w:cs="仿宋_GB2312" w:asciiTheme="minorEastAsia" w:hAnsiTheme="minorEastAsia" w:eastAsiaTheme="minorEastAsia"/>
          <w:sz w:val="21"/>
          <w:szCs w:val="21"/>
          <w:shd w:val="clear" w:color="auto" w:fill="FFFFFF"/>
          <w:vertAlign w:val="subscript"/>
        </w:rPr>
        <w:t>3</w:t>
      </w:r>
      <w:r>
        <w:rPr>
          <w:rFonts w:hint="eastAsia" w:cs="仿宋_GB2312" w:asciiTheme="minorEastAsia" w:hAnsiTheme="minorEastAsia" w:eastAsiaTheme="minorEastAsia"/>
          <w:sz w:val="21"/>
          <w:szCs w:val="21"/>
          <w:shd w:val="clear" w:color="auto" w:fill="FFFFFF"/>
        </w:rPr>
        <w:t>）”进行非固定点位监测；2、提出相应的改进及合理化建议；3、辖区内建筑工及重点污染源的巡查与监控。</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（五）预算金额：</w:t>
      </w:r>
      <w:r>
        <w:rPr>
          <w:rFonts w:hint="eastAsia" w:cs="仿宋_GB2312" w:asciiTheme="minorEastAsia" w:hAnsiTheme="minorEastAsia" w:eastAsiaTheme="minorEastAsia"/>
          <w:sz w:val="21"/>
          <w:szCs w:val="21"/>
          <w:u w:val="single"/>
          <w:shd w:val="clear" w:color="auto" w:fill="FFFFFF"/>
        </w:rPr>
        <w:t>52万元</w:t>
      </w:r>
      <w:r>
        <w:rPr>
          <w:rFonts w:hint="eastAsia" w:cs="仿宋_GB2312" w:asciiTheme="minorEastAsia" w:hAnsiTheme="minorEastAsia" w:eastAsiaTheme="minorEastAsia"/>
          <w:sz w:val="21"/>
          <w:szCs w:val="21"/>
          <w:shd w:val="clear" w:color="auto" w:fill="FFFFFF"/>
        </w:rPr>
        <w:t>。最高限价：</w:t>
      </w:r>
      <w:r>
        <w:rPr>
          <w:rFonts w:hint="eastAsia" w:cs="仿宋_GB2312" w:asciiTheme="minorEastAsia" w:hAnsiTheme="minorEastAsia" w:eastAsiaTheme="minorEastAsia"/>
          <w:sz w:val="21"/>
          <w:szCs w:val="21"/>
          <w:u w:val="single"/>
          <w:shd w:val="clear" w:color="auto" w:fill="FFFFFF"/>
        </w:rPr>
        <w:t>52万元</w:t>
      </w:r>
      <w:r>
        <w:rPr>
          <w:rFonts w:hint="eastAsia" w:cs="仿宋_GB2312" w:asciiTheme="minorEastAsia" w:hAnsiTheme="minorEastAsia" w:eastAsiaTheme="minorEastAsia"/>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（六）交付（服务、完工）时间 ：合同签订后三个月内完成。 </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 许昌市城乡一体化示范区</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w:t>
      </w:r>
      <w:r>
        <w:rPr>
          <w:rFonts w:hint="eastAsia" w:cs="仿宋_GB2312" w:asciiTheme="minorEastAsia" w:hAnsiTheme="minorEastAsia" w:eastAsiaTheme="minorEastAsia"/>
          <w:sz w:val="21"/>
          <w:szCs w:val="21"/>
          <w:u w:val="single"/>
          <w:shd w:val="clear" w:color="auto" w:fill="FFFFFF"/>
        </w:rPr>
        <w:t>节能环保</w:t>
      </w:r>
      <w:r>
        <w:rPr>
          <w:rFonts w:hint="eastAsia"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u w:val="single"/>
          <w:shd w:val="clear" w:color="auto" w:fill="FFFFFF"/>
        </w:rPr>
        <w:t>中小微型企业</w:t>
      </w:r>
      <w:r>
        <w:rPr>
          <w:rFonts w:hint="eastAsia" w:cs="仿宋_GB2312" w:asciiTheme="minorEastAsia" w:hAnsiTheme="minorEastAsia" w:eastAsiaTheme="minorEastAsia"/>
          <w:sz w:val="21"/>
          <w:szCs w:val="21"/>
          <w:shd w:val="clear" w:color="auto" w:fill="FFFFFF"/>
        </w:rPr>
        <w:t>、</w:t>
      </w:r>
      <w:r>
        <w:rPr>
          <w:rFonts w:hint="eastAsia" w:cs="仿宋_GB2312" w:asciiTheme="minorEastAsia" w:hAnsiTheme="minorEastAsia" w:eastAsiaTheme="minorEastAsia"/>
          <w:sz w:val="21"/>
          <w:szCs w:val="21"/>
          <w:u w:val="single"/>
          <w:shd w:val="clear" w:color="auto" w:fill="FFFFFF"/>
        </w:rPr>
        <w:t>残疾人福利性单位</w:t>
      </w:r>
      <w:r>
        <w:rPr>
          <w:rFonts w:hint="eastAsia" w:cs="仿宋_GB2312" w:asciiTheme="minorEastAsia" w:hAnsiTheme="minorEastAsia" w:eastAsiaTheme="minorEastAsia"/>
          <w:sz w:val="21"/>
          <w:szCs w:val="21"/>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（一）符合《政府采购法》第二十二条第一款规定条件并提供相关材料；</w:t>
      </w:r>
    </w:p>
    <w:p>
      <w:pPr>
        <w:pStyle w:val="21"/>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 具有相应经营范围；</w:t>
      </w:r>
    </w:p>
    <w:p>
      <w:pPr>
        <w:pStyle w:val="21"/>
        <w:widowControl/>
        <w:shd w:val="clear" w:color="auto" w:fill="FFFFFF"/>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（二）招标文件售价</w:t>
      </w:r>
      <w:r>
        <w:rPr>
          <w:rFonts w:hint="eastAsia" w:cs="仿宋_GB2312" w:asciiTheme="minorEastAsia" w:hAnsiTheme="minorEastAsia" w:eastAsiaTheme="minorEastAsia"/>
          <w:sz w:val="21"/>
          <w:szCs w:val="21"/>
          <w:u w:val="single"/>
          <w:shd w:val="clear" w:color="auto" w:fill="FFFFFF"/>
        </w:rPr>
        <w:t>300</w:t>
      </w:r>
      <w:r>
        <w:rPr>
          <w:rFonts w:hint="eastAsia" w:cs="仿宋_GB2312" w:asciiTheme="minorEastAsia" w:hAnsiTheme="minorEastAsia" w:eastAsiaTheme="minorEastAsia"/>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（一）投标截止及开标时间：2018年</w:t>
      </w:r>
      <w:r>
        <w:rPr>
          <w:rFonts w:hint="eastAsia" w:cs="仿宋_GB2312" w:asciiTheme="minorEastAsia" w:hAnsiTheme="minorEastAsia" w:eastAsiaTheme="minorEastAsia"/>
          <w:sz w:val="21"/>
          <w:szCs w:val="21"/>
          <w:lang w:val="en-US" w:eastAsia="zh-CN"/>
        </w:rPr>
        <w:t>11</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lang w:val="en-US" w:eastAsia="zh-CN"/>
        </w:rPr>
        <w:t>2</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lang w:val="en-US" w:eastAsia="zh-CN"/>
        </w:rPr>
        <w:t>9</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lang w:val="en-US" w:eastAsia="zh-CN"/>
        </w:rPr>
        <w:t>30</w:t>
      </w:r>
      <w:r>
        <w:rPr>
          <w:rFonts w:hint="eastAsia" w:cs="仿宋_GB2312" w:asciiTheme="minorEastAsia" w:hAnsiTheme="minorEastAsia" w:eastAsiaTheme="minorEastAsia"/>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（二）开标地点：许昌市公共资源交易中心（</w:t>
      </w:r>
      <w:r>
        <w:rPr>
          <w:rFonts w:cs="Arial" w:asciiTheme="minorEastAsia" w:hAnsiTheme="minorEastAsia" w:eastAsiaTheme="minorEastAsia"/>
          <w:sz w:val="21"/>
          <w:szCs w:val="21"/>
        </w:rPr>
        <w:t>龙兴路与竹林路交汇处</w:t>
      </w:r>
      <w:r>
        <w:rPr>
          <w:rFonts w:hint="eastAsia" w:cs="仿宋_GB2312" w:asciiTheme="minorEastAsia" w:hAnsiTheme="minorEastAsia" w:eastAsiaTheme="minorEastAsia"/>
          <w:sz w:val="21"/>
          <w:szCs w:val="21"/>
        </w:rPr>
        <w:t>公共资源大厦）三楼开标</w:t>
      </w:r>
      <w:r>
        <w:rPr>
          <w:rFonts w:hint="eastAsia" w:cs="仿宋_GB2312" w:asciiTheme="minorEastAsia" w:hAnsiTheme="minorEastAsia" w:eastAsiaTheme="minorEastAsia"/>
          <w:sz w:val="21"/>
          <w:szCs w:val="21"/>
          <w:lang w:eastAsia="zh-CN"/>
        </w:rPr>
        <w:t>四</w:t>
      </w:r>
      <w:r>
        <w:rPr>
          <w:rFonts w:hint="eastAsia" w:cs="仿宋_GB2312" w:asciiTheme="minorEastAsia" w:hAnsiTheme="minorEastAsia" w:eastAsiaTheme="minorEastAsia"/>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1、加密电子投标文件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在投标截止时间（开标时间）前通过《全国公共资源交易平台(河南省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2、纸质投标文件（正本、副本各1份）和备份文件1份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采购人：许昌市城乡一体化示范区建设环保局</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 址：许昌市城乡一体化示范区</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联系人：郭君  联系电话：0374-3372707</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代理机构：中大国信工程管理有限公司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    址：许昌市府西路万象春天2栋3单元2001室</w:t>
      </w:r>
    </w:p>
    <w:p>
      <w:pPr>
        <w:pStyle w:val="21"/>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联 系 人：刘岩      联系电话：15617285069</w:t>
      </w:r>
    </w:p>
    <w:p>
      <w:pPr>
        <w:pStyle w:val="21"/>
        <w:widowControl/>
        <w:shd w:val="clear" w:color="auto" w:fill="FFFFFF"/>
        <w:spacing w:line="360" w:lineRule="auto"/>
        <w:ind w:firstLine="420"/>
        <w:contextualSpacing/>
        <w:jc w:val="right"/>
        <w:rPr>
          <w:rFonts w:cs="仿宋_GB2312" w:asciiTheme="minorEastAsia" w:hAnsiTheme="minorEastAsia"/>
          <w:szCs w:val="21"/>
        </w:rPr>
      </w:pPr>
    </w:p>
    <w:p>
      <w:pPr>
        <w:pStyle w:val="21"/>
        <w:widowControl/>
        <w:shd w:val="clear" w:color="auto" w:fill="FFFFFF"/>
        <w:spacing w:line="360" w:lineRule="auto"/>
        <w:ind w:firstLine="420"/>
        <w:contextualSpacing/>
        <w:jc w:val="right"/>
        <w:rPr>
          <w:rFonts w:cs="仿宋_GB2312" w:asciiTheme="minorEastAsia" w:hAnsiTheme="minorEastAsia" w:eastAsiaTheme="minorEastAsia"/>
          <w:sz w:val="21"/>
          <w:szCs w:val="21"/>
        </w:rPr>
      </w:pPr>
      <w:r>
        <w:rPr>
          <w:rFonts w:hint="eastAsia" w:cs="仿宋_GB2312" w:asciiTheme="minorEastAsia" w:hAnsiTheme="minorEastAsia"/>
          <w:szCs w:val="21"/>
        </w:rPr>
        <w:t>许昌市城乡一体化示范区建设环保局</w:t>
      </w:r>
    </w:p>
    <w:p>
      <w:pPr>
        <w:autoSpaceDE w:val="0"/>
        <w:autoSpaceDN w:val="0"/>
        <w:adjustRightInd w:val="0"/>
        <w:spacing w:line="700" w:lineRule="exact"/>
        <w:ind w:right="840"/>
        <w:jc w:val="right"/>
        <w:rPr>
          <w:rFonts w:cs="仿宋_GB2312" w:asciiTheme="minorEastAsia" w:hAnsiTheme="minorEastAsia"/>
          <w:szCs w:val="21"/>
        </w:rPr>
      </w:pPr>
      <w:r>
        <w:rPr>
          <w:rFonts w:hint="eastAsia" w:cs="仿宋_GB2312" w:asciiTheme="minorEastAsia" w:hAnsiTheme="minorEastAsia"/>
          <w:szCs w:val="21"/>
        </w:rPr>
        <w:t xml:space="preserve">二〇一八年十月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电子文件下载、制作、提交期间和开标（</w:t>
      </w:r>
      <w:r>
        <w:rPr>
          <w:rFonts w:hint="eastAsia" w:hAnsi="宋体"/>
          <w:szCs w:val="21"/>
        </w:rPr>
        <w:t>电子投标文件的解密</w:t>
      </w:r>
      <w:r>
        <w:rPr>
          <w:rFonts w:hint="eastAsia" w:hAnsi="宋体"/>
          <w:b/>
          <w:szCs w:val="21"/>
        </w:rPr>
        <w:t>）环节，投标人须使用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投标人登录《全国公共资源交易平台</w:t>
      </w:r>
      <w:r>
        <w:rPr>
          <w:rFonts w:hint="eastAsia" w:asciiTheme="majorEastAsia" w:hAnsiTheme="majorEastAsia" w:eastAsiaTheme="majorEastAsia"/>
          <w:szCs w:val="21"/>
        </w:rPr>
        <w:t>(</w:t>
      </w:r>
      <w:r>
        <w:rPr>
          <w:rFonts w:hint="eastAsia" w:hAnsi="宋体"/>
          <w:szCs w:val="21"/>
        </w:rPr>
        <w:t>河南省▪许昌市</w:t>
      </w:r>
      <w:r>
        <w:rPr>
          <w:rFonts w:hint="eastAsia" w:asciiTheme="minorEastAsia" w:hAnsiTheme="minorEastAsia"/>
          <w:szCs w:val="21"/>
        </w:rPr>
        <w:t>)</w:t>
      </w:r>
      <w:r>
        <w:rPr>
          <w:rFonts w:hint="eastAsia" w:hAnsi="宋体"/>
          <w:szCs w:val="21"/>
        </w:rPr>
        <w:t>》公共资源交易系统（</w:t>
      </w:r>
      <w:r>
        <w:rPr>
          <w:rStyle w:val="25"/>
          <w:rFonts w:hAnsi="宋体"/>
          <w:color w:val="auto"/>
          <w:szCs w:val="21"/>
        </w:rPr>
        <w:fldChar w:fldCharType="begin"/>
      </w:r>
      <w:r>
        <w:rPr>
          <w:rStyle w:val="25"/>
          <w:rFonts w:hAnsi="宋体"/>
          <w:color w:val="auto"/>
          <w:szCs w:val="21"/>
        </w:rPr>
        <w:instrText xml:space="preserve"> HYPERLINK "http://221.14.6.70:8088/ggzy/" </w:instrText>
      </w:r>
      <w:r>
        <w:rPr>
          <w:rStyle w:val="25"/>
          <w:rFonts w:hAnsi="宋体"/>
          <w:color w:val="auto"/>
          <w:szCs w:val="21"/>
        </w:rP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电子投标文件应在招标文件规定的投标截止时间（开标时间）之前成功提交至《全国公共资源交易平台(河南省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rPr>
          <w:rStyle w:val="25"/>
          <w:rFonts w:hAnsi="宋体"/>
          <w:color w:val="auto"/>
          <w:szCs w:val="21"/>
        </w:rPr>
        <w:fldChar w:fldCharType="begin"/>
      </w:r>
      <w:r>
        <w:rPr>
          <w:rStyle w:val="25"/>
          <w:rFonts w:hAnsi="宋体"/>
          <w:color w:val="auto"/>
          <w:szCs w:val="21"/>
        </w:rPr>
        <w:instrText xml:space="preserve"> HYPERLINK "http://221.14.6.70:8088/ggzy/" </w:instrText>
      </w:r>
      <w:r>
        <w:rPr>
          <w:rStyle w:val="25"/>
          <w:rFonts w:hAnsi="宋体"/>
          <w:color w:val="auto"/>
          <w:szCs w:val="21"/>
        </w:rPr>
        <w:fldChar w:fldCharType="separate"/>
      </w:r>
      <w:r>
        <w:rPr>
          <w:rStyle w:val="25"/>
          <w:rFonts w:hAnsi="宋体"/>
          <w:color w:val="auto"/>
          <w:szCs w:val="21"/>
        </w:rPr>
        <w:t>http://221.14.6.70:8088/ggzy/</w:t>
      </w:r>
      <w:r>
        <w:rPr>
          <w:rStyle w:val="25"/>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采用全流程电子化交易评标时，评标委员会以电子投标文件为依据评标。</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5.2</w:t>
      </w:r>
      <w:r>
        <w:rPr>
          <w:rFonts w:hint="eastAsia" w:hAnsi="宋体"/>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pStyle w:val="2"/>
        <w:ind w:firstLine="340"/>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spacing w:line="360" w:lineRule="auto"/>
        <w:ind w:firstLine="241" w:firstLineChars="100"/>
        <w:contextualSpacing/>
        <w:rPr>
          <w:rFonts w:ascii="宋体" w:hAnsi="宋体" w:cs="宋体"/>
          <w:b/>
          <w:bCs/>
          <w:kern w:val="0"/>
          <w:sz w:val="24"/>
          <w:shd w:val="clear" w:color="auto" w:fill="FFFFFF"/>
        </w:rPr>
      </w:pPr>
      <w:r>
        <w:rPr>
          <w:rFonts w:hint="eastAsia" w:ascii="宋体" w:hAnsi="宋体" w:cs="宋体"/>
          <w:b/>
          <w:bCs/>
          <w:kern w:val="0"/>
          <w:sz w:val="24"/>
          <w:shd w:val="clear" w:color="auto" w:fill="FFFFFF"/>
        </w:rPr>
        <w:t>一、本项目需实现的功能或者目标：</w:t>
      </w:r>
    </w:p>
    <w:p>
      <w:pPr>
        <w:spacing w:line="360" w:lineRule="auto"/>
        <w:ind w:firstLine="480" w:firstLineChars="200"/>
        <w:contextualSpacing/>
        <w:rPr>
          <w:rFonts w:ascii="宋体" w:hAnsi="宋体" w:cs="宋体"/>
          <w:kern w:val="0"/>
          <w:sz w:val="24"/>
          <w:shd w:val="clear" w:color="auto" w:fill="FFFFFF"/>
        </w:rPr>
      </w:pPr>
      <w:r>
        <w:rPr>
          <w:rFonts w:hint="eastAsia" w:ascii="宋体" w:hAnsi="宋体" w:cs="宋体"/>
          <w:kern w:val="0"/>
          <w:sz w:val="24"/>
          <w:shd w:val="clear" w:color="auto" w:fill="FFFFFF"/>
        </w:rPr>
        <w:t>1、确保区域范围内所有建设工程、单位、镇（办）等单位达到扬尘管控“6个100%”要求；</w:t>
      </w:r>
    </w:p>
    <w:p>
      <w:pPr>
        <w:pStyle w:val="2"/>
        <w:ind w:firstLine="480" w:firstLineChars="200"/>
        <w:rPr>
          <w:rFonts w:hAnsi="宋体" w:cs="宋体"/>
          <w:sz w:val="24"/>
          <w:shd w:val="clear" w:color="auto" w:fill="FFFFFF"/>
        </w:rPr>
      </w:pPr>
      <w:r>
        <w:rPr>
          <w:rFonts w:hint="eastAsia" w:hAnsi="宋体" w:cs="宋体"/>
          <w:sz w:val="24"/>
          <w:shd w:val="clear" w:color="auto" w:fill="FFFFFF"/>
        </w:rPr>
        <w:t>2、确保如我辖区空气质量日报出现异常能及时进行相关监测；</w:t>
      </w:r>
    </w:p>
    <w:p>
      <w:pPr>
        <w:pStyle w:val="2"/>
        <w:ind w:firstLine="480" w:firstLineChars="200"/>
        <w:rPr>
          <w:rFonts w:hAnsi="宋体" w:cs="宋体"/>
          <w:sz w:val="24"/>
          <w:shd w:val="clear" w:color="auto" w:fill="FFFFFF"/>
        </w:rPr>
      </w:pPr>
      <w:r>
        <w:rPr>
          <w:rFonts w:hint="eastAsia" w:hAnsi="宋体" w:cs="宋体"/>
          <w:sz w:val="24"/>
          <w:shd w:val="clear" w:color="auto" w:fill="FFFFFF"/>
        </w:rPr>
        <w:t>3、查找筛选出相关污染源，提出合理化建议；</w:t>
      </w:r>
    </w:p>
    <w:p>
      <w:pPr>
        <w:spacing w:line="360" w:lineRule="auto"/>
        <w:ind w:firstLine="480" w:firstLineChars="200"/>
        <w:contextualSpacing/>
        <w:rPr>
          <w:rFonts w:ascii="宋体" w:hAnsi="宋体" w:cs="宋体"/>
          <w:kern w:val="0"/>
          <w:sz w:val="24"/>
          <w:shd w:val="clear" w:color="auto" w:fill="FFFFFF"/>
        </w:rPr>
      </w:pPr>
      <w:r>
        <w:rPr>
          <w:rFonts w:hint="eastAsia" w:ascii="宋体" w:hAnsi="宋体" w:cs="宋体"/>
          <w:kern w:val="0"/>
          <w:sz w:val="24"/>
          <w:shd w:val="clear" w:color="auto" w:fill="FFFFFF"/>
        </w:rPr>
        <w:t>4、配合做好其他临时交办工作。</w:t>
      </w:r>
    </w:p>
    <w:p>
      <w:pPr>
        <w:spacing w:line="360" w:lineRule="auto"/>
        <w:ind w:firstLine="482" w:firstLineChars="200"/>
        <w:contextualSpacing/>
        <w:rPr>
          <w:rFonts w:ascii="宋体" w:hAnsi="宋体" w:cs="宋体"/>
          <w:b/>
          <w:bCs/>
          <w:kern w:val="0"/>
          <w:sz w:val="24"/>
          <w:shd w:val="clear" w:color="auto" w:fill="FFFFFF"/>
        </w:rPr>
      </w:pPr>
      <w:r>
        <w:rPr>
          <w:rFonts w:hint="eastAsia" w:ascii="宋体" w:hAnsi="宋体" w:cs="宋体"/>
          <w:b/>
          <w:bCs/>
          <w:kern w:val="0"/>
          <w:sz w:val="24"/>
          <w:shd w:val="clear" w:color="auto" w:fill="FFFFFF"/>
        </w:rPr>
        <w:t>二、项目概况及技术要求：</w:t>
      </w:r>
    </w:p>
    <w:p>
      <w:pPr>
        <w:spacing w:line="360" w:lineRule="auto"/>
        <w:ind w:firstLine="480" w:firstLineChars="200"/>
        <w:contextualSpacing/>
        <w:rPr>
          <w:rFonts w:ascii="Arial" w:hAnsi="Arial" w:cs="Arial"/>
          <w:sz w:val="24"/>
          <w:szCs w:val="24"/>
        </w:rPr>
      </w:pPr>
      <w:r>
        <w:rPr>
          <w:rFonts w:hint="eastAsia" w:ascii="Arial" w:hAnsi="Arial" w:cs="Arial"/>
          <w:sz w:val="24"/>
          <w:szCs w:val="24"/>
        </w:rPr>
        <w:t>项目概况：</w:t>
      </w:r>
    </w:p>
    <w:p>
      <w:pPr>
        <w:pStyle w:val="2"/>
        <w:spacing w:after="0" w:line="360" w:lineRule="auto"/>
        <w:ind w:firstLine="480" w:firstLineChars="200"/>
        <w:rPr>
          <w:rFonts w:ascii="Arial" w:hAnsi="Arial" w:cs="Arial" w:eastAsiaTheme="minorEastAsia"/>
          <w:kern w:val="2"/>
          <w:sz w:val="24"/>
          <w:szCs w:val="24"/>
        </w:rPr>
      </w:pPr>
      <w:r>
        <w:rPr>
          <w:rFonts w:hint="eastAsia" w:ascii="Arial" w:hAnsi="Arial" w:cs="Arial" w:eastAsiaTheme="minorEastAsia"/>
          <w:kern w:val="2"/>
          <w:sz w:val="24"/>
          <w:szCs w:val="24"/>
        </w:rPr>
        <w:t>由于采购方辖区内空气质量部分时间会出现异常波动，因此进行此次采购。具体要求：1、实施24小时全天随时待命应急监测；2、对异常情况下影响环境空气质量的“六因子”进行检测，重点是PM</w:t>
      </w:r>
      <w:r>
        <w:rPr>
          <w:rFonts w:hint="eastAsia" w:ascii="Arial" w:hAnsi="Arial" w:cs="Arial" w:eastAsiaTheme="minorEastAsia"/>
          <w:kern w:val="2"/>
          <w:sz w:val="24"/>
          <w:szCs w:val="24"/>
          <w:vertAlign w:val="subscript"/>
        </w:rPr>
        <w:t>10</w:t>
      </w:r>
      <w:r>
        <w:rPr>
          <w:rFonts w:hint="eastAsia" w:ascii="Arial" w:hAnsi="Arial" w:cs="Arial" w:eastAsiaTheme="minorEastAsia"/>
          <w:kern w:val="2"/>
          <w:sz w:val="24"/>
          <w:szCs w:val="24"/>
        </w:rPr>
        <w:t>、PM</w:t>
      </w:r>
      <w:r>
        <w:rPr>
          <w:rFonts w:hint="eastAsia" w:ascii="Arial" w:hAnsi="Arial" w:cs="Arial" w:eastAsiaTheme="minorEastAsia"/>
          <w:kern w:val="2"/>
          <w:sz w:val="24"/>
          <w:szCs w:val="24"/>
          <w:vertAlign w:val="subscript"/>
        </w:rPr>
        <w:t>2.5</w:t>
      </w:r>
      <w:r>
        <w:rPr>
          <w:rFonts w:hint="eastAsia" w:ascii="Arial" w:hAnsi="Arial" w:cs="Arial" w:eastAsiaTheme="minorEastAsia"/>
          <w:kern w:val="2"/>
          <w:sz w:val="24"/>
          <w:szCs w:val="24"/>
        </w:rPr>
        <w:t>数据。同时提出数据变化建设性建议；3、当监测数据出现异常，及时通知采购方进行应急监督检查。</w:t>
      </w:r>
    </w:p>
    <w:p>
      <w:pPr>
        <w:pStyle w:val="2"/>
        <w:spacing w:after="0" w:line="360" w:lineRule="auto"/>
        <w:ind w:firstLine="480" w:firstLineChars="200"/>
        <w:rPr>
          <w:rFonts w:ascii="Arial" w:hAnsi="Arial" w:cs="Arial" w:eastAsiaTheme="minorEastAsia"/>
          <w:kern w:val="2"/>
          <w:sz w:val="24"/>
          <w:szCs w:val="24"/>
        </w:rPr>
      </w:pPr>
      <w:r>
        <w:rPr>
          <w:rFonts w:hint="eastAsia" w:ascii="Arial" w:hAnsi="Arial" w:cs="Arial" w:eastAsiaTheme="minorEastAsia"/>
          <w:kern w:val="2"/>
          <w:sz w:val="24"/>
          <w:szCs w:val="24"/>
        </w:rPr>
        <w:t>技术要求：</w:t>
      </w:r>
    </w:p>
    <w:p>
      <w:pPr>
        <w:pStyle w:val="2"/>
        <w:spacing w:after="0" w:line="360" w:lineRule="auto"/>
        <w:ind w:firstLine="480" w:firstLineChars="200"/>
        <w:rPr>
          <w:rFonts w:ascii="Arial" w:hAnsi="Arial" w:cs="Arial" w:eastAsiaTheme="minorEastAsia"/>
          <w:kern w:val="2"/>
          <w:sz w:val="24"/>
          <w:szCs w:val="24"/>
        </w:rPr>
      </w:pPr>
      <w:r>
        <w:rPr>
          <w:rFonts w:hint="eastAsia" w:ascii="Arial" w:hAnsi="Arial" w:cs="Arial" w:eastAsiaTheme="minorEastAsia"/>
          <w:kern w:val="2"/>
          <w:sz w:val="24"/>
          <w:szCs w:val="24"/>
        </w:rPr>
        <w:t>（一）巡查。1、每日24小时负责对辖区内所有污染源进行巡查；2、发现辖区内有建筑工地施工、扬尘污染源、渣土偷运、“小散乱”企业违规生产、焚烧垃圾树叶等问题，立即进行提醒处置，无法处置的及时提醒采购方到场；3、合同履行期间，车辆及人员接受采购方调派，无紧急原因车辆、人员不准随意调换，如需调换应先征得采购方同意。</w:t>
      </w:r>
    </w:p>
    <w:p>
      <w:pPr>
        <w:pStyle w:val="2"/>
        <w:spacing w:after="0" w:line="360" w:lineRule="auto"/>
        <w:ind w:firstLine="480" w:firstLineChars="200"/>
        <w:rPr>
          <w:rFonts w:ascii="Arial" w:hAnsi="Arial" w:cs="Arial" w:eastAsiaTheme="minorEastAsia"/>
          <w:kern w:val="2"/>
          <w:sz w:val="24"/>
          <w:szCs w:val="24"/>
        </w:rPr>
      </w:pPr>
      <w:r>
        <w:rPr>
          <w:rFonts w:hint="eastAsia" w:ascii="Arial" w:hAnsi="Arial" w:cs="Arial" w:eastAsiaTheme="minorEastAsia"/>
          <w:kern w:val="2"/>
          <w:sz w:val="24"/>
          <w:szCs w:val="24"/>
        </w:rPr>
        <w:t>（二）管控。投标人应安装车载定位系统，每天向采购方发送前晚巡查轨迹情况；每天对夜晚发现问题、巡查、处理情况及合理性建议形成文字报采购方。</w:t>
      </w:r>
    </w:p>
    <w:p>
      <w:pPr>
        <w:pStyle w:val="2"/>
        <w:spacing w:after="0" w:line="360" w:lineRule="auto"/>
        <w:ind w:firstLine="480" w:firstLineChars="200"/>
        <w:rPr>
          <w:rFonts w:ascii="Arial" w:hAnsi="Arial" w:cs="Arial" w:eastAsiaTheme="minorEastAsia"/>
          <w:kern w:val="2"/>
          <w:sz w:val="24"/>
          <w:szCs w:val="24"/>
        </w:rPr>
      </w:pPr>
      <w:r>
        <w:rPr>
          <w:rFonts w:hint="eastAsia" w:ascii="Arial" w:hAnsi="Arial" w:cs="Arial" w:eastAsiaTheme="minorEastAsia"/>
          <w:kern w:val="2"/>
          <w:sz w:val="24"/>
          <w:szCs w:val="24"/>
        </w:rPr>
        <w:t>（三）当采购方辖区内空气质量日报数据出现异常时，应在两个小时内抵达现场，开展应急监测，并根据巡查、监测结果分析原因，提出合理化建议。</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Cs w:val="21"/>
          <w:lang w:val="zh-CN"/>
        </w:rPr>
        <w:t>三、验收标准</w:t>
      </w:r>
    </w:p>
    <w:p>
      <w:pPr>
        <w:pStyle w:val="21"/>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1、由采购人成立验收小组,按照国价相关标准并结合采购合同的约定对中标人履约情况进行验收。</w:t>
      </w:r>
    </w:p>
    <w:p>
      <w:pPr>
        <w:pStyle w:val="21"/>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2、按照招标文件要求、投标文件响应和承诺验收。</w:t>
      </w:r>
    </w:p>
    <w:p>
      <w:pPr>
        <w:pStyle w:val="21"/>
        <w:widowControl/>
        <w:shd w:val="clear" w:color="auto" w:fill="FFFFFF"/>
        <w:spacing w:line="360" w:lineRule="auto"/>
        <w:ind w:firstLine="42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★四、本项目预算金额52万元。最高限价52万元。超出最高限价的投标无效。</w:t>
      </w:r>
    </w:p>
    <w:p>
      <w:pPr>
        <w:pStyle w:val="21"/>
        <w:widowControl/>
        <w:shd w:val="clear" w:color="auto" w:fill="FFFFFF"/>
        <w:spacing w:line="360" w:lineRule="auto"/>
        <w:ind w:firstLine="42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★五、资金支付</w:t>
      </w:r>
    </w:p>
    <w:p>
      <w:pPr>
        <w:pStyle w:val="21"/>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1、支付方式：银行转账。</w:t>
      </w:r>
    </w:p>
    <w:p>
      <w:pPr>
        <w:widowControl/>
        <w:shd w:val="clear" w:color="auto" w:fill="FFFFFF"/>
        <w:spacing w:line="360" w:lineRule="auto"/>
        <w:ind w:firstLine="420" w:firstLineChars="200"/>
        <w:contextualSpacing/>
        <w:jc w:val="left"/>
        <w:rPr>
          <w:rFonts w:ascii="宋体" w:hAnsi="宋体" w:cs="宋体"/>
          <w:kern w:val="0"/>
          <w:szCs w:val="21"/>
          <w:lang w:val="zh-CN"/>
        </w:rPr>
      </w:pPr>
      <w:r>
        <w:rPr>
          <w:rFonts w:hint="eastAsia" w:cs="宋体" w:asciiTheme="minorEastAsia" w:hAnsiTheme="minorEastAsia"/>
          <w:kern w:val="0"/>
          <w:szCs w:val="21"/>
          <w:lang w:val="zh-CN"/>
        </w:rPr>
        <w:t>2、支付时间及条件：</w:t>
      </w:r>
      <w:r>
        <w:rPr>
          <w:rFonts w:hint="eastAsia" w:ascii="宋体" w:hAnsi="宋体" w:cs="宋体"/>
          <w:kern w:val="0"/>
          <w:szCs w:val="21"/>
          <w:lang w:val="zh-CN"/>
        </w:rPr>
        <w:t>签订合同后三个工作日内，支付项目款的30%作为定金；合同期满，服务完成后结清全部项目款。</w:t>
      </w:r>
    </w:p>
    <w:p>
      <w:pPr>
        <w:autoSpaceDE w:val="0"/>
        <w:autoSpaceDN w:val="0"/>
        <w:adjustRightInd w:val="0"/>
        <w:jc w:val="center"/>
        <w:rPr>
          <w:rFonts w:cs="宋体" w:asciiTheme="majorEastAsia" w:hAnsiTheme="majorEastAsia" w:eastAsiaTheme="majorEastAsia"/>
          <w:b/>
          <w:kern w:val="0"/>
          <w:sz w:val="32"/>
          <w:szCs w:val="32"/>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04"/>
        <w:gridCol w:w="7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504"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577"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577"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项目名称：许昌市城乡一体化示范区建设环保局“芙蓉广场环保监测站点巡查管控服务”项目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项目编号：JZFCG-G2018</w:t>
            </w:r>
            <w:r>
              <w:rPr>
                <w:rFonts w:hint="eastAsia" w:cs="仿宋_GB2312" w:asciiTheme="minorEastAsia" w:hAnsiTheme="minorEastAsia"/>
                <w:szCs w:val="21"/>
                <w:lang w:val="en-US" w:eastAsia="zh-CN"/>
              </w:rPr>
              <w:t>088</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项目内容：应急监测、辖区内重点污染源及施工工地巡查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项目地址： 许昌市城乡一体化示范区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577" w:type="dxa"/>
            <w:vAlign w:val="center"/>
          </w:tcPr>
          <w:p>
            <w:pPr>
              <w:pStyle w:val="21"/>
              <w:widowControl/>
              <w:shd w:val="clear" w:color="auto" w:fill="FFFFFF"/>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名称：许昌市城乡一体化示范区建设环保局</w:t>
            </w:r>
          </w:p>
          <w:p>
            <w:pPr>
              <w:pStyle w:val="21"/>
              <w:widowControl/>
              <w:shd w:val="clear" w:color="auto" w:fill="FFFFFF"/>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 xml:space="preserve">地址：许昌市城乡一体化示范区 </w:t>
            </w:r>
          </w:p>
          <w:p>
            <w:pPr>
              <w:pStyle w:val="21"/>
              <w:widowControl/>
              <w:shd w:val="clear" w:color="auto" w:fill="FFFFFF"/>
              <w:spacing w:line="360" w:lineRule="auto"/>
              <w:contextualSpacing/>
              <w:jc w:val="left"/>
              <w:rPr>
                <w:rFonts w:cs="仿宋_GB2312" w:asciiTheme="minorEastAsia" w:hAnsiTheme="minorEastAsia"/>
                <w:sz w:val="21"/>
                <w:szCs w:val="21"/>
              </w:rPr>
            </w:pPr>
            <w:r>
              <w:rPr>
                <w:rFonts w:hint="eastAsia" w:cs="仿宋_GB2312" w:asciiTheme="minorEastAsia" w:hAnsiTheme="minorEastAsia"/>
                <w:sz w:val="21"/>
                <w:szCs w:val="21"/>
              </w:rPr>
              <w:t>联系人：郭君  联系电话：0374-3372707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504" w:type="dxa"/>
            <w:vAlign w:val="center"/>
          </w:tcPr>
          <w:p>
            <w:pPr>
              <w:autoSpaceDE w:val="0"/>
              <w:autoSpaceDN w:val="0"/>
              <w:adjustRightInd w:val="0"/>
              <w:spacing w:line="360" w:lineRule="auto"/>
              <w:jc w:val="center"/>
              <w:rPr>
                <w:rFonts w:eastAsia="宋体" w:cs="仿宋_GB2312" w:asciiTheme="minorEastAsia" w:hAnsiTheme="minorEastAsia"/>
                <w:szCs w:val="21"/>
              </w:rPr>
            </w:pPr>
            <w:r>
              <w:rPr>
                <w:rFonts w:hint="eastAsia" w:eastAsia="宋体" w:cs="仿宋_GB2312" w:asciiTheme="minorEastAsia" w:hAnsiTheme="minorEastAsia"/>
                <w:szCs w:val="21"/>
              </w:rPr>
              <w:t>代理机构</w:t>
            </w:r>
          </w:p>
        </w:tc>
        <w:tc>
          <w:tcPr>
            <w:tcW w:w="7577" w:type="dxa"/>
            <w:vAlign w:val="center"/>
          </w:tcPr>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名称：中大国信工程管理有限公司</w:t>
            </w:r>
          </w:p>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地址：许昌市府西路万象春天2栋3单元2001室</w:t>
            </w:r>
          </w:p>
          <w:p>
            <w:pPr>
              <w:autoSpaceDE w:val="0"/>
              <w:autoSpaceDN w:val="0"/>
              <w:adjustRightInd w:val="0"/>
              <w:spacing w:line="360" w:lineRule="auto"/>
              <w:jc w:val="left"/>
              <w:rPr>
                <w:rFonts w:eastAsia="宋体" w:cs="仿宋_GB2312" w:asciiTheme="minorEastAsia" w:hAnsiTheme="minorEastAsia"/>
                <w:szCs w:val="21"/>
              </w:rPr>
            </w:pPr>
            <w:r>
              <w:rPr>
                <w:rFonts w:hint="eastAsia" w:eastAsia="宋体" w:cs="仿宋_GB2312" w:asciiTheme="minorEastAsia" w:hAnsiTheme="minorEastAsia"/>
                <w:szCs w:val="21"/>
              </w:rPr>
              <w:t>联系人：刘岩      联系电话：15617285069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7577"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rPr>
              <w:t>7</w:t>
            </w:r>
            <w:r>
              <w:rPr>
                <w:rFonts w:hint="eastAsia" w:cs="宋体" w:asciiTheme="minorEastAsia" w:hAnsiTheme="minor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7577"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7577"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52万元，超出最高限价的投标无效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577"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7577"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577"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7577"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504"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7577"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eastAsiaTheme="minorEastAsia"/>
                <w:sz w:val="21"/>
                <w:szCs w:val="21"/>
              </w:rPr>
              <w:t>2018年</w:t>
            </w:r>
            <w:r>
              <w:rPr>
                <w:rFonts w:hint="eastAsia" w:cs="仿宋_GB2312" w:asciiTheme="minorEastAsia" w:hAnsiTheme="minorEastAsia" w:eastAsiaTheme="minorEastAsia"/>
                <w:sz w:val="21"/>
                <w:szCs w:val="21"/>
                <w:lang w:val="en-US" w:eastAsia="zh-CN"/>
              </w:rPr>
              <w:t>11</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lang w:val="en-US" w:eastAsia="zh-CN"/>
              </w:rPr>
              <w:t>2</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lang w:val="en-US" w:eastAsia="zh-CN"/>
              </w:rPr>
              <w:t>9</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lang w:val="en-US" w:eastAsia="zh-CN"/>
              </w:rPr>
              <w:t>30</w:t>
            </w:r>
            <w:r>
              <w:rPr>
                <w:rFonts w:hint="eastAsia" w:cs="仿宋_GB2312" w:asciiTheme="minorEastAsia" w:hAnsiTheme="minorEastAsia" w:eastAsiaTheme="minorEastAsia"/>
                <w:sz w:val="21"/>
                <w:szCs w:val="21"/>
              </w:rPr>
              <w:t>分</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50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许昌市公共资源交易中心三楼开标四室（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504"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7577"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金额：壹万元整（¥10</w:t>
            </w:r>
            <w:r>
              <w:rPr>
                <w:rFonts w:hint="eastAsia" w:cs="仿宋_GB2312" w:asciiTheme="minorEastAsia" w:hAnsiTheme="minorEastAsia"/>
                <w:szCs w:val="21"/>
              </w:rPr>
              <w:t>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504"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577"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504"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50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50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7577"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份，副本两份。使用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504"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7577"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504"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577"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577"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szCs w:val="21"/>
              </w:rPr>
              <w:t>收取标准:中标合同金额的</w:t>
            </w:r>
            <w:r>
              <w:rPr>
                <w:rFonts w:hint="eastAsia" w:cs="宋体" w:asciiTheme="minorEastAsia" w:hAnsiTheme="minorEastAsia"/>
                <w:szCs w:val="21"/>
                <w:u w:val="single"/>
              </w:rPr>
              <w:t>1.5</w:t>
            </w:r>
            <w:r>
              <w:rPr>
                <w:rFonts w:hint="eastAsia" w:cs="宋体" w:asciiTheme="minorEastAsia" w:hAnsiTheme="min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7577"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Cs w:val="21"/>
                <w:lang w:val="en-US" w:eastAsia="zh-CN"/>
              </w:rPr>
              <w:t>zdgxzbcg@163.com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504"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7577"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"https://baike.baidu.com/item/%E6%89%BF%E6%8B%85%E8%BF%9E%E5%B8%A6%E8%B4%A3%E4%BB%BB" \t "_blank" </w:instrText>
      </w:r>
      <w:r>
        <w:rPr>
          <w:rFonts w:cs="宋体" w:asciiTheme="minorEastAsia" w:hAnsiTheme="minorEastAsia"/>
          <w:kern w:val="0"/>
          <w:szCs w:val="21"/>
        </w:rP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"http://221.14.6.70:8088/ggzy" </w:instrText>
      </w:r>
      <w:r>
        <w:rPr>
          <w:rFonts w:cs="宋体" w:asciiTheme="minorEastAsia" w:hAnsiTheme="minorEastAsia"/>
          <w:kern w:val="0"/>
          <w:szCs w:val="21"/>
        </w:rPr>
        <w:fldChar w:fldCharType="separate"/>
      </w:r>
      <w:r>
        <w:rPr>
          <w:rFonts w:hint="eastAsia" w:cs="宋体" w:asciiTheme="minorEastAsia" w:hAnsiTheme="minorEastAsia"/>
          <w:kern w:val="0"/>
          <w:szCs w:val="21"/>
        </w:rPr>
        <w:t>http://221.14.6.70:8088/ggzy</w:t>
      </w:r>
      <w:r>
        <w:rPr>
          <w:rFonts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
                <w:szCs w:val="21"/>
              </w:rPr>
            </w:pPr>
            <w:r>
              <w:rPr>
                <w:rFonts w:hint="eastAsia" w:asciiTheme="minorEastAsia" w:hAnsiTheme="minor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分值构成</w:t>
            </w:r>
          </w:p>
          <w:p>
            <w:pPr>
              <w:spacing w:line="360" w:lineRule="auto"/>
              <w:jc w:val="center"/>
              <w:rPr>
                <w:rFonts w:ascii="宋体" w:hAnsi="宋体" w:eastAsia="宋体"/>
                <w:sz w:val="24"/>
                <w:szCs w:val="24"/>
              </w:rPr>
            </w:pPr>
            <w:r>
              <w:rPr>
                <w:rFonts w:hint="eastAsia" w:ascii="宋体" w:hAnsi="宋体" w:eastAsia="宋体"/>
                <w:sz w:val="24"/>
                <w:szCs w:val="24"/>
              </w:rPr>
              <w:t>(总分100分)</w:t>
            </w:r>
          </w:p>
        </w:tc>
        <w:tc>
          <w:tcPr>
            <w:tcW w:w="7204" w:type="dxa"/>
            <w:gridSpan w:val="2"/>
            <w:vAlign w:val="center"/>
          </w:tcPr>
          <w:p>
            <w:pPr>
              <w:spacing w:line="360" w:lineRule="auto"/>
              <w:ind w:firstLine="480" w:firstLineChars="200"/>
              <w:rPr>
                <w:rFonts w:ascii="宋体" w:hAnsi="宋体" w:eastAsia="宋体"/>
                <w:sz w:val="24"/>
                <w:szCs w:val="24"/>
              </w:rPr>
            </w:pPr>
            <w:r>
              <w:rPr>
                <w:rFonts w:hint="eastAsia" w:ascii="宋体" w:hAnsi="宋体" w:eastAsia="宋体"/>
                <w:sz w:val="24"/>
                <w:szCs w:val="24"/>
              </w:rPr>
              <w:t>价格分值：</w:t>
            </w:r>
            <w:r>
              <w:rPr>
                <w:rFonts w:hint="eastAsia" w:ascii="宋体" w:hAnsi="宋体" w:eastAsia="宋体"/>
                <w:sz w:val="24"/>
                <w:szCs w:val="24"/>
                <w:u w:val="single"/>
              </w:rPr>
              <w:t>30</w:t>
            </w:r>
            <w:r>
              <w:rPr>
                <w:rFonts w:hint="eastAsia" w:ascii="宋体" w:hAnsi="宋体" w:eastAsia="宋体"/>
                <w:sz w:val="24"/>
                <w:szCs w:val="24"/>
              </w:rPr>
              <w:t>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商务部分：35分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技术部分：</w:t>
            </w:r>
            <w:r>
              <w:rPr>
                <w:rFonts w:hint="eastAsia" w:ascii="宋体" w:hAnsi="宋体" w:eastAsia="宋体"/>
                <w:sz w:val="24"/>
                <w:szCs w:val="24"/>
                <w:u w:val="single"/>
              </w:rPr>
              <w:t>35</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eastAsia="宋体"/>
                <w:b/>
                <w:sz w:val="24"/>
                <w:szCs w:val="24"/>
              </w:rPr>
            </w:pPr>
            <w:r>
              <w:rPr>
                <w:rFonts w:hint="eastAsia" w:ascii="宋体" w:hAnsi="宋体" w:eastAsia="宋体"/>
                <w:b/>
                <w:bCs/>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评分因素</w:t>
            </w:r>
          </w:p>
        </w:tc>
        <w:tc>
          <w:tcPr>
            <w:tcW w:w="6237" w:type="dxa"/>
            <w:tcBorders>
              <w:top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评标标准</w:t>
            </w:r>
          </w:p>
        </w:tc>
        <w:tc>
          <w:tcPr>
            <w:tcW w:w="967" w:type="dxa"/>
            <w:tcBorders>
              <w:top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762" w:type="dxa"/>
            <w:tcBorders>
              <w:top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投标报价</w:t>
            </w:r>
          </w:p>
          <w:p>
            <w:pPr>
              <w:spacing w:line="360" w:lineRule="auto"/>
              <w:jc w:val="center"/>
              <w:rPr>
                <w:rFonts w:ascii="宋体" w:hAnsi="宋体" w:eastAsia="宋体"/>
                <w:sz w:val="24"/>
                <w:szCs w:val="24"/>
              </w:rPr>
            </w:pPr>
            <w:r>
              <w:rPr>
                <w:rFonts w:hint="eastAsia" w:ascii="宋体" w:hAnsi="宋体" w:eastAsia="宋体"/>
                <w:sz w:val="24"/>
                <w:szCs w:val="24"/>
              </w:rPr>
              <w:t>评分标准</w:t>
            </w:r>
          </w:p>
        </w:tc>
        <w:tc>
          <w:tcPr>
            <w:tcW w:w="6237" w:type="dxa"/>
            <w:tcBorders>
              <w:top w:val="single" w:color="auto" w:sz="4" w:space="0"/>
            </w:tcBorders>
            <w:vAlign w:val="center"/>
          </w:tcPr>
          <w:p>
            <w:pPr>
              <w:rPr>
                <w:rFonts w:ascii="宋体" w:hAnsi="宋体" w:eastAsia="宋体"/>
                <w:sz w:val="24"/>
                <w:szCs w:val="24"/>
              </w:rPr>
            </w:pPr>
            <w:r>
              <w:rPr>
                <w:rFonts w:hint="eastAsia" w:ascii="宋体" w:hAnsi="宋体" w:eastAsia="宋体"/>
                <w:sz w:val="24"/>
                <w:szCs w:val="24"/>
              </w:rPr>
              <w:t>评标基准价：满足招标文件要求的有效投标报价中，最低的投标报价为评标基准价。</w:t>
            </w:r>
          </w:p>
          <w:p>
            <w:pPr>
              <w:rPr>
                <w:rFonts w:ascii="宋体" w:hAnsi="宋体" w:eastAsia="宋体"/>
                <w:sz w:val="24"/>
                <w:szCs w:val="24"/>
              </w:rPr>
            </w:pPr>
            <w:r>
              <w:rPr>
                <w:rFonts w:hint="eastAsia" w:ascii="宋体" w:hAnsi="宋体" w:eastAsia="宋体"/>
                <w:sz w:val="24"/>
                <w:szCs w:val="24"/>
              </w:rPr>
              <w:t>投标报价得分=（评标基准价/投标报价）×30</w:t>
            </w:r>
          </w:p>
        </w:tc>
        <w:tc>
          <w:tcPr>
            <w:tcW w:w="967" w:type="dxa"/>
            <w:tcBorders>
              <w:top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eastAsia="宋体"/>
                <w:b/>
                <w:sz w:val="24"/>
                <w:szCs w:val="24"/>
              </w:rPr>
            </w:pPr>
            <w:r>
              <w:rPr>
                <w:rFonts w:hint="eastAsia" w:ascii="宋体" w:hAnsi="宋体" w:eastAsia="宋体"/>
                <w:b/>
                <w:sz w:val="24"/>
                <w:szCs w:val="24"/>
              </w:rPr>
              <w:t>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评分因素</w:t>
            </w:r>
          </w:p>
        </w:tc>
        <w:tc>
          <w:tcPr>
            <w:tcW w:w="6237" w:type="dxa"/>
            <w:vAlign w:val="center"/>
          </w:tcPr>
          <w:p>
            <w:pPr>
              <w:jc w:val="center"/>
              <w:rPr>
                <w:rFonts w:ascii="宋体" w:hAnsi="宋体" w:eastAsia="宋体"/>
                <w:b/>
                <w:sz w:val="24"/>
                <w:szCs w:val="24"/>
              </w:rPr>
            </w:pPr>
            <w:r>
              <w:rPr>
                <w:rFonts w:hint="eastAsia" w:ascii="宋体" w:hAnsi="宋体" w:eastAsia="宋体"/>
                <w:b/>
                <w:sz w:val="24"/>
                <w:szCs w:val="24"/>
              </w:rPr>
              <w:t>评标标准</w:t>
            </w:r>
          </w:p>
        </w:tc>
        <w:tc>
          <w:tcPr>
            <w:tcW w:w="967" w:type="dxa"/>
            <w:vAlign w:val="center"/>
          </w:tcPr>
          <w:p>
            <w:pPr>
              <w:jc w:val="center"/>
              <w:rPr>
                <w:rFonts w:ascii="宋体" w:hAnsi="宋体" w:eastAsia="宋体"/>
                <w:b/>
                <w:sz w:val="24"/>
                <w:szCs w:val="24"/>
              </w:rPr>
            </w:pPr>
            <w:r>
              <w:rPr>
                <w:rFonts w:hint="eastAsia" w:ascii="宋体" w:hAnsi="宋体" w:eastAsia="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企业综</w:t>
            </w:r>
          </w:p>
          <w:p>
            <w:pPr>
              <w:spacing w:line="360" w:lineRule="exact"/>
              <w:jc w:val="center"/>
              <w:rPr>
                <w:rFonts w:ascii="宋体" w:hAnsi="宋体" w:eastAsia="宋体"/>
                <w:sz w:val="24"/>
                <w:szCs w:val="24"/>
              </w:rPr>
            </w:pPr>
            <w:r>
              <w:rPr>
                <w:rFonts w:hint="eastAsia" w:ascii="宋体" w:hAnsi="宋体" w:eastAsia="宋体"/>
                <w:sz w:val="24"/>
                <w:szCs w:val="24"/>
              </w:rPr>
              <w:t>合实力</w:t>
            </w:r>
          </w:p>
        </w:tc>
        <w:tc>
          <w:tcPr>
            <w:tcW w:w="6237" w:type="dxa"/>
            <w:vAlign w:val="center"/>
          </w:tcPr>
          <w:p>
            <w:pPr>
              <w:spacing w:line="0" w:lineRule="atLeast"/>
              <w:jc w:val="left"/>
              <w:rPr>
                <w:rFonts w:ascii="宋体" w:hAnsi="宋体" w:eastAsia="宋体"/>
                <w:sz w:val="24"/>
                <w:szCs w:val="24"/>
              </w:rPr>
            </w:pPr>
            <w:r>
              <w:rPr>
                <w:rFonts w:hint="eastAsia" w:ascii="宋体" w:hAnsi="宋体" w:eastAsia="宋体"/>
                <w:sz w:val="24"/>
                <w:szCs w:val="24"/>
              </w:rPr>
              <w:t>获得国家级环保科学学会会员的得5分、环保产业学会会员的得5分，没有不得分。</w:t>
            </w:r>
          </w:p>
          <w:p>
            <w:pPr>
              <w:spacing w:line="0" w:lineRule="atLeast"/>
              <w:jc w:val="left"/>
              <w:rPr>
                <w:rFonts w:ascii="宋体" w:hAnsi="宋体" w:eastAsia="宋体"/>
                <w:sz w:val="24"/>
                <w:szCs w:val="24"/>
              </w:rPr>
            </w:pPr>
            <w:r>
              <w:rPr>
                <w:rFonts w:hint="eastAsia" w:ascii="宋体" w:hAnsi="宋体" w:eastAsia="宋体"/>
                <w:sz w:val="24"/>
                <w:szCs w:val="24"/>
              </w:rPr>
              <w:t>获得环保企业信用资质AAA级评价的得5分，没有不得分。</w:t>
            </w:r>
          </w:p>
          <w:p>
            <w:pPr>
              <w:spacing w:line="0" w:lineRule="atLeast"/>
              <w:jc w:val="left"/>
              <w:rPr>
                <w:rFonts w:ascii="宋体" w:hAnsi="宋体" w:eastAsia="宋体"/>
                <w:sz w:val="24"/>
                <w:szCs w:val="24"/>
              </w:rPr>
            </w:pPr>
            <w:r>
              <w:rPr>
                <w:rFonts w:hint="eastAsia" w:ascii="宋体" w:hAnsi="宋体" w:eastAsia="宋体"/>
                <w:sz w:val="24"/>
                <w:szCs w:val="24"/>
              </w:rPr>
              <w:t>获得AAA级资信等级证书的得5分，没有不得分。</w:t>
            </w:r>
          </w:p>
          <w:p>
            <w:pPr>
              <w:spacing w:line="0" w:lineRule="atLeast"/>
              <w:jc w:val="left"/>
              <w:rPr>
                <w:rFonts w:ascii="宋体" w:hAnsi="宋体" w:eastAsia="宋体"/>
                <w:sz w:val="24"/>
                <w:szCs w:val="24"/>
              </w:rPr>
            </w:pPr>
            <w:r>
              <w:rPr>
                <w:rFonts w:hint="eastAsia" w:ascii="宋体" w:hAnsi="宋体" w:eastAsia="宋体"/>
                <w:sz w:val="24"/>
                <w:szCs w:val="24"/>
              </w:rPr>
              <w:t>获得中国知名品牌的得5分，没有不得分。</w:t>
            </w:r>
          </w:p>
        </w:tc>
        <w:tc>
          <w:tcPr>
            <w:tcW w:w="967" w:type="dxa"/>
            <w:vAlign w:val="center"/>
          </w:tcPr>
          <w:p>
            <w:pPr>
              <w:jc w:val="center"/>
              <w:rPr>
                <w:rFonts w:ascii="宋体" w:hAnsi="宋体" w:eastAsia="宋体"/>
                <w:sz w:val="24"/>
                <w:szCs w:val="24"/>
              </w:rPr>
            </w:pPr>
            <w:r>
              <w:rPr>
                <w:rFonts w:hint="eastAsia" w:ascii="宋体" w:hAnsi="宋体" w:eastAsia="宋体"/>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业绩</w:t>
            </w:r>
          </w:p>
        </w:tc>
        <w:tc>
          <w:tcPr>
            <w:tcW w:w="6237" w:type="dxa"/>
            <w:vAlign w:val="center"/>
          </w:tcPr>
          <w:p>
            <w:pPr>
              <w:jc w:val="left"/>
              <w:rPr>
                <w:rFonts w:ascii="宋体" w:hAnsi="宋体" w:eastAsia="宋体"/>
                <w:sz w:val="24"/>
                <w:szCs w:val="24"/>
              </w:rPr>
            </w:pPr>
            <w:r>
              <w:rPr>
                <w:rFonts w:hint="eastAsia" w:ascii="宋体" w:hAnsi="宋体" w:eastAsia="宋体"/>
                <w:sz w:val="24"/>
                <w:szCs w:val="24"/>
              </w:rPr>
              <w:t>2015年1月1日以来（以合同签订日期为准），每提供一份合同金额不少于本次招标金额的类似项目业绩得5分，满分5分。</w:t>
            </w:r>
          </w:p>
        </w:tc>
        <w:tc>
          <w:tcPr>
            <w:tcW w:w="967" w:type="dxa"/>
            <w:vAlign w:val="center"/>
          </w:tcPr>
          <w:p>
            <w:pPr>
              <w:jc w:val="center"/>
              <w:rPr>
                <w:rFonts w:ascii="宋体" w:hAnsi="宋体" w:eastAsia="宋体"/>
                <w:sz w:val="24"/>
                <w:szCs w:val="24"/>
              </w:rPr>
            </w:pPr>
            <w:r>
              <w:rPr>
                <w:rFonts w:hint="eastAsia" w:ascii="宋体" w:hAnsi="宋体" w:eastAsia="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投标文件的规范程度</w:t>
            </w:r>
          </w:p>
        </w:tc>
        <w:tc>
          <w:tcPr>
            <w:tcW w:w="6237" w:type="dxa"/>
            <w:vAlign w:val="center"/>
          </w:tcPr>
          <w:p>
            <w:pPr>
              <w:jc w:val="left"/>
              <w:rPr>
                <w:rFonts w:ascii="宋体" w:hAnsi="宋体" w:eastAsia="宋体"/>
                <w:sz w:val="24"/>
                <w:szCs w:val="24"/>
              </w:rPr>
            </w:pPr>
            <w:r>
              <w:rPr>
                <w:rFonts w:hint="eastAsia" w:ascii="宋体" w:hAnsi="宋体" w:eastAsia="宋体"/>
                <w:sz w:val="24"/>
                <w:szCs w:val="24"/>
              </w:rPr>
              <w:t>1、投标文件的编制符合招标文件的规定，装订整齐规范的，得2分；不满足不得分。</w:t>
            </w:r>
          </w:p>
          <w:p>
            <w:pPr>
              <w:jc w:val="left"/>
              <w:rPr>
                <w:rFonts w:ascii="宋体" w:hAnsi="宋体" w:eastAsia="宋体"/>
                <w:sz w:val="24"/>
                <w:szCs w:val="24"/>
              </w:rPr>
            </w:pPr>
            <w:r>
              <w:rPr>
                <w:rFonts w:hint="eastAsia" w:ascii="宋体" w:hAnsi="宋体" w:eastAsia="宋体"/>
                <w:sz w:val="24"/>
                <w:szCs w:val="24"/>
              </w:rPr>
              <w:t>2、投标人编制投标文件逻辑严紧、描述规范、无文字错误的，得3分；不满足不得分。</w:t>
            </w:r>
          </w:p>
        </w:tc>
        <w:tc>
          <w:tcPr>
            <w:tcW w:w="967" w:type="dxa"/>
            <w:vAlign w:val="center"/>
          </w:tcPr>
          <w:p>
            <w:pPr>
              <w:jc w:val="center"/>
              <w:rPr>
                <w:rFonts w:ascii="宋体" w:hAnsi="宋体" w:eastAsia="宋体"/>
                <w:sz w:val="24"/>
                <w:szCs w:val="24"/>
              </w:rPr>
            </w:pPr>
            <w:r>
              <w:rPr>
                <w:rFonts w:hint="eastAsia" w:ascii="宋体" w:hAnsi="宋体" w:eastAsia="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eastAsia="宋体"/>
                <w:b/>
                <w:sz w:val="24"/>
                <w:szCs w:val="24"/>
              </w:rPr>
            </w:pPr>
            <w:r>
              <w:rPr>
                <w:rFonts w:hint="eastAsia" w:ascii="宋体" w:hAnsi="宋体" w:eastAsia="宋体"/>
                <w:b/>
                <w:sz w:val="24"/>
                <w:szCs w:val="24"/>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hAnsi="宋体" w:eastAsia="宋体"/>
                <w:b/>
                <w:sz w:val="24"/>
                <w:szCs w:val="24"/>
              </w:rPr>
            </w:pPr>
            <w:r>
              <w:rPr>
                <w:rFonts w:hint="eastAsia" w:ascii="宋体" w:hAnsi="宋体" w:eastAsia="宋体"/>
                <w:b/>
                <w:sz w:val="24"/>
                <w:szCs w:val="24"/>
              </w:rPr>
              <w:t>评分因素</w:t>
            </w:r>
          </w:p>
        </w:tc>
        <w:tc>
          <w:tcPr>
            <w:tcW w:w="6237" w:type="dxa"/>
            <w:vAlign w:val="center"/>
          </w:tcPr>
          <w:p>
            <w:pPr>
              <w:jc w:val="center"/>
              <w:rPr>
                <w:rFonts w:ascii="宋体" w:hAnsi="宋体" w:eastAsia="宋体"/>
                <w:b/>
                <w:sz w:val="24"/>
                <w:szCs w:val="24"/>
              </w:rPr>
            </w:pPr>
            <w:r>
              <w:rPr>
                <w:rFonts w:hint="eastAsia" w:ascii="宋体" w:hAnsi="宋体" w:eastAsia="宋体"/>
                <w:b/>
                <w:sz w:val="24"/>
                <w:szCs w:val="24"/>
              </w:rPr>
              <w:t>评标标准</w:t>
            </w:r>
          </w:p>
        </w:tc>
        <w:tc>
          <w:tcPr>
            <w:tcW w:w="967" w:type="dxa"/>
            <w:vAlign w:val="center"/>
          </w:tcPr>
          <w:p>
            <w:pPr>
              <w:jc w:val="center"/>
              <w:rPr>
                <w:rFonts w:ascii="宋体" w:hAnsi="宋体" w:eastAsia="宋体"/>
                <w:b/>
                <w:sz w:val="24"/>
                <w:szCs w:val="24"/>
              </w:rPr>
            </w:pPr>
            <w:r>
              <w:rPr>
                <w:rFonts w:hint="eastAsia" w:ascii="宋体" w:hAnsi="宋体" w:eastAsia="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实施方案</w:t>
            </w:r>
          </w:p>
        </w:tc>
        <w:tc>
          <w:tcPr>
            <w:tcW w:w="6237"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对项目整体有深刻认识，工作方案内容针对项目特点完整规范、具体可行和整体性。科学，方案合理15分；较好可行8分；一般4分；没有得0分。</w:t>
            </w:r>
          </w:p>
        </w:tc>
        <w:tc>
          <w:tcPr>
            <w:tcW w:w="9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宋体" w:hAnsi="宋体" w:eastAsia="宋体"/>
                <w:sz w:val="24"/>
                <w:szCs w:val="24"/>
              </w:rPr>
            </w:pPr>
          </w:p>
        </w:tc>
        <w:tc>
          <w:tcPr>
            <w:tcW w:w="6237" w:type="dxa"/>
            <w:vAlign w:val="center"/>
          </w:tcPr>
          <w:p>
            <w:pPr>
              <w:spacing w:line="0" w:lineRule="atLeast"/>
              <w:jc w:val="left"/>
              <w:rPr>
                <w:rFonts w:ascii="宋体" w:hAnsi="宋体" w:eastAsia="宋体"/>
                <w:sz w:val="24"/>
                <w:szCs w:val="24"/>
              </w:rPr>
            </w:pPr>
            <w:r>
              <w:rPr>
                <w:rFonts w:hint="eastAsia" w:ascii="宋体" w:hAnsi="宋体" w:eastAsia="宋体"/>
                <w:sz w:val="24"/>
                <w:szCs w:val="24"/>
              </w:rPr>
              <w:t>根据投标人的人员、设备配备计划在0-10分综合打分。</w:t>
            </w:r>
          </w:p>
        </w:tc>
        <w:tc>
          <w:tcPr>
            <w:tcW w:w="9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售后服务承诺</w:t>
            </w:r>
          </w:p>
        </w:tc>
        <w:tc>
          <w:tcPr>
            <w:tcW w:w="6237" w:type="dxa"/>
            <w:vAlign w:val="center"/>
          </w:tcPr>
          <w:p>
            <w:pPr>
              <w:spacing w:line="0" w:lineRule="atLeast"/>
              <w:jc w:val="left"/>
              <w:rPr>
                <w:rFonts w:ascii="宋体" w:hAnsi="宋体" w:eastAsia="宋体"/>
                <w:sz w:val="24"/>
                <w:szCs w:val="24"/>
              </w:rPr>
            </w:pPr>
            <w:r>
              <w:rPr>
                <w:rFonts w:hint="eastAsia" w:ascii="宋体" w:hAnsi="宋体" w:eastAsia="宋体"/>
                <w:sz w:val="24"/>
                <w:szCs w:val="24"/>
              </w:rPr>
              <w:t>除满足本招标文件内所有实质性要求之外还有其他服务承诺的得10分，仅进行了简单概况的得5分，没有不得分。</w:t>
            </w:r>
          </w:p>
        </w:tc>
        <w:tc>
          <w:tcPr>
            <w:tcW w:w="96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szCs w:val="21"/>
                <w:lang w:val="en-GB"/>
              </w:rPr>
            </w:pPr>
            <w:r>
              <w:rPr>
                <w:rFonts w:hint="eastAsia" w:ascii="宋体" w:hAnsi="宋体"/>
                <w:szCs w:val="21"/>
                <w:lang w:val="en-GB"/>
              </w:rPr>
              <w:t>非联合体投标人</w:t>
            </w:r>
          </w:p>
          <w:p>
            <w:pPr>
              <w:jc w:val="center"/>
              <w:rPr>
                <w:rFonts w:ascii="宋体" w:hAnsi="宋体"/>
                <w:b/>
                <w:szCs w:val="21"/>
                <w:lang w:val="en-GB"/>
              </w:rPr>
            </w:pPr>
            <w:r>
              <w:rPr>
                <w:rFonts w:hint="eastAsia" w:ascii="宋体" w:hAnsi="宋体"/>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pStyle w:val="13"/>
        <w:spacing w:line="360" w:lineRule="auto"/>
        <w:contextualSpacing/>
        <w:jc w:val="left"/>
        <w:rPr>
          <w:rFonts w:ascii="宋体" w:hAnsi="宋体" w:cs="宋体"/>
          <w:b/>
          <w:kern w:val="0"/>
          <w:sz w:val="21"/>
          <w:szCs w:val="21"/>
        </w:rPr>
      </w:pPr>
      <w:r>
        <w:rPr>
          <w:rFonts w:hint="eastAsia" w:ascii="宋体" w:hAnsi="宋体"/>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 w:val="24"/>
                <w:szCs w:val="24"/>
                <w:lang w:val="zh-CN"/>
              </w:rPr>
              <w:t xml:space="preserve">服务期 </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在此提交的投标文件，正本一份，副本二份。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1"/>
        <w:spacing w:line="480" w:lineRule="auto"/>
        <w:ind w:firstLine="472" w:firstLineChars="225"/>
        <w:jc w:val="left"/>
        <w:rPr>
          <w:rFonts w:asciiTheme="minorEastAsia" w:hAnsiTheme="minorEastAsia"/>
          <w:sz w:val="21"/>
          <w:szCs w:val="21"/>
        </w:rPr>
      </w:pPr>
    </w:p>
    <w:p>
      <w:pPr>
        <w:pStyle w:val="41"/>
        <w:spacing w:line="480" w:lineRule="auto"/>
        <w:ind w:firstLine="472" w:firstLineChars="225"/>
        <w:jc w:val="left"/>
        <w:rPr>
          <w:rFonts w:asciiTheme="minorEastAsia" w:hAnsiTheme="minorEastAsia"/>
          <w:sz w:val="21"/>
          <w:szCs w:val="21"/>
        </w:rPr>
      </w:pPr>
    </w:p>
    <w:p>
      <w:pPr>
        <w:pStyle w:val="4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（投标人根据招标文件要求自行编制，需提供项目配备服务人员情况表）</w:t>
      </w:r>
    </w:p>
    <w:tbl>
      <w:tblPr>
        <w:tblStyle w:val="26"/>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18"/>
        <w:gridCol w:w="716"/>
        <w:gridCol w:w="1076"/>
        <w:gridCol w:w="1434"/>
        <w:gridCol w:w="138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1583"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姓 名</w:t>
            </w:r>
          </w:p>
        </w:tc>
        <w:tc>
          <w:tcPr>
            <w:tcW w:w="718"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性别</w:t>
            </w:r>
          </w:p>
        </w:tc>
        <w:tc>
          <w:tcPr>
            <w:tcW w:w="716"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年龄</w:t>
            </w:r>
          </w:p>
        </w:tc>
        <w:tc>
          <w:tcPr>
            <w:tcW w:w="1076"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学历</w:t>
            </w:r>
          </w:p>
        </w:tc>
        <w:tc>
          <w:tcPr>
            <w:tcW w:w="1434"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从事</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专业</w:t>
            </w:r>
          </w:p>
        </w:tc>
        <w:tc>
          <w:tcPr>
            <w:tcW w:w="1389"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何时从事</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工作</w:t>
            </w:r>
          </w:p>
        </w:tc>
        <w:tc>
          <w:tcPr>
            <w:tcW w:w="1584" w:type="dxa"/>
            <w:vMerge w:val="restart"/>
            <w:vAlign w:val="center"/>
          </w:tcPr>
          <w:p>
            <w:pPr>
              <w:autoSpaceDE w:val="0"/>
              <w:autoSpaceDN w:val="0"/>
              <w:adjustRightInd w:val="0"/>
              <w:spacing w:line="360" w:lineRule="auto"/>
              <w:outlineLvl w:val="0"/>
              <w:rPr>
                <w:rFonts w:ascii="宋体" w:cs="宋体"/>
                <w:sz w:val="24"/>
                <w:lang w:val="zh-CN"/>
              </w:rPr>
            </w:pPr>
            <w:r>
              <w:rPr>
                <w:rFonts w:hint="eastAsia" w:ascii="宋体" w:cs="宋体"/>
                <w:sz w:val="24"/>
                <w:lang w:val="zh-CN"/>
              </w:rPr>
              <w:t>岗位资格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583" w:type="dxa"/>
            <w:vMerge w:val="continue"/>
            <w:vAlign w:val="center"/>
          </w:tcPr>
          <w:p>
            <w:pPr>
              <w:autoSpaceDE w:val="0"/>
              <w:autoSpaceDN w:val="0"/>
              <w:adjustRightInd w:val="0"/>
              <w:spacing w:line="360" w:lineRule="auto"/>
              <w:outlineLvl w:val="0"/>
              <w:rPr>
                <w:rFonts w:ascii="宋体" w:cs="宋体"/>
                <w:sz w:val="24"/>
                <w:lang w:val="zh-CN"/>
              </w:rPr>
            </w:pPr>
          </w:p>
        </w:tc>
        <w:tc>
          <w:tcPr>
            <w:tcW w:w="718" w:type="dxa"/>
            <w:vMerge w:val="continue"/>
            <w:vAlign w:val="center"/>
          </w:tcPr>
          <w:p>
            <w:pPr>
              <w:autoSpaceDE w:val="0"/>
              <w:autoSpaceDN w:val="0"/>
              <w:adjustRightInd w:val="0"/>
              <w:spacing w:line="360" w:lineRule="auto"/>
              <w:outlineLvl w:val="0"/>
              <w:rPr>
                <w:rFonts w:ascii="宋体" w:cs="宋体"/>
                <w:sz w:val="24"/>
                <w:lang w:val="zh-CN"/>
              </w:rPr>
            </w:pPr>
          </w:p>
        </w:tc>
        <w:tc>
          <w:tcPr>
            <w:tcW w:w="716" w:type="dxa"/>
            <w:vMerge w:val="continue"/>
            <w:vAlign w:val="center"/>
          </w:tcPr>
          <w:p>
            <w:pPr>
              <w:autoSpaceDE w:val="0"/>
              <w:autoSpaceDN w:val="0"/>
              <w:adjustRightInd w:val="0"/>
              <w:spacing w:line="360" w:lineRule="auto"/>
              <w:outlineLvl w:val="0"/>
              <w:rPr>
                <w:rFonts w:ascii="宋体" w:cs="宋体"/>
                <w:sz w:val="24"/>
                <w:lang w:val="zh-CN"/>
              </w:rPr>
            </w:pPr>
          </w:p>
        </w:tc>
        <w:tc>
          <w:tcPr>
            <w:tcW w:w="1076" w:type="dxa"/>
            <w:vMerge w:val="continue"/>
            <w:vAlign w:val="center"/>
          </w:tcPr>
          <w:p>
            <w:pPr>
              <w:autoSpaceDE w:val="0"/>
              <w:autoSpaceDN w:val="0"/>
              <w:adjustRightInd w:val="0"/>
              <w:spacing w:line="360" w:lineRule="auto"/>
              <w:outlineLvl w:val="0"/>
              <w:rPr>
                <w:rFonts w:ascii="宋体" w:cs="宋体"/>
                <w:sz w:val="24"/>
                <w:lang w:val="zh-CN"/>
              </w:rPr>
            </w:pPr>
          </w:p>
        </w:tc>
        <w:tc>
          <w:tcPr>
            <w:tcW w:w="1434" w:type="dxa"/>
            <w:vMerge w:val="continue"/>
            <w:vAlign w:val="center"/>
          </w:tcPr>
          <w:p>
            <w:pPr>
              <w:autoSpaceDE w:val="0"/>
              <w:autoSpaceDN w:val="0"/>
              <w:adjustRightInd w:val="0"/>
              <w:spacing w:line="360" w:lineRule="auto"/>
              <w:outlineLvl w:val="0"/>
              <w:rPr>
                <w:rFonts w:ascii="宋体" w:cs="宋体"/>
                <w:sz w:val="24"/>
                <w:lang w:val="zh-CN"/>
              </w:rPr>
            </w:pPr>
          </w:p>
        </w:tc>
        <w:tc>
          <w:tcPr>
            <w:tcW w:w="1389" w:type="dxa"/>
            <w:vMerge w:val="continue"/>
            <w:vAlign w:val="center"/>
          </w:tcPr>
          <w:p>
            <w:pPr>
              <w:autoSpaceDE w:val="0"/>
              <w:autoSpaceDN w:val="0"/>
              <w:adjustRightInd w:val="0"/>
              <w:spacing w:line="360" w:lineRule="auto"/>
              <w:outlineLvl w:val="0"/>
              <w:rPr>
                <w:rFonts w:ascii="宋体" w:cs="宋体"/>
                <w:sz w:val="24"/>
                <w:lang w:val="zh-CN"/>
              </w:rPr>
            </w:pPr>
          </w:p>
        </w:tc>
        <w:tc>
          <w:tcPr>
            <w:tcW w:w="1584" w:type="dxa"/>
            <w:vMerge w:val="continue"/>
            <w:vAlign w:val="center"/>
          </w:tcPr>
          <w:p>
            <w:pPr>
              <w:autoSpaceDE w:val="0"/>
              <w:autoSpaceDN w:val="0"/>
              <w:adjustRightInd w:val="0"/>
              <w:spacing w:line="360" w:lineRule="auto"/>
              <w:outlineLvl w:val="0"/>
              <w:rPr>
                <w:rFonts w:asci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sz w:val="24"/>
                <w:lang w:val="zh-CN"/>
              </w:rPr>
            </w:pPr>
          </w:p>
        </w:tc>
        <w:tc>
          <w:tcPr>
            <w:tcW w:w="718" w:type="dxa"/>
            <w:vAlign w:val="center"/>
          </w:tcPr>
          <w:p>
            <w:pPr>
              <w:autoSpaceDE w:val="0"/>
              <w:autoSpaceDN w:val="0"/>
              <w:adjustRightInd w:val="0"/>
              <w:spacing w:line="360" w:lineRule="auto"/>
              <w:outlineLvl w:val="0"/>
              <w:rPr>
                <w:rFonts w:ascii="宋体" w:cs="宋体"/>
                <w:sz w:val="24"/>
                <w:lang w:val="zh-CN"/>
              </w:rPr>
            </w:pPr>
          </w:p>
        </w:tc>
        <w:tc>
          <w:tcPr>
            <w:tcW w:w="716" w:type="dxa"/>
            <w:vAlign w:val="center"/>
          </w:tcPr>
          <w:p>
            <w:pPr>
              <w:autoSpaceDE w:val="0"/>
              <w:autoSpaceDN w:val="0"/>
              <w:adjustRightInd w:val="0"/>
              <w:spacing w:line="360" w:lineRule="auto"/>
              <w:outlineLvl w:val="0"/>
              <w:rPr>
                <w:rFonts w:ascii="宋体" w:cs="宋体"/>
                <w:sz w:val="24"/>
                <w:lang w:val="zh-CN"/>
              </w:rPr>
            </w:pPr>
          </w:p>
        </w:tc>
        <w:tc>
          <w:tcPr>
            <w:tcW w:w="1076" w:type="dxa"/>
            <w:vAlign w:val="center"/>
          </w:tcPr>
          <w:p>
            <w:pPr>
              <w:autoSpaceDE w:val="0"/>
              <w:autoSpaceDN w:val="0"/>
              <w:adjustRightInd w:val="0"/>
              <w:spacing w:line="360" w:lineRule="auto"/>
              <w:outlineLvl w:val="0"/>
              <w:rPr>
                <w:rFonts w:ascii="宋体" w:cs="宋体"/>
                <w:sz w:val="24"/>
                <w:lang w:val="zh-CN"/>
              </w:rPr>
            </w:pPr>
          </w:p>
        </w:tc>
        <w:tc>
          <w:tcPr>
            <w:tcW w:w="1434" w:type="dxa"/>
            <w:vAlign w:val="center"/>
          </w:tcPr>
          <w:p>
            <w:pPr>
              <w:autoSpaceDE w:val="0"/>
              <w:autoSpaceDN w:val="0"/>
              <w:adjustRightInd w:val="0"/>
              <w:spacing w:line="360" w:lineRule="auto"/>
              <w:outlineLvl w:val="0"/>
              <w:rPr>
                <w:rFonts w:ascii="宋体" w:cs="宋体"/>
                <w:sz w:val="24"/>
                <w:lang w:val="zh-CN"/>
              </w:rPr>
            </w:pPr>
          </w:p>
        </w:tc>
        <w:tc>
          <w:tcPr>
            <w:tcW w:w="1389" w:type="dxa"/>
            <w:vAlign w:val="center"/>
          </w:tcPr>
          <w:p>
            <w:pPr>
              <w:autoSpaceDE w:val="0"/>
              <w:autoSpaceDN w:val="0"/>
              <w:adjustRightInd w:val="0"/>
              <w:spacing w:line="360" w:lineRule="auto"/>
              <w:outlineLvl w:val="0"/>
              <w:rPr>
                <w:rFonts w:ascii="宋体" w:cs="宋体"/>
                <w:sz w:val="24"/>
                <w:lang w:val="zh-CN"/>
              </w:rPr>
            </w:pPr>
          </w:p>
        </w:tc>
        <w:tc>
          <w:tcPr>
            <w:tcW w:w="1584" w:type="dxa"/>
            <w:vAlign w:val="center"/>
          </w:tcPr>
          <w:p>
            <w:pPr>
              <w:autoSpaceDE w:val="0"/>
              <w:autoSpaceDN w:val="0"/>
              <w:adjustRightInd w:val="0"/>
              <w:spacing w:line="360" w:lineRule="auto"/>
              <w:outlineLvl w:val="0"/>
              <w:rPr>
                <w:rFonts w:asci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sz w:val="24"/>
                <w:lang w:val="zh-CN"/>
              </w:rPr>
            </w:pPr>
          </w:p>
        </w:tc>
        <w:tc>
          <w:tcPr>
            <w:tcW w:w="718" w:type="dxa"/>
            <w:vAlign w:val="center"/>
          </w:tcPr>
          <w:p>
            <w:pPr>
              <w:autoSpaceDE w:val="0"/>
              <w:autoSpaceDN w:val="0"/>
              <w:adjustRightInd w:val="0"/>
              <w:spacing w:line="360" w:lineRule="auto"/>
              <w:outlineLvl w:val="0"/>
              <w:rPr>
                <w:rFonts w:ascii="宋体" w:cs="宋体"/>
                <w:sz w:val="24"/>
                <w:lang w:val="zh-CN"/>
              </w:rPr>
            </w:pPr>
          </w:p>
        </w:tc>
        <w:tc>
          <w:tcPr>
            <w:tcW w:w="716" w:type="dxa"/>
            <w:vAlign w:val="center"/>
          </w:tcPr>
          <w:p>
            <w:pPr>
              <w:autoSpaceDE w:val="0"/>
              <w:autoSpaceDN w:val="0"/>
              <w:adjustRightInd w:val="0"/>
              <w:spacing w:line="360" w:lineRule="auto"/>
              <w:outlineLvl w:val="0"/>
              <w:rPr>
                <w:rFonts w:ascii="宋体" w:cs="宋体"/>
                <w:sz w:val="24"/>
                <w:lang w:val="zh-CN"/>
              </w:rPr>
            </w:pPr>
          </w:p>
        </w:tc>
        <w:tc>
          <w:tcPr>
            <w:tcW w:w="1076" w:type="dxa"/>
            <w:vAlign w:val="center"/>
          </w:tcPr>
          <w:p>
            <w:pPr>
              <w:autoSpaceDE w:val="0"/>
              <w:autoSpaceDN w:val="0"/>
              <w:adjustRightInd w:val="0"/>
              <w:spacing w:line="360" w:lineRule="auto"/>
              <w:outlineLvl w:val="0"/>
              <w:rPr>
                <w:rFonts w:ascii="宋体" w:cs="宋体"/>
                <w:sz w:val="24"/>
                <w:lang w:val="zh-CN"/>
              </w:rPr>
            </w:pPr>
          </w:p>
        </w:tc>
        <w:tc>
          <w:tcPr>
            <w:tcW w:w="1434" w:type="dxa"/>
            <w:vAlign w:val="center"/>
          </w:tcPr>
          <w:p>
            <w:pPr>
              <w:autoSpaceDE w:val="0"/>
              <w:autoSpaceDN w:val="0"/>
              <w:adjustRightInd w:val="0"/>
              <w:spacing w:line="360" w:lineRule="auto"/>
              <w:outlineLvl w:val="0"/>
              <w:rPr>
                <w:rFonts w:ascii="宋体" w:cs="宋体"/>
                <w:sz w:val="24"/>
                <w:lang w:val="zh-CN"/>
              </w:rPr>
            </w:pPr>
          </w:p>
        </w:tc>
        <w:tc>
          <w:tcPr>
            <w:tcW w:w="1389" w:type="dxa"/>
            <w:vAlign w:val="center"/>
          </w:tcPr>
          <w:p>
            <w:pPr>
              <w:autoSpaceDE w:val="0"/>
              <w:autoSpaceDN w:val="0"/>
              <w:adjustRightInd w:val="0"/>
              <w:spacing w:line="360" w:lineRule="auto"/>
              <w:outlineLvl w:val="0"/>
              <w:rPr>
                <w:rFonts w:ascii="宋体" w:cs="宋体"/>
                <w:sz w:val="24"/>
                <w:lang w:val="zh-CN"/>
              </w:rPr>
            </w:pPr>
          </w:p>
        </w:tc>
        <w:tc>
          <w:tcPr>
            <w:tcW w:w="1584" w:type="dxa"/>
            <w:vAlign w:val="center"/>
          </w:tcPr>
          <w:p>
            <w:pPr>
              <w:autoSpaceDE w:val="0"/>
              <w:autoSpaceDN w:val="0"/>
              <w:adjustRightInd w:val="0"/>
              <w:spacing w:line="360" w:lineRule="auto"/>
              <w:outlineLvl w:val="0"/>
              <w:rPr>
                <w:rFonts w:asci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583" w:type="dxa"/>
            <w:vAlign w:val="center"/>
          </w:tcPr>
          <w:p>
            <w:pPr>
              <w:autoSpaceDE w:val="0"/>
              <w:autoSpaceDN w:val="0"/>
              <w:adjustRightInd w:val="0"/>
              <w:spacing w:line="360" w:lineRule="auto"/>
              <w:outlineLvl w:val="0"/>
              <w:rPr>
                <w:rFonts w:ascii="宋体" w:cs="宋体"/>
                <w:sz w:val="24"/>
                <w:lang w:val="zh-CN"/>
              </w:rPr>
            </w:pPr>
          </w:p>
        </w:tc>
        <w:tc>
          <w:tcPr>
            <w:tcW w:w="718" w:type="dxa"/>
            <w:vAlign w:val="center"/>
          </w:tcPr>
          <w:p>
            <w:pPr>
              <w:autoSpaceDE w:val="0"/>
              <w:autoSpaceDN w:val="0"/>
              <w:adjustRightInd w:val="0"/>
              <w:spacing w:line="360" w:lineRule="auto"/>
              <w:outlineLvl w:val="0"/>
              <w:rPr>
                <w:rFonts w:ascii="宋体" w:cs="宋体"/>
                <w:sz w:val="24"/>
                <w:lang w:val="zh-CN"/>
              </w:rPr>
            </w:pPr>
          </w:p>
        </w:tc>
        <w:tc>
          <w:tcPr>
            <w:tcW w:w="716" w:type="dxa"/>
            <w:vAlign w:val="center"/>
          </w:tcPr>
          <w:p>
            <w:pPr>
              <w:autoSpaceDE w:val="0"/>
              <w:autoSpaceDN w:val="0"/>
              <w:adjustRightInd w:val="0"/>
              <w:spacing w:line="360" w:lineRule="auto"/>
              <w:outlineLvl w:val="0"/>
              <w:rPr>
                <w:rFonts w:ascii="宋体" w:cs="宋体"/>
                <w:sz w:val="24"/>
                <w:lang w:val="zh-CN"/>
              </w:rPr>
            </w:pPr>
          </w:p>
        </w:tc>
        <w:tc>
          <w:tcPr>
            <w:tcW w:w="1076" w:type="dxa"/>
            <w:vAlign w:val="center"/>
          </w:tcPr>
          <w:p>
            <w:pPr>
              <w:autoSpaceDE w:val="0"/>
              <w:autoSpaceDN w:val="0"/>
              <w:adjustRightInd w:val="0"/>
              <w:spacing w:line="360" w:lineRule="auto"/>
              <w:outlineLvl w:val="0"/>
              <w:rPr>
                <w:rFonts w:ascii="宋体" w:cs="宋体"/>
                <w:sz w:val="24"/>
                <w:lang w:val="zh-CN"/>
              </w:rPr>
            </w:pPr>
          </w:p>
        </w:tc>
        <w:tc>
          <w:tcPr>
            <w:tcW w:w="1434" w:type="dxa"/>
            <w:vAlign w:val="center"/>
          </w:tcPr>
          <w:p>
            <w:pPr>
              <w:autoSpaceDE w:val="0"/>
              <w:autoSpaceDN w:val="0"/>
              <w:adjustRightInd w:val="0"/>
              <w:spacing w:line="360" w:lineRule="auto"/>
              <w:outlineLvl w:val="0"/>
              <w:rPr>
                <w:rFonts w:ascii="宋体" w:cs="宋体"/>
                <w:sz w:val="24"/>
                <w:lang w:val="zh-CN"/>
              </w:rPr>
            </w:pPr>
          </w:p>
        </w:tc>
        <w:tc>
          <w:tcPr>
            <w:tcW w:w="1389" w:type="dxa"/>
            <w:vAlign w:val="center"/>
          </w:tcPr>
          <w:p>
            <w:pPr>
              <w:autoSpaceDE w:val="0"/>
              <w:autoSpaceDN w:val="0"/>
              <w:adjustRightInd w:val="0"/>
              <w:spacing w:line="360" w:lineRule="auto"/>
              <w:outlineLvl w:val="0"/>
              <w:rPr>
                <w:rFonts w:ascii="宋体" w:cs="宋体"/>
                <w:sz w:val="24"/>
                <w:lang w:val="zh-CN"/>
              </w:rPr>
            </w:pPr>
          </w:p>
        </w:tc>
        <w:tc>
          <w:tcPr>
            <w:tcW w:w="1584" w:type="dxa"/>
            <w:vAlign w:val="center"/>
          </w:tcPr>
          <w:p>
            <w:pPr>
              <w:autoSpaceDE w:val="0"/>
              <w:autoSpaceDN w:val="0"/>
              <w:adjustRightInd w:val="0"/>
              <w:spacing w:line="360" w:lineRule="auto"/>
              <w:outlineLvl w:val="0"/>
              <w:rPr>
                <w:rFonts w:asci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583" w:type="dxa"/>
            <w:vAlign w:val="center"/>
          </w:tcPr>
          <w:p>
            <w:pPr>
              <w:autoSpaceDE w:val="0"/>
              <w:autoSpaceDN w:val="0"/>
              <w:adjustRightInd w:val="0"/>
              <w:spacing w:line="360" w:lineRule="auto"/>
              <w:outlineLvl w:val="0"/>
              <w:rPr>
                <w:rFonts w:ascii="宋体" w:cs="宋体"/>
                <w:sz w:val="24"/>
                <w:lang w:val="zh-CN"/>
              </w:rPr>
            </w:pPr>
          </w:p>
        </w:tc>
        <w:tc>
          <w:tcPr>
            <w:tcW w:w="718" w:type="dxa"/>
            <w:vAlign w:val="center"/>
          </w:tcPr>
          <w:p>
            <w:pPr>
              <w:autoSpaceDE w:val="0"/>
              <w:autoSpaceDN w:val="0"/>
              <w:adjustRightInd w:val="0"/>
              <w:spacing w:line="360" w:lineRule="auto"/>
              <w:outlineLvl w:val="0"/>
              <w:rPr>
                <w:rFonts w:ascii="宋体" w:cs="宋体"/>
                <w:sz w:val="24"/>
                <w:lang w:val="zh-CN"/>
              </w:rPr>
            </w:pPr>
          </w:p>
        </w:tc>
        <w:tc>
          <w:tcPr>
            <w:tcW w:w="716" w:type="dxa"/>
            <w:vAlign w:val="center"/>
          </w:tcPr>
          <w:p>
            <w:pPr>
              <w:autoSpaceDE w:val="0"/>
              <w:autoSpaceDN w:val="0"/>
              <w:adjustRightInd w:val="0"/>
              <w:spacing w:line="360" w:lineRule="auto"/>
              <w:outlineLvl w:val="0"/>
              <w:rPr>
                <w:rFonts w:ascii="宋体" w:cs="宋体"/>
                <w:sz w:val="24"/>
                <w:lang w:val="zh-CN"/>
              </w:rPr>
            </w:pPr>
          </w:p>
        </w:tc>
        <w:tc>
          <w:tcPr>
            <w:tcW w:w="1076" w:type="dxa"/>
            <w:vAlign w:val="center"/>
          </w:tcPr>
          <w:p>
            <w:pPr>
              <w:autoSpaceDE w:val="0"/>
              <w:autoSpaceDN w:val="0"/>
              <w:adjustRightInd w:val="0"/>
              <w:spacing w:line="360" w:lineRule="auto"/>
              <w:outlineLvl w:val="0"/>
              <w:rPr>
                <w:rFonts w:ascii="宋体" w:cs="宋体"/>
                <w:sz w:val="24"/>
                <w:lang w:val="zh-CN"/>
              </w:rPr>
            </w:pPr>
          </w:p>
        </w:tc>
        <w:tc>
          <w:tcPr>
            <w:tcW w:w="1434" w:type="dxa"/>
            <w:vAlign w:val="center"/>
          </w:tcPr>
          <w:p>
            <w:pPr>
              <w:autoSpaceDE w:val="0"/>
              <w:autoSpaceDN w:val="0"/>
              <w:adjustRightInd w:val="0"/>
              <w:spacing w:line="360" w:lineRule="auto"/>
              <w:outlineLvl w:val="0"/>
              <w:rPr>
                <w:rFonts w:ascii="宋体" w:cs="宋体"/>
                <w:sz w:val="24"/>
                <w:lang w:val="zh-CN"/>
              </w:rPr>
            </w:pPr>
          </w:p>
        </w:tc>
        <w:tc>
          <w:tcPr>
            <w:tcW w:w="1389" w:type="dxa"/>
            <w:vAlign w:val="center"/>
          </w:tcPr>
          <w:p>
            <w:pPr>
              <w:autoSpaceDE w:val="0"/>
              <w:autoSpaceDN w:val="0"/>
              <w:adjustRightInd w:val="0"/>
              <w:spacing w:line="360" w:lineRule="auto"/>
              <w:outlineLvl w:val="0"/>
              <w:rPr>
                <w:rFonts w:ascii="宋体" w:cs="宋体"/>
                <w:sz w:val="24"/>
                <w:lang w:val="zh-CN"/>
              </w:rPr>
            </w:pPr>
          </w:p>
        </w:tc>
        <w:tc>
          <w:tcPr>
            <w:tcW w:w="1584" w:type="dxa"/>
            <w:vAlign w:val="center"/>
          </w:tcPr>
          <w:p>
            <w:pPr>
              <w:autoSpaceDE w:val="0"/>
              <w:autoSpaceDN w:val="0"/>
              <w:adjustRightInd w:val="0"/>
              <w:spacing w:line="360" w:lineRule="auto"/>
              <w:outlineLvl w:val="0"/>
              <w:rPr>
                <w:rFonts w:ascii="宋体" w:cs="宋体"/>
                <w:sz w:val="24"/>
                <w:lang w:val="zh-CN"/>
              </w:rPr>
            </w:pPr>
          </w:p>
        </w:tc>
      </w:tr>
    </w:tbl>
    <w:p>
      <w:pPr>
        <w:spacing w:after="156" w:afterLines="50" w:line="320" w:lineRule="exact"/>
        <w:rPr>
          <w:rFonts w:ascii="宋体" w:hAnsi="宋体" w:cs="Arial"/>
          <w:sz w:val="24"/>
          <w:szCs w:val="24"/>
          <w:u w:val="single"/>
        </w:rPr>
      </w:pPr>
      <w:r>
        <w:rPr>
          <w:rFonts w:hint="eastAsia" w:ascii="宋体" w:hAnsi="宋体" w:cs="Arial"/>
          <w:sz w:val="24"/>
          <w:szCs w:val="24"/>
        </w:rPr>
        <w:t>供应商名</w:t>
      </w:r>
      <w:r>
        <w:rPr>
          <w:rFonts w:ascii="宋体" w:hAnsi="宋体" w:cs="Arial"/>
          <w:sz w:val="24"/>
          <w:szCs w:val="24"/>
        </w:rPr>
        <w:t>称</w:t>
      </w:r>
      <w:r>
        <w:rPr>
          <w:rFonts w:hint="eastAsia" w:ascii="宋体" w:hAnsi="宋体" w:cs="Arial"/>
          <w:sz w:val="24"/>
          <w:szCs w:val="24"/>
        </w:rPr>
        <w:t>（并加</w:t>
      </w:r>
      <w:r>
        <w:rPr>
          <w:rFonts w:ascii="宋体" w:hAnsi="宋体" w:cs="Arial"/>
          <w:sz w:val="24"/>
          <w:szCs w:val="24"/>
        </w:rPr>
        <w:t>盖</w:t>
      </w:r>
      <w:r>
        <w:rPr>
          <w:rFonts w:hint="eastAsia" w:ascii="宋体" w:hAnsi="宋体" w:cs="Arial"/>
          <w:sz w:val="24"/>
          <w:szCs w:val="24"/>
        </w:rPr>
        <w:t>公章）：</w:t>
      </w:r>
    </w:p>
    <w:p>
      <w:pPr>
        <w:adjustRightInd w:val="0"/>
        <w:spacing w:before="60" w:after="156" w:afterLines="50" w:line="320" w:lineRule="exact"/>
        <w:jc w:val="left"/>
        <w:textAlignment w:val="baseline"/>
        <w:rPr>
          <w:rFonts w:ascii="宋体" w:hAnsi="宋体" w:cs="Arial"/>
          <w:kern w:val="0"/>
          <w:sz w:val="24"/>
          <w:szCs w:val="24"/>
        </w:rPr>
      </w:pPr>
      <w:r>
        <w:rPr>
          <w:rFonts w:hint="eastAsia" w:ascii="宋体" w:hAnsi="宋体" w:cs="Arial"/>
          <w:kern w:val="0"/>
          <w:sz w:val="24"/>
          <w:szCs w:val="24"/>
        </w:rPr>
        <w:t>法定代表人（代表人）或其授</w:t>
      </w:r>
      <w:r>
        <w:rPr>
          <w:rFonts w:ascii="宋体" w:hAnsi="宋体" w:cs="Arial"/>
          <w:kern w:val="0"/>
          <w:sz w:val="24"/>
          <w:szCs w:val="24"/>
        </w:rPr>
        <w:t>权</w:t>
      </w:r>
      <w:r>
        <w:rPr>
          <w:rFonts w:hint="eastAsia" w:ascii="宋体" w:hAnsi="宋体" w:cs="Arial"/>
          <w:kern w:val="0"/>
          <w:sz w:val="24"/>
          <w:szCs w:val="24"/>
        </w:rPr>
        <w:t>委托人：</w:t>
      </w:r>
      <w:r>
        <w:rPr>
          <w:rFonts w:hint="eastAsia" w:ascii="黑体" w:hAnsi="宋体" w:eastAsia="黑体" w:cs="Arial"/>
          <w:kern w:val="0"/>
          <w:szCs w:val="21"/>
          <w:u w:val="single"/>
        </w:rPr>
        <w:t>（法定代表人（代表人）可签字或加盖名章，授权委托人必须签字）</w:t>
      </w:r>
    </w:p>
    <w:p>
      <w:pPr>
        <w:snapToGrid w:val="0"/>
        <w:spacing w:line="360" w:lineRule="auto"/>
        <w:jc w:val="left"/>
        <w:rPr>
          <w:rFonts w:hAnsi="宋体" w:eastAsia="宋体"/>
          <w:bCs/>
          <w:snapToGrid w:val="0"/>
          <w:kern w:val="0"/>
          <w:sz w:val="36"/>
          <w:szCs w:val="36"/>
        </w:rPr>
      </w:pPr>
      <w:r>
        <w:rPr>
          <w:kern w:val="0"/>
          <w:sz w:val="24"/>
          <w:szCs w:val="20"/>
        </w:rPr>
        <w:t>签</w:t>
      </w:r>
      <w:r>
        <w:rPr>
          <w:rFonts w:hint="eastAsia"/>
          <w:kern w:val="0"/>
          <w:sz w:val="24"/>
          <w:szCs w:val="20"/>
        </w:rPr>
        <w:t>署日期：年月日</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szCs w:val="21"/>
        </w:rPr>
      </w:pPr>
    </w:p>
    <w:p>
      <w:pPr>
        <w:widowControl/>
        <w:spacing w:before="100" w:beforeAutospacing="1" w:after="100" w:afterAutospacing="1" w:line="360" w:lineRule="auto"/>
        <w:jc w:val="left"/>
        <w:rPr>
          <w:rFonts w:ascii="宋体" w:hAnsi="宋体"/>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7" w:name="OLE_LINK13"/>
      <w:bookmarkStart w:id="8" w:name="OLE_LINK14"/>
      <w:r>
        <w:rPr>
          <w:rFonts w:hint="eastAsia" w:ascii="宋体" w:hAnsi="宋体"/>
          <w:b/>
          <w:bCs/>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宋体"/>
    <w:panose1 w:val="00000000000000000000"/>
    <w:charset w:val="86"/>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7"/>
  </w:num>
  <w:num w:numId="6">
    <w:abstractNumId w:val="15"/>
  </w:num>
  <w:num w:numId="7">
    <w:abstractNumId w:val="16"/>
  </w:num>
  <w:num w:numId="8">
    <w:abstractNumId w:val="11"/>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3"/>
    <w:rsid w:val="00000A27"/>
    <w:rsid w:val="000043E4"/>
    <w:rsid w:val="00012712"/>
    <w:rsid w:val="000178D4"/>
    <w:rsid w:val="00020353"/>
    <w:rsid w:val="00022000"/>
    <w:rsid w:val="00022021"/>
    <w:rsid w:val="000300B0"/>
    <w:rsid w:val="000318E9"/>
    <w:rsid w:val="0003238A"/>
    <w:rsid w:val="00033D27"/>
    <w:rsid w:val="00034324"/>
    <w:rsid w:val="000554D6"/>
    <w:rsid w:val="00061EBD"/>
    <w:rsid w:val="00066076"/>
    <w:rsid w:val="00074086"/>
    <w:rsid w:val="00086AFB"/>
    <w:rsid w:val="000938BE"/>
    <w:rsid w:val="000A7A0E"/>
    <w:rsid w:val="000B0281"/>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4ABF"/>
    <w:rsid w:val="001453AC"/>
    <w:rsid w:val="00157BFD"/>
    <w:rsid w:val="001611DC"/>
    <w:rsid w:val="0016162A"/>
    <w:rsid w:val="00162961"/>
    <w:rsid w:val="001729F5"/>
    <w:rsid w:val="00175E00"/>
    <w:rsid w:val="001812E3"/>
    <w:rsid w:val="001A1B6C"/>
    <w:rsid w:val="001A3DE4"/>
    <w:rsid w:val="001B3201"/>
    <w:rsid w:val="001B3B1F"/>
    <w:rsid w:val="001B3FA7"/>
    <w:rsid w:val="001C128F"/>
    <w:rsid w:val="001D1F28"/>
    <w:rsid w:val="001D2862"/>
    <w:rsid w:val="001D6381"/>
    <w:rsid w:val="001D6D29"/>
    <w:rsid w:val="001E3E55"/>
    <w:rsid w:val="00204F49"/>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A5218"/>
    <w:rsid w:val="002D5CAA"/>
    <w:rsid w:val="002E3710"/>
    <w:rsid w:val="002F56B1"/>
    <w:rsid w:val="002F68B9"/>
    <w:rsid w:val="00300379"/>
    <w:rsid w:val="00301814"/>
    <w:rsid w:val="00304216"/>
    <w:rsid w:val="00307037"/>
    <w:rsid w:val="003103B1"/>
    <w:rsid w:val="00313750"/>
    <w:rsid w:val="003149D4"/>
    <w:rsid w:val="00315BEB"/>
    <w:rsid w:val="003176AD"/>
    <w:rsid w:val="00322385"/>
    <w:rsid w:val="00323554"/>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A1CDD"/>
    <w:rsid w:val="003B47AA"/>
    <w:rsid w:val="003B602C"/>
    <w:rsid w:val="003B6371"/>
    <w:rsid w:val="003D2B2F"/>
    <w:rsid w:val="003D3FB5"/>
    <w:rsid w:val="003E149A"/>
    <w:rsid w:val="003E2DBE"/>
    <w:rsid w:val="003E60D9"/>
    <w:rsid w:val="00403846"/>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5ED0"/>
    <w:rsid w:val="004E6481"/>
    <w:rsid w:val="004F1DBB"/>
    <w:rsid w:val="004F5BE4"/>
    <w:rsid w:val="005020CD"/>
    <w:rsid w:val="00512A12"/>
    <w:rsid w:val="00521E2C"/>
    <w:rsid w:val="00522091"/>
    <w:rsid w:val="00522697"/>
    <w:rsid w:val="0053759D"/>
    <w:rsid w:val="00544270"/>
    <w:rsid w:val="00547C51"/>
    <w:rsid w:val="005549F8"/>
    <w:rsid w:val="005615A7"/>
    <w:rsid w:val="00561C5B"/>
    <w:rsid w:val="00565552"/>
    <w:rsid w:val="00573D06"/>
    <w:rsid w:val="005768AB"/>
    <w:rsid w:val="00577061"/>
    <w:rsid w:val="0058043E"/>
    <w:rsid w:val="0058324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3C9"/>
    <w:rsid w:val="006F68CC"/>
    <w:rsid w:val="0070010A"/>
    <w:rsid w:val="00701F64"/>
    <w:rsid w:val="00704BF9"/>
    <w:rsid w:val="00705BA9"/>
    <w:rsid w:val="00707A61"/>
    <w:rsid w:val="00716F27"/>
    <w:rsid w:val="00721226"/>
    <w:rsid w:val="00721711"/>
    <w:rsid w:val="007327FC"/>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49C"/>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005A"/>
    <w:rsid w:val="0085213A"/>
    <w:rsid w:val="00855D0D"/>
    <w:rsid w:val="0086265C"/>
    <w:rsid w:val="008656DB"/>
    <w:rsid w:val="008734AD"/>
    <w:rsid w:val="008753FE"/>
    <w:rsid w:val="008768A2"/>
    <w:rsid w:val="00877C6C"/>
    <w:rsid w:val="008833DC"/>
    <w:rsid w:val="008834FE"/>
    <w:rsid w:val="00884D0F"/>
    <w:rsid w:val="00884F11"/>
    <w:rsid w:val="00887FE7"/>
    <w:rsid w:val="0089369E"/>
    <w:rsid w:val="00893B24"/>
    <w:rsid w:val="00896816"/>
    <w:rsid w:val="00897CCA"/>
    <w:rsid w:val="008A1EE5"/>
    <w:rsid w:val="008A4543"/>
    <w:rsid w:val="008A5850"/>
    <w:rsid w:val="008B57FF"/>
    <w:rsid w:val="008B5A12"/>
    <w:rsid w:val="008B7AF4"/>
    <w:rsid w:val="008C40A8"/>
    <w:rsid w:val="008C4BEA"/>
    <w:rsid w:val="008C53A7"/>
    <w:rsid w:val="008E62A2"/>
    <w:rsid w:val="008F0E43"/>
    <w:rsid w:val="008F3208"/>
    <w:rsid w:val="00902A7F"/>
    <w:rsid w:val="00903B04"/>
    <w:rsid w:val="00905A17"/>
    <w:rsid w:val="00920609"/>
    <w:rsid w:val="00920892"/>
    <w:rsid w:val="009209F7"/>
    <w:rsid w:val="0092409E"/>
    <w:rsid w:val="00930F65"/>
    <w:rsid w:val="00945983"/>
    <w:rsid w:val="00973D36"/>
    <w:rsid w:val="0097535A"/>
    <w:rsid w:val="00976128"/>
    <w:rsid w:val="00985EBA"/>
    <w:rsid w:val="0098622D"/>
    <w:rsid w:val="009A452D"/>
    <w:rsid w:val="009B15D1"/>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A753F"/>
    <w:rsid w:val="00AB7536"/>
    <w:rsid w:val="00AC49CE"/>
    <w:rsid w:val="00AC4FD2"/>
    <w:rsid w:val="00AD6E73"/>
    <w:rsid w:val="00AE03A1"/>
    <w:rsid w:val="00AE3298"/>
    <w:rsid w:val="00B018CE"/>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2907"/>
    <w:rsid w:val="00BF1566"/>
    <w:rsid w:val="00BF2BE8"/>
    <w:rsid w:val="00C214C3"/>
    <w:rsid w:val="00C21A0B"/>
    <w:rsid w:val="00C22847"/>
    <w:rsid w:val="00C23C88"/>
    <w:rsid w:val="00C3639D"/>
    <w:rsid w:val="00C41183"/>
    <w:rsid w:val="00C42020"/>
    <w:rsid w:val="00C42E82"/>
    <w:rsid w:val="00C44B22"/>
    <w:rsid w:val="00C46BF7"/>
    <w:rsid w:val="00C52340"/>
    <w:rsid w:val="00C57015"/>
    <w:rsid w:val="00C70AC1"/>
    <w:rsid w:val="00C70FB9"/>
    <w:rsid w:val="00C736B5"/>
    <w:rsid w:val="00C73B5B"/>
    <w:rsid w:val="00C75E17"/>
    <w:rsid w:val="00C821C3"/>
    <w:rsid w:val="00C967BD"/>
    <w:rsid w:val="00CA60C0"/>
    <w:rsid w:val="00CB5D80"/>
    <w:rsid w:val="00CB7BBD"/>
    <w:rsid w:val="00CC635B"/>
    <w:rsid w:val="00CD0DF3"/>
    <w:rsid w:val="00CD108B"/>
    <w:rsid w:val="00CD1688"/>
    <w:rsid w:val="00CD275D"/>
    <w:rsid w:val="00CE03F4"/>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0911"/>
    <w:rsid w:val="00D42A85"/>
    <w:rsid w:val="00D50424"/>
    <w:rsid w:val="00D53F80"/>
    <w:rsid w:val="00D615B9"/>
    <w:rsid w:val="00D65B94"/>
    <w:rsid w:val="00D65D54"/>
    <w:rsid w:val="00D76F25"/>
    <w:rsid w:val="00D812C2"/>
    <w:rsid w:val="00DB0DE6"/>
    <w:rsid w:val="00DC21F0"/>
    <w:rsid w:val="00DC6509"/>
    <w:rsid w:val="00DE0BA3"/>
    <w:rsid w:val="00DE35F4"/>
    <w:rsid w:val="00DF1A9A"/>
    <w:rsid w:val="00DF2776"/>
    <w:rsid w:val="00DF323D"/>
    <w:rsid w:val="00E03D77"/>
    <w:rsid w:val="00E26814"/>
    <w:rsid w:val="00E301A5"/>
    <w:rsid w:val="00E31290"/>
    <w:rsid w:val="00E34343"/>
    <w:rsid w:val="00E4123F"/>
    <w:rsid w:val="00E533A3"/>
    <w:rsid w:val="00E53E54"/>
    <w:rsid w:val="00E554FC"/>
    <w:rsid w:val="00E57228"/>
    <w:rsid w:val="00E7089C"/>
    <w:rsid w:val="00E7246F"/>
    <w:rsid w:val="00E81BC8"/>
    <w:rsid w:val="00E970F5"/>
    <w:rsid w:val="00EA678F"/>
    <w:rsid w:val="00EB0809"/>
    <w:rsid w:val="00EB122F"/>
    <w:rsid w:val="00EC12C7"/>
    <w:rsid w:val="00EC52FD"/>
    <w:rsid w:val="00EC5F8C"/>
    <w:rsid w:val="00EC6291"/>
    <w:rsid w:val="00ED12B1"/>
    <w:rsid w:val="00ED4E2E"/>
    <w:rsid w:val="00ED57DC"/>
    <w:rsid w:val="00EE15D9"/>
    <w:rsid w:val="00EF1B01"/>
    <w:rsid w:val="00EF5261"/>
    <w:rsid w:val="00F001F0"/>
    <w:rsid w:val="00F028D6"/>
    <w:rsid w:val="00F04FC6"/>
    <w:rsid w:val="00F105D7"/>
    <w:rsid w:val="00F270AE"/>
    <w:rsid w:val="00F2739F"/>
    <w:rsid w:val="00F314E6"/>
    <w:rsid w:val="00F33712"/>
    <w:rsid w:val="00F36EAE"/>
    <w:rsid w:val="00F566F9"/>
    <w:rsid w:val="00F6323A"/>
    <w:rsid w:val="00F6614B"/>
    <w:rsid w:val="00F700DD"/>
    <w:rsid w:val="00F726CB"/>
    <w:rsid w:val="00F771F3"/>
    <w:rsid w:val="00F823FB"/>
    <w:rsid w:val="00F84F9D"/>
    <w:rsid w:val="00F94449"/>
    <w:rsid w:val="00F95117"/>
    <w:rsid w:val="00FA3464"/>
    <w:rsid w:val="00FA69A3"/>
    <w:rsid w:val="00FC1E9C"/>
    <w:rsid w:val="00FC5937"/>
    <w:rsid w:val="00FC7550"/>
    <w:rsid w:val="00FD2FE5"/>
    <w:rsid w:val="00FE0F7C"/>
    <w:rsid w:val="00FE5F6A"/>
    <w:rsid w:val="00FE6A83"/>
    <w:rsid w:val="00FF2E8B"/>
    <w:rsid w:val="00FF7E23"/>
    <w:rsid w:val="06BF1EA6"/>
    <w:rsid w:val="06D84C2B"/>
    <w:rsid w:val="070C11A2"/>
    <w:rsid w:val="072B4937"/>
    <w:rsid w:val="07405120"/>
    <w:rsid w:val="09CB7734"/>
    <w:rsid w:val="0B174CFF"/>
    <w:rsid w:val="0C6322DD"/>
    <w:rsid w:val="0E370BC9"/>
    <w:rsid w:val="0E920B1C"/>
    <w:rsid w:val="0FF24399"/>
    <w:rsid w:val="14464F15"/>
    <w:rsid w:val="159407BD"/>
    <w:rsid w:val="193256C8"/>
    <w:rsid w:val="1E231C31"/>
    <w:rsid w:val="1F5023DC"/>
    <w:rsid w:val="205A6931"/>
    <w:rsid w:val="20FE2263"/>
    <w:rsid w:val="232C34A4"/>
    <w:rsid w:val="2699369F"/>
    <w:rsid w:val="2BBA039F"/>
    <w:rsid w:val="2D9D3A14"/>
    <w:rsid w:val="2F952B22"/>
    <w:rsid w:val="31BD208A"/>
    <w:rsid w:val="34AB19F6"/>
    <w:rsid w:val="353676A3"/>
    <w:rsid w:val="38F96EAA"/>
    <w:rsid w:val="39656B66"/>
    <w:rsid w:val="3EE016B7"/>
    <w:rsid w:val="3F2C3390"/>
    <w:rsid w:val="3FFB3BAF"/>
    <w:rsid w:val="4199386E"/>
    <w:rsid w:val="42982FF7"/>
    <w:rsid w:val="43107F6B"/>
    <w:rsid w:val="45DC0799"/>
    <w:rsid w:val="47897C75"/>
    <w:rsid w:val="4F0F1C31"/>
    <w:rsid w:val="51C34EAB"/>
    <w:rsid w:val="54822946"/>
    <w:rsid w:val="55C9186A"/>
    <w:rsid w:val="56164523"/>
    <w:rsid w:val="58443E8B"/>
    <w:rsid w:val="5895333B"/>
    <w:rsid w:val="5A9138C7"/>
    <w:rsid w:val="5E8D3844"/>
    <w:rsid w:val="60B4658E"/>
    <w:rsid w:val="65456C34"/>
    <w:rsid w:val="661E7A63"/>
    <w:rsid w:val="67132BEA"/>
    <w:rsid w:val="68131D94"/>
    <w:rsid w:val="6A50263F"/>
    <w:rsid w:val="6C3A144F"/>
    <w:rsid w:val="713C0C8D"/>
    <w:rsid w:val="766462B9"/>
    <w:rsid w:val="78A53551"/>
    <w:rsid w:val="791848FA"/>
    <w:rsid w:val="7A001347"/>
    <w:rsid w:val="7A2F7FEF"/>
    <w:rsid w:val="7A3F43BD"/>
    <w:rsid w:val="7AB01D2F"/>
    <w:rsid w:val="7C7D2474"/>
    <w:rsid w:val="7CAE41C1"/>
    <w:rsid w:val="7E02066A"/>
    <w:rsid w:val="7F1C314B"/>
    <w:rsid w:val="7F52700A"/>
    <w:rsid w:val="7FCF4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Balloon Text"/>
    <w:basedOn w:val="1"/>
    <w:link w:val="55"/>
    <w:semiHidden/>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2"/>
    <w:unhideWhenUsed/>
    <w:qFormat/>
    <w:uiPriority w:val="99"/>
    <w:rPr>
      <w:color w:val="0000FF"/>
      <w:u w:val="singl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字符"/>
    <w:basedOn w:val="22"/>
    <w:link w:val="4"/>
    <w:qFormat/>
    <w:uiPriority w:val="0"/>
    <w:rPr>
      <w:rFonts w:ascii="Calibri" w:hAnsi="Calibri" w:eastAsia="宋体" w:cs="Times New Roman"/>
      <w:b/>
      <w:bCs/>
      <w:kern w:val="44"/>
      <w:sz w:val="44"/>
      <w:szCs w:val="44"/>
    </w:rPr>
  </w:style>
  <w:style w:type="character" w:customStyle="1" w:styleId="29">
    <w:name w:val="标题 2 字符"/>
    <w:basedOn w:val="22"/>
    <w:link w:val="5"/>
    <w:qFormat/>
    <w:uiPriority w:val="0"/>
    <w:rPr>
      <w:rFonts w:ascii="Arial" w:hAnsi="Arial" w:eastAsia="黑体" w:cs="Times New Roman"/>
      <w:b/>
      <w:bCs/>
      <w:kern w:val="0"/>
      <w:sz w:val="32"/>
      <w:szCs w:val="32"/>
    </w:rPr>
  </w:style>
  <w:style w:type="character" w:customStyle="1" w:styleId="30">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2"/>
    <w:link w:val="7"/>
    <w:qFormat/>
    <w:uiPriority w:val="0"/>
    <w:rPr>
      <w:rFonts w:ascii="Arial" w:hAnsi="Arial" w:eastAsia="黑体" w:cs="Times New Roman"/>
      <w:b/>
      <w:bCs/>
      <w:kern w:val="0"/>
      <w:sz w:val="28"/>
      <w:szCs w:val="28"/>
    </w:rPr>
  </w:style>
  <w:style w:type="character" w:customStyle="1" w:styleId="32">
    <w:name w:val="纯文本 字符"/>
    <w:basedOn w:val="22"/>
    <w:link w:val="13"/>
    <w:qFormat/>
    <w:uiPriority w:val="0"/>
    <w:rPr>
      <w:rFonts w:eastAsia="宋体"/>
      <w:sz w:val="24"/>
    </w:rPr>
  </w:style>
  <w:style w:type="character" w:customStyle="1" w:styleId="33">
    <w:name w:val="日期 字符"/>
    <w:basedOn w:val="22"/>
    <w:link w:val="14"/>
    <w:qFormat/>
    <w:uiPriority w:val="99"/>
  </w:style>
  <w:style w:type="character" w:customStyle="1" w:styleId="34">
    <w:name w:val="页脚 字符"/>
    <w:basedOn w:val="22"/>
    <w:link w:val="17"/>
    <w:qFormat/>
    <w:uiPriority w:val="99"/>
    <w:rPr>
      <w:sz w:val="18"/>
      <w:szCs w:val="18"/>
    </w:rPr>
  </w:style>
  <w:style w:type="character" w:customStyle="1" w:styleId="35">
    <w:name w:val="页眉 字符"/>
    <w:basedOn w:val="22"/>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2"/>
    <w:link w:val="10"/>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2"/>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2"/>
    <w:link w:val="20"/>
    <w:semiHidden/>
    <w:qFormat/>
    <w:uiPriority w:val="99"/>
    <w:rPr>
      <w:rFonts w:ascii="宋体" w:hAnsi="宋体" w:eastAsia="宋体" w:cs="宋体"/>
      <w:kern w:val="0"/>
      <w:sz w:val="24"/>
      <w:szCs w:val="24"/>
    </w:rPr>
  </w:style>
  <w:style w:type="paragraph" w:customStyle="1" w:styleId="54">
    <w:name w:val="列出段落"/>
    <w:basedOn w:val="1"/>
    <w:qFormat/>
    <w:uiPriority w:val="0"/>
    <w:pPr>
      <w:adjustRightInd w:val="0"/>
      <w:snapToGrid w:val="0"/>
      <w:spacing w:line="360" w:lineRule="auto"/>
      <w:ind w:firstLine="420" w:firstLineChars="200"/>
    </w:pPr>
    <w:rPr>
      <w:rFonts w:ascii="Times New Roman" w:hAnsi="Times New Roman" w:eastAsia="宋体" w:cs="Times New Roman"/>
      <w:color w:val="000000"/>
      <w:szCs w:val="21"/>
    </w:rPr>
  </w:style>
  <w:style w:type="character" w:customStyle="1" w:styleId="55">
    <w:name w:val="批注框文本 字符"/>
    <w:basedOn w:val="22"/>
    <w:link w:val="1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B98A0-E170-4F7D-920B-5AE22E595653}">
  <ds:schemaRefs/>
</ds:datastoreItem>
</file>

<file path=docProps/app.xml><?xml version="1.0" encoding="utf-8"?>
<Properties xmlns="http://schemas.openxmlformats.org/officeDocument/2006/extended-properties" xmlns:vt="http://schemas.openxmlformats.org/officeDocument/2006/docPropsVTypes">
  <Template>Normal</Template>
  <Pages>58</Pages>
  <Words>5201</Words>
  <Characters>29648</Characters>
  <Lines>247</Lines>
  <Paragraphs>69</Paragraphs>
  <TotalTime>2</TotalTime>
  <ScaleCrop>false</ScaleCrop>
  <LinksUpToDate>false</LinksUpToDate>
  <CharactersWithSpaces>34780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‖红高粱、</cp:lastModifiedBy>
  <cp:lastPrinted>2018-10-10T06:56:00Z</cp:lastPrinted>
  <dcterms:modified xsi:type="dcterms:W3CDTF">2018-10-11T02:36:51Z</dcterms:modified>
  <cp:revision>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