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jc w:val="center"/>
        <w:rPr>
          <w:snapToGrid w:val="0"/>
          <w:kern w:val="0"/>
          <w:lang w:val="en-US"/>
        </w:rPr>
      </w:pPr>
      <w:r>
        <w:rPr>
          <w:rFonts w:hint="eastAsia" w:ascii="Cambria" w:hAnsi="Cambria" w:eastAsia="宋体" w:cs="宋体"/>
          <w:snapToGrid w:val="0"/>
          <w:kern w:val="0"/>
          <w:lang w:eastAsia="zh-CN"/>
        </w:rPr>
        <w:t>投标分项报价表</w:t>
      </w:r>
    </w:p>
    <w:p>
      <w:pPr>
        <w:pStyle w:val="3"/>
        <w:keepNext w:val="0"/>
        <w:keepLines w:val="0"/>
        <w:widowControl/>
        <w:suppressLineNumbers w:val="0"/>
        <w:spacing w:before="50" w:beforeAutospacing="0" w:after="120" w:afterLines="50" w:afterAutospacing="0" w:line="360" w:lineRule="auto"/>
        <w:ind w:left="0" w:right="0"/>
        <w:contextualSpacing/>
        <w:jc w:val="left"/>
        <w:rPr>
          <w:rFonts w:hint="eastAsia" w:ascii="宋体" w:hAnsi="宋体" w:eastAsia="宋体" w:cs="宋体"/>
          <w:color w:val="000000"/>
          <w:sz w:val="24"/>
          <w:szCs w:val="24"/>
          <w:lang w:val="en-US"/>
        </w:rPr>
      </w:pPr>
      <w:r>
        <w:rPr>
          <w:rFonts w:hint="eastAsia" w:ascii="宋体" w:hAnsi="宋体" w:eastAsia="宋体" w:cs="宋体"/>
          <w:color w:val="000000"/>
          <w:sz w:val="24"/>
          <w:szCs w:val="24"/>
          <w:lang w:eastAsia="zh-CN"/>
        </w:rPr>
        <w:t>项目编号：</w:t>
      </w:r>
      <w:r>
        <w:rPr>
          <w:rFonts w:hint="eastAsia" w:ascii="宋体" w:hAnsi="宋体" w:eastAsia="宋体" w:cs="宋体"/>
          <w:color w:val="000000"/>
          <w:sz w:val="24"/>
          <w:szCs w:val="24"/>
          <w:lang w:val="en-US"/>
        </w:rPr>
        <w:t>ZFCG-G2018111-1</w:t>
      </w:r>
      <w:r>
        <w:rPr>
          <w:rFonts w:hint="eastAsia" w:ascii="宋体" w:hAnsi="宋体" w:eastAsia="宋体" w:cs="宋体"/>
          <w:color w:val="000000"/>
          <w:sz w:val="24"/>
          <w:szCs w:val="24"/>
          <w:lang w:eastAsia="zh-CN"/>
        </w:rPr>
        <w:t>号</w:t>
      </w:r>
    </w:p>
    <w:p>
      <w:pPr>
        <w:keepNext w:val="0"/>
        <w:keepLines w:val="0"/>
        <w:widowControl w:val="0"/>
        <w:suppressLineNumbers w:val="0"/>
        <w:spacing w:before="0" w:beforeAutospacing="0" w:after="0" w:afterAutospacing="0" w:line="360" w:lineRule="auto"/>
        <w:ind w:left="0" w:right="0"/>
        <w:jc w:val="both"/>
        <w:rPr>
          <w:b/>
          <w:bCs w:val="0"/>
          <w:snapToGrid w:val="0"/>
          <w:kern w:val="0"/>
          <w:sz w:val="24"/>
          <w:szCs w:val="24"/>
          <w:lang w:val="en-US"/>
        </w:rPr>
      </w:pPr>
      <w:r>
        <w:rPr>
          <w:rFonts w:hint="eastAsia" w:ascii="Calibri" w:hAnsi="Calibri" w:eastAsia="宋体" w:cs="宋体"/>
          <w:kern w:val="2"/>
          <w:sz w:val="24"/>
          <w:szCs w:val="24"/>
          <w:lang w:val="en-US" w:eastAsia="zh-CN" w:bidi="ar"/>
        </w:rPr>
        <w:t>项目名称：采购</w:t>
      </w:r>
      <w:r>
        <w:rPr>
          <w:rFonts w:hint="default" w:ascii="Calibri" w:hAnsi="Calibri" w:eastAsia="宋体" w:cs="Times New Roman"/>
          <w:kern w:val="2"/>
          <w:sz w:val="24"/>
          <w:szCs w:val="24"/>
          <w:lang w:val="en-US" w:eastAsia="zh-CN" w:bidi="ar"/>
        </w:rPr>
        <w:t>1000</w:t>
      </w:r>
      <w:r>
        <w:rPr>
          <w:rFonts w:hint="eastAsia" w:ascii="Calibri" w:hAnsi="Calibri" w:eastAsia="宋体" w:cs="宋体"/>
          <w:kern w:val="2"/>
          <w:sz w:val="24"/>
          <w:szCs w:val="24"/>
          <w:lang w:val="en-US" w:eastAsia="zh-CN" w:bidi="ar"/>
        </w:rPr>
        <w:t>个分类式果皮箱</w:t>
      </w:r>
      <w:r>
        <w:rPr>
          <w:rFonts w:hint="default" w:ascii="Calibri" w:hAnsi="Calibri" w:eastAsia="宋体" w:cs="Times New Roman"/>
          <w:kern w:val="2"/>
          <w:sz w:val="24"/>
          <w:szCs w:val="24"/>
          <w:lang w:val="en-US" w:eastAsia="zh-CN" w:bidi="ar"/>
        </w:rPr>
        <w:t xml:space="preserve"> </w:t>
      </w:r>
    </w:p>
    <w:tbl>
      <w:tblPr>
        <w:tblStyle w:val="5"/>
        <w:tblW w:w="14981" w:type="dxa"/>
        <w:tblInd w:w="0" w:type="dxa"/>
        <w:shd w:val="clear" w:color="auto" w:fill="auto"/>
        <w:tblLayout w:type="fixed"/>
        <w:tblCellMar>
          <w:top w:w="0" w:type="dxa"/>
          <w:left w:w="108" w:type="dxa"/>
          <w:bottom w:w="0" w:type="dxa"/>
          <w:right w:w="108" w:type="dxa"/>
        </w:tblCellMar>
      </w:tblPr>
      <w:tblGrid>
        <w:gridCol w:w="533"/>
        <w:gridCol w:w="424"/>
        <w:gridCol w:w="1133"/>
        <w:gridCol w:w="5667"/>
        <w:gridCol w:w="708"/>
        <w:gridCol w:w="1273"/>
        <w:gridCol w:w="1416"/>
        <w:gridCol w:w="1840"/>
        <w:gridCol w:w="1133"/>
        <w:gridCol w:w="854"/>
      </w:tblGrid>
      <w:tr>
        <w:tblPrEx>
          <w:shd w:val="clear" w:color="auto" w:fill="auto"/>
          <w:tblLayout w:type="fixed"/>
          <w:tblCellMar>
            <w:top w:w="0" w:type="dxa"/>
            <w:left w:w="108" w:type="dxa"/>
            <w:bottom w:w="0" w:type="dxa"/>
            <w:right w:w="108" w:type="dxa"/>
          </w:tblCellMar>
        </w:tblPrEx>
        <w:trPr>
          <w:gridAfter w:val="1"/>
          <w:wAfter w:w="854" w:type="dxa"/>
          <w:trHeight w:val="851" w:hRule="atLeast"/>
        </w:trPr>
        <w:tc>
          <w:tcPr>
            <w:tcW w:w="533" w:type="dxa"/>
            <w:tcBorders>
              <w:top w:val="single" w:color="auto" w:sz="6" w:space="0"/>
              <w:left w:val="single" w:color="auto" w:sz="6" w:space="0"/>
              <w:bottom w:val="single" w:color="auto" w:sz="6" w:space="0"/>
              <w:right w:val="single" w:color="auto" w:sz="6" w:space="0"/>
            </w:tcBorders>
            <w:shd w:val="clear" w:color="auto" w:fill="F2F2F2"/>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序号</w:t>
            </w:r>
          </w:p>
        </w:tc>
        <w:tc>
          <w:tcPr>
            <w:tcW w:w="424" w:type="dxa"/>
            <w:tcBorders>
              <w:top w:val="single" w:color="auto" w:sz="6" w:space="0"/>
              <w:left w:val="single" w:color="auto" w:sz="6" w:space="0"/>
              <w:bottom w:val="single" w:color="auto" w:sz="6" w:space="0"/>
              <w:right w:val="single" w:color="auto" w:sz="6" w:space="0"/>
            </w:tcBorders>
            <w:shd w:val="clear" w:color="auto" w:fill="F2F2F2"/>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名称</w:t>
            </w:r>
          </w:p>
        </w:tc>
        <w:tc>
          <w:tcPr>
            <w:tcW w:w="1133" w:type="dxa"/>
            <w:tcBorders>
              <w:top w:val="single" w:color="auto" w:sz="6" w:space="0"/>
              <w:left w:val="single" w:color="auto" w:sz="6" w:space="0"/>
              <w:bottom w:val="single" w:color="auto" w:sz="6" w:space="0"/>
              <w:right w:val="single" w:color="auto" w:sz="6" w:space="0"/>
            </w:tcBorders>
            <w:shd w:val="clear" w:color="auto" w:fill="F2F2F2"/>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品牌规格型号</w:t>
            </w:r>
          </w:p>
        </w:tc>
        <w:tc>
          <w:tcPr>
            <w:tcW w:w="5667" w:type="dxa"/>
            <w:tcBorders>
              <w:top w:val="single" w:color="auto" w:sz="6" w:space="0"/>
              <w:left w:val="single" w:color="auto" w:sz="6" w:space="0"/>
              <w:bottom w:val="single" w:color="auto" w:sz="6" w:space="0"/>
              <w:right w:val="single" w:color="auto" w:sz="6" w:space="0"/>
            </w:tcBorders>
            <w:shd w:val="clear" w:color="auto" w:fill="F2F2F2"/>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技术</w:t>
            </w:r>
          </w:p>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参数</w:t>
            </w:r>
          </w:p>
        </w:tc>
        <w:tc>
          <w:tcPr>
            <w:tcW w:w="708" w:type="dxa"/>
            <w:tcBorders>
              <w:top w:val="single" w:color="auto" w:sz="6" w:space="0"/>
              <w:left w:val="single" w:color="auto" w:sz="6" w:space="0"/>
              <w:bottom w:val="single" w:color="auto" w:sz="6" w:space="0"/>
              <w:right w:val="single" w:color="auto" w:sz="6" w:space="0"/>
            </w:tcBorders>
            <w:shd w:val="clear" w:color="auto" w:fill="F2F2F2"/>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单 位</w:t>
            </w:r>
          </w:p>
        </w:tc>
        <w:tc>
          <w:tcPr>
            <w:tcW w:w="1273" w:type="dxa"/>
            <w:tcBorders>
              <w:top w:val="single" w:color="auto" w:sz="6" w:space="0"/>
              <w:left w:val="single" w:color="auto" w:sz="6" w:space="0"/>
              <w:bottom w:val="single" w:color="auto" w:sz="6" w:space="0"/>
              <w:right w:val="single" w:color="auto" w:sz="6" w:space="0"/>
            </w:tcBorders>
            <w:shd w:val="clear" w:color="auto" w:fill="F2F2F2"/>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数 量</w:t>
            </w:r>
          </w:p>
        </w:tc>
        <w:tc>
          <w:tcPr>
            <w:tcW w:w="1416" w:type="dxa"/>
            <w:tcBorders>
              <w:top w:val="single" w:color="auto" w:sz="6" w:space="0"/>
              <w:left w:val="single" w:color="auto" w:sz="6" w:space="0"/>
              <w:bottom w:val="single" w:color="auto" w:sz="6" w:space="0"/>
              <w:right w:val="single" w:color="auto" w:sz="6" w:space="0"/>
            </w:tcBorders>
            <w:shd w:val="clear" w:color="auto" w:fill="F2F2F2"/>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单价</w:t>
            </w:r>
          </w:p>
        </w:tc>
        <w:tc>
          <w:tcPr>
            <w:tcW w:w="1840" w:type="dxa"/>
            <w:tcBorders>
              <w:top w:val="single" w:color="auto" w:sz="6" w:space="0"/>
              <w:left w:val="single" w:color="auto" w:sz="6" w:space="0"/>
              <w:bottom w:val="single" w:color="auto" w:sz="6" w:space="0"/>
              <w:right w:val="single" w:color="auto" w:sz="6" w:space="0"/>
            </w:tcBorders>
            <w:shd w:val="clear" w:color="auto" w:fill="F2F2F2"/>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firstLine="120"/>
              <w:jc w:val="both"/>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总价</w:t>
            </w:r>
          </w:p>
        </w:tc>
        <w:tc>
          <w:tcPr>
            <w:tcW w:w="1133" w:type="dxa"/>
            <w:tcBorders>
              <w:top w:val="single" w:color="auto" w:sz="6" w:space="0"/>
              <w:left w:val="single" w:color="auto" w:sz="6" w:space="0"/>
              <w:bottom w:val="single" w:color="auto" w:sz="6" w:space="0"/>
              <w:right w:val="single" w:color="auto" w:sz="6" w:space="0"/>
            </w:tcBorders>
            <w:shd w:val="clear" w:color="auto" w:fill="F2F2F2"/>
            <w:vAlign w:val="center"/>
          </w:tcPr>
          <w:p>
            <w:pPr>
              <w:keepNext w:val="0"/>
              <w:keepLines w:val="0"/>
              <w:widowControl w:val="0"/>
              <w:suppressLineNumbers w:val="0"/>
              <w:autoSpaceDE w:val="0"/>
              <w:autoSpaceDN w:val="0"/>
              <w:adjustRightInd w:val="0"/>
              <w:spacing w:before="0" w:beforeAutospacing="0" w:after="0" w:afterAutospacing="0" w:line="360" w:lineRule="auto"/>
              <w:ind w:left="120" w:right="0" w:hanging="120"/>
              <w:jc w:val="center"/>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产地及</w:t>
            </w:r>
          </w:p>
          <w:p>
            <w:pPr>
              <w:keepNext w:val="0"/>
              <w:keepLines w:val="0"/>
              <w:widowControl w:val="0"/>
              <w:suppressLineNumbers w:val="0"/>
              <w:autoSpaceDE w:val="0"/>
              <w:autoSpaceDN w:val="0"/>
              <w:adjustRightInd w:val="0"/>
              <w:spacing w:before="0" w:beforeAutospacing="0" w:after="0" w:afterAutospacing="0" w:line="360" w:lineRule="auto"/>
              <w:ind w:left="120" w:right="0" w:hanging="120"/>
              <w:jc w:val="center"/>
              <w:rPr>
                <w:rFonts w:hint="eastAsia" w:ascii="宋体" w:hAnsi="宋体" w:eastAsia="宋体" w:cs="宋体"/>
                <w:b/>
                <w:bCs w:val="0"/>
                <w:sz w:val="24"/>
                <w:szCs w:val="24"/>
                <w:lang w:val="zh-CN"/>
              </w:rPr>
            </w:pPr>
            <w:r>
              <w:rPr>
                <w:rFonts w:hint="eastAsia" w:ascii="宋体" w:hAnsi="宋体" w:eastAsia="宋体" w:cs="宋体"/>
                <w:b/>
                <w:bCs w:val="0"/>
                <w:kern w:val="2"/>
                <w:sz w:val="24"/>
                <w:szCs w:val="24"/>
                <w:lang w:val="zh-CN" w:eastAsia="zh-CN" w:bidi="ar"/>
              </w:rPr>
              <w:t>厂家</w:t>
            </w:r>
          </w:p>
        </w:tc>
      </w:tr>
      <w:tr>
        <w:tblPrEx>
          <w:shd w:val="clear" w:color="auto" w:fill="auto"/>
          <w:tblLayout w:type="fixed"/>
          <w:tblCellMar>
            <w:top w:w="0" w:type="dxa"/>
            <w:left w:w="108" w:type="dxa"/>
            <w:bottom w:w="0" w:type="dxa"/>
            <w:right w:w="108" w:type="dxa"/>
          </w:tblCellMar>
        </w:tblPrEx>
        <w:trPr>
          <w:gridAfter w:val="1"/>
          <w:wAfter w:w="854" w:type="dxa"/>
          <w:trHeight w:val="851" w:hRule="atLeast"/>
        </w:trPr>
        <w:tc>
          <w:tcPr>
            <w:tcW w:w="53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w:t>
            </w:r>
          </w:p>
        </w:tc>
        <w:tc>
          <w:tcPr>
            <w:tcW w:w="424"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分类式果皮箱1</w:t>
            </w:r>
          </w:p>
        </w:tc>
        <w:tc>
          <w:tcPr>
            <w:tcW w:w="1133"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理想、1030*445*982mm、LXD-018</w:t>
            </w:r>
          </w:p>
        </w:tc>
        <w:tc>
          <w:tcPr>
            <w:tcW w:w="566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▲1、规格：1030*445*982mm（长*宽*高）</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▲2、顶盖采用电解热镀锌板整体拉伸、一次成型的工艺制作，其厚度为1.1 mm，盖子的规格为1024mm*445mm。盖子带有美观的角度与曲线并压制加强筋，凹凸设计增加强度，方便雨水滑落，避免雨水残留腐蚀顶盖。</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3、箱体采用的是电解热镀锌板折弯而成、二氧化碳焊接，其厚度为1.1mm；两侧立柱的规格为40mm*80mm，采用的是电解热镀锌板折弯而成，其厚度为1.1mm。箱门门扇内设有加强筋，使用连排合页，垃圾清理完毕后具有自动回位的功能。</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4、废弃物投口采用的是0.8mm的电解热镀锌板一次冲压成型，其尺寸为400mm*365mm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底座采用的是电解热镀锌板折弯而成，内部加装有翻板，防止垃圾掉落到底座内，其厚度为1.1mm。底座固定梁的厚度是1.2mm，采用镀锌板折弯而成，和底座满焊连接，宽度为70mm，固定梁有2条，预留螺栓孔有4个，配备￠10mm*80mm膨胀栓4只。</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6、中立柱的宽度为130mm,采用厚度为1.0mm的电解热镀锌板折弯而成、二氧化碳焊接，烟蒂投口采用的是不锈钢一次冲压成型，电池投口采用的是工件表面金属镀铬包边。</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7、果皮箱整体采用户外塑粉静电喷涂，其工艺特点表现为较高的户外适应性，表面图层坚固，不易脱落，抗紫外线以及耐候性强。上盖、侧立柱、中立柱、底座为深灰，箱体分别为黄色和绿色。</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8、内桶采用的是电解热镀锌板口边卷边处理，其厚度为0.4mm；可以对垃圾进行分类回收，并且在内胆的两侧装有拉手，便于倾倒。</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9、电池回收和烟蒂回收内桶：均采用厚度是0.3mm的电解热镀锌板材质，模具一次性卷压成型的工艺而成。</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10、果皮箱采用防盗专用的三角锁，通用钥匙。门锁处配有不锈钢把手，方便开门，而且保护手指不被划伤。</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11、标识：标识采用丝网印刷技术，设置有可回收物、其他垃圾标志。</w:t>
            </w:r>
          </w:p>
        </w:tc>
        <w:tc>
          <w:tcPr>
            <w:tcW w:w="708"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个</w:t>
            </w:r>
          </w:p>
        </w:tc>
        <w:tc>
          <w:tcPr>
            <w:tcW w:w="127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900</w:t>
            </w:r>
          </w:p>
        </w:tc>
        <w:tc>
          <w:tcPr>
            <w:tcW w:w="141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1083.00元</w:t>
            </w:r>
          </w:p>
        </w:tc>
        <w:tc>
          <w:tcPr>
            <w:tcW w:w="1840"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974700.00元</w:t>
            </w:r>
          </w:p>
        </w:tc>
        <w:tc>
          <w:tcPr>
            <w:tcW w:w="113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河南焦作、河南理想园林环卫设施有限公司</w:t>
            </w:r>
          </w:p>
        </w:tc>
      </w:tr>
      <w:tr>
        <w:tblPrEx>
          <w:tblLayout w:type="fixed"/>
          <w:tblCellMar>
            <w:top w:w="0" w:type="dxa"/>
            <w:left w:w="108" w:type="dxa"/>
            <w:bottom w:w="0" w:type="dxa"/>
            <w:right w:w="108" w:type="dxa"/>
          </w:tblCellMar>
        </w:tblPrEx>
        <w:trPr>
          <w:gridAfter w:val="1"/>
          <w:wAfter w:w="854" w:type="dxa"/>
          <w:trHeight w:val="851" w:hRule="atLeast"/>
        </w:trPr>
        <w:tc>
          <w:tcPr>
            <w:tcW w:w="53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2</w:t>
            </w:r>
          </w:p>
        </w:tc>
        <w:tc>
          <w:tcPr>
            <w:tcW w:w="424"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分类式果皮箱2</w:t>
            </w:r>
          </w:p>
        </w:tc>
        <w:tc>
          <w:tcPr>
            <w:tcW w:w="1133"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理想、1056*445*1060mm、LXD-021</w:t>
            </w:r>
          </w:p>
        </w:tc>
        <w:tc>
          <w:tcPr>
            <w:tcW w:w="566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▲1、1056*445*1060mm（长*宽*高）。</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 xml:space="preserve">▲2、产品框架采用整体铆接方式连接，框架无任何焊点，框架采用厚度为0.9mm热镀锌电解冷轧钢板为基材，并使用冷拉伸模具油压一次成形，强度性能与耐腐蚀性能是普通剪板焊接框架的2倍以上。 箱体与门板采用厚度为0.9mm的优质电解镀锌板采用整体同时拉伸一次成型的工艺制作，不仅造型美观，整体无焊点，整体强度也远大于普通工艺制作。门板与箱体之间采用304不锈钢弹簧铰链连接，门板可打开150度，门不仅回位自如且强度与寿命是普通拉簧的3倍以上。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 xml:space="preserve">3、产品固定座采用厚度为1.4mm的优质电解镀锌板整体拉伸一次成型的制作工艺,安装孔位为悬空设计大大增强了产品与地面的连接强度。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4、产品的投口处装有全包围式工程塑料，防止划伤。</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5、灭烟板：灭烟板厚度为0.6mm，采用的是拉丝不锈钢材质，经冷拉伸模具冲压一次成形，表面同时带有灭烟孔和烟蒂投递孔，灭烟板上有单独的三角锁，可独立打开，灭烟板下方有烟头盒，烟灰盒容积为0.8L。</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6、内桶采用厚度为2.0mm的塑料内胆，双桶容积80L。内桶沿口处设有垃圾袋卡口装置，使用垃圾袋的时候不会脱落，方便使用。</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7、产品所有的塑料部件均采用的是抗老化、高耐候、抗UV、高强度工程树脂材料，模具一次性注塑制成。</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8、产品所有的金属部件表面处理均采用耐腐蚀的环保型的自动流水线粉末静电喷涂工艺。</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9、夹层印刷水标贴：产品投放标识采用夹层印刷的PE水性胶贴，抗UV、耐磨损、耐腐蚀，10年内不脱落，褪色率为6.3%。</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10、电池的投口采用仿形设计，表面金属镀铬工艺处理。</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11、果皮箱具有灭火功能，当有明火的时候，喷淋系统依靠水箱的水压力，喷头玻璃管自动爆裂，水将持续喷洒，浇灭明火。</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12、带警示功能的侧面封盖 ：果皮箱侧面封盖不仅能盖住框架上部之间缝隙，而且封盖上贴有夜光警示反射的标识，果皮箱夜间更容易辨识，保护夜间行人和行车的安全。</w:t>
            </w:r>
          </w:p>
        </w:tc>
        <w:tc>
          <w:tcPr>
            <w:tcW w:w="708"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个</w:t>
            </w:r>
          </w:p>
        </w:tc>
        <w:tc>
          <w:tcPr>
            <w:tcW w:w="127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100</w:t>
            </w:r>
          </w:p>
        </w:tc>
        <w:tc>
          <w:tcPr>
            <w:tcW w:w="141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1146.00元</w:t>
            </w:r>
          </w:p>
        </w:tc>
        <w:tc>
          <w:tcPr>
            <w:tcW w:w="1840"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114600.00元</w:t>
            </w:r>
          </w:p>
        </w:tc>
        <w:tc>
          <w:tcPr>
            <w:tcW w:w="113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河南焦作、河南理想园林环卫设施有限公司</w:t>
            </w:r>
          </w:p>
        </w:tc>
      </w:tr>
      <w:tr>
        <w:tblPrEx>
          <w:tblLayout w:type="fixed"/>
          <w:tblCellMar>
            <w:top w:w="0" w:type="dxa"/>
            <w:left w:w="108" w:type="dxa"/>
            <w:bottom w:w="0" w:type="dxa"/>
            <w:right w:w="108" w:type="dxa"/>
          </w:tblCellMar>
        </w:tblPrEx>
        <w:trPr>
          <w:gridAfter w:val="1"/>
          <w:wAfter w:w="854" w:type="dxa"/>
          <w:trHeight w:val="851" w:hRule="atLeast"/>
        </w:trPr>
        <w:tc>
          <w:tcPr>
            <w:tcW w:w="53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3</w:t>
            </w:r>
          </w:p>
        </w:tc>
        <w:tc>
          <w:tcPr>
            <w:tcW w:w="424"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配套货物</w:t>
            </w:r>
          </w:p>
        </w:tc>
        <w:tc>
          <w:tcPr>
            <w:tcW w:w="113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理想、850* 320mm、LXB-006</w:t>
            </w:r>
          </w:p>
        </w:tc>
        <w:tc>
          <w:tcPr>
            <w:tcW w:w="566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val="0"/>
              <w:numPr>
                <w:ilvl w:val="0"/>
                <w:numId w:val="1"/>
              </w:numPr>
              <w:suppressLineNumbers w:val="0"/>
              <w:spacing w:before="0" w:beforeAutospacing="0" w:after="0" w:afterAutospacing="0" w:line="360" w:lineRule="auto"/>
              <w:ind w:left="360" w:right="0" w:hanging="36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项目配套有长度为850mm的保洁撮袋1000个，保洁袋采用的是袋口宽为320mm的牛筋布材质。每个保洁撮袋配套有4个保洁替换袋，共4000个；</w:t>
            </w:r>
          </w:p>
          <w:p>
            <w:pPr>
              <w:keepNext w:val="0"/>
              <w:keepLines w:val="0"/>
              <w:widowControl w:val="0"/>
              <w:numPr>
                <w:ilvl w:val="0"/>
                <w:numId w:val="1"/>
              </w:numPr>
              <w:suppressLineNumbers w:val="0"/>
              <w:spacing w:before="0" w:beforeAutospacing="0" w:after="0" w:afterAutospacing="0" w:line="360" w:lineRule="auto"/>
              <w:ind w:left="360" w:right="0" w:hanging="36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项目配套果皮箱内胆2000个，果皮箱内胆采用玻璃钢材质，一次成型；</w:t>
            </w:r>
          </w:p>
          <w:p>
            <w:pPr>
              <w:keepNext w:val="0"/>
              <w:keepLines w:val="0"/>
              <w:widowControl w:val="0"/>
              <w:numPr>
                <w:ilvl w:val="0"/>
                <w:numId w:val="1"/>
              </w:numPr>
              <w:suppressLineNumbers w:val="0"/>
              <w:spacing w:before="0" w:beforeAutospacing="0" w:after="0" w:afterAutospacing="0" w:line="360" w:lineRule="auto"/>
              <w:ind w:left="360" w:right="0" w:hanging="36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承担2次拆装任务，负责把报废不能使用的旧果皮箱运送到许昌市垃圾处理厂。</w:t>
            </w:r>
          </w:p>
        </w:tc>
        <w:tc>
          <w:tcPr>
            <w:tcW w:w="708"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个</w:t>
            </w:r>
          </w:p>
        </w:tc>
        <w:tc>
          <w:tcPr>
            <w:tcW w:w="127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保洁撮袋1000个，保洁替换袋4000个，果皮箱内胆2000个</w:t>
            </w:r>
          </w:p>
        </w:tc>
        <w:tc>
          <w:tcPr>
            <w:tcW w:w="141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w:t>
            </w:r>
          </w:p>
        </w:tc>
        <w:tc>
          <w:tcPr>
            <w:tcW w:w="1840"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w:t>
            </w:r>
          </w:p>
        </w:tc>
        <w:tc>
          <w:tcPr>
            <w:tcW w:w="113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河南焦作、河南理想园林环卫设施有限公司</w:t>
            </w:r>
          </w:p>
        </w:tc>
      </w:tr>
      <w:tr>
        <w:tblPrEx>
          <w:tblLayout w:type="fixed"/>
          <w:tblCellMar>
            <w:top w:w="0" w:type="dxa"/>
            <w:left w:w="108" w:type="dxa"/>
            <w:bottom w:w="0" w:type="dxa"/>
            <w:right w:w="108" w:type="dxa"/>
          </w:tblCellMar>
        </w:tblPrEx>
        <w:trPr>
          <w:trHeight w:val="851" w:hRule="atLeast"/>
        </w:trPr>
        <w:tc>
          <w:tcPr>
            <w:tcW w:w="957" w:type="dxa"/>
            <w:gridSpan w:val="2"/>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zh-CN" w:eastAsia="zh-CN" w:bidi="ar"/>
              </w:rPr>
              <w:t>合</w:t>
            </w:r>
            <w:r>
              <w:rPr>
                <w:rFonts w:hint="eastAsia" w:ascii="宋体" w:hAnsi="宋体" w:eastAsia="宋体" w:cs="宋体"/>
                <w:kern w:val="2"/>
                <w:sz w:val="24"/>
                <w:szCs w:val="24"/>
                <w:lang w:val="en-US" w:eastAsia="zh-CN" w:bidi="ar"/>
              </w:rPr>
              <w:t xml:space="preserve">  </w:t>
            </w:r>
            <w:r>
              <w:rPr>
                <w:rFonts w:hint="eastAsia" w:ascii="宋体" w:hAnsi="宋体" w:eastAsia="宋体" w:cs="宋体"/>
                <w:kern w:val="2"/>
                <w:sz w:val="24"/>
                <w:szCs w:val="24"/>
                <w:lang w:val="zh-CN" w:eastAsia="zh-CN" w:bidi="ar"/>
              </w:rPr>
              <w:t>计</w:t>
            </w:r>
          </w:p>
        </w:tc>
        <w:tc>
          <w:tcPr>
            <w:tcW w:w="13170" w:type="dxa"/>
            <w:gridSpan w:val="7"/>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firstLine="120" w:firstLineChars="50"/>
              <w:jc w:val="both"/>
              <w:rPr>
                <w:rFonts w:hint="eastAsia" w:ascii="宋体" w:hAnsi="宋体" w:eastAsia="宋体" w:cs="宋体"/>
                <w:sz w:val="24"/>
                <w:szCs w:val="24"/>
                <w:lang w:val="zh-CN"/>
              </w:rPr>
            </w:pPr>
            <w:r>
              <w:rPr>
                <w:rFonts w:hint="eastAsia" w:ascii="宋体" w:hAnsi="宋体" w:eastAsia="宋体" w:cs="宋体"/>
                <w:kern w:val="2"/>
                <w:sz w:val="24"/>
                <w:szCs w:val="24"/>
                <w:lang w:val="zh-CN" w:eastAsia="zh-CN" w:bidi="ar"/>
              </w:rPr>
              <w:t>大写：壹佰零捌万玖仟叁佰圆整　　　　　　</w:t>
            </w:r>
            <w:r>
              <w:rPr>
                <w:rFonts w:hint="eastAsia" w:ascii="宋体" w:hAnsi="宋体" w:eastAsia="宋体" w:cs="宋体"/>
                <w:kern w:val="2"/>
                <w:sz w:val="24"/>
                <w:szCs w:val="24"/>
                <w:lang w:val="en-US" w:eastAsia="zh-CN" w:bidi="ar"/>
              </w:rPr>
              <w:t xml:space="preserve">              </w:t>
            </w:r>
            <w:r>
              <w:rPr>
                <w:rFonts w:hint="eastAsia" w:ascii="宋体" w:hAnsi="宋体" w:eastAsia="宋体" w:cs="宋体"/>
                <w:kern w:val="2"/>
                <w:sz w:val="24"/>
                <w:szCs w:val="24"/>
                <w:lang w:val="zh-CN" w:eastAsia="zh-CN" w:bidi="ar"/>
              </w:rPr>
              <w:t>小写：1089300.00元</w:t>
            </w:r>
          </w:p>
        </w:tc>
        <w:tc>
          <w:tcPr>
            <w:tcW w:w="854" w:type="dxa"/>
            <w:shd w:val="clear" w:color="auto" w:fill="auto"/>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 w:val="24"/>
                <w:szCs w:val="24"/>
                <w:lang w:val="en-US"/>
              </w:rPr>
            </w:pPr>
          </w:p>
        </w:tc>
      </w:tr>
    </w:tbl>
    <w:p>
      <w:pPr>
        <w:keepNext w:val="0"/>
        <w:keepLines w:val="0"/>
        <w:widowControl w:val="0"/>
        <w:suppressLineNumbers w:val="0"/>
        <w:autoSpaceDE w:val="0"/>
        <w:autoSpaceDN w:val="0"/>
        <w:adjustRightInd w:val="0"/>
        <w:spacing w:before="0" w:beforeAutospacing="0" w:after="0" w:afterAutospacing="0" w:line="480" w:lineRule="auto"/>
        <w:ind w:left="0" w:right="0"/>
        <w:jc w:val="both"/>
        <w:rPr>
          <w:rFonts w:hint="eastAsia" w:ascii="宋体" w:hAnsi="宋体" w:eastAsia="宋体" w:cs="宋体"/>
          <w:sz w:val="24"/>
          <w:szCs w:val="24"/>
          <w:lang w:val="zh-CN" w:eastAsia="zh-CN"/>
        </w:rPr>
      </w:pPr>
      <w:r>
        <w:rPr>
          <w:rFonts w:hint="eastAsia" w:ascii="宋体" w:hAnsi="宋体" w:eastAsia="宋体" w:cs="宋体"/>
          <w:kern w:val="2"/>
          <w:sz w:val="24"/>
          <w:szCs w:val="24"/>
          <w:lang w:val="zh-CN" w:eastAsia="zh-CN" w:bidi="ar"/>
        </w:rPr>
        <w:t>投标人（公章）：河南理想园林环卫设施有限公司</w:t>
      </w:r>
    </w:p>
    <w:p>
      <w:pPr>
        <w:keepNext w:val="0"/>
        <w:keepLines w:val="0"/>
        <w:widowControl w:val="0"/>
        <w:suppressLineNumbers w:val="0"/>
        <w:autoSpaceDE w:val="0"/>
        <w:autoSpaceDN w:val="0"/>
        <w:adjustRightInd w:val="0"/>
        <w:spacing w:before="0" w:beforeAutospacing="0" w:after="0" w:afterAutospacing="0" w:line="480" w:lineRule="auto"/>
        <w:ind w:left="0" w:right="0"/>
        <w:jc w:val="both"/>
        <w:rPr>
          <w:rFonts w:hint="eastAsia" w:ascii="宋体" w:hAnsi="宋体" w:eastAsia="宋体" w:cs="宋体"/>
          <w:sz w:val="24"/>
          <w:szCs w:val="24"/>
          <w:lang w:val="zh-CN" w:eastAsia="zh-CN"/>
        </w:rPr>
      </w:pPr>
      <w:r>
        <w:rPr>
          <w:rFonts w:hint="eastAsia" w:ascii="宋体" w:hAnsi="宋体" w:eastAsia="宋体" w:cs="宋体"/>
          <w:kern w:val="2"/>
          <w:sz w:val="24"/>
          <w:szCs w:val="24"/>
          <w:lang w:val="zh-CN" w:eastAsia="zh-CN" w:bidi="ar"/>
        </w:rPr>
        <w:t>投标人法定代表人 （或授权代表）签字：</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097"/>
    <w:multiLevelType w:val="multilevel"/>
    <w:tmpl w:val="01F82097"/>
    <w:lvl w:ilvl="0" w:tentative="0">
      <w:start w:val="1"/>
      <w:numFmt w:val="decimal"/>
      <w:lvlText w:val="%1、"/>
      <w:lvlJc w:val="left"/>
      <w:pPr>
        <w:ind w:left="360" w:hanging="36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DF116D"/>
    <w:rsid w:val="07DF116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keepLines/>
      <w:widowControl w:val="0"/>
      <w:suppressLineNumbers w:val="0"/>
      <w:spacing w:before="260" w:beforeAutospacing="0" w:after="260" w:afterAutospacing="0" w:line="415" w:lineRule="auto"/>
      <w:ind w:left="0" w:right="0"/>
      <w:jc w:val="both"/>
      <w:outlineLvl w:val="1"/>
    </w:pPr>
    <w:rPr>
      <w:rFonts w:hint="default" w:ascii="Cambria" w:hAnsi="Cambria" w:eastAsia="Cambria" w:cs="Cambria"/>
      <w:b/>
      <w:kern w:val="2"/>
      <w:sz w:val="32"/>
      <w:szCs w:val="32"/>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2018-10-10T01:15:00Z</dcterms:created>
  <dc:creator>Administrator</dc:creator>
  <cp:lastModifiedBy>Administrator</cp:lastModifiedBy>
  <dcterms:modified xsi:type="dcterms:W3CDTF">2018-10-10T01:16:44Z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