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sz w:val="44"/>
          <w:szCs w:val="44"/>
        </w:rPr>
      </w:pPr>
      <w:r>
        <w:rPr>
          <w:rFonts w:hint="eastAsia" w:ascii="宋体" w:hAnsi="宋体" w:eastAsia="宋体" w:cs="Times New Roman"/>
          <w:b/>
          <w:sz w:val="44"/>
          <w:szCs w:val="44"/>
        </w:rPr>
        <w:t>禹州市彩虹桥夜景照明工程二次</w:t>
      </w:r>
    </w:p>
    <w:p>
      <w:pPr>
        <w:jc w:val="center"/>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招标公告</w:t>
      </w:r>
    </w:p>
    <w:p>
      <w:pPr>
        <w:keepNext w:val="0"/>
        <w:keepLines w:val="0"/>
        <w:pageBreakBefore w:val="0"/>
        <w:widowControl w:val="0"/>
        <w:kinsoku/>
        <w:wordWrap/>
        <w:overflowPunct/>
        <w:topLinePunct w:val="0"/>
        <w:autoSpaceDE/>
        <w:autoSpaceDN/>
        <w:bidi w:val="0"/>
        <w:adjustRightInd/>
        <w:snapToGrid/>
        <w:spacing w:line="36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1.招标条件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本招标项目</w:t>
      </w:r>
      <w:r>
        <w:rPr>
          <w:rFonts w:hint="eastAsia" w:ascii="仿宋" w:hAnsi="仿宋" w:eastAsia="仿宋"/>
          <w:sz w:val="32"/>
          <w:szCs w:val="32"/>
          <w:highlight w:val="none"/>
          <w:lang w:eastAsia="zh-CN"/>
        </w:rPr>
        <w:t>禹州市彩虹桥夜景照明工程</w:t>
      </w:r>
      <w:r>
        <w:rPr>
          <w:rFonts w:hint="eastAsia" w:ascii="仿宋" w:hAnsi="仿宋" w:eastAsia="仿宋"/>
          <w:sz w:val="32"/>
          <w:szCs w:val="32"/>
          <w:highlight w:val="none"/>
        </w:rPr>
        <w:t>由主管部门批准建设，招标人为禹州市住房和城乡规划建设局。建设资金为财政资金。项目已具备招标条件，</w:t>
      </w:r>
      <w:r>
        <w:rPr>
          <w:rFonts w:hint="eastAsia" w:ascii="仿宋" w:hAnsi="仿宋" w:eastAsia="仿宋"/>
          <w:sz w:val="32"/>
          <w:szCs w:val="32"/>
          <w:highlight w:val="none"/>
          <w:lang w:eastAsia="zh-CN"/>
        </w:rPr>
        <w:t>因第一次招标</w:t>
      </w:r>
      <w:r>
        <w:rPr>
          <w:rFonts w:hint="eastAsia" w:ascii="仿宋" w:hAnsi="仿宋" w:eastAsia="仿宋"/>
          <w:sz w:val="32"/>
          <w:szCs w:val="32"/>
          <w:highlight w:val="none"/>
        </w:rPr>
        <w:t>在投标截止时间前递交投标文件的企业不足三家</w:t>
      </w:r>
      <w:r>
        <w:rPr>
          <w:rFonts w:hint="eastAsia" w:ascii="仿宋" w:hAnsi="仿宋" w:eastAsia="仿宋"/>
          <w:sz w:val="32"/>
          <w:szCs w:val="32"/>
          <w:highlight w:val="none"/>
          <w:lang w:eastAsia="zh-CN"/>
        </w:rPr>
        <w:t>，故</w:t>
      </w:r>
      <w:r>
        <w:rPr>
          <w:rFonts w:hint="eastAsia" w:ascii="仿宋" w:hAnsi="仿宋" w:eastAsia="仿宋"/>
          <w:sz w:val="32"/>
          <w:szCs w:val="32"/>
          <w:highlight w:val="none"/>
        </w:rPr>
        <w:t>现对该项目</w:t>
      </w:r>
      <w:r>
        <w:rPr>
          <w:rFonts w:hint="eastAsia" w:ascii="仿宋" w:hAnsi="仿宋" w:eastAsia="仿宋"/>
          <w:sz w:val="32"/>
          <w:szCs w:val="32"/>
          <w:highlight w:val="none"/>
          <w:lang w:eastAsia="zh-CN"/>
        </w:rPr>
        <w:t>施工</w:t>
      </w:r>
      <w:r>
        <w:rPr>
          <w:rFonts w:hint="eastAsia" w:ascii="仿宋" w:hAnsi="仿宋" w:eastAsia="仿宋"/>
          <w:sz w:val="32"/>
          <w:szCs w:val="32"/>
          <w:highlight w:val="none"/>
        </w:rPr>
        <w:t>进行国内</w:t>
      </w:r>
      <w:r>
        <w:rPr>
          <w:rFonts w:hint="eastAsia" w:ascii="仿宋" w:hAnsi="仿宋" w:eastAsia="仿宋"/>
          <w:sz w:val="32"/>
          <w:szCs w:val="32"/>
          <w:highlight w:val="none"/>
          <w:lang w:eastAsia="zh-CN"/>
        </w:rPr>
        <w:t>二次</w:t>
      </w:r>
      <w:r>
        <w:rPr>
          <w:rFonts w:hint="eastAsia" w:ascii="仿宋" w:hAnsi="仿宋" w:eastAsia="仿宋"/>
          <w:sz w:val="32"/>
          <w:szCs w:val="32"/>
          <w:highlight w:val="none"/>
        </w:rPr>
        <w:t>公开招标。</w:t>
      </w:r>
    </w:p>
    <w:p>
      <w:pPr>
        <w:keepNext w:val="0"/>
        <w:keepLines w:val="0"/>
        <w:pageBreakBefore w:val="0"/>
        <w:widowControl w:val="0"/>
        <w:kinsoku/>
        <w:wordWrap/>
        <w:overflowPunct/>
        <w:topLinePunct w:val="0"/>
        <w:autoSpaceDE/>
        <w:autoSpaceDN/>
        <w:bidi w:val="0"/>
        <w:adjustRightInd/>
        <w:snapToGrid/>
        <w:spacing w:line="36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2.项目概况与招标范围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2.1工程名称：</w:t>
      </w:r>
      <w:r>
        <w:rPr>
          <w:rFonts w:hint="eastAsia" w:ascii="仿宋" w:hAnsi="仿宋" w:eastAsia="仿宋"/>
          <w:sz w:val="32"/>
          <w:szCs w:val="32"/>
          <w:highlight w:val="none"/>
          <w:lang w:eastAsia="zh-CN"/>
        </w:rPr>
        <w:t>禹州市彩虹桥夜景照明工程二次</w:t>
      </w:r>
      <w:r>
        <w:rPr>
          <w:rFonts w:hint="eastAsia" w:ascii="仿宋" w:hAnsi="仿宋" w:eastAsia="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lang w:val="en-US"/>
        </w:rPr>
      </w:pPr>
      <w:r>
        <w:rPr>
          <w:rFonts w:hint="eastAsia" w:ascii="仿宋" w:hAnsi="仿宋" w:eastAsia="仿宋"/>
          <w:sz w:val="32"/>
          <w:szCs w:val="32"/>
          <w:highlight w:val="none"/>
        </w:rPr>
        <w:t>2.2工程编号：JSGC-</w:t>
      </w:r>
      <w:r>
        <w:rPr>
          <w:rFonts w:hint="eastAsia" w:ascii="仿宋" w:hAnsi="仿宋" w:eastAsia="仿宋"/>
          <w:sz w:val="32"/>
          <w:szCs w:val="32"/>
          <w:highlight w:val="none"/>
          <w:lang w:val="en-US" w:eastAsia="zh-CN"/>
        </w:rPr>
        <w:t>SZ-2018197-1。</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2.3工程地点：</w:t>
      </w:r>
      <w:r>
        <w:rPr>
          <w:rFonts w:hint="eastAsia" w:ascii="仿宋" w:hAnsi="仿宋" w:eastAsia="仿宋"/>
          <w:sz w:val="32"/>
          <w:szCs w:val="32"/>
          <w:highlight w:val="none"/>
          <w:lang w:eastAsia="zh-CN"/>
        </w:rPr>
        <w:t>禹州市彩虹桥</w:t>
      </w:r>
      <w:r>
        <w:rPr>
          <w:rFonts w:hint="eastAsia" w:ascii="仿宋" w:hAnsi="仿宋" w:eastAsia="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rPr>
        <w:t>2.4招标控制价：</w:t>
      </w:r>
      <w:r>
        <w:rPr>
          <w:rFonts w:hint="eastAsia" w:ascii="仿宋" w:hAnsi="仿宋" w:eastAsia="仿宋"/>
          <w:sz w:val="32"/>
          <w:szCs w:val="32"/>
          <w:highlight w:val="none"/>
          <w:lang w:val="en-US" w:eastAsia="zh-CN"/>
        </w:rPr>
        <w:t>3192818.97</w:t>
      </w:r>
      <w:r>
        <w:rPr>
          <w:rFonts w:hint="eastAsia" w:ascii="仿宋" w:hAnsi="仿宋" w:eastAsia="仿宋"/>
          <w:sz w:val="32"/>
          <w:szCs w:val="32"/>
          <w:highlight w:val="none"/>
        </w:rPr>
        <w:t>元（含规费、税金、安全文明施工措施费）</w:t>
      </w:r>
      <w:r>
        <w:rPr>
          <w:rFonts w:hint="eastAsia" w:ascii="仿宋" w:hAnsi="仿宋" w:eastAsia="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2.5招标范围：图纸、工程量清单、答疑纪要及补充文件等范围内的所有工程内容施工。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2.6质量要求：合格。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2.7发包方式：总承包。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rPr>
        <w:t>2.8标段划分：</w:t>
      </w:r>
      <w:r>
        <w:rPr>
          <w:rFonts w:hint="eastAsia" w:ascii="仿宋" w:hAnsi="仿宋" w:eastAsia="仿宋"/>
          <w:sz w:val="32"/>
          <w:szCs w:val="32"/>
          <w:highlight w:val="none"/>
          <w:lang w:eastAsia="zh-CN"/>
        </w:rPr>
        <w:t>本项目只划分一个标段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2.9计划工期：</w:t>
      </w:r>
      <w:r>
        <w:rPr>
          <w:rFonts w:hint="eastAsia" w:ascii="仿宋" w:hAnsi="仿宋" w:eastAsia="仿宋"/>
          <w:sz w:val="32"/>
          <w:szCs w:val="32"/>
          <w:highlight w:val="none"/>
          <w:lang w:val="en-US" w:eastAsia="zh-CN"/>
        </w:rPr>
        <w:t>60日历天</w:t>
      </w:r>
      <w:r>
        <w:rPr>
          <w:rFonts w:hint="eastAsia" w:ascii="仿宋" w:hAnsi="仿宋" w:eastAsia="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3.投标人资格要求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3.1</w:t>
      </w:r>
      <w:r>
        <w:rPr>
          <w:rFonts w:hint="eastAsia" w:ascii="仿宋" w:hAnsi="仿宋" w:eastAsia="仿宋"/>
          <w:sz w:val="32"/>
          <w:szCs w:val="32"/>
          <w:highlight w:val="none"/>
          <w:lang w:val="en-US" w:eastAsia="zh-CN"/>
        </w:rPr>
        <w:t xml:space="preserve"> 投标人具有独立法人资格（指投标人营业执照），投标人须具备城市及道路照明工程专业承包叁级及以上资质</w:t>
      </w:r>
      <w:r>
        <w:rPr>
          <w:rFonts w:hint="eastAsia" w:ascii="仿宋" w:hAnsi="仿宋" w:eastAsia="仿宋"/>
          <w:sz w:val="32"/>
          <w:szCs w:val="32"/>
          <w:highlight w:val="none"/>
        </w:rPr>
        <w:t>（注：本项目施工过程中，有根据地形地貌定制灯具自主设计内容）</w:t>
      </w:r>
      <w:r>
        <w:rPr>
          <w:rFonts w:hint="eastAsia" w:ascii="仿宋" w:hAnsi="仿宋" w:eastAsia="仿宋"/>
          <w:sz w:val="32"/>
          <w:szCs w:val="32"/>
          <w:highlight w:val="none"/>
          <w:lang w:val="en-US" w:eastAsia="zh-CN"/>
        </w:rPr>
        <w:t>,且具有有效安全生产许可证。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3.</w:t>
      </w:r>
      <w:r>
        <w:rPr>
          <w:rFonts w:hint="eastAsia" w:ascii="仿宋" w:hAnsi="仿宋" w:eastAsia="仿宋"/>
          <w:sz w:val="32"/>
          <w:szCs w:val="32"/>
          <w:highlight w:val="none"/>
          <w:lang w:val="en-US" w:eastAsia="zh-CN"/>
        </w:rPr>
        <w:t xml:space="preserve">2 </w:t>
      </w:r>
      <w:r>
        <w:rPr>
          <w:rFonts w:hint="eastAsia" w:ascii="仿宋" w:hAnsi="仿宋" w:eastAsia="仿宋"/>
          <w:sz w:val="32"/>
          <w:szCs w:val="32"/>
          <w:highlight w:val="none"/>
        </w:rPr>
        <w:t>拟派项目经理须为机电工程专业贰级及以上注册建造师执业资格并具有有效的安全生产考核合格证（B类），且未担任其他在施建设工程项目的项目经理。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3.3 自2015年元月1日以来（以竣工验收证明的验收日期为准）承接过景观亮化工程（不含路灯照明工程），质量为合格（需提供中标通知书、施工合同和竣工验收报告业绩证明材料）。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3.</w:t>
      </w:r>
      <w:r>
        <w:rPr>
          <w:rFonts w:hint="eastAsia" w:ascii="仿宋" w:hAnsi="仿宋" w:eastAsia="仿宋"/>
          <w:sz w:val="32"/>
          <w:szCs w:val="32"/>
          <w:highlight w:val="none"/>
          <w:lang w:val="en-US" w:eastAsia="zh-CN"/>
        </w:rPr>
        <w:t xml:space="preserve">4 </w:t>
      </w:r>
      <w:r>
        <w:rPr>
          <w:rFonts w:hint="eastAsia" w:ascii="仿宋" w:hAnsi="仿宋" w:eastAsia="仿宋"/>
          <w:sz w:val="32"/>
          <w:szCs w:val="32"/>
          <w:highlight w:val="none"/>
        </w:rPr>
        <w:t>本次招标不接受联合体投标。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3.</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项目经理如有已中标项目工期内变更情况，请按照豫建建〔2015〕23号文件规定提供《项目经理（项目总监）变更备案表》等官方手续。</w:t>
      </w:r>
    </w:p>
    <w:p>
      <w:pPr>
        <w:keepNext w:val="0"/>
        <w:keepLines w:val="0"/>
        <w:pageBreakBefore w:val="0"/>
        <w:widowControl w:val="0"/>
        <w:kinsoku/>
        <w:wordWrap/>
        <w:overflowPunct/>
        <w:topLinePunct w:val="0"/>
        <w:autoSpaceDE/>
        <w:autoSpaceDN/>
        <w:bidi w:val="0"/>
        <w:adjustRightInd/>
        <w:snapToGrid/>
        <w:spacing w:line="36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4.网上下载招标文件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4.1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4.2在投标截止时间前登录【全国公共资源交易平台（河南省·许昌市）】“投标人/供应商登录”入口（http://221.14.6.70:8088/ggzy/）自行下载招标文件（详见“常见问题解答-交易系统操作手册”）。</w:t>
      </w:r>
    </w:p>
    <w:p>
      <w:pPr>
        <w:keepNext w:val="0"/>
        <w:keepLines w:val="0"/>
        <w:pageBreakBefore w:val="0"/>
        <w:widowControl w:val="0"/>
        <w:kinsoku/>
        <w:wordWrap/>
        <w:overflowPunct/>
        <w:topLinePunct w:val="0"/>
        <w:autoSpaceDE/>
        <w:autoSpaceDN/>
        <w:bidi w:val="0"/>
        <w:adjustRightInd/>
        <w:snapToGrid/>
        <w:spacing w:line="36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5.投标报名时间及方式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5.1报名截止时间：2018年</w:t>
      </w:r>
      <w:r>
        <w:rPr>
          <w:rFonts w:hint="eastAsia" w:ascii="仿宋" w:hAnsi="仿宋" w:eastAsia="仿宋"/>
          <w:sz w:val="32"/>
          <w:szCs w:val="32"/>
          <w:highlight w:val="none"/>
          <w:lang w:val="en-US" w:eastAsia="zh-CN"/>
        </w:rPr>
        <w:t>11</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日上午</w:t>
      </w:r>
      <w:r>
        <w:rPr>
          <w:rFonts w:hint="eastAsia" w:ascii="仿宋" w:hAnsi="仿宋" w:eastAsia="仿宋"/>
          <w:sz w:val="32"/>
          <w:szCs w:val="32"/>
          <w:highlight w:val="none"/>
          <w:lang w:val="en-US" w:eastAsia="zh-CN"/>
        </w:rPr>
        <w:t>09</w:t>
      </w:r>
      <w:r>
        <w:rPr>
          <w:rFonts w:hint="eastAsia" w:ascii="仿宋" w:hAnsi="仿宋" w:eastAsia="仿宋"/>
          <w:sz w:val="32"/>
          <w:szCs w:val="32"/>
          <w:highlight w:val="none"/>
          <w:lang w:eastAsia="zh-CN"/>
        </w:rPr>
        <w:t>时</w:t>
      </w:r>
      <w:r>
        <w:rPr>
          <w:rFonts w:hint="eastAsia" w:ascii="仿宋" w:hAnsi="仿宋" w:eastAsia="仿宋"/>
          <w:sz w:val="32"/>
          <w:szCs w:val="32"/>
          <w:highlight w:val="none"/>
          <w:lang w:val="en-US" w:eastAsia="zh-CN"/>
        </w:rPr>
        <w:t>00</w:t>
      </w:r>
      <w:r>
        <w:rPr>
          <w:rFonts w:hint="eastAsia" w:ascii="仿宋" w:hAnsi="仿宋" w:eastAsia="仿宋"/>
          <w:sz w:val="32"/>
          <w:szCs w:val="32"/>
          <w:highlight w:val="none"/>
        </w:rPr>
        <w:t>分（北京时间）。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5.2报名方式：全国公共资源交易平台（河南省.许昌市）网上报名，详情请查询全国公共资源交易平台（河南省.许昌市）（http://www.xcggzy.gov.cn/）首页办事指南中的业务流程（网上报名指南）。</w:t>
      </w:r>
    </w:p>
    <w:p>
      <w:pPr>
        <w:keepNext w:val="0"/>
        <w:keepLines w:val="0"/>
        <w:pageBreakBefore w:val="0"/>
        <w:widowControl w:val="0"/>
        <w:kinsoku/>
        <w:wordWrap/>
        <w:overflowPunct/>
        <w:topLinePunct w:val="0"/>
        <w:autoSpaceDE/>
        <w:autoSpaceDN/>
        <w:bidi w:val="0"/>
        <w:adjustRightInd/>
        <w:snapToGrid/>
        <w:spacing w:line="36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6.招标文件、工程量清单和施工图纸的获取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6.1招标文件和工程量清单的获取：投标人于投标文件递交截止时间前均可在全国公共资源交易平台（河南省·许昌市）自行下载。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6.2施工图纸下载：按照招标文件中第二章投标人须知前附表所给的网址自行下载。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6.3招标文件每套售价500元，于递交投标文件时缴纳给招标代理机构，售后不退。</w:t>
      </w:r>
    </w:p>
    <w:p>
      <w:pPr>
        <w:keepNext w:val="0"/>
        <w:keepLines w:val="0"/>
        <w:pageBreakBefore w:val="0"/>
        <w:widowControl w:val="0"/>
        <w:kinsoku/>
        <w:wordWrap/>
        <w:overflowPunct/>
        <w:topLinePunct w:val="0"/>
        <w:autoSpaceDE/>
        <w:autoSpaceDN/>
        <w:bidi w:val="0"/>
        <w:adjustRightInd/>
        <w:snapToGrid/>
        <w:spacing w:line="36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7.投标文件的递交</w:t>
      </w:r>
    </w:p>
    <w:p>
      <w:pPr>
        <w:keepNext w:val="0"/>
        <w:keepLines w:val="0"/>
        <w:pageBreakBefore w:val="0"/>
        <w:widowControl w:val="0"/>
        <w:kinsoku/>
        <w:wordWrap/>
        <w:overflowPunct/>
        <w:topLinePunct w:val="0"/>
        <w:autoSpaceDE/>
        <w:autoSpaceDN/>
        <w:bidi w:val="0"/>
        <w:adjustRightInd/>
        <w:snapToGrid/>
        <w:spacing w:line="360" w:lineRule="auto"/>
        <w:ind w:left="319" w:leftChars="152" w:right="0" w:rightChars="0" w:firstLine="320" w:firstLineChars="1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7.1投标文件递交的截止时间为2018年</w:t>
      </w:r>
      <w:r>
        <w:rPr>
          <w:rFonts w:hint="eastAsia" w:ascii="仿宋" w:hAnsi="仿宋" w:eastAsia="仿宋"/>
          <w:sz w:val="32"/>
          <w:szCs w:val="32"/>
          <w:highlight w:val="none"/>
          <w:lang w:val="en-US" w:eastAsia="zh-CN"/>
        </w:rPr>
        <w:t>11</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日上午</w:t>
      </w:r>
      <w:r>
        <w:rPr>
          <w:rFonts w:hint="eastAsia" w:ascii="仿宋" w:hAnsi="仿宋" w:eastAsia="仿宋"/>
          <w:sz w:val="32"/>
          <w:szCs w:val="32"/>
          <w:highlight w:val="none"/>
          <w:lang w:val="en-US" w:eastAsia="zh-CN"/>
        </w:rPr>
        <w:t>09</w:t>
      </w:r>
      <w:r>
        <w:rPr>
          <w:rFonts w:hint="eastAsia" w:ascii="仿宋" w:hAnsi="仿宋" w:eastAsia="仿宋"/>
          <w:sz w:val="32"/>
          <w:szCs w:val="32"/>
          <w:highlight w:val="none"/>
          <w:lang w:eastAsia="zh-CN"/>
        </w:rPr>
        <w:t>时</w:t>
      </w:r>
      <w:r>
        <w:rPr>
          <w:rFonts w:hint="eastAsia" w:ascii="仿宋" w:hAnsi="仿宋" w:eastAsia="仿宋"/>
          <w:sz w:val="32"/>
          <w:szCs w:val="32"/>
          <w:highlight w:val="none"/>
          <w:lang w:val="en-US" w:eastAsia="zh-CN"/>
        </w:rPr>
        <w:t>00</w:t>
      </w:r>
      <w:r>
        <w:rPr>
          <w:rFonts w:hint="eastAsia" w:ascii="仿宋" w:hAnsi="仿宋" w:eastAsia="仿宋"/>
          <w:sz w:val="32"/>
          <w:szCs w:val="32"/>
          <w:highlight w:val="none"/>
        </w:rPr>
        <w:t>分（北京时间），地点为</w:t>
      </w:r>
      <w:r>
        <w:rPr>
          <w:rFonts w:hint="eastAsia" w:ascii="仿宋" w:hAnsi="仿宋" w:eastAsia="仿宋"/>
          <w:sz w:val="32"/>
          <w:szCs w:val="32"/>
          <w:highlight w:val="none"/>
          <w:lang w:val="en-US" w:eastAsia="zh-CN"/>
        </w:rPr>
        <w:t>：禹州市公共资源交易中心开标一室（禹州市党政综合大楼后楼9楼）。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7.2逾期送达的或者未送达指定地点的投标文件，招标人不予受理。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7.3未通过全国公共资源交易平台（河南省.许昌市）下载招标文件的投标人，其投标文件不予受理。</w:t>
      </w:r>
    </w:p>
    <w:p>
      <w:pPr>
        <w:keepNext w:val="0"/>
        <w:keepLines w:val="0"/>
        <w:pageBreakBefore w:val="0"/>
        <w:widowControl w:val="0"/>
        <w:kinsoku/>
        <w:wordWrap/>
        <w:overflowPunct/>
        <w:topLinePunct w:val="0"/>
        <w:autoSpaceDE/>
        <w:autoSpaceDN/>
        <w:bidi w:val="0"/>
        <w:adjustRightInd/>
        <w:snapToGrid/>
        <w:spacing w:line="36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8.发布公告的媒介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本公告同时在全国公共资源交易平台（河南省·许昌市）、河南省电子招标投标公共服务平台上发布。</w:t>
      </w:r>
    </w:p>
    <w:p>
      <w:pPr>
        <w:keepNext w:val="0"/>
        <w:keepLines w:val="0"/>
        <w:pageBreakBefore w:val="0"/>
        <w:widowControl w:val="0"/>
        <w:kinsoku/>
        <w:wordWrap/>
        <w:overflowPunct/>
        <w:topLinePunct w:val="0"/>
        <w:autoSpaceDE/>
        <w:autoSpaceDN/>
        <w:bidi w:val="0"/>
        <w:adjustRightInd/>
        <w:snapToGrid/>
        <w:spacing w:line="360" w:lineRule="auto"/>
        <w:ind w:left="0" w:leftChars="0" w:right="-153"/>
        <w:textAlignment w:val="auto"/>
        <w:outlineLvl w:val="9"/>
        <w:rPr>
          <w:rFonts w:hint="eastAsia" w:ascii="黑体" w:hAnsi="黑体" w:eastAsia="黑体"/>
          <w:b/>
          <w:bCs/>
          <w:color w:val="000000"/>
          <w:kern w:val="0"/>
          <w:sz w:val="32"/>
          <w:szCs w:val="32"/>
          <w:highlight w:val="none"/>
        </w:rPr>
      </w:pPr>
      <w:r>
        <w:rPr>
          <w:rFonts w:hint="eastAsia" w:ascii="黑体" w:hAnsi="黑体" w:eastAsia="黑体"/>
          <w:b/>
          <w:bCs/>
          <w:color w:val="000000"/>
          <w:kern w:val="0"/>
          <w:sz w:val="32"/>
          <w:szCs w:val="32"/>
          <w:highlight w:val="none"/>
        </w:rPr>
        <w:t>9.联系方式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招标人：禹州市住房和城乡规划建设局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地  址：禹州市行政南路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联系人：</w:t>
      </w:r>
      <w:r>
        <w:rPr>
          <w:rFonts w:hint="eastAsia" w:ascii="仿宋" w:hAnsi="仿宋" w:eastAsia="仿宋"/>
          <w:sz w:val="32"/>
          <w:szCs w:val="32"/>
          <w:highlight w:val="none"/>
          <w:lang w:eastAsia="zh-CN"/>
        </w:rPr>
        <w:t>赵女士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联系电话：0374-8113131</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招标代理机构：恒信咨询管理有限公司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地  址：郑州市电厂路河南省国家大学科技园（东区）16号楼B座6楼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rPr>
        <w:t>联系人：</w:t>
      </w:r>
      <w:r>
        <w:rPr>
          <w:rFonts w:hint="eastAsia" w:ascii="仿宋" w:hAnsi="仿宋" w:eastAsia="仿宋"/>
          <w:sz w:val="32"/>
          <w:szCs w:val="32"/>
          <w:highlight w:val="none"/>
          <w:lang w:eastAsia="zh-CN"/>
        </w:rPr>
        <w:t>董先生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highlight w:val="none"/>
        </w:rPr>
        <w:t>联系电话：0371-86688490    0374-2766699</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right"/>
        <w:textAlignment w:val="auto"/>
        <w:outlineLvl w:val="9"/>
        <w:rPr>
          <w:rFonts w:hint="eastAsia" w:ascii="仿宋" w:hAnsi="仿宋" w:eastAsia="仿宋" w:cs="Times New Roman"/>
          <w:sz w:val="32"/>
          <w:szCs w:val="32"/>
          <w:highlight w:val="none"/>
          <w:lang w:val="en-US" w:eastAsia="zh-CN"/>
        </w:rPr>
      </w:pPr>
      <w:r>
        <w:rPr>
          <w:rFonts w:hint="eastAsia" w:ascii="仿宋" w:hAnsi="仿宋" w:eastAsia="仿宋" w:cs="Times New Roman"/>
          <w:sz w:val="32"/>
          <w:szCs w:val="32"/>
          <w:highlight w:val="none"/>
          <w:lang w:val="en-US" w:eastAsia="zh-CN"/>
        </w:rPr>
        <w:t>2018</w:t>
      </w:r>
      <w:r>
        <w:rPr>
          <w:rFonts w:hint="eastAsia" w:ascii="仿宋" w:hAnsi="仿宋" w:eastAsia="仿宋" w:cs="Times New Roman"/>
          <w:sz w:val="32"/>
          <w:szCs w:val="32"/>
          <w:highlight w:val="none"/>
          <w:lang w:eastAsia="zh-CN"/>
        </w:rPr>
        <w:t>年</w:t>
      </w:r>
      <w:r>
        <w:rPr>
          <w:rFonts w:hint="eastAsia" w:ascii="仿宋" w:hAnsi="仿宋" w:eastAsia="仿宋" w:cs="Times New Roman"/>
          <w:sz w:val="32"/>
          <w:szCs w:val="32"/>
          <w:highlight w:val="none"/>
          <w:lang w:val="en-US" w:eastAsia="zh-CN"/>
        </w:rPr>
        <w:t>10</w:t>
      </w:r>
      <w:r>
        <w:rPr>
          <w:rFonts w:hint="eastAsia" w:ascii="仿宋" w:hAnsi="仿宋" w:eastAsia="仿宋" w:cs="Times New Roman"/>
          <w:sz w:val="32"/>
          <w:szCs w:val="32"/>
          <w:highlight w:val="none"/>
          <w:lang w:eastAsia="zh-CN"/>
        </w:rPr>
        <w:t>月</w:t>
      </w:r>
      <w:r>
        <w:rPr>
          <w:rFonts w:hint="eastAsia" w:ascii="仿宋" w:hAnsi="仿宋" w:eastAsia="仿宋" w:cs="Times New Roman"/>
          <w:sz w:val="32"/>
          <w:szCs w:val="32"/>
          <w:highlight w:val="none"/>
          <w:lang w:val="en-US" w:eastAsia="zh-CN"/>
        </w:rPr>
        <w:t>10日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000000"/>
          <w:sz w:val="21"/>
          <w:szCs w:val="21"/>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color w:val="000000"/>
          <w:sz w:val="21"/>
          <w:szCs w:val="21"/>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000000"/>
          <w:sz w:val="21"/>
          <w:szCs w:val="21"/>
        </w:rPr>
      </w:pP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640" w:firstLineChars="200"/>
        <w:contextualSpacing/>
        <w:textAlignment w:val="auto"/>
        <w:rPr>
          <w:rFonts w:ascii="仿宋" w:hAnsi="仿宋" w:eastAsia="仿宋"/>
          <w:sz w:val="32"/>
          <w:szCs w:val="32"/>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67506"/>
    <w:rsid w:val="000477FA"/>
    <w:rsid w:val="000608C4"/>
    <w:rsid w:val="000B4E4A"/>
    <w:rsid w:val="00141BE7"/>
    <w:rsid w:val="001524E1"/>
    <w:rsid w:val="00167F14"/>
    <w:rsid w:val="002A4D9F"/>
    <w:rsid w:val="00331D21"/>
    <w:rsid w:val="00353D5B"/>
    <w:rsid w:val="00445B0C"/>
    <w:rsid w:val="004B0EC9"/>
    <w:rsid w:val="004C1671"/>
    <w:rsid w:val="004D62BD"/>
    <w:rsid w:val="005F4F72"/>
    <w:rsid w:val="00625A99"/>
    <w:rsid w:val="007E3531"/>
    <w:rsid w:val="007E50DB"/>
    <w:rsid w:val="00821E58"/>
    <w:rsid w:val="00845BC0"/>
    <w:rsid w:val="00A2325C"/>
    <w:rsid w:val="00A30FBC"/>
    <w:rsid w:val="00AB31FF"/>
    <w:rsid w:val="00CE6B54"/>
    <w:rsid w:val="00D62FFD"/>
    <w:rsid w:val="00DE2419"/>
    <w:rsid w:val="00E25F93"/>
    <w:rsid w:val="00E67506"/>
    <w:rsid w:val="00FD230C"/>
    <w:rsid w:val="00FD321B"/>
    <w:rsid w:val="027B70E7"/>
    <w:rsid w:val="043678AE"/>
    <w:rsid w:val="08D66C8F"/>
    <w:rsid w:val="09437BED"/>
    <w:rsid w:val="0C79650D"/>
    <w:rsid w:val="0E592D1C"/>
    <w:rsid w:val="10615AAC"/>
    <w:rsid w:val="12EB25F2"/>
    <w:rsid w:val="156456E9"/>
    <w:rsid w:val="15D6244A"/>
    <w:rsid w:val="170E35D3"/>
    <w:rsid w:val="1755045C"/>
    <w:rsid w:val="17921361"/>
    <w:rsid w:val="17931250"/>
    <w:rsid w:val="17D317EA"/>
    <w:rsid w:val="19777798"/>
    <w:rsid w:val="19BF342A"/>
    <w:rsid w:val="1AD14E70"/>
    <w:rsid w:val="1D764174"/>
    <w:rsid w:val="1D906E91"/>
    <w:rsid w:val="1DA479E9"/>
    <w:rsid w:val="1E4C022D"/>
    <w:rsid w:val="1EB81BDF"/>
    <w:rsid w:val="1F706191"/>
    <w:rsid w:val="20CA797E"/>
    <w:rsid w:val="264C309D"/>
    <w:rsid w:val="292001F2"/>
    <w:rsid w:val="29A957A6"/>
    <w:rsid w:val="2C14132B"/>
    <w:rsid w:val="2C5573D7"/>
    <w:rsid w:val="2C6E3841"/>
    <w:rsid w:val="2E6D2967"/>
    <w:rsid w:val="2EFA4ED2"/>
    <w:rsid w:val="2F984447"/>
    <w:rsid w:val="300D0C50"/>
    <w:rsid w:val="32224E48"/>
    <w:rsid w:val="333C6689"/>
    <w:rsid w:val="337B7BBA"/>
    <w:rsid w:val="3485049D"/>
    <w:rsid w:val="34C360EF"/>
    <w:rsid w:val="3645008D"/>
    <w:rsid w:val="37131CC9"/>
    <w:rsid w:val="38F94B07"/>
    <w:rsid w:val="39A51C61"/>
    <w:rsid w:val="3A71145C"/>
    <w:rsid w:val="3AEC0D56"/>
    <w:rsid w:val="3B216278"/>
    <w:rsid w:val="3BC136BD"/>
    <w:rsid w:val="3C117FFF"/>
    <w:rsid w:val="3DEC095A"/>
    <w:rsid w:val="3FF05FE6"/>
    <w:rsid w:val="403D438B"/>
    <w:rsid w:val="40BB03C3"/>
    <w:rsid w:val="444629C4"/>
    <w:rsid w:val="48192CBC"/>
    <w:rsid w:val="49524741"/>
    <w:rsid w:val="49BF0594"/>
    <w:rsid w:val="4B5F38AA"/>
    <w:rsid w:val="50741789"/>
    <w:rsid w:val="507A7957"/>
    <w:rsid w:val="51974E93"/>
    <w:rsid w:val="543D0802"/>
    <w:rsid w:val="54D952C9"/>
    <w:rsid w:val="555963A4"/>
    <w:rsid w:val="56135E74"/>
    <w:rsid w:val="5C7D3401"/>
    <w:rsid w:val="5D347223"/>
    <w:rsid w:val="5E695689"/>
    <w:rsid w:val="60AC771E"/>
    <w:rsid w:val="62610353"/>
    <w:rsid w:val="62A359F0"/>
    <w:rsid w:val="62A92F40"/>
    <w:rsid w:val="634A089C"/>
    <w:rsid w:val="63625395"/>
    <w:rsid w:val="63D161AE"/>
    <w:rsid w:val="662B06F6"/>
    <w:rsid w:val="66A3018B"/>
    <w:rsid w:val="671D4AD6"/>
    <w:rsid w:val="677D659E"/>
    <w:rsid w:val="69C95DE7"/>
    <w:rsid w:val="69D773F1"/>
    <w:rsid w:val="6A505C82"/>
    <w:rsid w:val="6B670BA2"/>
    <w:rsid w:val="6C472E9A"/>
    <w:rsid w:val="6CF20B92"/>
    <w:rsid w:val="6DDB46EF"/>
    <w:rsid w:val="6E216F39"/>
    <w:rsid w:val="6ED741AA"/>
    <w:rsid w:val="6EF77A0D"/>
    <w:rsid w:val="70A445A1"/>
    <w:rsid w:val="721369B1"/>
    <w:rsid w:val="729D2E90"/>
    <w:rsid w:val="72EC151B"/>
    <w:rsid w:val="73892489"/>
    <w:rsid w:val="743A1A17"/>
    <w:rsid w:val="74A54309"/>
    <w:rsid w:val="74B854EF"/>
    <w:rsid w:val="74DD65A3"/>
    <w:rsid w:val="75E912DC"/>
    <w:rsid w:val="77B740D5"/>
    <w:rsid w:val="7867644F"/>
    <w:rsid w:val="79533A42"/>
    <w:rsid w:val="799E53B2"/>
    <w:rsid w:val="79FF0E6A"/>
    <w:rsid w:val="7AF75987"/>
    <w:rsid w:val="7CFF1AF0"/>
    <w:rsid w:val="7D586F2A"/>
    <w:rsid w:val="7D5C0532"/>
    <w:rsid w:val="7DD65415"/>
    <w:rsid w:val="7DDD1F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3"/>
    <w:semiHidden/>
    <w:unhideWhenUsed/>
    <w:qFormat/>
    <w:uiPriority w:val="99"/>
    <w:pPr>
      <w:ind w:firstLine="420" w:firstLineChars="100"/>
    </w:pPr>
  </w:style>
  <w:style w:type="paragraph" w:styleId="3">
    <w:name w:val="Body Text"/>
    <w:basedOn w:val="1"/>
    <w:link w:val="12"/>
    <w:semiHidden/>
    <w:unhideWhenUsed/>
    <w:qFormat/>
    <w:uiPriority w:val="99"/>
    <w:pPr>
      <w:spacing w:after="120"/>
    </w:pPr>
  </w:style>
  <w:style w:type="paragraph" w:styleId="4">
    <w:name w:val="footer"/>
    <w:basedOn w:val="1"/>
    <w:link w:val="24"/>
    <w:semiHidden/>
    <w:unhideWhenUsed/>
    <w:qFormat/>
    <w:uiPriority w:val="99"/>
    <w:pPr>
      <w:tabs>
        <w:tab w:val="center" w:pos="4153"/>
        <w:tab w:val="right" w:pos="8306"/>
      </w:tabs>
      <w:snapToGrid w:val="0"/>
      <w:jc w:val="left"/>
    </w:pPr>
    <w:rPr>
      <w:sz w:val="18"/>
      <w:szCs w:val="18"/>
    </w:rPr>
  </w:style>
  <w:style w:type="paragraph" w:styleId="5">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character" w:styleId="8">
    <w:name w:val="FollowedHyperlink"/>
    <w:basedOn w:val="7"/>
    <w:semiHidden/>
    <w:unhideWhenUsed/>
    <w:qFormat/>
    <w:uiPriority w:val="99"/>
    <w:rPr>
      <w:color w:val="000000"/>
      <w:u w:val="none"/>
    </w:rPr>
  </w:style>
  <w:style w:type="character" w:styleId="9">
    <w:name w:val="Emphasis"/>
    <w:basedOn w:val="7"/>
    <w:qFormat/>
    <w:uiPriority w:val="20"/>
  </w:style>
  <w:style w:type="character" w:styleId="10">
    <w:name w:val="Hyperlink"/>
    <w:basedOn w:val="7"/>
    <w:semiHidden/>
    <w:unhideWhenUsed/>
    <w:qFormat/>
    <w:uiPriority w:val="99"/>
    <w:rPr>
      <w:color w:val="000000"/>
      <w:u w:val="none"/>
    </w:rPr>
  </w:style>
  <w:style w:type="character" w:customStyle="1" w:styleId="12">
    <w:name w:val="正文文本 Char"/>
    <w:basedOn w:val="7"/>
    <w:link w:val="3"/>
    <w:semiHidden/>
    <w:qFormat/>
    <w:uiPriority w:val="99"/>
    <w:rPr>
      <w:rFonts w:ascii="Times New Roman" w:hAnsi="Times New Roman" w:eastAsia="宋体" w:cs="Times New Roman"/>
      <w:szCs w:val="21"/>
    </w:rPr>
  </w:style>
  <w:style w:type="character" w:customStyle="1" w:styleId="13">
    <w:name w:val="正文首行缩进 Char"/>
    <w:basedOn w:val="12"/>
    <w:link w:val="2"/>
    <w:semiHidden/>
    <w:qFormat/>
    <w:uiPriority w:val="99"/>
  </w:style>
  <w:style w:type="character" w:customStyle="1" w:styleId="14">
    <w:name w:val="red"/>
    <w:basedOn w:val="7"/>
    <w:qFormat/>
    <w:uiPriority w:val="0"/>
    <w:rPr>
      <w:color w:val="FF0000"/>
      <w:sz w:val="18"/>
      <w:szCs w:val="18"/>
    </w:rPr>
  </w:style>
  <w:style w:type="character" w:customStyle="1" w:styleId="15">
    <w:name w:val="red1"/>
    <w:basedOn w:val="7"/>
    <w:qFormat/>
    <w:uiPriority w:val="0"/>
    <w:rPr>
      <w:color w:val="FF0000"/>
      <w:sz w:val="18"/>
      <w:szCs w:val="18"/>
    </w:rPr>
  </w:style>
  <w:style w:type="character" w:customStyle="1" w:styleId="16">
    <w:name w:val="red2"/>
    <w:basedOn w:val="7"/>
    <w:qFormat/>
    <w:uiPriority w:val="0"/>
    <w:rPr>
      <w:color w:val="FF0000"/>
    </w:rPr>
  </w:style>
  <w:style w:type="character" w:customStyle="1" w:styleId="17">
    <w:name w:val="green"/>
    <w:basedOn w:val="7"/>
    <w:qFormat/>
    <w:uiPriority w:val="0"/>
    <w:rPr>
      <w:color w:val="66AE00"/>
      <w:sz w:val="18"/>
      <w:szCs w:val="18"/>
    </w:rPr>
  </w:style>
  <w:style w:type="character" w:customStyle="1" w:styleId="18">
    <w:name w:val="green1"/>
    <w:basedOn w:val="7"/>
    <w:qFormat/>
    <w:uiPriority w:val="0"/>
    <w:rPr>
      <w:color w:val="66AE00"/>
      <w:sz w:val="18"/>
      <w:szCs w:val="18"/>
    </w:rPr>
  </w:style>
  <w:style w:type="character" w:customStyle="1" w:styleId="19">
    <w:name w:val="hover24"/>
    <w:basedOn w:val="7"/>
    <w:qFormat/>
    <w:uiPriority w:val="0"/>
  </w:style>
  <w:style w:type="character" w:customStyle="1" w:styleId="20">
    <w:name w:val="gb-jt"/>
    <w:basedOn w:val="7"/>
    <w:qFormat/>
    <w:uiPriority w:val="0"/>
  </w:style>
  <w:style w:type="character" w:customStyle="1" w:styleId="21">
    <w:name w:val="blue"/>
    <w:basedOn w:val="7"/>
    <w:qFormat/>
    <w:uiPriority w:val="0"/>
    <w:rPr>
      <w:color w:val="0371C6"/>
      <w:sz w:val="21"/>
      <w:szCs w:val="21"/>
    </w:rPr>
  </w:style>
  <w:style w:type="character" w:customStyle="1" w:styleId="22">
    <w:name w:val="right"/>
    <w:basedOn w:val="7"/>
    <w:qFormat/>
    <w:uiPriority w:val="0"/>
    <w:rPr>
      <w:color w:val="999999"/>
      <w:sz w:val="18"/>
      <w:szCs w:val="18"/>
    </w:rPr>
  </w:style>
  <w:style w:type="character" w:customStyle="1" w:styleId="23">
    <w:name w:val="页眉 Char"/>
    <w:basedOn w:val="7"/>
    <w:link w:val="5"/>
    <w:semiHidden/>
    <w:qFormat/>
    <w:uiPriority w:val="99"/>
    <w:rPr>
      <w:kern w:val="2"/>
      <w:sz w:val="18"/>
      <w:szCs w:val="18"/>
    </w:rPr>
  </w:style>
  <w:style w:type="character" w:customStyle="1" w:styleId="24">
    <w:name w:val="页脚 Char"/>
    <w:basedOn w:val="7"/>
    <w:link w:val="4"/>
    <w:semiHidden/>
    <w:qFormat/>
    <w:uiPriority w:val="99"/>
    <w:rPr>
      <w:kern w:val="2"/>
      <w:sz w:val="18"/>
      <w:szCs w:val="18"/>
    </w:rPr>
  </w:style>
  <w:style w:type="character" w:customStyle="1" w:styleId="25">
    <w:name w:val="hover25"/>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248</Words>
  <Characters>1420</Characters>
  <Lines>11</Lines>
  <Paragraphs>3</Paragraphs>
  <TotalTime>1</TotalTime>
  <ScaleCrop>false</ScaleCrop>
  <LinksUpToDate>false</LinksUpToDate>
  <CharactersWithSpaces>1665</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2018-01-11T07:21:00Z</dcterms:created>
  <dc:creator>微软用户</dc:creator>
  <cp:lastModifiedBy>Administrator</cp:lastModifiedBy>
  <cp:lastPrinted>2018-10-08T07:53:00Z</cp:lastPrinted>
  <dcterms:modified xsi:type="dcterms:W3CDTF">2018-10-10T01:13:33Z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