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napToGrid w:val="0"/>
        </w:rPr>
      </w:pPr>
      <w:r>
        <w:rPr>
          <w:rFonts w:hint="eastAsia"/>
          <w:snapToGrid w:val="0"/>
        </w:rPr>
        <w:t>开标一览表</w:t>
      </w:r>
    </w:p>
    <w:p>
      <w:pPr>
        <w:spacing w:before="50" w:after="163" w:afterLines="50" w:line="360" w:lineRule="auto"/>
        <w:contextualSpacing/>
        <w:jc w:val="left"/>
        <w:rPr>
          <w:rFonts w:ascii="宋体" w:hAnsi="宋体"/>
          <w:color w:val="000000"/>
          <w:szCs w:val="24"/>
        </w:rPr>
      </w:pPr>
      <w:r>
        <w:rPr>
          <w:rFonts w:hint="eastAsia" w:ascii="宋体" w:hAnsi="宋体"/>
          <w:color w:val="000000"/>
          <w:szCs w:val="24"/>
        </w:rPr>
        <w:t>项目编号：</w:t>
      </w:r>
      <w:r>
        <w:rPr>
          <w:rFonts w:ascii="宋体" w:hAnsi="宋体"/>
          <w:color w:val="000000"/>
          <w:szCs w:val="24"/>
        </w:rPr>
        <w:t>ZFCG-G2018093-1号</w:t>
      </w:r>
    </w:p>
    <w:p>
      <w:pPr>
        <w:spacing w:line="360" w:lineRule="auto"/>
        <w:contextualSpacing/>
        <w:rPr>
          <w:rFonts w:ascii="宋体" w:hAnsi="宋体"/>
          <w:color w:val="000000"/>
          <w:szCs w:val="24"/>
        </w:rPr>
      </w:pPr>
      <w:r>
        <w:rPr>
          <w:rFonts w:hint="eastAsia" w:ascii="宋体" w:hAnsi="宋体"/>
          <w:color w:val="000000"/>
          <w:szCs w:val="24"/>
        </w:rPr>
        <w:t xml:space="preserve">项目名称： 高速公路区间测速系统 </w:t>
      </w:r>
      <w:r>
        <w:rPr>
          <w:rFonts w:ascii="宋体" w:hAnsi="宋体"/>
          <w:color w:val="000000"/>
          <w:szCs w:val="24"/>
        </w:rPr>
        <w:t xml:space="preserve"> </w:t>
      </w:r>
      <w:r>
        <w:rPr>
          <w:rFonts w:hint="eastAsia" w:ascii="宋体" w:hAnsi="宋体"/>
          <w:color w:val="000000"/>
          <w:szCs w:val="24"/>
        </w:rPr>
        <w:t xml:space="preserve">                   </w:t>
      </w:r>
      <w:r>
        <w:rPr>
          <w:rFonts w:hint="eastAsia" w:ascii="宋体" w:hAnsi="宋体" w:cs="Arial"/>
          <w:szCs w:val="24"/>
        </w:rPr>
        <w:t>单位：元（人民币）</w:t>
      </w:r>
    </w:p>
    <w:tbl>
      <w:tblPr>
        <w:tblStyle w:val="5"/>
        <w:tblW w:w="8638" w:type="dxa"/>
        <w:tblInd w:w="0" w:type="dxa"/>
        <w:tblLayout w:type="fixed"/>
        <w:tblCellMar>
          <w:top w:w="0" w:type="dxa"/>
          <w:left w:w="108" w:type="dxa"/>
          <w:bottom w:w="0" w:type="dxa"/>
          <w:right w:w="108" w:type="dxa"/>
        </w:tblCellMar>
      </w:tblPr>
      <w:tblGrid>
        <w:gridCol w:w="867"/>
        <w:gridCol w:w="1665"/>
        <w:gridCol w:w="3697"/>
        <w:gridCol w:w="1562"/>
        <w:gridCol w:w="847"/>
      </w:tblGrid>
      <w:tr>
        <w:tblPrEx>
          <w:tblLayout w:type="fixed"/>
          <w:tblCellMar>
            <w:top w:w="0" w:type="dxa"/>
            <w:left w:w="108" w:type="dxa"/>
            <w:bottom w:w="0" w:type="dxa"/>
            <w:right w:w="108" w:type="dxa"/>
          </w:tblCellMar>
        </w:tblPrEx>
        <w:trPr>
          <w:trHeight w:val="851" w:hRule="atLeast"/>
        </w:trPr>
        <w:tc>
          <w:tcPr>
            <w:tcW w:w="8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4"/>
                <w:lang w:val="zh-CN"/>
              </w:rPr>
            </w:pPr>
            <w:r>
              <w:rPr>
                <w:rFonts w:hint="eastAsia" w:ascii="宋体" w:hAnsi="宋体" w:cs="宋体"/>
                <w:b/>
                <w:szCs w:val="24"/>
                <w:lang w:val="zh-CN"/>
              </w:rPr>
              <w:t>标段</w:t>
            </w:r>
          </w:p>
        </w:tc>
        <w:tc>
          <w:tcPr>
            <w:tcW w:w="16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4"/>
                <w:lang w:val="zh-CN"/>
              </w:rPr>
            </w:pPr>
            <w:r>
              <w:rPr>
                <w:rFonts w:hint="eastAsia" w:ascii="宋体" w:hAnsi="宋体" w:cs="宋体"/>
                <w:b/>
                <w:szCs w:val="24"/>
                <w:lang w:val="zh-CN"/>
              </w:rPr>
              <w:t>项目名称</w:t>
            </w:r>
          </w:p>
        </w:tc>
        <w:tc>
          <w:tcPr>
            <w:tcW w:w="369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4"/>
                <w:lang w:val="zh-CN"/>
              </w:rPr>
            </w:pPr>
            <w:r>
              <w:rPr>
                <w:rFonts w:hint="eastAsia" w:ascii="宋体" w:hAnsi="宋体" w:cs="宋体"/>
                <w:b/>
                <w:szCs w:val="24"/>
                <w:lang w:val="zh-CN"/>
              </w:rPr>
              <w:t>投标报价</w:t>
            </w:r>
          </w:p>
        </w:tc>
        <w:tc>
          <w:tcPr>
            <w:tcW w:w="15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4"/>
                <w:lang w:val="zh-CN"/>
              </w:rPr>
            </w:pPr>
            <w:r>
              <w:rPr>
                <w:rFonts w:hint="eastAsia" w:ascii="宋体" w:hAnsi="宋体" w:cs="宋体"/>
                <w:b/>
                <w:szCs w:val="24"/>
                <w:lang w:val="zh-CN"/>
              </w:rPr>
              <w:t>交付日期（天）</w:t>
            </w:r>
          </w:p>
        </w:tc>
        <w:tc>
          <w:tcPr>
            <w:tcW w:w="84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4"/>
                <w:lang w:val="zh-CN"/>
              </w:rPr>
            </w:pPr>
            <w:r>
              <w:rPr>
                <w:rFonts w:hint="eastAsia" w:ascii="宋体" w:hAnsi="宋体" w:cs="宋体"/>
                <w:b/>
                <w:szCs w:val="24"/>
                <w:lang w:val="zh-CN"/>
              </w:rPr>
              <w:t>备注</w:t>
            </w:r>
          </w:p>
        </w:tc>
      </w:tr>
      <w:tr>
        <w:tblPrEx>
          <w:tblLayout w:type="fixed"/>
          <w:tblCellMar>
            <w:top w:w="0" w:type="dxa"/>
            <w:left w:w="108" w:type="dxa"/>
            <w:bottom w:w="0" w:type="dxa"/>
            <w:right w:w="108" w:type="dxa"/>
          </w:tblCellMar>
        </w:tblPrEx>
        <w:trPr>
          <w:trHeight w:val="851"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4"/>
              </w:rPr>
            </w:pPr>
            <w:r>
              <w:rPr>
                <w:rFonts w:hint="eastAsia" w:ascii="宋体" w:hAnsi="宋体"/>
                <w:szCs w:val="24"/>
              </w:rPr>
              <w:t>/</w:t>
            </w:r>
          </w:p>
        </w:tc>
        <w:tc>
          <w:tcPr>
            <w:tcW w:w="1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szCs w:val="24"/>
              </w:rPr>
            </w:pPr>
            <w:r>
              <w:rPr>
                <w:rFonts w:hint="eastAsia" w:ascii="宋体" w:hAnsi="宋体"/>
                <w:color w:val="000000"/>
                <w:szCs w:val="24"/>
              </w:rPr>
              <w:t>高速公路区间测速系统</w:t>
            </w:r>
          </w:p>
        </w:tc>
        <w:tc>
          <w:tcPr>
            <w:tcW w:w="36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4"/>
                <w:lang w:val="zh-CN"/>
              </w:rPr>
            </w:pPr>
            <w:r>
              <w:rPr>
                <w:rFonts w:hint="eastAsia" w:ascii="宋体" w:hAnsi="宋体" w:cs="宋体"/>
                <w:szCs w:val="24"/>
                <w:lang w:val="zh-CN"/>
              </w:rPr>
              <w:t>大写：捌佰叁拾陆万捌仟叁佰陆拾元整</w:t>
            </w:r>
          </w:p>
          <w:p>
            <w:pPr>
              <w:autoSpaceDE w:val="0"/>
              <w:autoSpaceDN w:val="0"/>
              <w:adjustRightInd w:val="0"/>
              <w:spacing w:line="480" w:lineRule="exact"/>
              <w:rPr>
                <w:rFonts w:ascii="宋体" w:hAnsi="宋体" w:cs="宋体"/>
                <w:szCs w:val="24"/>
                <w:lang w:val="zh-CN"/>
              </w:rPr>
            </w:pPr>
            <w:r>
              <w:rPr>
                <w:rFonts w:hint="eastAsia" w:ascii="宋体" w:hAnsi="宋体" w:cs="宋体"/>
                <w:szCs w:val="24"/>
                <w:lang w:val="zh-CN"/>
              </w:rPr>
              <w:t>小写：</w:t>
            </w:r>
            <w:r>
              <w:rPr>
                <w:rFonts w:ascii="宋体" w:hAnsi="宋体" w:cs="宋体"/>
                <w:szCs w:val="24"/>
                <w:lang w:val="zh-CN"/>
              </w:rPr>
              <w:t>8368360</w:t>
            </w:r>
            <w:r>
              <w:rPr>
                <w:rFonts w:hint="eastAsia" w:ascii="宋体" w:hAnsi="宋体" w:cs="宋体"/>
                <w:szCs w:val="24"/>
                <w:lang w:val="zh-CN"/>
              </w:rPr>
              <w:t>.00</w:t>
            </w:r>
          </w:p>
        </w:tc>
        <w:tc>
          <w:tcPr>
            <w:tcW w:w="1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hanging="108"/>
              <w:jc w:val="center"/>
              <w:rPr>
                <w:rFonts w:ascii="宋体" w:hAnsi="宋体" w:cs="宋体"/>
                <w:szCs w:val="24"/>
                <w:lang w:val="zh-CN"/>
              </w:rPr>
            </w:pPr>
            <w:r>
              <w:rPr>
                <w:rFonts w:hint="eastAsia" w:ascii="宋体" w:hAnsi="宋体" w:cs="宋体"/>
                <w:szCs w:val="24"/>
                <w:lang w:val="zh-CN"/>
              </w:rPr>
              <w:t>签订合同后60日内</w:t>
            </w:r>
          </w:p>
        </w:tc>
        <w:tc>
          <w:tcPr>
            <w:tcW w:w="8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4"/>
                <w:lang w:val="zh-CN"/>
              </w:rPr>
            </w:pPr>
            <w:r>
              <w:rPr>
                <w:rFonts w:hint="eastAsia" w:ascii="宋体" w:hAnsi="宋体" w:cs="宋体"/>
                <w:szCs w:val="24"/>
                <w:lang w:val="zh-CN"/>
              </w:rPr>
              <w:t>/</w:t>
            </w:r>
          </w:p>
        </w:tc>
      </w:tr>
      <w:tr>
        <w:tblPrEx>
          <w:tblLayout w:type="fixed"/>
          <w:tblCellMar>
            <w:top w:w="0" w:type="dxa"/>
            <w:left w:w="108" w:type="dxa"/>
            <w:bottom w:w="0" w:type="dxa"/>
            <w:right w:w="108" w:type="dxa"/>
          </w:tblCellMar>
        </w:tblPrEx>
        <w:trPr>
          <w:trHeight w:val="851"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4"/>
              </w:rPr>
            </w:pPr>
            <w:r>
              <w:rPr>
                <w:rFonts w:ascii="宋体" w:hAnsi="宋体" w:cs="Arial"/>
                <w:szCs w:val="24"/>
              </w:rPr>
              <w:t>…</w:t>
            </w:r>
          </w:p>
        </w:tc>
        <w:tc>
          <w:tcPr>
            <w:tcW w:w="1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4"/>
              </w:rPr>
            </w:pPr>
          </w:p>
        </w:tc>
        <w:tc>
          <w:tcPr>
            <w:tcW w:w="36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4"/>
                <w:lang w:val="zh-CN"/>
              </w:rPr>
            </w:pPr>
            <w:r>
              <w:rPr>
                <w:rFonts w:hint="eastAsia" w:ascii="宋体" w:hAnsi="宋体" w:cs="宋体"/>
                <w:szCs w:val="24"/>
                <w:lang w:val="zh-CN"/>
              </w:rPr>
              <w:t>大写：　　　　　　小写：</w:t>
            </w:r>
          </w:p>
        </w:tc>
        <w:tc>
          <w:tcPr>
            <w:tcW w:w="1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4"/>
                <w:lang w:val="zh-CN"/>
              </w:rPr>
            </w:pPr>
          </w:p>
        </w:tc>
        <w:tc>
          <w:tcPr>
            <w:tcW w:w="8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4"/>
                <w:lang w:val="zh-CN"/>
              </w:rPr>
            </w:pPr>
          </w:p>
        </w:tc>
      </w:tr>
    </w:tbl>
    <w:p>
      <w:pPr>
        <w:autoSpaceDE w:val="0"/>
        <w:autoSpaceDN w:val="0"/>
        <w:adjustRightInd w:val="0"/>
        <w:spacing w:line="480" w:lineRule="auto"/>
        <w:rPr>
          <w:rFonts w:ascii="宋体" w:hAnsi="宋体" w:cs="宋体"/>
          <w:szCs w:val="24"/>
          <w:lang w:val="zh-CN"/>
        </w:rPr>
      </w:pPr>
      <w:r>
        <w:rPr>
          <w:rFonts w:hint="eastAsia" w:ascii="宋体" w:hAnsi="宋体" w:cs="宋体"/>
          <w:szCs w:val="24"/>
          <w:lang w:val="zh-CN"/>
        </w:rPr>
        <w:t>投标人名称：</w:t>
      </w:r>
      <w:r>
        <w:rPr>
          <w:rFonts w:hint="eastAsia" w:ascii="宋体" w:hAnsi="宋体" w:cs="宋体"/>
          <w:szCs w:val="24"/>
          <w:u w:val="single"/>
          <w:lang w:val="zh-CN"/>
        </w:rPr>
        <w:t xml:space="preserve">   华平信息技术股份有限公司   </w:t>
      </w:r>
      <w:r>
        <w:rPr>
          <w:rFonts w:hint="eastAsia" w:ascii="宋体" w:hAnsi="宋体" w:cs="宋体"/>
          <w:szCs w:val="24"/>
          <w:lang w:val="zh-CN"/>
        </w:rPr>
        <w:t>（公章）：</w:t>
      </w:r>
    </w:p>
    <w:p>
      <w:pPr>
        <w:autoSpaceDE w:val="0"/>
        <w:autoSpaceDN w:val="0"/>
        <w:adjustRightInd w:val="0"/>
        <w:spacing w:line="480" w:lineRule="auto"/>
        <w:rPr>
          <w:rFonts w:ascii="宋体" w:hAnsi="宋体" w:cs="宋体"/>
          <w:szCs w:val="24"/>
          <w:u w:val="single"/>
          <w:lang w:val="zh-CN"/>
        </w:rPr>
      </w:pPr>
      <w:r>
        <w:rPr>
          <w:rFonts w:hint="eastAsia" w:ascii="宋体" w:hAnsi="宋体" w:cs="宋体"/>
          <w:szCs w:val="24"/>
          <w:lang w:val="zh-CN"/>
        </w:rPr>
        <w:t>投标人法定代表人（或授权代表）签字：</w:t>
      </w:r>
      <w:r>
        <w:rPr>
          <w:rFonts w:hint="eastAsia" w:ascii="宋体" w:hAnsi="宋体" w:cs="宋体"/>
          <w:szCs w:val="24"/>
          <w:u w:val="single"/>
          <w:lang w:val="zh-CN"/>
        </w:rPr>
        <w:t xml:space="preserve"> </w:t>
      </w:r>
      <w:r>
        <w:rPr>
          <w:rFonts w:ascii="宋体" w:hAnsi="宋体" w:cs="宋体"/>
          <w:szCs w:val="24"/>
          <w:u w:val="single"/>
          <w:lang w:val="zh-CN"/>
        </w:rPr>
        <w:t xml:space="preserve">            </w:t>
      </w:r>
    </w:p>
    <w:p>
      <w:pPr>
        <w:autoSpaceDE w:val="0"/>
        <w:autoSpaceDN w:val="0"/>
        <w:adjustRightInd w:val="0"/>
        <w:spacing w:line="480" w:lineRule="auto"/>
        <w:rPr>
          <w:rFonts w:ascii="宋体" w:hAnsi="宋体" w:cs="宋体"/>
          <w:szCs w:val="24"/>
          <w:lang w:val="zh-CN"/>
        </w:rPr>
      </w:pPr>
      <w:r>
        <w:rPr>
          <w:rFonts w:hint="eastAsia" w:ascii="宋体" w:hAnsi="宋体" w:cs="宋体"/>
          <w:szCs w:val="24"/>
          <w:lang w:val="zh-CN"/>
        </w:rPr>
        <w:t>日期：</w:t>
      </w:r>
      <w:r>
        <w:rPr>
          <w:rFonts w:ascii="宋体" w:hAnsi="宋体" w:cs="宋体"/>
          <w:szCs w:val="24"/>
          <w:lang w:val="zh-CN"/>
        </w:rPr>
        <w:t xml:space="preserve">    2018 </w:t>
      </w:r>
      <w:r>
        <w:rPr>
          <w:rFonts w:hint="eastAsia" w:ascii="宋体" w:hAnsi="宋体" w:cs="宋体"/>
          <w:szCs w:val="24"/>
          <w:lang w:val="zh-CN"/>
        </w:rPr>
        <w:t xml:space="preserve">年 </w:t>
      </w:r>
      <w:r>
        <w:rPr>
          <w:rFonts w:ascii="宋体" w:hAnsi="宋体" w:cs="宋体"/>
          <w:szCs w:val="24"/>
          <w:lang w:val="zh-CN"/>
        </w:rPr>
        <w:t xml:space="preserve">9 </w:t>
      </w:r>
      <w:r>
        <w:rPr>
          <w:rFonts w:hint="eastAsia" w:ascii="宋体" w:hAnsi="宋体" w:cs="宋体"/>
          <w:szCs w:val="24"/>
          <w:lang w:val="zh-CN"/>
        </w:rPr>
        <w:t>月 28</w:t>
      </w:r>
      <w:r>
        <w:rPr>
          <w:rFonts w:ascii="宋体" w:hAnsi="宋体" w:cs="宋体"/>
          <w:szCs w:val="24"/>
          <w:lang w:val="zh-CN"/>
        </w:rPr>
        <w:t xml:space="preserve"> </w:t>
      </w:r>
      <w:r>
        <w:rPr>
          <w:rFonts w:hint="eastAsia" w:ascii="宋体" w:hAnsi="宋体" w:cs="宋体"/>
          <w:szCs w:val="24"/>
          <w:lang w:val="zh-CN"/>
        </w:rPr>
        <w:t>日</w:t>
      </w:r>
    </w:p>
    <w:p>
      <w:pPr>
        <w:autoSpaceDE w:val="0"/>
        <w:autoSpaceDN w:val="0"/>
        <w:adjustRightInd w:val="0"/>
        <w:spacing w:line="480" w:lineRule="auto"/>
        <w:rPr>
          <w:rFonts w:ascii="宋体" w:hAnsi="宋体" w:cs="宋体"/>
          <w:szCs w:val="24"/>
          <w:lang w:val="zh-CN"/>
        </w:rPr>
      </w:pPr>
      <w:r>
        <w:rPr>
          <w:rFonts w:hint="eastAsia" w:ascii="宋体" w:hAnsi="宋体" w:cs="宋体"/>
          <w:szCs w:val="24"/>
          <w:lang w:val="zh-CN"/>
        </w:rPr>
        <w:t>注：交付日期指完成该项目的最终时间（日历天）。</w:t>
      </w:r>
    </w:p>
    <w:p>
      <w:pPr>
        <w:widowControl/>
        <w:jc w:val="left"/>
        <w:sectPr>
          <w:pgSz w:w="11906" w:h="16838"/>
          <w:pgMar w:top="1440" w:right="1800" w:bottom="1440" w:left="1800" w:header="851" w:footer="992" w:gutter="0"/>
          <w:cols w:space="425" w:num="1"/>
          <w:docGrid w:type="lines" w:linePitch="312" w:charSpace="0"/>
        </w:sectPr>
      </w:pPr>
    </w:p>
    <w:p>
      <w:pPr>
        <w:pStyle w:val="3"/>
        <w:numPr>
          <w:numId w:val="0"/>
        </w:numPr>
        <w:ind w:firstLine="643" w:firstLineChars="200"/>
        <w:rPr>
          <w:rFonts w:hint="eastAsia"/>
        </w:rPr>
      </w:pPr>
      <w:r>
        <w:rPr>
          <w:rFonts w:hint="eastAsia"/>
          <w:lang w:eastAsia="zh-CN"/>
        </w:rPr>
        <w:t>二、</w:t>
      </w:r>
      <w:r>
        <w:rPr>
          <w:rFonts w:hint="eastAsia"/>
        </w:rPr>
        <w:t>投标分项报价表</w:t>
      </w:r>
    </w:p>
    <w:p>
      <w:pPr>
        <w:spacing w:before="50" w:after="163" w:afterLines="50" w:line="360" w:lineRule="auto"/>
        <w:ind w:firstLine="720" w:firstLineChars="300"/>
        <w:contextualSpacing/>
        <w:jc w:val="left"/>
        <w:rPr>
          <w:rFonts w:hint="eastAsia" w:asciiTheme="minorEastAsia" w:hAnsiTheme="minorEastAsia"/>
          <w:color w:val="000000"/>
          <w:szCs w:val="24"/>
        </w:rPr>
      </w:pPr>
      <w:r>
        <w:rPr>
          <w:rFonts w:hint="eastAsia" w:asciiTheme="minorEastAsia" w:hAnsiTheme="minorEastAsia"/>
          <w:color w:val="000000"/>
          <w:szCs w:val="24"/>
        </w:rPr>
        <w:t>项目编号：</w:t>
      </w:r>
      <w:r>
        <w:rPr>
          <w:rFonts w:asciiTheme="minorEastAsia" w:hAnsiTheme="minorEastAsia"/>
          <w:color w:val="000000"/>
          <w:szCs w:val="24"/>
        </w:rPr>
        <w:t>ZFCG-G2018093-1号</w:t>
      </w:r>
    </w:p>
    <w:p>
      <w:pPr>
        <w:ind w:firstLine="720" w:firstLineChars="300"/>
        <w:rPr>
          <w:rFonts w:hint="eastAsia"/>
        </w:rPr>
      </w:pPr>
      <w:r>
        <w:rPr>
          <w:rFonts w:hint="eastAsia"/>
        </w:rPr>
        <w:t>项目名称：高速公路区间测速系统</w:t>
      </w:r>
    </w:p>
    <w:tbl>
      <w:tblPr>
        <w:tblStyle w:val="5"/>
        <w:tblW w:w="14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911"/>
        <w:gridCol w:w="969"/>
        <w:gridCol w:w="7281"/>
        <w:gridCol w:w="696"/>
        <w:gridCol w:w="804"/>
        <w:gridCol w:w="928"/>
        <w:gridCol w:w="110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911" w:type="dxa"/>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969" w:type="dxa"/>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规格型号</w:t>
            </w:r>
          </w:p>
        </w:tc>
        <w:tc>
          <w:tcPr>
            <w:tcW w:w="7281" w:type="dxa"/>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技术参数</w:t>
            </w:r>
          </w:p>
        </w:tc>
        <w:tc>
          <w:tcPr>
            <w:tcW w:w="696" w:type="dxa"/>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804" w:type="dxa"/>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928" w:type="dxa"/>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1102" w:type="dxa"/>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总价</w:t>
            </w:r>
          </w:p>
        </w:tc>
        <w:tc>
          <w:tcPr>
            <w:tcW w:w="1246" w:type="dxa"/>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产地及厂家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jc w:val="center"/>
        </w:trPr>
        <w:tc>
          <w:tcPr>
            <w:tcW w:w="473" w:type="dxa"/>
            <w:vMerge w:val="restart"/>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高清抓拍单元</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HC131</w:t>
            </w:r>
          </w:p>
        </w:tc>
        <w:tc>
          <w:tcPr>
            <w:tcW w:w="7281" w:type="dxa"/>
            <w:shd w:val="clear" w:color="000000" w:fill="FFFFFF"/>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rPr>
              <w:t>嵌入式一体化高清卡口抓拍单元，包含1台300万像素高清一体化嵌入式摄像机、1个高清镜头、1个室外防护罩、1组防雷器、1个电源适配器，可管理1~2车道，满足室外长期稳定使用，性能可靠；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图像传感器1/1.8英寸，大尺寸靶面，成像效果更佳；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图像分辨率2048*1536，彩色分辨力1200TVL，满足高清成像，帧率1-25帧可调，适应多种场景下的应用需求；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镜头根据现场实际情况可选，满足不同场景下的抓拍需求；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最低照度：彩色0.005lx，黑白0.0008lx，满足低照度场景下的高清成像；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1/25s~1/1000000s可调，可调范围广，性能稳定可靠；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支持JPEG图片、H.264视频流同时输出，支持一机抓拍、监控双用；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整机一体化交付，内置补光灯，性能稳定可靠；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支持地感线圈、视频触发、雷达触发等多种触发方式，满足多种场景下的不同应用需求；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支持三码流输出，满足不同网络环境下不同客户端的监控需求；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接口：1个10M/100M/1000M自适应以太网RJ45接口，1个100M/1000M Base-X光口，3个RS-485接口，1个RS-232接口，1个BNC接口，4个同步信号输出接口，5个同步信号控制接口，1个USB接口，丰富的接口，满足多种场景下的应用需求；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内置偏振镜，有效滤除偏振光，支持自动切换功能，消除光斑光柱现象，保障图片的高清成像；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具有本地存储功能，可将图像信息存储在eMMC存储芯片上，读写速度更高，寿命更长；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支持车牌矫正功能，可识别带有略微倾斜的车辆号牌，提高车牌识别率；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支持异地牌照检测，设备通过WEB界面设置当地车牌字符，启动异地牌照检测功能后，具有对非本地车牌字符（不包含特殊车牌）检测功能，提高管理的方便性；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支持白名单功能，支持白名单的批量导入、导出功能，操作简单方便；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可通过WEB界面在抓拍图片上叠加时间、地点、车道号、限速值、车速、车身颜色、车牌号码、防伪编码、车型、车标、方向、摄像机ID、自定义等信息，能够提取丰富的结构化信息；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支持通过车辆图像记录功能，白天和晚上捕获率≥99%，捕获率高，性能稳定可靠；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支持车牌识别功能，白天和晚上识别准确率≥97%，准确率高，性能稳定可靠；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支持150种车标识别，白天识别准确率≥95%，晚上识别准确率≥92%，准确率高，性能稳定可靠；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支持2000种车辆子品牌识别，白天识别准确率≥95%，晚上识别准确率≥90%，准确率高，性能稳定可靠；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支持7种车型识别，白天识别率准确率≥95%，晚上识别准确率≥90%，准确率高，性能稳定可靠；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支持11种车身颜色识别功能，白天车身颜色识别准确率≥95%，晚上车身颜色识别准确率≥95%，准确率高，性能稳定可靠；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超速白天、晚上捕获率≥95%，白天、晚上识别准确率≥95%，准确率高，性能稳定可靠；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支持安全带检测功能，未系安全带检出率≥90%，系安全带误检率≤5%，准确率高，性能稳定可靠；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支持主副驾驶员遮阳板状态识别功能，主驾驶打开遮阳板检出率≥95%，未打开遮阳板被误检率≤5%；副驾驶打开遮阳板检出率≥90%，未打开遮阳板被误检率≤5%，准确率高，性能稳定可靠；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支持对驾驶员行驶时打电话识别功能，打电话检出率≥80%，未打电话误检率≤5%，准确率高，性能稳定可靠；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支持驾驶员人脸抠图功能，视频检测驾乘人员位置并抠图叠加至抓拍图片或保存为独立图片文件，主驾驶抠图准确率率≥97%，准确率高，性能稳定可靠；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针对电源接口、通讯接口、视频接口支持6KV防雷，满足室外恶劣环境下的长期稳定运行，性能稳定可靠；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防护等级IP66，满足室外恶劣环境下的长期稳定运行，性能稳定可靠；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摄像机设计先进可靠，可稳定运行在-40℃~85℃，满足室外恶劣环境下的长期稳定运行，性能稳定可靠；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支持IP66防护等级，满足室外恶劣环境下的长期稳定运行，性能稳定可靠；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电源电压在AC220V±25%范围内变化时，设备应能正常工作，满足室外电压不稳情况下的稳定运行；</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1271000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73" w:type="dxa"/>
            <w:vMerge w:val="continue"/>
            <w:vAlign w:val="center"/>
          </w:tcPr>
          <w:p>
            <w:pPr>
              <w:widowControl/>
              <w:jc w:val="left"/>
              <w:rPr>
                <w:rFonts w:ascii="宋体" w:hAnsi="宋体" w:cs="宋体"/>
                <w:color w:val="000000"/>
                <w:kern w:val="0"/>
                <w:sz w:val="20"/>
                <w:szCs w:val="20"/>
              </w:rPr>
            </w:pP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三维支架</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TR-UV06-A-IN  </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三维可调安装万向支架，配套摄像机使用，性能稳定可靠</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24600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200万像素高清红外球机</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HIC6821</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1/2.8英寸逐行扫描 CMOS Sensor 1080P球型网络摄像机，图像无锯齿，适合捕捉运动物体；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水平解像力1100线，满足高清成像；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支持光学宽动态，宽动态范围120dB，满足光照明亮交接区域高清成像；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支持宽动态效果自动切换，保障图像效果清晰细腻；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支持光学透雾、支持强光抑制，支持白平衡自动/手工配置、支持图像亮度、饱和度、锐度进行调节、支持自动增益控制、支持3D降噪，支持多种图像处理方式，保障图像成像效果最佳；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支持IR-CUT，支持彩转黑功能，满足白天、黑夜始终高清成像需求；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镜头焦距范围5~220mm，支持44倍电动变倍，满足远近不同场景下的监控需求；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1/6秒至1/8000秒电子快门速度，性能稳定可靠；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彩色最低照度：0.001Lux，满足微光环境下的高清成像；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支持H.265、H.264、MJPEG编码协议，满足多种场景下的编码应用需求；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最大支持：1080P 60fps图像编码能力，支持“1080P 60fps+1080P 30fps+D1 30fps”格式三码流套餐，满足多种场景下的码流应用需求；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支持G.711编码协议、AAC宽频语音，支持48kHz语音采样，满足拾音效果最佳；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支持OSD字符叠加，OSD内容支持自定义，可根据用户需求灵活配置；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OSD大小可以设置为32*32像素、48*48像素、64*64像素、72*72像素96*96像素、128*128像素等模式，可灵活调节；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支持360度水平连续旋转，水平预置点速度可达360°/s，转动速度快，无拖影；支持-30°～+90度垂直旋转，监控范围更广；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支持256个预置位设置，性能强大，支持预置位轮训；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支持3D定位功能，定位更精确；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支持断电状态记忆功能，上电后自动回到断电前的云台和镜头状态，无需手动调节，性能稳定可靠；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支持网络自适应，15％丢包网络环境下图像效果良好，保障网络不佳时流畅显示；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区域入侵、停车、越界入侵、人员聚集、进入区域、离开区域、快速移动、物品移除、物品遗留、徘徊等智能行为分析功能，当达到设定的阈值时，可联动告警输出，支持以上智能行为检测并报警联动，提高监控效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支持声音异常检测功能，检测到环境声音异常后自动产生告警，提高监控效率，性能稳定可靠；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支持关闭telnet端口、web弱密码校验、错误登录抑制等安全访问机制，保障设备的安全性；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支持MAC地址绑定，支持IP地址过滤，保障设备接入的安全性；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支持SD卡前端缓存，最大支持128GB SD卡本地缓存，与中心平台配合支持缓存补录，保障数据存储的可靠性；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2路告警输入，1路告警输出，满足环境告警需求，性能稳定可靠；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本地模拟BNC信号输出口，方便安装调节，性能稳定可靠；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支持音频输入/输出，支持双向语音对讲，接口丰富，满足多种场景下的应用需求；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摄像机提供100M以太网自适应电口，网口防雷达到±6KV，满足室外恶劣环境下的长期稳定运行，性能稳定可靠；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AC24V、DC24V电源输入口满足长时间在±35％电压波动电网中工作，满足电压不稳环境下的长期稳定运行，性能稳定可靠；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适用不小于-45～70℃温度环境工作，满足室外恶劣环境下的长期稳定运行，性能稳定可靠；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支持IP67防尘防水等级，满足室外恶劣环境下的长期稳定运行，性能稳定可靠；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支持ONVIF协议和GB/T 28181国家标准，便于后期联网应用；</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18080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777440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爆闪灯</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LAMP-F25-F</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支持光耦触发方式，性能稳定可靠；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补光距离范围18m-28m，满足远近不同场景补光需求，性能稳定可靠；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在距离补光装置20m处，基准轴上的有效光照度为897lx，减少白光污染；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有效光照度≥基准轴上有效光照度的50%，补光效率高；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连续两次补光之间的最小时间间隔＜100ms，点亮时间为1.1ms，补光响应及时；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防护等级IP66，满足室外恶劣环境下的长期稳定运行，性能稳定可靠；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寿命≥1000万次，性能稳定可靠；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支持AC220V±20%宽压变化，满足电压不稳环境下的长期稳定运行，性能稳定可靠；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适用-40～70℃温度环境气候工作，满足室外恶劣环境下的长期稳定运行；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内置蜂窝光栅有效消除邻边车道光污染，减少周边白光污染；</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287000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LED补光灯</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LAMP-S25</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采用白光LED，电平量触发方式，用于卡口、电子警察夜间环境同步补光，性能稳定可靠；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色温5000-7000K，满足补光需求，性能稳定可靠；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补光灯闪烁频率＞50Hz，点亮时间0ms~4ms可调；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有效补光距离16m～24m，满足远近不同场景补光需求，性能稳定可靠；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防护等级IP66，满足室外恶劣环境下的长期稳定运行，性能稳定可靠；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设备寿命50000小时，性能稳定可靠；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输入电压支持AC220V±20%宽压变化，满足电压不稳环境下的长期稳定运行，性能稳定可靠；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工作环境温度-40～70℃，满足室外恶劣环境下的长期稳定运行；</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147600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雷达</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CSR-IN</w:t>
            </w:r>
          </w:p>
        </w:tc>
        <w:tc>
          <w:tcPr>
            <w:tcW w:w="7281"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测速准确度≤(-1~0)km/h，精确度高；</w:t>
            </w:r>
            <w:r>
              <w:rPr>
                <w:rFonts w:hint="eastAsia" w:ascii="宋体" w:hAnsi="宋体" w:cs="宋体"/>
                <w:kern w:val="0"/>
                <w:sz w:val="20"/>
                <w:szCs w:val="20"/>
              </w:rPr>
              <w:br w:type="textWrapping"/>
            </w:r>
            <w:r>
              <w:rPr>
                <w:rFonts w:hint="eastAsia" w:ascii="宋体" w:hAnsi="宋体" w:cs="宋体"/>
                <w:kern w:val="0"/>
                <w:sz w:val="20"/>
                <w:szCs w:val="20"/>
              </w:rPr>
              <w:t>触发一致性≤±0.5m，精确度高，性能稳定可靠；</w:t>
            </w:r>
            <w:r>
              <w:rPr>
                <w:rFonts w:hint="eastAsia" w:ascii="宋体" w:hAnsi="宋体" w:cs="宋体"/>
                <w:kern w:val="0"/>
                <w:sz w:val="20"/>
                <w:szCs w:val="20"/>
              </w:rPr>
              <w:br w:type="textWrapping"/>
            </w:r>
            <w:r>
              <w:rPr>
                <w:rFonts w:hint="eastAsia" w:ascii="宋体" w:hAnsi="宋体" w:cs="宋体"/>
                <w:kern w:val="0"/>
                <w:sz w:val="20"/>
                <w:szCs w:val="20"/>
              </w:rPr>
              <w:t>测速范围5~400km/h，测速范围广，精确度高；</w:t>
            </w:r>
            <w:r>
              <w:rPr>
                <w:rFonts w:hint="eastAsia" w:ascii="宋体" w:hAnsi="宋体" w:cs="宋体"/>
                <w:kern w:val="0"/>
                <w:sz w:val="20"/>
                <w:szCs w:val="20"/>
              </w:rPr>
              <w:br w:type="textWrapping"/>
            </w:r>
            <w:r>
              <w:rPr>
                <w:rFonts w:hint="eastAsia" w:ascii="宋体" w:hAnsi="宋体" w:cs="宋体"/>
                <w:kern w:val="0"/>
                <w:sz w:val="20"/>
                <w:szCs w:val="20"/>
              </w:rPr>
              <w:t>安装高度：4~8m，场景适应性高；</w:t>
            </w:r>
            <w:r>
              <w:rPr>
                <w:rFonts w:hint="eastAsia" w:ascii="宋体" w:hAnsi="宋体" w:cs="宋体"/>
                <w:kern w:val="0"/>
                <w:sz w:val="20"/>
                <w:szCs w:val="20"/>
              </w:rPr>
              <w:br w:type="textWrapping"/>
            </w:r>
            <w:r>
              <w:rPr>
                <w:rFonts w:hint="eastAsia" w:ascii="宋体" w:hAnsi="宋体" w:cs="宋体"/>
                <w:kern w:val="0"/>
                <w:sz w:val="20"/>
                <w:szCs w:val="20"/>
              </w:rPr>
              <w:t>实时车速检测精度≤±1km/h，检测精度高；</w:t>
            </w:r>
            <w:r>
              <w:rPr>
                <w:rFonts w:hint="eastAsia" w:ascii="宋体" w:hAnsi="宋体" w:cs="宋体"/>
                <w:kern w:val="0"/>
                <w:sz w:val="20"/>
                <w:szCs w:val="20"/>
              </w:rPr>
              <w:br w:type="textWrapping"/>
            </w:r>
            <w:r>
              <w:rPr>
                <w:rFonts w:hint="eastAsia" w:ascii="宋体" w:hAnsi="宋体" w:cs="宋体"/>
                <w:kern w:val="0"/>
                <w:sz w:val="20"/>
                <w:szCs w:val="20"/>
              </w:rPr>
              <w:t>单车道车辆捕获率≥99%，捕获率高；</w:t>
            </w:r>
            <w:r>
              <w:rPr>
                <w:rFonts w:hint="eastAsia" w:ascii="宋体" w:hAnsi="宋体" w:cs="宋体"/>
                <w:kern w:val="0"/>
                <w:sz w:val="20"/>
                <w:szCs w:val="20"/>
              </w:rPr>
              <w:br w:type="textWrapping"/>
            </w:r>
            <w:r>
              <w:rPr>
                <w:rFonts w:hint="eastAsia" w:ascii="宋体" w:hAnsi="宋体" w:cs="宋体"/>
                <w:kern w:val="0"/>
                <w:sz w:val="20"/>
                <w:szCs w:val="20"/>
              </w:rPr>
              <w:t>天线波束3dB宽度：6°×19°，窄波天线，性能稳定可靠；</w:t>
            </w:r>
            <w:r>
              <w:rPr>
                <w:rFonts w:hint="eastAsia" w:ascii="宋体" w:hAnsi="宋体" w:cs="宋体"/>
                <w:kern w:val="0"/>
                <w:sz w:val="20"/>
                <w:szCs w:val="20"/>
              </w:rPr>
              <w:br w:type="textWrapping"/>
            </w:r>
            <w:r>
              <w:rPr>
                <w:rFonts w:hint="eastAsia" w:ascii="宋体" w:hAnsi="宋体" w:cs="宋体"/>
                <w:kern w:val="0"/>
                <w:sz w:val="20"/>
                <w:szCs w:val="20"/>
              </w:rPr>
              <w:t>微波发射功率&lt;5mW，功耗更低；</w:t>
            </w:r>
            <w:r>
              <w:rPr>
                <w:rFonts w:hint="eastAsia" w:ascii="宋体" w:hAnsi="宋体" w:cs="宋体"/>
                <w:kern w:val="0"/>
                <w:sz w:val="20"/>
                <w:szCs w:val="20"/>
              </w:rPr>
              <w:br w:type="textWrapping"/>
            </w:r>
            <w:r>
              <w:rPr>
                <w:rFonts w:hint="eastAsia" w:ascii="宋体" w:hAnsi="宋体" w:cs="宋体"/>
                <w:kern w:val="0"/>
                <w:sz w:val="20"/>
                <w:szCs w:val="20"/>
              </w:rPr>
              <w:t>工作中心频率24150MHz±10MHz，性能稳定可靠；</w:t>
            </w:r>
            <w:r>
              <w:rPr>
                <w:rFonts w:hint="eastAsia" w:ascii="宋体" w:hAnsi="宋体" w:cs="宋体"/>
                <w:kern w:val="0"/>
                <w:sz w:val="20"/>
                <w:szCs w:val="20"/>
              </w:rPr>
              <w:br w:type="textWrapping"/>
            </w:r>
            <w:r>
              <w:rPr>
                <w:rFonts w:hint="eastAsia" w:ascii="宋体" w:hAnsi="宋体" w:cs="宋体"/>
                <w:kern w:val="0"/>
                <w:sz w:val="20"/>
                <w:szCs w:val="20"/>
              </w:rPr>
              <w:t>1个RS485接口，配套摄像机使用；</w:t>
            </w:r>
            <w:r>
              <w:rPr>
                <w:rFonts w:hint="eastAsia" w:ascii="宋体" w:hAnsi="宋体" w:cs="宋体"/>
                <w:kern w:val="0"/>
                <w:sz w:val="20"/>
                <w:szCs w:val="20"/>
              </w:rPr>
              <w:br w:type="textWrapping"/>
            </w:r>
            <w:r>
              <w:rPr>
                <w:rFonts w:hint="eastAsia" w:ascii="宋体" w:hAnsi="宋体" w:cs="宋体"/>
                <w:kern w:val="0"/>
                <w:sz w:val="20"/>
                <w:szCs w:val="20"/>
              </w:rPr>
              <w:t>电源DC12V，性能稳定可靠；</w:t>
            </w:r>
            <w:r>
              <w:rPr>
                <w:rFonts w:hint="eastAsia" w:ascii="宋体" w:hAnsi="宋体" w:cs="宋体"/>
                <w:kern w:val="0"/>
                <w:sz w:val="20"/>
                <w:szCs w:val="20"/>
              </w:rPr>
              <w:br w:type="textWrapping"/>
            </w:r>
            <w:r>
              <w:rPr>
                <w:rFonts w:hint="eastAsia" w:ascii="宋体" w:hAnsi="宋体" w:cs="宋体"/>
                <w:kern w:val="0"/>
                <w:sz w:val="20"/>
                <w:szCs w:val="20"/>
              </w:rPr>
              <w:t>工作温度-40℃~70℃，满足室外恶劣环境下的长期稳定运行；</w:t>
            </w:r>
            <w:r>
              <w:rPr>
                <w:rFonts w:hint="eastAsia" w:ascii="宋体" w:hAnsi="宋体" w:cs="宋体"/>
                <w:kern w:val="0"/>
                <w:sz w:val="20"/>
                <w:szCs w:val="20"/>
              </w:rPr>
              <w:br w:type="textWrapping"/>
            </w:r>
            <w:r>
              <w:rPr>
                <w:rFonts w:hint="eastAsia" w:ascii="宋体" w:hAnsi="宋体" w:cs="宋体"/>
                <w:kern w:val="0"/>
                <w:sz w:val="20"/>
                <w:szCs w:val="20"/>
              </w:rPr>
              <w:t>工作湿度0-95%RH，满足室外恶劣环境下的长期稳定运行；</w:t>
            </w:r>
            <w:r>
              <w:rPr>
                <w:rFonts w:hint="eastAsia" w:ascii="宋体" w:hAnsi="宋体" w:cs="宋体"/>
                <w:kern w:val="0"/>
                <w:sz w:val="20"/>
                <w:szCs w:val="20"/>
              </w:rPr>
              <w:br w:type="textWrapping"/>
            </w:r>
            <w:r>
              <w:rPr>
                <w:rFonts w:hint="eastAsia" w:ascii="宋体" w:hAnsi="宋体" w:cs="宋体"/>
                <w:kern w:val="0"/>
                <w:sz w:val="20"/>
                <w:szCs w:val="20"/>
              </w:rPr>
              <w:t>防护等级IP66，满足室外恶劣环境下的长期稳定运行，性能稳定可靠；</w:t>
            </w:r>
            <w:r>
              <w:rPr>
                <w:rFonts w:hint="eastAsia" w:ascii="宋体" w:hAnsi="宋体" w:cs="宋体"/>
                <w:kern w:val="0"/>
                <w:sz w:val="20"/>
                <w:szCs w:val="20"/>
              </w:rPr>
              <w:br w:type="textWrapping"/>
            </w:r>
            <w:r>
              <w:rPr>
                <w:rFonts w:hint="eastAsia" w:ascii="宋体" w:hAnsi="宋体" w:cs="宋体"/>
                <w:kern w:val="0"/>
                <w:sz w:val="20"/>
                <w:szCs w:val="20"/>
              </w:rPr>
              <w:t>检测性能不受风、雨、雾、雪等影响，测速精度高；</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1025000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473"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区间测速主机</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ISC2500-SCT-F</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可接入卡口/电警/IPC数量不少于16路，图片接收性能不少于12张/秒，性能强大，稳定可靠；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支持手动录像、定时录像、事件录像，具有在超出存储总容量时记录自动覆盖功能，多种录像方式，满足多种场景下的应用需求；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具备数据直存功能，支持视频流直接写入存储，省去中间转发服务器，存储效率更高；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支持图片的存储、检索、查看、导出、上传，功能丰富；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支持将2张或3张或4张或6张图片等多张图片合成为一张图片，满足多种违法场景图片合成需求；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对于记录在存储介质上的视频信息，取出的存储介质应能在同型号的其他设备上正常回放，以保证设备发生故障后记录资料的留存，充分保障数据存储的可靠性；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支持在图片上叠加车牌、车道、时间、地点等字符信息，支持图片的存储、检索、查看、导出等处理，功能丰富强大；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支持前端主机实现区间测速功能，性能稳定可靠；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可无缝融入现有平台管理，支持平台远程升级、配置、参数设置等操作；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具备5个光口，6个电口，3个RS-232，4个RS-485串口，2个USB 3.0接口，8路告警输入接口，4路告警输出接口，接口丰富，满足多种场景下的应用需求；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工作温度-40℃~70℃，满足室外恶劣环境下的长期稳定运行；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支持4个硬盘槽位，本次配置含1块3T硬盘，满足数据存储要求；</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660000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信息发布平台</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VS-DA8500-M</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基于linux系统架构设计，可靠性更高，可实现室外LED屏的稳定控制管理，可长期稳定工作；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支持手动发布自定义文字内容、违停预警信息、违法数据、布控限行数据、路网拥堵信息，并支持固定模板内容快捷发布，功能强大，性能稳定可靠；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支持自动诱导发布预案任务，出现违法、布控、交通事件、天气恶劣等情况自动联动发布任务，功能强大，性能稳定可靠；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支持对单屏配置的开/关屏计划、亮度调节计划应用至其他LED信息发布屏, 操作简单方便，支持过车信息、告警、事件等信息列表式滚动发布，功能强大；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支持发布人身份、发布密码校验功能，保障信息的安全发布；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支持按时间、星期配置多个开/关屏计划，自动控制交通信息发布屏开关机，可方便管理诱导屏的开关机；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支持后台看护进程驻守，可有效防止进程异常，保持设备接入与信息发布系统稳定，保障设备长期稳定运行；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单套平台可接入64块户外LED屏，管理性能强大；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支持交通诱导屏状态实时更新显示，可关联LED屏附近的摄像机，可联动实况确认诱导屏真实的现场发布效果和运行情况，管理更加方便；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采用inter高性能CPU，2个千兆以太网电口，1个百兆以太网接口，1个RS232接口，1个RS-232/ RS-485复用接口，4个USB2.0接口，不少于1个HDMI接口，1个VGA接口，硬件性能强大，接口丰富，稳定可靠；</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0"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违法信息诱导屏1</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MW7225-E-EL-U</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尺寸：1m*8m，满足设计要求；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点距25mm，性能稳定可靠；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像素组成2R1G，采用高质量灯珠；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模组分辨率8×8，性能稳定可靠；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采用510正圆管芯，品质高，视角水平120°，垂直60°，视角广，观看效果佳；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亮度≥8500cd/m2，亮度高，性能稳定可靠；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对比度为3000:1，对比度高，性能稳定可靠；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箱体平整度系数＜1mm，性能稳定可靠；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亮度均匀性：整屏单色最亮时，最低像素亮度／最高像素度&gt;0.98，亮度更均匀，观看效果佳；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平均功耗＜200W/m2，最大功耗＜600W/m2，功耗低，绿色节能；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工作电压：AC 110-240V，性能稳定可靠；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工作温度：-30～+65℃，满足室外恶劣环境下的长期稳定运行；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工作湿度20~90%（无冷凝），环境适应性更高；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平均无故障时间≥10000小时，设备稳定性高；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ED显示屏箱体采用轻薄化、标准化结构设计，具有承重强度高、安装方式灵活多变的特点，可适用交通龙门架，F杆等，在高低温环境工作时均不会产生模组间相互挤压、变形等现象，设备品质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模组底壳均带有安装和维护把手，面罩不反光，耐紫外线，设备品质高，性能稳定可靠；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高防护等级，屏体正面防水、防尘级可达IP65，适合户外全天候使用，含配电箱，满足室外恶劣环境下的长期稳定运行；</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145000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0"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违法信息诱导屏2</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MW7225-E-EL-U</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尺寸：1m*12m，满足设计要求；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点距25mm，性能稳定可靠；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像素组成2R1G，采用高质量灯珠；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模组分辨率8×8，性能稳定可靠；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采用510正圆管芯，品质高，视角水平120°，垂直60°，视角广，观看效果佳；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亮度≥8500cd/m2，亮度高，性能稳定可靠；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对比度为3000:1，对比度高，性能稳定可靠；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箱体平整度系数＜1mm，性能稳定可靠；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亮度均匀性：整屏单色最亮时，最低像素亮度／最高像素度&gt;0.98，亮度更均匀，观看效果佳；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平均功耗＜200W/m2，最大功耗＜600W/m2，功耗低，绿色环保；</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工作电压：AC 110-240V，性能稳定可靠；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工作温度：-30～+65℃，满足室外恶劣环境下的长期稳定运行；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工作湿度20~90%（无冷凝），环境适应性更高；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平均无故障时间≥10000小时，设备稳定性高；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ED显示屏箱体采用轻薄化、标准化结构设计，具有承重强度高、安装方式灵活多变的特点，可适用交通龙门架，F杆等，在高低温环境工作时均不会产生模组间相互挤压、变形等现象，设备品质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模组底壳均带有安装和维护把手，面罩不反光，耐紫外线，设备品质高，性能稳定可靠；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高防护等级，屏体正面防水、防尘级可达IP65，适合户外全天候使用，含配电箱，满足室外恶劣环境下的长期稳定运行；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复用上述“违法信息诱导屏1”信息发布平台，实现平台的统一管理；</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165000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网线</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超5类室外网线，305米木盘装，0.5mm无氧铜，PE护套防水，黑色</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23400</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140400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电源线</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RVV3*1.0</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控制线</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RVVP2*0.5</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单模4芯</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5000</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抱杆机柜</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复合控制单元抱杆机柜，含强电模板；含交换机；防护等级IP55</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42500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工程辅材</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配套线缆、套管、各种接头、接地等</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473"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云存储主机</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NI-CX1848-CDS</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单机柜高度4U，单机含48个硬盘槽位，支持硬盘前面板热插拔，方便维护；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主机自带5个千兆网口（不含插槽扩展），支持可扩展为9个千兆网口，1个PCI-E插槽，丰富的接口，满足多种场景下的不同应用；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云存储节点支持SATA、SSD、SAS类型硬盘，支持1/2/3/4/5/6T等单盘容量硬盘，支持硬盘混插使用；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云存储节点电源、电池和风扇均为全冗余设计，保障设备的长期稳定使用，支持在线热插拔更换，维护简单方便；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云存储节点PCI-E插槽支持万兆、千兆以太网卡以及SAS 3.0卡，满足后续多种扩展应用；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云存储节点具备BBU电池模块，在节点异常掉电时给节点缓存数据提供永久保护，掉电后存储节点数码管有显示缓存数据下刷的进度，重启动后数据无丢失，保障数据存储的可靠性，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支持2893个客户端接入，性能强大，稳定可靠；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业务可用有效空间利用率达到97.8%，空间利用率高，有效避免浪费；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云存储系统应支持容量及性能线性扩展；单盘损坏时，数据恢复时间为1分23秒/TB，数据恢复能力强；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支持NFS、CIFS、iSCSI、FTP、HTTP、REST、POSIX/Windows，支持丰富的协议，满足多种场景下的应用需求；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支持按自定义文件类型批量导出或下载文件，并支持下载指定类型文件；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云存储支持多台存储节点多种方式批量并发下载录像，包括windows拷贝模式、http模式、API方式，单网口千兆网络下，客户端下载速度http模式117MByte/s、windows模式120MByte/s、API方式112MByte/s，性能强大，稳定可靠；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全扁平网络架构，数据平面与信令控制平面分离，数据路径最短化，即使所有元数据服务器异常，已配置存储业务不中断，架构先进，保障数据存储高效性、稳定性；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存储节点间支持数据的双份、多份存储冗余保护模式，系统最多可以允许一半的存储节点故障宕机情况下，业务不中断，数据不丢失，性能稳定可靠；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当系统中存储节点或磁盘故障，数据不丢失，业务不中断，保障数据存储的可靠性；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故障节点或故障磁盘上的数据可以通过其他节点通过容灾计算实现自动恢复，整个过程不影响在线数据存储和读取业务，性能稳定可靠；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支持存储节点磁盘热插拔，在读写数据时，插拔节点内的任意块磁盘，设备、系统均正常运行，业务不中断，数据不丢失，提高设备维护方便性；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磁盘拔出一段时间后插回，可自动恢复到系统中，数据仅做增量修复，提高数据恢复速度，性能稳定可靠；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在不依赖交换机特性的前体现，系统自身能实现“双平面网络”特性，实现网络冗余和负载均衡，保障资源池内存储节点合理利用；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云存储系统支持在线纠删码，存储节点间支持多种纠删码数据冗余和保护模式，出现多台节点出现问题时，业务不中断，数据不丢失；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云存储系统支持云内和云间备份功能，保障数据存储的可靠性；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系统在线移除管理节点、存储节点，业务不中断，方便操作和维护；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支持系统横向（ScaleOut）及纵向（ScaleUp）在线扩展，能在线进行存储节点、磁盘柜、磁盘扩展，业务不中断，方便后期不影响业务情况下在线扩容；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云存储系统支持节点间根据节点性能、容量自动负载均衡，保障各节点性能最佳利用；云存储系统支持节点内根据存储资源性能、容量空间自动负载均衡，保障各节点性能最佳利用；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提供多存储设备容量整合，各个存储节点的空间组成统一存储资源池，并可根据用户业务要求按需分配不同的存储空间，实现不同数据的分区存储；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云存储系统支持热备空间和热备盘两种方式预留给数据恢复使用，方式灵活，满足多种场景下的不同应用需求；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系统支持指示灯、蜂鸣、邮件、SNMP、短信、数码管等6种方式发出告警信息，告警方式丰富，满足多种场景下的应用需求；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本次新建云存储系统与现有云存储系统无缝兼容，实现在线扩容，不影响当前业务；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本次配置含48块4T磁阵专用硬盘，满足数据存储要求；</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185000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视频接入许可</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LIS-Video Manager 3.0-Cam-100 </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100路视频接入许可，充分保障既有投入，基于现有平台无缝扩容，不影响当前业务，平滑接入新扩容设备；</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0"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交通媒体服务器</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VS-TMS9500</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支持并发多条车辆信息/照片信息，并发性能高，稳定可靠；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支持图片、车辆信息的接入和转发，性能强大，能对车辆进行精确布防和模糊布控，精确率高，响应迅速，性能稳定可靠；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支持区间测速、套牌分析，精确率高，响应迅速，性能稳定可靠；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支持支持卡口、电警、违停球违章图片合成，支持多样化和自定义合成方式；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单设备可管理300万像素相机450个车道，300万以上像素相机225车道，性能强大，稳定可靠；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高度为2U，机架式服务器，处理器：英特尔四核至强或更高，主频3.9GHz，处理速度快，性能稳定可靠；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内存：8GB DDR4，可扩展，计算能力强，性能稳定可靠；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内置存储容量：1块1TB 企业级 HDD，可扩展至4块，支持RAID冗余，性能稳定可靠；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2个GE电口，可扩展4个GE电口或者2个10GE SFP+接口，丰富的接口，满足多种场景下的应用需求；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支持双电源冗余，保障设备长期运行的稳定性；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高性能集成显卡，支持输出接口1个VGA、1个HDMI，丰富的接口，满足多种场景下的应用需求；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工作温度及湿度：0°C~40°C，20%~80%（无冷凝），环境适应性强，保障设备长期稳定运行；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采用Linux操作系统，内含CentOS 6.2 64位操作系统和配套应用管理软件，性能稳定可靠；</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55500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0" w:hRule="atLeast"/>
          <w:jc w:val="center"/>
        </w:trPr>
        <w:tc>
          <w:tcPr>
            <w:tcW w:w="473"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911"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业务对接服务器</w:t>
            </w:r>
          </w:p>
        </w:tc>
        <w:tc>
          <w:tcPr>
            <w:tcW w:w="969"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VS-DA8500-PA </w:t>
            </w:r>
          </w:p>
        </w:tc>
        <w:tc>
          <w:tcPr>
            <w:tcW w:w="7281" w:type="dxa"/>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软件功能：采用Linux操作系统，防止病毒入侵，支持7×24小时稳定运行；支持与在用平台对接，无缝接入现有平台；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支持接入第三方卡口、电警前端和第三方平台上传的图片数据，强大的接入兼容能力，稳定可靠；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单个服务器接收车辆信息/照片最大并发量：50条/S,单个服务器支持不少于150个车道接入能力，性能强大，文档可靠。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高度为2U，机架式服务器，性能稳定可靠；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处理器：英特尔四核至强或更高，主频3.4GHz，处理速度快，性能稳定可靠；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内存：8GB DDR4，可扩展，计算能力强，性能稳定可靠；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内置存储容量：1块1TB 企业级 HDD，可扩展至4块，支持RAID冗余，性能稳定可靠；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2个GE电口，可扩展4个GE电口或者2个10GE SFP+接口，丰富的接口，满足多种场景下的应用需求；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支持双电源冗余，保障设备长期运行的稳定性；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高性能集成显卡，支持输出接口1个VGA、1个HDMI，丰富的接口，满足多种场景下的应用需求；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工作温度及湿度：0°C~40°C，20%~80%（无冷凝），环境适应性强，保障设备长期稳定运行；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内含配套操作系统和配套应用管理软件，性能稳定可靠；</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55500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浙江杭州、浙江宇视科技有限公司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网线</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超五类网线，符合国标</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箱</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电源线</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RVV3*1.0，符合国标</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辅材</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含光纤检测工具、线槽、转接头、水晶头、工具箱等</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52000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龙门架</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AVCON LM7610</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7米立柱口径219，厚度10mm，横梁140，厚度5mm，跨度23m,单幅6车道</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125800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251600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上海、华平信息技术股份有限公司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龙门架</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AVCON LM7320</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7米立柱口径219，厚度10mm，横梁140，厚度5mm，跨度15m，单幅3车道</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98000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686000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上海、华平信息技术股份有限公司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标识牌</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AVCON TD</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2*3米，3M超强级反光膜</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184500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上海、华平信息技术股份有限公司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立杆1</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7.5米 口径219，厚度7mm，4米两悬臂横梁114，厚度4mm</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根</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8800</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721600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立杆2</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320+220*5*12米</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12227</w:t>
            </w:r>
          </w:p>
        </w:tc>
        <w:tc>
          <w:tcPr>
            <w:tcW w:w="1102"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12227</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基坑</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2000mm*1500mm*1500mm</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1102" w:type="dxa"/>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60600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混凝土</w:t>
            </w:r>
          </w:p>
        </w:tc>
        <w:tc>
          <w:tcPr>
            <w:tcW w:w="96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728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现场定制浇筑，C30，符合标准</w:t>
            </w:r>
          </w:p>
        </w:tc>
        <w:tc>
          <w:tcPr>
            <w:tcW w:w="69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04"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928"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102" w:type="dxa"/>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50500</w:t>
            </w:r>
          </w:p>
        </w:tc>
        <w:tc>
          <w:tcPr>
            <w:tcW w:w="1246"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969"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281" w:type="dxa"/>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96"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04"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28"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02" w:type="dxa"/>
            <w:shd w:val="clear" w:color="auto" w:fill="auto"/>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7801067</w:t>
            </w:r>
          </w:p>
        </w:tc>
        <w:tc>
          <w:tcPr>
            <w:tcW w:w="1246"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安装调试</w:t>
            </w:r>
          </w:p>
        </w:tc>
        <w:tc>
          <w:tcPr>
            <w:tcW w:w="969"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281" w:type="dxa"/>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96"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04"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28"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02" w:type="dxa"/>
            <w:shd w:val="clear" w:color="auto" w:fill="auto"/>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468064</w:t>
            </w:r>
          </w:p>
        </w:tc>
        <w:tc>
          <w:tcPr>
            <w:tcW w:w="1246"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91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税费</w:t>
            </w:r>
          </w:p>
        </w:tc>
        <w:tc>
          <w:tcPr>
            <w:tcW w:w="969"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281" w:type="dxa"/>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96"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04"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28"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02" w:type="dxa"/>
            <w:shd w:val="clear" w:color="auto" w:fill="auto"/>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99229</w:t>
            </w:r>
          </w:p>
        </w:tc>
        <w:tc>
          <w:tcPr>
            <w:tcW w:w="1246" w:type="dxa"/>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4" w:type="dxa"/>
            <w:gridSpan w:val="2"/>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13026" w:type="dxa"/>
            <w:gridSpan w:val="7"/>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大写：捌佰叁拾陆万捌仟叁佰陆拾元整　　　　　　              小写：8368360</w:t>
            </w:r>
          </w:p>
        </w:tc>
      </w:tr>
    </w:tbl>
    <w:p>
      <w:pPr>
        <w:rPr>
          <w:rFonts w:hint="eastAsia"/>
        </w:rPr>
      </w:pPr>
    </w:p>
    <w:p>
      <w:pPr>
        <w:rPr>
          <w:rFonts w:hint="eastAsia"/>
        </w:rPr>
      </w:pPr>
    </w:p>
    <w:p>
      <w:pPr>
        <w:autoSpaceDE w:val="0"/>
        <w:autoSpaceDN w:val="0"/>
        <w:adjustRightInd w:val="0"/>
        <w:spacing w:line="480" w:lineRule="auto"/>
        <w:ind w:firstLine="480" w:firstLineChars="200"/>
        <w:rPr>
          <w:rFonts w:hint="eastAsia" w:cs="宋体" w:asciiTheme="minorEastAsia" w:hAnsiTheme="minorEastAsia"/>
          <w:szCs w:val="24"/>
          <w:lang w:val="zh-CN"/>
        </w:rPr>
      </w:pPr>
      <w:r>
        <w:rPr>
          <w:rFonts w:hint="eastAsia" w:cs="宋体" w:asciiTheme="minorEastAsia" w:hAnsiTheme="minorEastAsia"/>
          <w:szCs w:val="24"/>
          <w:lang w:val="zh-CN"/>
        </w:rPr>
        <w:t>投标人（公章）：华平信息技术股份有限公司</w:t>
      </w:r>
      <w:bookmarkStart w:id="0" w:name="_GoBack"/>
      <w:bookmarkEnd w:id="0"/>
    </w:p>
    <w:p>
      <w:pPr>
        <w:autoSpaceDE w:val="0"/>
        <w:autoSpaceDN w:val="0"/>
        <w:adjustRightInd w:val="0"/>
        <w:spacing w:line="480" w:lineRule="auto"/>
        <w:ind w:firstLine="480" w:firstLineChars="200"/>
        <w:rPr>
          <w:rFonts w:hint="eastAsia" w:cs="宋体" w:asciiTheme="minorEastAsia" w:hAnsiTheme="minorEastAsia"/>
          <w:szCs w:val="24"/>
          <w:u w:val="single"/>
          <w:lang w:val="zh-CN"/>
        </w:rPr>
      </w:pPr>
      <w:r>
        <w:rPr>
          <w:rFonts w:hint="eastAsia" w:cs="宋体" w:asciiTheme="minorEastAsia" w:hAnsiTheme="minorEastAsia"/>
          <w:szCs w:val="24"/>
          <w:lang w:val="zh-CN"/>
        </w:rPr>
        <w:t>投标人法定代表人</w:t>
      </w:r>
      <w:r>
        <w:rPr>
          <w:rFonts w:cs="宋体" w:asciiTheme="minorEastAsia" w:hAnsiTheme="minorEastAsia"/>
          <w:szCs w:val="24"/>
          <w:lang w:val="zh-CN"/>
        </w:rPr>
        <w:t xml:space="preserve"> </w:t>
      </w:r>
      <w:r>
        <w:rPr>
          <w:rFonts w:hint="eastAsia" w:cs="宋体" w:asciiTheme="minorEastAsia" w:hAnsiTheme="minorEastAsia"/>
          <w:szCs w:val="24"/>
          <w:lang w:val="zh-CN"/>
        </w:rPr>
        <w:t>（或授权代表）签字：</w:t>
      </w:r>
      <w:r>
        <w:rPr>
          <w:rFonts w:hint="eastAsia" w:cs="宋体" w:asciiTheme="minorEastAsia" w:hAnsiTheme="minorEastAsia"/>
          <w:szCs w:val="24"/>
          <w:u w:val="single"/>
          <w:lang w:val="zh-CN"/>
        </w:rPr>
        <w:t xml:space="preserve"> </w:t>
      </w:r>
      <w:r>
        <w:rPr>
          <w:rFonts w:cs="宋体" w:asciiTheme="minorEastAsia" w:hAnsiTheme="minorEastAsia"/>
          <w:szCs w:val="24"/>
          <w:u w:val="single"/>
          <w:lang w:val="zh-CN"/>
        </w:rPr>
        <w:t xml:space="preserve">     </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47051"/>
    <w:multiLevelType w:val="multilevel"/>
    <w:tmpl w:val="4AD47051"/>
    <w:lvl w:ilvl="0" w:tentative="0">
      <w:start w:val="1"/>
      <w:numFmt w:val="chineseCountingThousand"/>
      <w:pStyle w:val="2"/>
      <w:lvlText w:val="%1"/>
      <w:lvlJc w:val="left"/>
      <w:pPr>
        <w:ind w:left="432" w:hanging="432"/>
      </w:pPr>
      <w:rPr>
        <w:rFonts w:hint="eastAsia"/>
      </w:rPr>
    </w:lvl>
    <w:lvl w:ilvl="1" w:tentative="0">
      <w:start w:val="1"/>
      <w:numFmt w:val="decimal"/>
      <w:pStyle w:val="3"/>
      <w:isLgl/>
      <w:lvlText w:val="%1.%2"/>
      <w:lvlJc w:val="left"/>
      <w:pPr>
        <w:ind w:left="576" w:hanging="576"/>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304AE"/>
    <w:rsid w:val="355A42A0"/>
    <w:rsid w:val="455941B7"/>
    <w:rsid w:val="4A6C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cstheme="majorBidi"/>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AVCON</dc:creator>
  <cp:lastModifiedBy>AVCON</cp:lastModifiedBy>
  <dcterms:modified xsi:type="dcterms:W3CDTF">2018-10-08T01:53:27Z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