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r>
        <w:rPr>
          <w:rFonts w:hint="eastAsia" w:ascii="仿宋" w:hAnsi="仿宋" w:eastAsia="仿宋" w:cs="仿宋"/>
          <w:b/>
          <w:bCs/>
          <w:sz w:val="44"/>
          <w:szCs w:val="44"/>
          <w:lang w:eastAsia="zh-CN"/>
        </w:rPr>
        <w:t>禹州市颍川街道办事处洒水车</w:t>
      </w:r>
      <w:r>
        <w:rPr>
          <w:rFonts w:hint="eastAsia" w:ascii="仿宋" w:hAnsi="仿宋" w:eastAsia="仿宋" w:cs="仿宋"/>
          <w:b/>
          <w:bCs/>
          <w:sz w:val="44"/>
          <w:szCs w:val="44"/>
          <w:lang w:val="en-US" w:eastAsia="zh-CN"/>
        </w:rPr>
        <w:t>采购</w:t>
      </w:r>
      <w:r>
        <w:rPr>
          <w:rFonts w:hint="eastAsia" w:ascii="仿宋" w:hAnsi="仿宋" w:eastAsia="仿宋" w:cs="仿宋"/>
          <w:b/>
          <w:bCs/>
          <w:sz w:val="44"/>
          <w:szCs w:val="44"/>
          <w:lang w:eastAsia="zh-CN"/>
        </w:rPr>
        <w:t>项目（三次）</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sz w:val="32"/>
          <w:lang w:eastAsia="zh-CN"/>
        </w:rPr>
      </w:pPr>
      <w:r>
        <w:rPr>
          <w:rFonts w:hint="eastAsia" w:ascii="仿宋" w:hAnsi="仿宋" w:eastAsia="仿宋"/>
          <w:sz w:val="32"/>
        </w:rPr>
        <w:t>采购单位：禹州市颍川街道办事处</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项目名称：禹州市颍川街道办事处洒水车采购项目（三次）</w:t>
      </w:r>
    </w:p>
    <w:p>
      <w:pPr>
        <w:autoSpaceDE w:val="0"/>
        <w:autoSpaceDN w:val="0"/>
        <w:spacing w:line="360" w:lineRule="auto"/>
        <w:ind w:left="319" w:leftChars="152" w:right="-20"/>
        <w:outlineLvl w:val="0"/>
        <w:rPr>
          <w:rFonts w:hint="eastAsia" w:ascii="仿宋" w:hAnsi="仿宋" w:eastAsia="仿宋"/>
          <w:sz w:val="30"/>
          <w:szCs w:val="30"/>
          <w:lang w:val="en-US" w:eastAsia="zh-CN"/>
        </w:rPr>
      </w:pPr>
      <w:r>
        <w:rPr>
          <w:rFonts w:hint="eastAsia" w:ascii="仿宋" w:hAnsi="仿宋" w:eastAsia="仿宋"/>
          <w:sz w:val="32"/>
        </w:rPr>
        <w:t>项目编号：YZCG—G201</w:t>
      </w:r>
      <w:r>
        <w:rPr>
          <w:rFonts w:hint="eastAsia" w:ascii="仿宋" w:hAnsi="仿宋" w:eastAsia="仿宋"/>
          <w:sz w:val="32"/>
          <w:lang w:val="en-US" w:eastAsia="zh-CN"/>
        </w:rPr>
        <w:t>8129-2</w:t>
      </w:r>
    </w:p>
    <w:p>
      <w:pPr>
        <w:ind w:firstLine="300" w:firstLineChars="100"/>
        <w:rPr>
          <w:rFonts w:ascii="仿宋" w:hAnsi="仿宋" w:eastAsia="仿宋"/>
          <w:sz w:val="30"/>
          <w:szCs w:val="30"/>
        </w:rPr>
      </w:pPr>
      <w:r>
        <w:rPr>
          <w:rFonts w:hint="eastAsia" w:ascii="仿宋" w:hAnsi="仿宋" w:eastAsia="仿宋"/>
          <w:sz w:val="30"/>
          <w:szCs w:val="30"/>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w:t>
      </w:r>
      <w:r>
        <w:rPr>
          <w:rFonts w:hint="eastAsia" w:ascii="仿宋" w:hAnsi="仿宋" w:eastAsia="仿宋"/>
          <w:bCs/>
          <w:sz w:val="32"/>
          <w:lang w:eastAsia="zh-CN"/>
        </w:rPr>
        <w:t>年九</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ind w:firstLine="723" w:firstLineChars="2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禹州市颍川街道办事处洒水车</w:t>
      </w:r>
      <w:r>
        <w:rPr>
          <w:rFonts w:hint="eastAsia" w:ascii="仿宋" w:hAnsi="仿宋" w:eastAsia="仿宋" w:cs="仿宋"/>
          <w:b/>
          <w:bCs/>
          <w:sz w:val="36"/>
          <w:szCs w:val="36"/>
          <w:lang w:val="en-US" w:eastAsia="zh-CN"/>
        </w:rPr>
        <w:t>采购</w:t>
      </w:r>
      <w:r>
        <w:rPr>
          <w:rFonts w:hint="eastAsia" w:ascii="仿宋" w:hAnsi="仿宋" w:eastAsia="仿宋" w:cs="仿宋"/>
          <w:b/>
          <w:bCs/>
          <w:sz w:val="36"/>
          <w:szCs w:val="36"/>
          <w:lang w:eastAsia="zh-CN"/>
        </w:rPr>
        <w:t>项目（三次）</w:t>
      </w:r>
    </w:p>
    <w:p>
      <w:pPr>
        <w:ind w:left="3079" w:leftChars="1466" w:firstLine="361" w:firstLineChars="1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招　标　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jc w:val="both"/>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禹州市政府采购中心受禹州市颍川街道办事处的委托，就“禹州市颍川街道办事处洒水车采购项目</w:t>
      </w:r>
      <w:r>
        <w:rPr>
          <w:rFonts w:hint="eastAsia" w:ascii="仿宋" w:hAnsi="仿宋" w:eastAsia="仿宋" w:cs="仿宋"/>
          <w:sz w:val="24"/>
          <w:szCs w:val="24"/>
          <w:lang w:eastAsia="zh-CN"/>
        </w:rPr>
        <w:t>（三次）</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1、采购人：禹州市颍川街道办事处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2、项目名称：禹州市颍川街道办事处洒水车采购项目</w:t>
      </w:r>
      <w:r>
        <w:rPr>
          <w:rFonts w:hint="eastAsia" w:ascii="仿宋" w:hAnsi="仿宋" w:eastAsia="仿宋" w:cs="仿宋"/>
          <w:sz w:val="24"/>
          <w:szCs w:val="24"/>
          <w:lang w:eastAsia="zh-CN"/>
        </w:rPr>
        <w:t>（三次）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8129-2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十里、南街、东关、朱坡、尹庄社区洒水车</w:t>
      </w:r>
      <w:r>
        <w:rPr>
          <w:rFonts w:hint="eastAsia" w:ascii="仿宋" w:hAnsi="仿宋" w:eastAsia="仿宋" w:cs="仿宋"/>
          <w:sz w:val="24"/>
          <w:szCs w:val="24"/>
          <w:lang w:val="en-US" w:eastAsia="zh-CN"/>
        </w:rPr>
        <w:t>共5台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5、采购预算：80万元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、最高限价：</w:t>
      </w:r>
      <w:r>
        <w:rPr>
          <w:rFonts w:hint="eastAsia" w:ascii="仿宋" w:hAnsi="仿宋" w:eastAsia="仿宋" w:cs="仿宋"/>
          <w:sz w:val="24"/>
          <w:szCs w:val="24"/>
          <w:lang w:val="en-US" w:eastAsia="zh-CN"/>
        </w:rPr>
        <w:t>80</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1、符合《政府采购法》第二十二条之规定，具有独立法人资格且具有相应的经营范围（以营业执照为准）；</w:t>
      </w:r>
    </w:p>
    <w:p>
      <w:pPr>
        <w:spacing w:line="5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2.投标商须是生产厂商或代理商，所投车辆须列入国家发改委或工信部发布的《车辆生产企业及产品公告》及通过国家强制3C认证；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2"/>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rPr>
        <w:t>四、获取招标文件的方式、时间、地点及文件费用</w:t>
      </w:r>
      <w:r>
        <w:rPr>
          <w:rFonts w:hint="eastAsia" w:ascii="仿宋" w:hAnsi="仿宋" w:eastAsia="仿宋" w:cs="仿宋"/>
          <w:b/>
          <w:bCs/>
          <w:sz w:val="24"/>
          <w:szCs w:val="24"/>
          <w:lang w:val="en-US" w:eastAsia="zh-CN"/>
        </w:rPr>
        <w:t>:</w:t>
      </w:r>
    </w:p>
    <w:p>
      <w:pPr>
        <w:keepNext w:val="0"/>
        <w:keepLines w:val="0"/>
        <w:pageBreakBefore w:val="0"/>
        <w:widowControl w:val="0"/>
        <w:kinsoku/>
        <w:wordWrap w:val="0"/>
        <w:overflowPunct/>
        <w:topLinePunct/>
        <w:bidi w:val="0"/>
        <w:snapToGrid w:val="0"/>
        <w:spacing w:line="48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80" w:lineRule="exact"/>
        <w:ind w:left="0" w:leftChars="0" w:right="0" w:rightChars="0" w:firstLine="482"/>
        <w:jc w:val="both"/>
        <w:textAlignment w:val="auto"/>
        <w:outlineLvl w:val="9"/>
        <w:rPr>
          <w:rFonts w:hint="eastAsia" w:ascii="楷体" w:hAnsi="楷体" w:eastAsia="楷体" w:cs="宋体"/>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80" w:lineRule="exact"/>
        <w:ind w:left="0" w:leftChars="0" w:right="0" w:rightChars="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w:t>
      </w:r>
      <w:r>
        <w:rPr>
          <w:rFonts w:hint="eastAsia" w:ascii="仿宋" w:hAnsi="仿宋" w:eastAsia="仿宋" w:cs="仿宋"/>
          <w:sz w:val="24"/>
          <w:szCs w:val="24"/>
          <w:lang w:eastAsia="zh-CN"/>
        </w:rPr>
        <w:t>招标</w:t>
      </w:r>
      <w:r>
        <w:rPr>
          <w:rFonts w:hint="eastAsia" w:ascii="仿宋" w:hAnsi="仿宋" w:eastAsia="仿宋" w:cs="仿宋"/>
          <w:sz w:val="24"/>
          <w:szCs w:val="24"/>
        </w:rPr>
        <w:t>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textAlignment w:val="auto"/>
        <w:outlineLvl w:val="9"/>
        <w:rPr>
          <w:rFonts w:hint="eastAsia" w:ascii="仿宋" w:hAnsi="仿宋" w:eastAsia="仿宋" w:cs="仿宋"/>
          <w:b/>
          <w:bCs/>
          <w:sz w:val="24"/>
          <w:szCs w:val="24"/>
          <w:lang w:eastAsia="zh-CN"/>
        </w:rPr>
      </w:pPr>
      <w:r>
        <w:rPr>
          <w:rFonts w:hint="eastAsia" w:ascii="仿宋" w:hAnsi="仿宋" w:eastAsia="仿宋" w:cs="仿宋_GB2312"/>
          <w:sz w:val="24"/>
          <w:szCs w:val="24"/>
        </w:rPr>
        <w:t>4、</w:t>
      </w:r>
      <w:r>
        <w:rPr>
          <w:rFonts w:hint="eastAsia" w:ascii="仿宋" w:hAnsi="仿宋" w:eastAsia="仿宋" w:cs="仿宋_GB2312"/>
          <w:sz w:val="24"/>
          <w:szCs w:val="24"/>
          <w:lang w:eastAsia="zh-CN"/>
        </w:rPr>
        <w:t>招标</w:t>
      </w:r>
      <w:r>
        <w:rPr>
          <w:rFonts w:hint="eastAsia" w:ascii="仿宋" w:hAnsi="仿宋" w:eastAsia="仿宋" w:cs="仿宋_GB2312"/>
          <w:sz w:val="24"/>
          <w:szCs w:val="24"/>
        </w:rPr>
        <w:t>文件每份售价人民币200元，于递交投标文件时缴纳给采购代理机构，售后不退。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9：00 </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禹州市颍川街道办事处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240" w:firstLineChars="1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滨河路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王女士</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0374-8160882</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4560" w:firstLineChars="19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禹州市颍川街道办事处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rPr>
                <w:rFonts w:ascii="仿宋" w:hAnsi="仿宋" w:eastAsia="仿宋"/>
                <w:color w:val="000000"/>
                <w:kern w:val="0"/>
                <w:sz w:val="24"/>
                <w:szCs w:val="24"/>
              </w:rPr>
            </w:pPr>
            <w:r>
              <w:rPr>
                <w:rFonts w:hint="eastAsia" w:ascii="仿宋" w:hAnsi="仿宋" w:eastAsia="仿宋"/>
                <w:color w:val="000000"/>
                <w:kern w:val="0"/>
                <w:sz w:val="24"/>
                <w:szCs w:val="24"/>
              </w:rPr>
              <w:t>禹州市颍川街道办事处洒水车采购项目</w:t>
            </w:r>
            <w:r>
              <w:rPr>
                <w:rFonts w:hint="eastAsia" w:ascii="仿宋" w:hAnsi="仿宋" w:eastAsia="仿宋"/>
                <w:color w:val="000000"/>
                <w:kern w:val="0"/>
                <w:sz w:val="24"/>
                <w:szCs w:val="24"/>
                <w:lang w:eastAsia="zh-CN"/>
              </w:rPr>
              <w:t>（三次）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10</w:t>
            </w:r>
            <w:r>
              <w:rPr>
                <w:rFonts w:hint="eastAsia" w:ascii="仿宋" w:hAnsi="仿宋" w:eastAsia="仿宋"/>
                <w:sz w:val="24"/>
                <w:szCs w:val="24"/>
              </w:rPr>
              <w:t>月</w:t>
            </w:r>
            <w:r>
              <w:rPr>
                <w:rFonts w:hint="eastAsia" w:ascii="仿宋" w:hAnsi="仿宋" w:eastAsia="仿宋"/>
                <w:sz w:val="24"/>
                <w:szCs w:val="24"/>
                <w:lang w:val="en-US" w:eastAsia="zh-CN"/>
              </w:rPr>
              <w:t>25</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auto"/>
                <w:kern w:val="0"/>
                <w:sz w:val="24"/>
                <w:szCs w:val="24"/>
              </w:rPr>
              <w:t>3.电子版U盘投标文件一份。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auto"/>
                <w:kern w:val="0"/>
                <w:sz w:val="24"/>
                <w:szCs w:val="24"/>
                <w:lang w:val="en-US" w:eastAsia="zh-CN"/>
              </w:rPr>
              <w:t>3、</w:t>
            </w:r>
            <w:r>
              <w:rPr>
                <w:rFonts w:hint="eastAsia" w:ascii="仿宋" w:hAnsi="仿宋" w:eastAsia="仿宋"/>
                <w:color w:val="auto"/>
                <w:kern w:val="0"/>
                <w:sz w:val="24"/>
                <w:szCs w:val="24"/>
              </w:rPr>
              <w:t>电子版U盘投标文件</w:t>
            </w:r>
            <w:r>
              <w:rPr>
                <w:rFonts w:hint="eastAsia" w:ascii="仿宋" w:hAnsi="仿宋" w:eastAsia="仿宋"/>
                <w:color w:val="auto"/>
                <w:kern w:val="0"/>
                <w:sz w:val="24"/>
                <w:szCs w:val="24"/>
                <w:lang w:eastAsia="zh-CN"/>
              </w:rPr>
              <w:t>单独密封</w:t>
            </w:r>
            <w:r>
              <w:rPr>
                <w:rFonts w:hint="eastAsia" w:ascii="仿宋" w:hAnsi="仿宋" w:eastAsia="仿宋"/>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25</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25</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80</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hint="eastAsia" w:ascii="仿宋" w:hAnsi="仿宋" w:eastAsia="仿宋" w:cs="宋体"/>
          <w:color w:val="auto"/>
          <w:sz w:val="24"/>
          <w:szCs w:val="24"/>
        </w:rPr>
      </w:pPr>
      <w:r>
        <w:rPr>
          <w:rFonts w:hint="eastAsia" w:ascii="仿宋" w:hAnsi="仿宋" w:eastAsia="仿宋" w:cs="宋体"/>
          <w:color w:val="auto"/>
          <w:sz w:val="24"/>
          <w:szCs w:val="24"/>
        </w:rPr>
        <w:t>5、投标文件属下列情况之一的为无效投标</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5.1.未按照招标文件的规定提交投标保证金的；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5.2.投标文件未按招标文件要求签署、盖章的；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5.3.不符合资格性审查要求的；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5.4.报价超过招标文件中规定的预算金额或者最高限价的；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5.7.投标文件含有采购人不能接受的附加条件的；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cs="宋体"/>
          <w:sz w:val="24"/>
          <w:szCs w:val="24"/>
        </w:rPr>
        <w:t>5.8.经评标委员会</w:t>
      </w:r>
      <w:r>
        <w:rPr>
          <w:rFonts w:hint="eastAsia" w:ascii="仿宋" w:hAnsi="仿宋" w:eastAsia="仿宋"/>
          <w:sz w:val="24"/>
          <w:szCs w:val="24"/>
        </w:rPr>
        <w:t>确认提供虚假投标资料的；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cs="宋体"/>
          <w:sz w:val="24"/>
          <w:szCs w:val="24"/>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5.11.属于招标文件“其它要求”中无效投标条款情形的；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5.12.有下列情形之一的，视为投标人串通投标，其投标无效：</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5.12.1不同投标人的投标文件由同一单位或者个人编制；</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5.12.2不同投标人委托同一单位或者个人办理投标事宜；</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5.12.3不同投标人的投标文件载明的项目管理成员或者联系人员为同一人；</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5.12.4不同投标人的投标文件异常一致或者投标报价呈规律性差异；</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5.12.5不同投标人的投标文件相互混装；</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5.12.6不同投标人的投标保证金从同一单位或者个人的账户转出。</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5.13.投标人应当遵循公平竞争的原则，不得恶意串通，不得妨碍其他投标人的竞争行为，不得损害采购人或者其他投标人的合法权益。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5.14.投标文件报价出现前后不一致的，除招标文件另有规定外，按照下列规定修正：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5.14.1.投标文件中开标一览表（报价表）内容与投标文件中相应内容不一致的，以开标一览表（报价表）为准；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5.14.2.大写金额和小写金额不一致的，以大写金额为准；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5.14.3.单价金额小数点或者百分比有明显错位的，以开标一览表的总价为准，并修改单价；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5.14.4.总价金额与按单价汇总金额不一致的，以单价金额计算结果为准。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5.15.法律、法规和招标文件规定的其他无效情形。</w:t>
      </w:r>
    </w:p>
    <w:p>
      <w:pPr>
        <w:wordWrap w:val="0"/>
        <w:topLinePunct/>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color w:val="000000"/>
          <w:kern w:val="0"/>
          <w:sz w:val="24"/>
          <w:szCs w:val="24"/>
        </w:rPr>
        <w:t>6、中标人在向采购单位领取中标通知书时，须向采购单位提供</w:t>
      </w:r>
      <w:r>
        <w:rPr>
          <w:rFonts w:hint="eastAsia" w:ascii="仿宋" w:hAnsi="仿宋" w:eastAsia="仿宋" w:cs="宋体"/>
          <w:sz w:val="24"/>
          <w:szCs w:val="24"/>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7、投标人根据招标文件的规定和采购项目的实际情况，拟在中标后将中标项目的非主体、非关键性工作分包的，应当在投标文件中载明分包承担主体，分包承担主体应当具备相应资质条件且不得再次分包。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8、本项目投标报价是一次性的，招标人不接受开标后对投标报价的修改。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olor w:val="auto"/>
          <w:sz w:val="24"/>
          <w:szCs w:val="24"/>
        </w:rPr>
      </w:pPr>
      <w:r>
        <w:rPr>
          <w:rFonts w:hint="eastAsia" w:ascii="仿宋" w:hAnsi="仿宋" w:eastAsia="仿宋" w:cs="宋体"/>
          <w:sz w:val="24"/>
          <w:szCs w:val="24"/>
        </w:rPr>
        <w:t>9、</w:t>
      </w:r>
      <w:r>
        <w:rPr>
          <w:rFonts w:hint="eastAsia" w:ascii="仿宋" w:hAnsi="仿宋" w:eastAsia="仿宋"/>
          <w:color w:val="auto"/>
          <w:sz w:val="24"/>
          <w:szCs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color w:val="auto"/>
          <w:sz w:val="24"/>
          <w:szCs w:val="24"/>
        </w:rPr>
        <w:t>10、各供应商在报价时，应充分考虑</w:t>
      </w:r>
      <w:r>
        <w:rPr>
          <w:rFonts w:hint="eastAsia" w:ascii="仿宋" w:hAnsi="仿宋" w:eastAsia="仿宋" w:cs="宋体"/>
          <w:sz w:val="24"/>
          <w:szCs w:val="24"/>
        </w:rPr>
        <w:t>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11、评标委员会判断投标文件的响应性仅基于投标文件本身而不依靠外部证据。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hint="eastAsia" w:ascii="仿宋" w:hAnsi="仿宋" w:eastAsia="仿宋" w:cs="宋体"/>
          <w:color w:val="000000"/>
          <w:sz w:val="24"/>
          <w:szCs w:val="24"/>
        </w:rPr>
      </w:pPr>
      <w:r>
        <w:rPr>
          <w:rFonts w:hint="eastAsia" w:ascii="仿宋" w:hAnsi="仿宋" w:eastAsia="仿宋"/>
          <w:sz w:val="24"/>
          <w:szCs w:val="24"/>
        </w:rPr>
        <w:t>13、</w:t>
      </w:r>
      <w:r>
        <w:rPr>
          <w:rFonts w:hint="eastAsia" w:ascii="仿宋" w:hAnsi="仿宋" w:eastAsia="仿宋" w:cs="宋体"/>
          <w:color w:val="000000"/>
          <w:sz w:val="24"/>
          <w:szCs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hint="eastAsia" w:ascii="仿宋" w:hAnsi="仿宋" w:eastAsia="仿宋" w:cs="宋体"/>
          <w:sz w:val="24"/>
          <w:szCs w:val="24"/>
        </w:rPr>
      </w:pPr>
      <w:r>
        <w:rPr>
          <w:rFonts w:hint="eastAsia" w:ascii="仿宋" w:hAnsi="仿宋" w:eastAsia="仿宋" w:cs="宋体"/>
          <w:sz w:val="24"/>
          <w:szCs w:val="24"/>
        </w:rPr>
        <w:t>14、招标文件所称的“以上”、“以下”、“内”、“以内”，包括本数；所称的“不足”，不包括本数。</w:t>
      </w:r>
    </w:p>
    <w:p>
      <w:pPr>
        <w:wordWrap w:val="0"/>
        <w:topLinePunct/>
        <w:autoSpaceDE w:val="0"/>
        <w:autoSpaceDN w:val="0"/>
        <w:adjustRightInd w:val="0"/>
        <w:snapToGrid w:val="0"/>
        <w:spacing w:line="360" w:lineRule="auto"/>
        <w:ind w:firstLine="480"/>
        <w:rPr>
          <w:rFonts w:hint="eastAsia" w:ascii="仿宋" w:hAnsi="仿宋" w:eastAsia="仿宋" w:cs="宋体"/>
          <w:color w:val="auto"/>
          <w:sz w:val="24"/>
          <w:szCs w:val="24"/>
        </w:rPr>
      </w:pPr>
      <w:r>
        <w:rPr>
          <w:rFonts w:hint="eastAsia" w:ascii="仿宋" w:hAnsi="仿宋" w:eastAsia="仿宋" w:cs="宋体"/>
          <w:sz w:val="24"/>
          <w:szCs w:val="24"/>
        </w:rPr>
        <w:t>15、招标文件技术参数（需求）中所称的“大于等于”、“小于等于”，“等于”为最</w:t>
      </w:r>
      <w:r>
        <w:rPr>
          <w:rFonts w:hint="eastAsia" w:ascii="仿宋" w:hAnsi="仿宋" w:eastAsia="仿宋" w:cs="宋体"/>
          <w:color w:val="auto"/>
          <w:sz w:val="24"/>
          <w:szCs w:val="24"/>
        </w:rPr>
        <w:t>低要求。</w:t>
      </w:r>
    </w:p>
    <w:p>
      <w:pPr>
        <w:kinsoku w:val="0"/>
        <w:wordWrap w:val="0"/>
        <w:overflowPunct w:val="0"/>
        <w:topLinePunct/>
        <w:snapToGrid w:val="0"/>
        <w:spacing w:line="360" w:lineRule="auto"/>
        <w:ind w:firstLine="482"/>
        <w:rPr>
          <w:rFonts w:hint="eastAsia" w:ascii="仿宋" w:hAnsi="仿宋" w:eastAsia="仿宋" w:cs="宋体"/>
          <w:color w:val="auto"/>
          <w:sz w:val="24"/>
          <w:szCs w:val="24"/>
        </w:rPr>
      </w:pPr>
      <w:r>
        <w:rPr>
          <w:rFonts w:hint="eastAsia" w:ascii="仿宋" w:hAnsi="仿宋" w:eastAsia="仿宋" w:cs="宋体"/>
          <w:color w:val="auto"/>
          <w:sz w:val="24"/>
          <w:szCs w:val="24"/>
        </w:rPr>
        <w:t>16、投标文件（一）和投标文件（二）均为投标文件组成部分，应按照本招标文件要求分别提交。</w:t>
      </w:r>
    </w:p>
    <w:p>
      <w:pPr>
        <w:kinsoku w:val="0"/>
        <w:wordWrap w:val="0"/>
        <w:overflowPunct w:val="0"/>
        <w:topLinePunct/>
        <w:snapToGrid w:val="0"/>
        <w:spacing w:line="360" w:lineRule="auto"/>
        <w:ind w:firstLine="482"/>
        <w:rPr>
          <w:rFonts w:hint="eastAsia" w:ascii="仿宋" w:hAnsi="仿宋" w:eastAsia="仿宋" w:cs="宋体"/>
          <w:color w:val="auto"/>
          <w:sz w:val="24"/>
          <w:szCs w:val="24"/>
        </w:rPr>
      </w:pPr>
      <w:r>
        <w:rPr>
          <w:rFonts w:hint="eastAsia" w:ascii="仿宋" w:hAnsi="仿宋" w:eastAsia="仿宋" w:cs="宋体"/>
          <w:color w:val="auto"/>
          <w:sz w:val="24"/>
          <w:szCs w:val="24"/>
        </w:rPr>
        <w:t>17、投标文件（一）没有明确要求是复印件的均为原件。</w:t>
      </w:r>
    </w:p>
    <w:p>
      <w:pPr>
        <w:kinsoku w:val="0"/>
        <w:wordWrap w:val="0"/>
        <w:overflowPunct w:val="0"/>
        <w:topLinePunct/>
        <w:autoSpaceDE w:val="0"/>
        <w:autoSpaceDN w:val="0"/>
        <w:adjustRightInd w:val="0"/>
        <w:spacing w:line="360" w:lineRule="auto"/>
        <w:ind w:firstLine="482"/>
        <w:rPr>
          <w:rFonts w:hint="eastAsia" w:ascii="仿宋" w:hAnsi="仿宋" w:eastAsia="仿宋" w:cs="宋体"/>
          <w:color w:val="auto"/>
          <w:sz w:val="24"/>
          <w:szCs w:val="24"/>
        </w:rPr>
      </w:pPr>
      <w:r>
        <w:rPr>
          <w:rFonts w:hint="eastAsia" w:ascii="仿宋" w:hAnsi="仿宋" w:eastAsia="仿宋" w:cs="宋体"/>
          <w:color w:val="auto"/>
          <w:sz w:val="24"/>
          <w:szCs w:val="24"/>
        </w:rPr>
        <w:t xml:space="preserve"> </w:t>
      </w:r>
    </w:p>
    <w:p>
      <w:pPr>
        <w:widowControl/>
        <w:spacing w:line="440" w:lineRule="exact"/>
        <w:ind w:firstLine="2125" w:firstLineChars="882"/>
        <w:jc w:val="left"/>
        <w:rPr>
          <w:rFonts w:hint="eastAsia" w:ascii="仿宋" w:hAnsi="仿宋" w:eastAsia="仿宋"/>
          <w:b/>
          <w:bCs/>
          <w:sz w:val="24"/>
          <w:szCs w:val="24"/>
        </w:rPr>
      </w:pPr>
      <w:r>
        <w:rPr>
          <w:rFonts w:hint="eastAsia" w:ascii="仿宋" w:hAnsi="仿宋" w:eastAsia="仿宋"/>
          <w:b/>
          <w:bCs/>
          <w:sz w:val="24"/>
          <w:szCs w:val="24"/>
        </w:rPr>
        <w:t xml:space="preserve"> </w:t>
      </w:r>
    </w:p>
    <w:p>
      <w:pPr>
        <w:widowControl/>
        <w:spacing w:line="440" w:lineRule="exact"/>
        <w:ind w:firstLine="2182" w:firstLineChars="494"/>
        <w:jc w:val="left"/>
        <w:rPr>
          <w:rFonts w:hint="eastAsia" w:ascii="仿宋" w:hAnsi="仿宋" w:eastAsia="仿宋"/>
          <w:b/>
          <w:bCs/>
          <w:sz w:val="44"/>
          <w:szCs w:val="44"/>
        </w:rPr>
      </w:pPr>
      <w:r>
        <w:rPr>
          <w:rFonts w:hint="eastAsia" w:ascii="仿宋" w:hAnsi="仿宋" w:eastAsia="仿宋"/>
          <w:b/>
          <w:bCs/>
          <w:sz w:val="44"/>
          <w:szCs w:val="44"/>
        </w:rPr>
        <w:t xml:space="preserve"> </w:t>
      </w:r>
    </w:p>
    <w:p>
      <w:pPr>
        <w:widowControl/>
        <w:spacing w:line="440" w:lineRule="exact"/>
        <w:jc w:val="left"/>
        <w:rPr>
          <w:rFonts w:ascii="仿宋" w:hAnsi="仿宋" w:eastAsia="仿宋"/>
          <w:b/>
          <w:sz w:val="44"/>
          <w:szCs w:val="44"/>
        </w:rPr>
      </w:pPr>
      <w:r>
        <w:rPr>
          <w:rFonts w:hint="eastAsia" w:ascii="仿宋" w:hAnsi="仿宋" w:eastAsia="仿宋"/>
          <w:b/>
          <w:bCs/>
          <w:sz w:val="44"/>
          <w:szCs w:val="44"/>
        </w:rPr>
        <w:br w:type="page"/>
      </w: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 xml:space="preserve">第三部分  </w:t>
      </w:r>
      <w:r>
        <w:rPr>
          <w:rFonts w:hint="eastAsia" w:ascii="仿宋" w:hAnsi="仿宋" w:eastAsia="仿宋"/>
          <w:b/>
          <w:sz w:val="44"/>
          <w:szCs w:val="44"/>
          <w:lang w:val="en-US" w:eastAsia="zh-CN"/>
        </w:rPr>
        <w:t xml:space="preserve">  </w:t>
      </w:r>
      <w:r>
        <w:rPr>
          <w:rFonts w:hint="eastAsia" w:ascii="仿宋" w:hAnsi="仿宋" w:eastAsia="仿宋"/>
          <w:b/>
          <w:sz w:val="44"/>
          <w:szCs w:val="44"/>
        </w:rPr>
        <w:t>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sz w:val="24"/>
          <w:szCs w:val="24"/>
        </w:rPr>
      </w:pPr>
      <w:r>
        <w:rPr>
          <w:rFonts w:hint="eastAsia" w:ascii="仿宋" w:hAnsi="仿宋" w:eastAsia="仿宋"/>
          <w:b/>
          <w:bCs/>
          <w:sz w:val="24"/>
          <w:szCs w:val="24"/>
        </w:rPr>
        <w:t>11、投标保证金</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11.1投标保证金为投标文件的组成部分之一。   </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11.2投标保证金用于保护本次招标人免受投标人的行为而引起的风险。</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11.3提交投标保证金</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11.3.1投标保证金缴纳方式：</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wordWrap w:val="0"/>
        <w:topLinePunct/>
        <w:snapToGrid w:val="0"/>
        <w:spacing w:line="360" w:lineRule="auto"/>
        <w:ind w:left="239" w:leftChars="114" w:firstLine="240" w:firstLineChars="100"/>
        <w:rPr>
          <w:rFonts w:hint="eastAsia" w:ascii="仿宋" w:hAnsi="仿宋" w:eastAsia="仿宋"/>
          <w:sz w:val="24"/>
          <w:szCs w:val="24"/>
        </w:rPr>
      </w:pPr>
      <w:r>
        <w:rPr>
          <w:rFonts w:hint="eastAsia" w:ascii="仿宋" w:hAnsi="仿宋" w:eastAsia="仿宋"/>
          <w:sz w:val="24"/>
          <w:szCs w:val="24"/>
        </w:rPr>
        <w:t>投标人严格按照“保证金缴纳说明单”内容缴纳投标保证金，并将缴纳凭证“禹州市公共资源交易中心保证金缴纳回执”附投标文件中。同时开标现场提供一份“禹州市公共资源交易中心保证金缴纳回执”以备查询</w:t>
      </w:r>
      <w:r>
        <w:rPr>
          <w:rFonts w:hint="eastAsia" w:ascii="仿宋" w:hAnsi="仿宋" w:eastAsia="仿宋"/>
          <w:sz w:val="24"/>
          <w:szCs w:val="24"/>
          <w:lang w:val="en-US" w:eastAsia="zh-CN"/>
        </w:rPr>
        <w:t>,</w:t>
      </w:r>
      <w:r>
        <w:rPr>
          <w:rFonts w:hint="eastAsia" w:ascii="仿宋" w:hAnsi="仿宋" w:eastAsia="仿宋" w:cs="仿宋"/>
          <w:sz w:val="24"/>
          <w:lang w:val="zh-CN"/>
        </w:rPr>
        <w:t>保证金缴纳情况以“许昌公共资源交易项目供应商投标人缴费情况统计表”为准。</w:t>
      </w:r>
      <w:r>
        <w:rPr>
          <w:rFonts w:hint="eastAsia" w:ascii="仿宋" w:hAnsi="仿宋" w:eastAsia="仿宋"/>
          <w:sz w:val="24"/>
          <w:szCs w:val="24"/>
        </w:rPr>
        <w:t>。</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投标人可根据提示情况决定是否重新缴纳。</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保证金缴纳绑定问题咨询电话:0374-2961598。</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11.3.3每个投标人每个项目每个标段只有唯一缴纳账号，要一次足额缴纳并成功绑定。</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11.4.5投标人所提交的投标保证金仅限当次投标项目（标段）有效，不得重复替代使用。一个招标项目有多个标段或者有多个项目同时招标的，投标人必须按项目、标段分别提交投标保证金。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hint="eastAsia" w:ascii="仿宋" w:hAnsi="仿宋" w:eastAsia="仿宋"/>
          <w:sz w:val="24"/>
          <w:szCs w:val="24"/>
        </w:rPr>
      </w:pPr>
      <w:r>
        <w:rPr>
          <w:rFonts w:hint="eastAsia" w:ascii="仿宋" w:hAnsi="仿宋" w:eastAsia="仿宋"/>
          <w:sz w:val="24"/>
          <w:szCs w:val="24"/>
        </w:rPr>
        <w:t>11.5 退还投标保证金时，区别中标与否，按不同时序由银行按来款途径退还原账户。</w:t>
      </w:r>
    </w:p>
    <w:p>
      <w:pPr>
        <w:wordWrap w:val="0"/>
        <w:topLinePunct/>
        <w:snapToGrid w:val="0"/>
        <w:spacing w:line="360" w:lineRule="auto"/>
        <w:ind w:left="479" w:leftChars="228"/>
        <w:jc w:val="left"/>
        <w:rPr>
          <w:rFonts w:hint="eastAsia" w:ascii="仿宋" w:hAnsi="仿宋" w:eastAsia="仿宋"/>
          <w:sz w:val="24"/>
          <w:szCs w:val="24"/>
        </w:rPr>
      </w:pPr>
      <w:r>
        <w:rPr>
          <w:rFonts w:hint="eastAsia" w:ascii="仿宋" w:hAnsi="仿宋" w:eastAsia="仿宋"/>
          <w:sz w:val="24"/>
          <w:szCs w:val="24"/>
        </w:rPr>
        <w:t>11.5.1自中标通知书发出之日起5个工作日内退还未中标人的投标保证金。</w:t>
      </w:r>
    </w:p>
    <w:p>
      <w:pPr>
        <w:wordWrap w:val="0"/>
        <w:topLinePunct/>
        <w:snapToGrid w:val="0"/>
        <w:spacing w:line="360" w:lineRule="auto"/>
        <w:ind w:left="479" w:leftChars="228"/>
        <w:jc w:val="left"/>
        <w:rPr>
          <w:rFonts w:hint="eastAsia" w:ascii="仿宋" w:hAnsi="仿宋" w:eastAsia="仿宋"/>
          <w:sz w:val="24"/>
          <w:szCs w:val="24"/>
        </w:rPr>
      </w:pPr>
      <w:r>
        <w:rPr>
          <w:rFonts w:hint="eastAsia" w:ascii="仿宋" w:hAnsi="仿宋" w:eastAsia="仿宋"/>
          <w:sz w:val="24"/>
          <w:szCs w:val="24"/>
        </w:rPr>
        <w:t>11.5.2自采购合同签订并备案后5个工作日内退还中标人的投标保证金。</w:t>
      </w:r>
    </w:p>
    <w:p>
      <w:pPr>
        <w:wordWrap w:val="0"/>
        <w:topLinePunct/>
        <w:snapToGrid w:val="0"/>
        <w:spacing w:line="360" w:lineRule="auto"/>
        <w:ind w:left="479" w:leftChars="228"/>
        <w:jc w:val="left"/>
        <w:rPr>
          <w:rFonts w:hint="eastAsia" w:ascii="仿宋" w:hAnsi="仿宋" w:eastAsia="仿宋"/>
          <w:sz w:val="24"/>
          <w:szCs w:val="24"/>
        </w:rPr>
      </w:pPr>
      <w:r>
        <w:rPr>
          <w:rFonts w:hint="eastAsia" w:ascii="仿宋" w:hAnsi="仿宋" w:eastAsia="仿宋"/>
          <w:sz w:val="24"/>
          <w:szCs w:val="24"/>
        </w:rPr>
        <w:t>以上事项，请投标人仔细研读，未按规定操作引起的无效投标，由投标人自行负责。</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11.6 特殊情况处理</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11.6.1投标人投标过程中因账户信息发生变化，不能原帐户返还投标保证金的，投标人须提供相关证明资料，到禹州市政府采购监督管理办公室办理退款手续（0374-8112523）。</w:t>
      </w:r>
    </w:p>
    <w:p>
      <w:pPr>
        <w:wordWrap w:val="0"/>
        <w:topLinePunct/>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11.6.2因供应商自身原因无法及时退还投标保证金、滞留三年以上的，投标保证金上缴财政。</w:t>
      </w:r>
    </w:p>
    <w:p>
      <w:pPr>
        <w:wordWrap w:val="0"/>
        <w:topLinePunct/>
        <w:snapToGrid w:val="0"/>
        <w:spacing w:line="360" w:lineRule="auto"/>
        <w:ind w:firstLine="482"/>
        <w:rPr>
          <w:rFonts w:hint="eastAsia" w:ascii="仿宋" w:hAnsi="仿宋" w:eastAsia="仿宋"/>
          <w:sz w:val="24"/>
          <w:szCs w:val="24"/>
        </w:rPr>
      </w:pPr>
      <w:r>
        <w:rPr>
          <w:rFonts w:hint="eastAsia" w:ascii="仿宋" w:hAnsi="仿宋" w:eastAsia="仿宋"/>
          <w:sz w:val="24"/>
          <w:szCs w:val="24"/>
        </w:rPr>
        <w:t xml:space="preserve">11.7 发生以下情况投标保证金不予退还： </w:t>
      </w:r>
    </w:p>
    <w:p>
      <w:pPr>
        <w:wordWrap w:val="0"/>
        <w:topLinePunct/>
        <w:snapToGrid w:val="0"/>
        <w:spacing w:line="360" w:lineRule="auto"/>
        <w:ind w:firstLine="482"/>
        <w:rPr>
          <w:rFonts w:hint="eastAsia" w:ascii="仿宋" w:hAnsi="仿宋" w:eastAsia="仿宋"/>
          <w:sz w:val="24"/>
          <w:szCs w:val="24"/>
        </w:rPr>
      </w:pPr>
      <w:r>
        <w:rPr>
          <w:rFonts w:hint="eastAsia" w:ascii="仿宋" w:hAnsi="仿宋" w:eastAsia="仿宋"/>
          <w:sz w:val="24"/>
          <w:szCs w:val="24"/>
        </w:rPr>
        <w:t>11.7.1供应商在投标有效期内撤销投标文件的；</w:t>
      </w:r>
    </w:p>
    <w:p>
      <w:pPr>
        <w:wordWrap w:val="0"/>
        <w:topLinePunct/>
        <w:snapToGrid w:val="0"/>
        <w:spacing w:line="360" w:lineRule="auto"/>
        <w:ind w:firstLine="482"/>
        <w:rPr>
          <w:rFonts w:hint="eastAsia" w:ascii="仿宋" w:hAnsi="仿宋" w:eastAsia="仿宋"/>
          <w:sz w:val="24"/>
          <w:szCs w:val="24"/>
        </w:rPr>
      </w:pPr>
      <w:r>
        <w:rPr>
          <w:rFonts w:hint="eastAsia" w:ascii="仿宋" w:hAnsi="仿宋" w:eastAsia="仿宋"/>
          <w:sz w:val="24"/>
          <w:szCs w:val="24"/>
        </w:rPr>
        <w:t>11.7.2 供应商在投标文件中提供虚假材料的；</w:t>
      </w:r>
    </w:p>
    <w:p>
      <w:pPr>
        <w:wordWrap w:val="0"/>
        <w:topLinePunct/>
        <w:snapToGrid w:val="0"/>
        <w:spacing w:line="360" w:lineRule="auto"/>
        <w:ind w:firstLine="482"/>
        <w:rPr>
          <w:rFonts w:hint="eastAsia" w:ascii="仿宋" w:hAnsi="仿宋" w:eastAsia="仿宋"/>
          <w:sz w:val="24"/>
          <w:szCs w:val="24"/>
        </w:rPr>
      </w:pPr>
      <w:r>
        <w:rPr>
          <w:rFonts w:hint="eastAsia" w:ascii="仿宋" w:hAnsi="仿宋" w:eastAsia="仿宋"/>
          <w:sz w:val="24"/>
          <w:szCs w:val="24"/>
        </w:rPr>
        <w:t>11.7.3 除因不可抗力或招标文件认可的情形以外，不与采购人签订合同的；</w:t>
      </w:r>
    </w:p>
    <w:p>
      <w:pPr>
        <w:wordWrap w:val="0"/>
        <w:topLinePunct/>
        <w:snapToGrid w:val="0"/>
        <w:spacing w:line="360" w:lineRule="auto"/>
        <w:ind w:firstLine="482"/>
        <w:rPr>
          <w:rFonts w:hint="eastAsia" w:ascii="仿宋" w:hAnsi="仿宋" w:eastAsia="仿宋"/>
          <w:sz w:val="24"/>
          <w:szCs w:val="24"/>
        </w:rPr>
      </w:pPr>
      <w:r>
        <w:rPr>
          <w:rFonts w:hint="eastAsia" w:ascii="仿宋" w:hAnsi="仿宋" w:eastAsia="仿宋"/>
          <w:sz w:val="24"/>
          <w:szCs w:val="24"/>
        </w:rPr>
        <w:t>11.7.4 供应商与采购人、其他供应商或者采购代理机构恶意串通的；</w:t>
      </w:r>
    </w:p>
    <w:p>
      <w:pPr>
        <w:wordWrap w:val="0"/>
        <w:topLinePunct/>
        <w:snapToGrid w:val="0"/>
        <w:spacing w:line="360" w:lineRule="auto"/>
        <w:ind w:firstLine="482"/>
        <w:rPr>
          <w:rFonts w:hint="eastAsia" w:ascii="仿宋" w:hAnsi="仿宋" w:eastAsia="仿宋"/>
          <w:sz w:val="24"/>
          <w:szCs w:val="24"/>
        </w:rPr>
      </w:pPr>
      <w:r>
        <w:rPr>
          <w:rFonts w:hint="eastAsia" w:ascii="仿宋" w:hAnsi="仿宋" w:eastAsia="仿宋"/>
          <w:sz w:val="24"/>
          <w:szCs w:val="24"/>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hint="eastAsia" w:ascii="仿宋" w:hAnsi="仿宋" w:eastAsia="仿宋" w:cs="仿宋_GB2312"/>
          <w:b/>
          <w:bCs/>
          <w:sz w:val="24"/>
          <w:szCs w:val="24"/>
        </w:rPr>
      </w:pPr>
      <w:r>
        <w:rPr>
          <w:rFonts w:hint="eastAsia" w:ascii="仿宋" w:hAnsi="仿宋" w:eastAsia="仿宋" w:cs="仿宋_GB2312"/>
          <w:b/>
          <w:bCs/>
          <w:sz w:val="24"/>
          <w:szCs w:val="24"/>
        </w:rPr>
        <w:t>F 无效投标与废标</w:t>
      </w:r>
    </w:p>
    <w:p>
      <w:pPr>
        <w:widowControl/>
        <w:numPr>
          <w:ilvl w:val="0"/>
          <w:numId w:val="5"/>
        </w:numPr>
        <w:spacing w:line="360" w:lineRule="auto"/>
        <w:ind w:right="-1"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19.1.未按照招标文件的规定提交投标保证金的；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19.2.投标文件未按招标文件要求签署、盖章的；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19.3.不符合资格性审查要求的；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19.4.报价超过招标文件中规定的预算金额或者最高限价的；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19.7.投标文件含有采购人不能接受的附加条件的；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cs="宋体"/>
          <w:sz w:val="24"/>
          <w:szCs w:val="24"/>
        </w:rPr>
        <w:t>19.8.经评标委员会</w:t>
      </w:r>
      <w:r>
        <w:rPr>
          <w:rFonts w:hint="eastAsia" w:ascii="仿宋" w:hAnsi="仿宋" w:eastAsia="仿宋"/>
          <w:sz w:val="24"/>
          <w:szCs w:val="24"/>
        </w:rPr>
        <w:t>确认提供虚假投标资料的；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19.10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sz w:val="24"/>
          <w:szCs w:val="24"/>
        </w:rPr>
        <w:t>19.11.属于招标文件“其它要求”中无效投标条款情形的；</w:t>
      </w:r>
    </w:p>
    <w:p>
      <w:pPr>
        <w:widowControl/>
        <w:spacing w:line="360" w:lineRule="auto"/>
        <w:ind w:right="-1" w:firstLine="465"/>
        <w:jc w:val="left"/>
        <w:rPr>
          <w:rFonts w:hint="eastAsia"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spacing w:line="360" w:lineRule="auto"/>
        <w:ind w:right="-1" w:firstLine="465"/>
        <w:jc w:val="left"/>
        <w:rPr>
          <w:rFonts w:hint="eastAsia"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spacing w:line="360" w:lineRule="auto"/>
        <w:ind w:right="-1" w:firstLine="465"/>
        <w:jc w:val="left"/>
        <w:rPr>
          <w:rFonts w:hint="eastAsia"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spacing w:line="360" w:lineRule="auto"/>
        <w:ind w:right="-1" w:firstLine="465"/>
        <w:jc w:val="left"/>
        <w:rPr>
          <w:rFonts w:hint="eastAsia"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spacing w:line="360" w:lineRule="auto"/>
        <w:ind w:right="-1" w:firstLine="465"/>
        <w:jc w:val="left"/>
        <w:rPr>
          <w:rFonts w:hint="eastAsia"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hint="eastAsia" w:ascii="仿宋" w:hAnsi="仿宋" w:eastAsia="仿宋" w:cs="仿宋_GB2312"/>
          <w:sz w:val="24"/>
          <w:szCs w:val="24"/>
        </w:rPr>
      </w:pPr>
      <w:r>
        <w:rPr>
          <w:rFonts w:hint="eastAsia" w:ascii="仿宋" w:hAnsi="仿宋" w:eastAsia="仿宋" w:cs="仿宋_GB2312"/>
          <w:b/>
          <w:bCs/>
          <w:sz w:val="24"/>
          <w:szCs w:val="24"/>
        </w:rPr>
        <w:t xml:space="preserve">G 纪律和监督  </w:t>
      </w:r>
    </w:p>
    <w:p>
      <w:pPr>
        <w:widowControl/>
        <w:spacing w:line="360" w:lineRule="auto"/>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hint="eastAsia"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hint="eastAsia" w:ascii="仿宋" w:hAnsi="仿宋" w:eastAsia="仿宋" w:cs="仿宋_GB2312"/>
          <w:b/>
          <w:bCs/>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hint="eastAsia"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hint="eastAsia"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hint="eastAsia" w:ascii="仿宋" w:hAnsi="仿宋" w:eastAsia="仿宋"/>
          <w:b/>
          <w:bCs/>
          <w:sz w:val="24"/>
          <w:szCs w:val="24"/>
        </w:rPr>
      </w:pPr>
      <w:r>
        <w:rPr>
          <w:rFonts w:hint="eastAsia" w:ascii="仿宋" w:hAnsi="仿宋" w:eastAsia="仿宋"/>
          <w:b/>
          <w:bCs/>
          <w:sz w:val="24"/>
          <w:szCs w:val="24"/>
        </w:rPr>
        <w:t xml:space="preserve"> </w:t>
      </w:r>
    </w:p>
    <w:p>
      <w:pPr>
        <w:widowControl/>
        <w:spacing w:line="440" w:lineRule="exact"/>
        <w:jc w:val="left"/>
        <w:rPr>
          <w:rFonts w:hint="eastAsia" w:ascii="仿宋" w:hAnsi="仿宋" w:eastAsia="仿宋"/>
          <w:b/>
          <w:bCs/>
          <w:sz w:val="24"/>
          <w:szCs w:val="24"/>
        </w:rPr>
      </w:pPr>
      <w:r>
        <w:rPr>
          <w:rFonts w:hint="eastAsia" w:ascii="仿宋" w:hAnsi="仿宋" w:eastAsia="仿宋"/>
          <w:b/>
          <w:bCs/>
          <w:sz w:val="24"/>
          <w:szCs w:val="24"/>
        </w:rPr>
        <w:t xml:space="preserve"> </w:t>
      </w:r>
    </w:p>
    <w:p>
      <w:pPr>
        <w:widowControl/>
        <w:spacing w:line="440" w:lineRule="exact"/>
        <w:ind w:firstLine="1316" w:firstLineChars="298"/>
        <w:rPr>
          <w:rFonts w:hint="eastAsia" w:ascii="仿宋" w:hAnsi="仿宋" w:eastAsia="仿宋"/>
          <w:b/>
          <w:bCs/>
          <w:sz w:val="44"/>
          <w:szCs w:val="44"/>
        </w:rPr>
      </w:pPr>
      <w:r>
        <w:rPr>
          <w:rFonts w:hint="eastAsia" w:ascii="仿宋" w:hAnsi="仿宋" w:eastAsia="仿宋"/>
          <w:b/>
          <w:bCs/>
          <w:sz w:val="44"/>
          <w:szCs w:val="44"/>
        </w:rPr>
        <w:t xml:space="preserve"> </w:t>
      </w:r>
    </w:p>
    <w:p>
      <w:pPr>
        <w:widowControl/>
        <w:spacing w:line="440" w:lineRule="exact"/>
        <w:jc w:val="left"/>
        <w:rPr>
          <w:rFonts w:hint="eastAsia" w:ascii="仿宋" w:hAnsi="仿宋" w:eastAsia="仿宋" w:cs="仿宋_GB2312"/>
          <w:b/>
          <w:bCs/>
          <w:sz w:val="24"/>
          <w:szCs w:val="24"/>
        </w:rPr>
      </w:pPr>
      <w:r>
        <w:rPr>
          <w:rFonts w:hint="eastAsia" w:ascii="仿宋" w:hAnsi="仿宋" w:eastAsia="仿宋" w:cs="仿宋_GB2312"/>
          <w:b/>
          <w:bCs/>
          <w:sz w:val="24"/>
          <w:szCs w:val="24"/>
        </w:rPr>
        <w:t xml:space="preserve"> </w:t>
      </w:r>
    </w:p>
    <w:p>
      <w:pPr>
        <w:widowControl/>
        <w:spacing w:line="440" w:lineRule="exact"/>
        <w:jc w:val="left"/>
        <w:rPr>
          <w:rFonts w:hint="eastAsia" w:ascii="仿宋" w:hAnsi="仿宋" w:eastAsia="仿宋" w:cs="仿宋_GB2312"/>
          <w:b/>
          <w:bCs/>
          <w:sz w:val="24"/>
          <w:szCs w:val="24"/>
        </w:rPr>
      </w:pPr>
      <w:r>
        <w:rPr>
          <w:rFonts w:hint="eastAsia" w:ascii="仿宋" w:hAnsi="仿宋" w:eastAsia="仿宋" w:cs="仿宋_GB2312"/>
          <w:b/>
          <w:bCs/>
          <w:sz w:val="24"/>
          <w:szCs w:val="24"/>
        </w:rPr>
        <w:t xml:space="preserve"> </w:t>
      </w:r>
    </w:p>
    <w:p>
      <w:pPr>
        <w:widowControl/>
        <w:spacing w:line="440" w:lineRule="exact"/>
        <w:jc w:val="center"/>
        <w:rPr>
          <w:rFonts w:hint="eastAsia" w:ascii="仿宋" w:hAnsi="仿宋" w:eastAsia="仿宋"/>
          <w:b/>
          <w:bCs/>
          <w:sz w:val="44"/>
          <w:szCs w:val="44"/>
        </w:rPr>
      </w:pPr>
      <w:r>
        <w:rPr>
          <w:rFonts w:hint="eastAsia" w:ascii="仿宋" w:hAnsi="仿宋" w:eastAsia="仿宋"/>
          <w:b/>
          <w:bCs/>
          <w:sz w:val="44"/>
          <w:szCs w:val="44"/>
        </w:rPr>
        <w:t xml:space="preserve"> </w:t>
      </w:r>
    </w:p>
    <w:p>
      <w:pPr>
        <w:widowControl/>
        <w:spacing w:line="440" w:lineRule="exact"/>
        <w:jc w:val="center"/>
        <w:rPr>
          <w:rFonts w:hint="eastAsia" w:ascii="仿宋" w:hAnsi="仿宋" w:eastAsia="仿宋"/>
          <w:b/>
          <w:bCs/>
          <w:sz w:val="44"/>
          <w:szCs w:val="44"/>
        </w:rPr>
      </w:pPr>
      <w:r>
        <w:rPr>
          <w:rFonts w:hint="eastAsia" w:ascii="仿宋" w:hAnsi="仿宋" w:eastAsia="仿宋"/>
          <w:b/>
          <w:bCs/>
          <w:sz w:val="44"/>
          <w:szCs w:val="44"/>
        </w:rPr>
        <w:t xml:space="preserve"> </w:t>
      </w:r>
    </w:p>
    <w:p>
      <w:pPr>
        <w:widowControl/>
        <w:spacing w:line="440" w:lineRule="exact"/>
        <w:jc w:val="center"/>
        <w:rPr>
          <w:rFonts w:hint="eastAsia" w:ascii="仿宋" w:hAnsi="仿宋" w:eastAsia="仿宋"/>
          <w:b/>
          <w:bCs/>
          <w:sz w:val="44"/>
          <w:szCs w:val="44"/>
        </w:rPr>
      </w:pPr>
      <w:r>
        <w:rPr>
          <w:rFonts w:hint="eastAsia" w:ascii="仿宋" w:hAnsi="仿宋" w:eastAsia="仿宋"/>
          <w:b/>
          <w:bCs/>
          <w:sz w:val="44"/>
          <w:szCs w:val="44"/>
        </w:rPr>
        <w:t xml:space="preserve"> </w:t>
      </w:r>
    </w:p>
    <w:p>
      <w:pPr>
        <w:widowControl/>
        <w:spacing w:line="440" w:lineRule="exact"/>
        <w:jc w:val="center"/>
        <w:rPr>
          <w:rFonts w:hint="eastAsia" w:ascii="仿宋" w:hAnsi="仿宋" w:eastAsia="仿宋"/>
          <w:b/>
          <w:bCs/>
          <w:sz w:val="44"/>
          <w:szCs w:val="44"/>
        </w:rPr>
      </w:pPr>
      <w:r>
        <w:rPr>
          <w:rFonts w:hint="eastAsia" w:ascii="仿宋" w:hAnsi="仿宋" w:eastAsia="仿宋"/>
          <w:b/>
          <w:bCs/>
          <w:sz w:val="44"/>
          <w:szCs w:val="44"/>
        </w:rPr>
        <w:t xml:space="preserve"> </w:t>
      </w:r>
    </w:p>
    <w:p>
      <w:pPr>
        <w:widowControl/>
        <w:jc w:val="left"/>
        <w:rPr>
          <w:rFonts w:ascii="仿宋" w:hAnsi="仿宋" w:eastAsia="仿宋"/>
          <w:b/>
          <w:bCs/>
          <w:sz w:val="44"/>
          <w:szCs w:val="44"/>
        </w:rPr>
        <w:sectPr>
          <w:pgSz w:w="11907" w:h="16840"/>
          <w:pgMar w:top="1440" w:right="1474" w:bottom="1440" w:left="1474" w:header="720" w:footer="720" w:gutter="0"/>
          <w:cols w:space="720" w:num="1"/>
          <w:docGrid w:type="lines"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3"/>
      </w:pPr>
    </w:p>
    <w:p>
      <w:pPr>
        <w:widowControl/>
        <w:spacing w:line="440" w:lineRule="exact"/>
        <w:rPr>
          <w:rFonts w:ascii="仿宋" w:hAnsi="仿宋" w:eastAsia="仿宋"/>
          <w:b/>
          <w:sz w:val="44"/>
        </w:rPr>
      </w:pPr>
    </w:p>
    <w:p>
      <w:pPr>
        <w:numPr>
          <w:ilvl w:val="0"/>
          <w:numId w:val="7"/>
        </w:numPr>
        <w:spacing w:line="520" w:lineRule="exact"/>
        <w:rPr>
          <w:rFonts w:hint="eastAsia" w:ascii="仿宋" w:hAnsi="仿宋" w:eastAsia="仿宋" w:cs="宋体"/>
          <w:color w:val="000000"/>
          <w:kern w:val="0"/>
          <w:sz w:val="24"/>
          <w:szCs w:val="24"/>
          <w:lang w:val="en-US" w:eastAsia="zh-CN"/>
        </w:rPr>
      </w:pPr>
      <w:r>
        <w:rPr>
          <w:rFonts w:hint="eastAsia" w:ascii="仿宋" w:hAnsi="仿宋" w:eastAsia="仿宋" w:cs="仿宋"/>
          <w:b/>
          <w:sz w:val="24"/>
          <w:szCs w:val="24"/>
          <w:lang w:eastAsia="zh-CN"/>
        </w:rPr>
        <w:t>采购内容：十里、南街、东关、朱坡、尹庄社区共需洒水车5台</w:t>
      </w:r>
    </w:p>
    <w:tbl>
      <w:tblPr>
        <w:tblStyle w:val="3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1283"/>
        <w:gridCol w:w="4183"/>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序号</w:t>
            </w:r>
          </w:p>
        </w:tc>
        <w:tc>
          <w:tcPr>
            <w:tcW w:w="1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货物</w:t>
            </w:r>
          </w:p>
          <w:p>
            <w:pPr>
              <w:widowControl/>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3"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28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洒水车</w:t>
            </w:r>
          </w:p>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外形尺寸（mm）★≤6200×2000×2200</w:t>
            </w:r>
          </w:p>
        </w:tc>
        <w:tc>
          <w:tcPr>
            <w:tcW w:w="840"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pPr>
              <w:spacing w:line="360" w:lineRule="auto"/>
              <w:ind w:firstLine="480" w:firstLineChars="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3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5</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pPr>
              <w:spacing w:line="360" w:lineRule="auto"/>
              <w:ind w:firstLine="480" w:firstLineChars="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11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轴距（mm）≥3300</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接近角/离去角（°）★≥20/16</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总质量（kg）★≤8200</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整备质量（kg）★≥3300</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额定载质量（kg）★≥3810</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罐体有效容积（m³）≥4</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冲洗宽度（m）≥12</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洒水宽度（m）≥10</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水枪射程（m）≥15</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底盘型号★EQ1070SJ3BDF或优于</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发动机型号/功率（kW）★≥CY4BK551/75kW</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排放标准国V</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轮胎规格≥7.00-16,7.00R16</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最高车速 (km/h) ≥99</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28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后防护离地高度（mm）★≥460</w:t>
            </w:r>
          </w:p>
        </w:tc>
        <w:tc>
          <w:tcPr>
            <w:tcW w:w="840"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28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00"/>
              <w:jc w:val="center"/>
              <w:rPr>
                <w:rFonts w:hint="eastAsia" w:ascii="仿宋" w:hAnsi="仿宋" w:eastAsia="仿宋" w:cs="仿宋"/>
                <w:color w:val="000000"/>
                <w:kern w:val="0"/>
                <w:sz w:val="24"/>
                <w:szCs w:val="24"/>
              </w:rPr>
            </w:pP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numPr>
                <w:ilvl w:val="0"/>
                <w:numId w:val="8"/>
              </w:numPr>
              <w:ind w:left="0" w:firstLine="0"/>
              <w:jc w:val="left"/>
              <w:rPr>
                <w:rFonts w:hint="eastAsia" w:ascii="仿宋" w:hAnsi="仿宋" w:eastAsia="仿宋" w:cs="仿宋"/>
                <w:kern w:val="0"/>
                <w:sz w:val="24"/>
                <w:szCs w:val="24"/>
              </w:rPr>
            </w:pPr>
            <w:r>
              <w:rPr>
                <w:rFonts w:hint="eastAsia" w:ascii="仿宋" w:hAnsi="仿宋" w:eastAsia="仿宋" w:cs="仿宋"/>
                <w:kern w:val="0"/>
                <w:sz w:val="24"/>
                <w:szCs w:val="24"/>
              </w:rPr>
              <w:t>采用国内知名自吸式双级离心泵，效率高，扬程大，水泵由底盘发动机取力传动。</w:t>
            </w:r>
          </w:p>
          <w:p>
            <w:pPr>
              <w:numPr>
                <w:ilvl w:val="0"/>
                <w:numId w:val="8"/>
              </w:numPr>
              <w:ind w:left="0" w:firstLine="0"/>
              <w:jc w:val="left"/>
              <w:rPr>
                <w:rFonts w:hint="eastAsia" w:ascii="仿宋" w:hAnsi="仿宋" w:eastAsia="仿宋" w:cs="仿宋"/>
                <w:kern w:val="0"/>
                <w:sz w:val="24"/>
                <w:szCs w:val="24"/>
              </w:rPr>
            </w:pPr>
            <w:r>
              <w:rPr>
                <w:rFonts w:hint="eastAsia" w:ascii="仿宋" w:hAnsi="仿宋" w:eastAsia="仿宋" w:cs="仿宋"/>
                <w:kern w:val="0"/>
                <w:sz w:val="24"/>
                <w:szCs w:val="24"/>
              </w:rPr>
              <w:t>前冲圆锥喷头，水流集中，压力大，冲洗幅面宽，一次可覆盖3车道。</w:t>
            </w:r>
          </w:p>
          <w:p>
            <w:pPr>
              <w:numPr>
                <w:ilvl w:val="0"/>
                <w:numId w:val="8"/>
              </w:numPr>
              <w:ind w:left="0" w:firstLine="0"/>
              <w:jc w:val="left"/>
              <w:rPr>
                <w:rFonts w:hint="eastAsia" w:ascii="仿宋" w:hAnsi="仿宋" w:eastAsia="仿宋" w:cs="仿宋"/>
                <w:kern w:val="0"/>
                <w:sz w:val="24"/>
                <w:szCs w:val="24"/>
              </w:rPr>
            </w:pPr>
            <w:r>
              <w:rPr>
                <w:rFonts w:hint="eastAsia" w:ascii="仿宋" w:hAnsi="仿宋" w:eastAsia="仿宋" w:cs="仿宋"/>
                <w:kern w:val="0"/>
                <w:sz w:val="24"/>
                <w:szCs w:val="24"/>
              </w:rPr>
              <w:t>后洒圆柱喷嘴，喷出均匀的扇形水雾，宽度可达10米，能有效抑制路面尘土，降低地面温度。</w:t>
            </w:r>
          </w:p>
          <w:p>
            <w:pPr>
              <w:numPr>
                <w:ilvl w:val="0"/>
                <w:numId w:val="8"/>
              </w:numPr>
              <w:ind w:left="0" w:firstLine="0"/>
              <w:jc w:val="left"/>
              <w:rPr>
                <w:rFonts w:hint="eastAsia" w:ascii="仿宋" w:hAnsi="仿宋" w:eastAsia="仿宋" w:cs="仿宋"/>
                <w:kern w:val="0"/>
                <w:sz w:val="24"/>
                <w:szCs w:val="24"/>
              </w:rPr>
            </w:pPr>
            <w:r>
              <w:rPr>
                <w:rFonts w:hint="eastAsia" w:ascii="仿宋" w:hAnsi="仿宋" w:eastAsia="仿宋" w:cs="仿宋"/>
                <w:kern w:val="0"/>
                <w:sz w:val="24"/>
                <w:szCs w:val="24"/>
              </w:rPr>
              <w:t>360°旋转的后置水炮，可进行雾状、柱状水流调节，最远射程超过15米。</w:t>
            </w:r>
          </w:p>
          <w:p>
            <w:pPr>
              <w:numPr>
                <w:ilvl w:val="0"/>
                <w:numId w:val="8"/>
              </w:numPr>
              <w:ind w:left="0" w:firstLine="0"/>
              <w:jc w:val="left"/>
              <w:rPr>
                <w:rFonts w:hint="eastAsia" w:ascii="仿宋" w:hAnsi="仿宋" w:eastAsia="仿宋" w:cs="仿宋"/>
                <w:kern w:val="0"/>
                <w:sz w:val="24"/>
                <w:szCs w:val="24"/>
              </w:rPr>
            </w:pPr>
            <w:r>
              <w:rPr>
                <w:rFonts w:hint="eastAsia" w:ascii="仿宋" w:hAnsi="仿宋" w:eastAsia="仿宋" w:cs="仿宋"/>
                <w:kern w:val="0"/>
                <w:sz w:val="24"/>
                <w:szCs w:val="24"/>
              </w:rPr>
              <w:t>前冲、后洒功能均采用清洁环保的气动控制，一键操作，简易方便，安全可靠。</w:t>
            </w:r>
          </w:p>
          <w:p>
            <w:pPr>
              <w:numPr>
                <w:ilvl w:val="0"/>
                <w:numId w:val="8"/>
              </w:numPr>
              <w:ind w:left="0" w:firstLine="0"/>
              <w:jc w:val="left"/>
              <w:rPr>
                <w:rFonts w:hint="eastAsia" w:ascii="仿宋" w:hAnsi="仿宋" w:eastAsia="仿宋" w:cs="仿宋"/>
                <w:kern w:val="0"/>
                <w:sz w:val="24"/>
                <w:szCs w:val="24"/>
              </w:rPr>
            </w:pPr>
            <w:r>
              <w:rPr>
                <w:rFonts w:hint="eastAsia" w:ascii="仿宋" w:hAnsi="仿宋" w:eastAsia="仿宋" w:cs="仿宋"/>
                <w:kern w:val="0"/>
                <w:sz w:val="24"/>
                <w:szCs w:val="24"/>
              </w:rPr>
              <w:t>水罐采用椭圆结构，造型美观、重心低，容积大。</w:t>
            </w:r>
          </w:p>
          <w:p>
            <w:pPr>
              <w:numPr>
                <w:ilvl w:val="0"/>
                <w:numId w:val="8"/>
              </w:numPr>
              <w:ind w:left="0" w:firstLine="0"/>
              <w:jc w:val="left"/>
              <w:rPr>
                <w:rFonts w:hint="eastAsia" w:ascii="仿宋" w:hAnsi="仿宋" w:eastAsia="仿宋" w:cs="仿宋"/>
                <w:kern w:val="0"/>
                <w:sz w:val="24"/>
                <w:szCs w:val="24"/>
              </w:rPr>
            </w:pPr>
            <w:r>
              <w:rPr>
                <w:rFonts w:hint="eastAsia" w:ascii="仿宋" w:hAnsi="仿宋" w:eastAsia="仿宋" w:cs="仿宋"/>
                <w:kern w:val="0"/>
                <w:sz w:val="24"/>
                <w:szCs w:val="24"/>
              </w:rPr>
              <w:t>罐体采用先进的成型技术，自动连续焊接，渗透无损探伤检测，焊后进行抛丸处理，消除内应力，提高罐体强度。内部整体电泳后喷涂专业防腐涂层——低表面处理环氧树脂漆，有效的阻隔水介质对金属表面的侵蚀，使用寿命长。</w:t>
            </w:r>
          </w:p>
          <w:p>
            <w:pPr>
              <w:numPr>
                <w:ilvl w:val="0"/>
                <w:numId w:val="8"/>
              </w:numPr>
              <w:ind w:left="0" w:firstLine="0"/>
              <w:jc w:val="left"/>
              <w:rPr>
                <w:rFonts w:hint="eastAsia" w:ascii="仿宋" w:hAnsi="仿宋" w:eastAsia="仿宋" w:cs="仿宋"/>
                <w:sz w:val="24"/>
                <w:szCs w:val="24"/>
              </w:rPr>
            </w:pPr>
            <w:r>
              <w:rPr>
                <w:rFonts w:hint="eastAsia" w:ascii="仿宋" w:hAnsi="仿宋" w:eastAsia="仿宋" w:cs="仿宋"/>
                <w:kern w:val="0"/>
                <w:sz w:val="24"/>
                <w:szCs w:val="24"/>
              </w:rPr>
              <w:t>优先选购具备免征购置税。</w:t>
            </w:r>
          </w:p>
          <w:p>
            <w:pPr>
              <w:widowControl/>
              <w:ind w:firstLine="480" w:firstLineChars="200"/>
              <w:jc w:val="center"/>
              <w:rPr>
                <w:rFonts w:hint="eastAsia" w:ascii="仿宋" w:hAnsi="仿宋" w:eastAsia="仿宋" w:cs="仿宋"/>
                <w:color w:val="000000"/>
                <w:kern w:val="0"/>
                <w:sz w:val="24"/>
                <w:szCs w:val="24"/>
              </w:rPr>
            </w:pPr>
          </w:p>
        </w:tc>
        <w:tc>
          <w:tcPr>
            <w:tcW w:w="840"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839"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仿宋" w:hAnsi="仿宋" w:eastAsia="仿宋" w:cs="仿宋"/>
                <w:color w:val="000000"/>
                <w:kern w:val="0"/>
                <w:sz w:val="24"/>
                <w:szCs w:val="24"/>
              </w:rPr>
            </w:pPr>
          </w:p>
        </w:tc>
        <w:tc>
          <w:tcPr>
            <w:tcW w:w="1115" w:type="dxa"/>
            <w:vMerge w:val="continue"/>
            <w:tcBorders>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cs="仿宋"/>
                <w:color w:val="000000"/>
                <w:kern w:val="0"/>
                <w:sz w:val="24"/>
                <w:szCs w:val="24"/>
              </w:rPr>
            </w:pPr>
          </w:p>
        </w:tc>
      </w:tr>
    </w:tbl>
    <w:p>
      <w:pPr>
        <w:pStyle w:val="2"/>
        <w:rPr>
          <w:rFonts w:hint="eastAsia"/>
          <w:lang w:eastAsia="zh-CN"/>
        </w:rPr>
      </w:pP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eastAsia="zh-CN"/>
        </w:rPr>
        <w:t>二、售后服务：</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eastAsia="zh-CN"/>
        </w:rPr>
      </w:pPr>
      <w:r>
        <w:rPr>
          <w:rFonts w:hint="eastAsia" w:ascii="仿宋" w:hAnsi="仿宋" w:eastAsia="仿宋" w:cs="仿宋"/>
          <w:color w:val="000000" w:themeColor="text1"/>
          <w:kern w:val="0"/>
          <w:sz w:val="24"/>
          <w:szCs w:val="24"/>
          <w:lang w:val="en-US" w:eastAsia="zh-CN"/>
        </w:rPr>
        <w:t>1、</w:t>
      </w:r>
      <w:r>
        <w:rPr>
          <w:rFonts w:hint="eastAsia" w:ascii="仿宋" w:hAnsi="仿宋" w:eastAsia="仿宋" w:cs="仿宋"/>
          <w:color w:val="000000" w:themeColor="text1"/>
          <w:kern w:val="0"/>
          <w:sz w:val="24"/>
          <w:szCs w:val="24"/>
          <w:lang w:eastAsia="zh-CN"/>
        </w:rPr>
        <w:t>服务标准：质保期内免费服务</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w:t>
      </w:r>
      <w:r>
        <w:rPr>
          <w:rFonts w:hint="eastAsia" w:ascii="仿宋" w:hAnsi="仿宋" w:eastAsia="仿宋" w:cs="仿宋"/>
          <w:color w:val="000000" w:themeColor="text1"/>
          <w:kern w:val="0"/>
          <w:sz w:val="24"/>
          <w:szCs w:val="24"/>
          <w:lang w:eastAsia="zh-CN"/>
        </w:rPr>
        <w:t>效率：在接到故障反应后</w:t>
      </w:r>
      <w:r>
        <w:rPr>
          <w:rFonts w:hint="eastAsia" w:ascii="仿宋" w:hAnsi="仿宋" w:eastAsia="仿宋" w:cs="仿宋"/>
          <w:color w:val="000000" w:themeColor="text1"/>
          <w:kern w:val="0"/>
          <w:sz w:val="24"/>
          <w:szCs w:val="24"/>
          <w:lang w:val="en-US" w:eastAsia="zh-CN"/>
        </w:rPr>
        <w:t>2小时内响应，12小时内到达现场，24小时内解决问题。</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三、验收标准：</w:t>
      </w:r>
    </w:p>
    <w:p>
      <w:pPr>
        <w:widowControl/>
        <w:numPr>
          <w:ilvl w:val="0"/>
          <w:numId w:val="0"/>
        </w:numPr>
        <w:shd w:val="clear" w:color="auto" w:fill="FFFFFF"/>
        <w:spacing w:line="360" w:lineRule="auto"/>
        <w:ind w:firstLine="480" w:firstLineChars="200"/>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1、按照国家相关标准执行。</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2、按照招标文件要求、投标文件响应和承诺验收。</w:t>
      </w: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eastAsia="仿宋_GB2312"/>
          <w:lang w:val="en-US" w:eastAsia="zh-CN"/>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w:t>
      </w:r>
      <w:r>
        <w:rPr>
          <w:rFonts w:hint="eastAsia" w:ascii="仿宋" w:hAnsi="仿宋" w:eastAsia="仿宋" w:cs="仿宋"/>
          <w:sz w:val="24"/>
          <w:szCs w:val="24"/>
          <w:lang w:eastAsia="zh-CN"/>
        </w:rPr>
        <w:t>供货时</w:t>
      </w:r>
      <w:r>
        <w:rPr>
          <w:rFonts w:hint="eastAsia" w:ascii="仿宋" w:hAnsi="仿宋" w:eastAsia="仿宋" w:cs="仿宋"/>
          <w:sz w:val="24"/>
          <w:szCs w:val="24"/>
        </w:rPr>
        <w:t>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hint="eastAsia" w:eastAsia="仿宋"/>
          <w:lang w:val="en-US" w:eastAsia="zh-CN"/>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w:t>
      </w:r>
      <w:r>
        <w:rPr>
          <w:rFonts w:hint="eastAsia" w:ascii="仿宋" w:hAnsi="仿宋" w:eastAsia="仿宋" w:cs="仿宋"/>
          <w:sz w:val="24"/>
          <w:szCs w:val="24"/>
          <w:lang w:val="en-US" w:eastAsia="zh-CN"/>
        </w:rPr>
        <w:t>3C认证证书</w:t>
      </w:r>
      <w:r>
        <w:rPr>
          <w:rFonts w:hint="eastAsia" w:ascii="仿宋" w:hAnsi="仿宋" w:eastAsia="仿宋" w:cs="仿宋"/>
          <w:sz w:val="24"/>
          <w:szCs w:val="24"/>
        </w:rPr>
        <w:t>、被委托人社保证明、法人代表授权委托书（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eastAsia="仿宋"/>
          <w:lang w:val="en-US" w:eastAsia="zh-CN"/>
        </w:rPr>
      </w:pPr>
      <w:r>
        <w:rPr>
          <w:rFonts w:hint="eastAsia" w:ascii="仿宋" w:hAnsi="仿宋" w:eastAsia="仿宋" w:cs="仿宋"/>
          <w:sz w:val="24"/>
          <w:szCs w:val="24"/>
        </w:rPr>
        <w:t>3.5评分</w:t>
      </w:r>
      <w:r>
        <w:rPr>
          <w:rFonts w:hint="eastAsia" w:ascii="仿宋" w:hAnsi="仿宋" w:eastAsia="仿宋" w:cs="仿宋"/>
          <w:sz w:val="24"/>
          <w:szCs w:val="24"/>
          <w:lang w:eastAsia="zh-CN"/>
        </w:rPr>
        <w:t>标准</w:t>
      </w:r>
    </w:p>
    <w:tbl>
      <w:tblPr>
        <w:tblStyle w:val="36"/>
        <w:tblW w:w="912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分值构成</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(总分100分)</w:t>
            </w:r>
          </w:p>
        </w:tc>
        <w:tc>
          <w:tcPr>
            <w:tcW w:w="6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价格分值：50 分</w:t>
            </w:r>
          </w:p>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商务部分：17分</w:t>
            </w:r>
          </w:p>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技术部分：33分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29"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83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投标报价</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评分标准</w:t>
            </w:r>
          </w:p>
        </w:tc>
        <w:tc>
          <w:tcPr>
            <w:tcW w:w="683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评标基准价：满足招标文件要求的有效投标报价中，最低的投标报价为评标基准价。</w:t>
            </w:r>
          </w:p>
          <w:p>
            <w:pPr>
              <w:widowControl/>
              <w:spacing w:line="33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投标报价得分=（评标基准价/投标报价）×50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29"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二、商务部分（满分17分）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83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企业实力</w:t>
            </w:r>
          </w:p>
          <w:p>
            <w:pPr>
              <w:widowControl/>
              <w:spacing w:line="400" w:lineRule="exact"/>
              <w:jc w:val="center"/>
              <w:rPr>
                <w:rFonts w:hint="eastAsia" w:eastAsia="仿宋"/>
                <w:lang w:val="en-US" w:eastAsia="zh-CN"/>
              </w:rPr>
            </w:pPr>
            <w:r>
              <w:rPr>
                <w:rFonts w:hint="eastAsia" w:ascii="仿宋" w:hAnsi="仿宋" w:eastAsia="仿宋" w:cs="仿宋"/>
                <w:color w:val="000000"/>
                <w:kern w:val="0"/>
                <w:sz w:val="24"/>
                <w:szCs w:val="24"/>
                <w:lang w:val="en-US" w:eastAsia="zh-CN"/>
              </w:rPr>
              <w:t>（11分）</w:t>
            </w:r>
          </w:p>
        </w:tc>
        <w:tc>
          <w:tcPr>
            <w:tcW w:w="683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4"/>
                <w:szCs w:val="24"/>
                <w:lang w:eastAsia="zh-CN"/>
              </w:rPr>
            </w:pPr>
            <w:r>
              <w:rPr>
                <w:rFonts w:hint="eastAsia" w:ascii="仿宋" w:hAnsi="仿宋" w:eastAsia="仿宋" w:cs="仿宋"/>
                <w:sz w:val="24"/>
                <w:szCs w:val="24"/>
              </w:rPr>
              <w:t>（1）</w:t>
            </w:r>
            <w:r>
              <w:rPr>
                <w:rFonts w:hint="eastAsia" w:ascii="仿宋" w:hAnsi="仿宋" w:eastAsia="仿宋" w:cs="仿宋"/>
                <w:kern w:val="0"/>
                <w:sz w:val="24"/>
                <w:szCs w:val="24"/>
              </w:rPr>
              <w:t>投标企业获得AAA级信用等级证书的得1分，获得省级及以上诚信经营示范企业的得1分，获得省级及以上信用建设示范单位的得1分，获得守合同重信用证书得1分，获得省级及以上高新技术企业得1分，中国质量检验协会颁布的全国专用车行业质量领先品牌得1分。（开标现场查验原件，无原件不得分）最多6分</w:t>
            </w:r>
            <w:r>
              <w:rPr>
                <w:rFonts w:hint="eastAsia" w:ascii="仿宋" w:hAnsi="仿宋" w:eastAsia="仿宋" w:cs="仿宋"/>
                <w:kern w:val="0"/>
                <w:sz w:val="24"/>
                <w:szCs w:val="24"/>
                <w:lang w:eastAsia="zh-CN"/>
              </w:rPr>
              <w:t>。</w:t>
            </w:r>
          </w:p>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投标供应商具有有效的ISO9001质量管理体系得1分、ISO14001环境管理体系得1分、18001职业健康安全管理体系得1分、知识产权管理体系认证证书得1分、省级以上质量技术监督局颁发的完善的计量检测体系认证证书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业绩</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6分</w:t>
            </w:r>
            <w:r>
              <w:rPr>
                <w:rFonts w:hint="eastAsia" w:ascii="仿宋" w:hAnsi="仿宋" w:eastAsia="仿宋" w:cs="仿宋"/>
                <w:color w:val="000000"/>
                <w:kern w:val="0"/>
                <w:sz w:val="24"/>
                <w:szCs w:val="24"/>
                <w:lang w:eastAsia="zh-CN"/>
              </w:rPr>
              <w:t>）</w:t>
            </w:r>
          </w:p>
        </w:tc>
        <w:tc>
          <w:tcPr>
            <w:tcW w:w="68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sz w:val="24"/>
                <w:szCs w:val="24"/>
              </w:rPr>
              <w:t>投标人2015年</w:t>
            </w:r>
            <w:r>
              <w:rPr>
                <w:rFonts w:hint="eastAsia" w:ascii="仿宋" w:hAnsi="仿宋" w:eastAsia="仿宋" w:cs="仿宋"/>
                <w:sz w:val="24"/>
                <w:szCs w:val="24"/>
                <w:lang w:val="en-US" w:eastAsia="zh-CN"/>
              </w:rPr>
              <w:t>1月1日</w:t>
            </w:r>
            <w:r>
              <w:rPr>
                <w:rFonts w:hint="eastAsia" w:ascii="仿宋" w:hAnsi="仿宋" w:eastAsia="仿宋" w:cs="仿宋"/>
                <w:sz w:val="24"/>
                <w:szCs w:val="24"/>
              </w:rPr>
              <w:t>以来完成类似项目业绩合同，合同金额60万以上的每份2分，业绩累计满分6分。（提供中标通知书及合同原件、中标截图，缺一项不得分）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129"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三、技术部分（满分33分）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83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对招标文件</w:t>
            </w:r>
          </w:p>
          <w:p>
            <w:pPr>
              <w:widowControl/>
              <w:spacing w:line="330" w:lineRule="atLeas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响应程度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23分</w:t>
            </w:r>
            <w:r>
              <w:rPr>
                <w:rFonts w:hint="eastAsia" w:ascii="仿宋" w:hAnsi="仿宋" w:eastAsia="仿宋" w:cs="仿宋"/>
                <w:color w:val="000000"/>
                <w:kern w:val="0"/>
                <w:sz w:val="24"/>
                <w:szCs w:val="24"/>
                <w:lang w:eastAsia="zh-CN"/>
              </w:rPr>
              <w:t>）</w:t>
            </w:r>
          </w:p>
        </w:tc>
        <w:tc>
          <w:tcPr>
            <w:tcW w:w="6834" w:type="dxa"/>
            <w:tcBorders>
              <w:top w:val="single" w:color="auto" w:sz="4" w:space="0"/>
              <w:left w:val="single" w:color="auto" w:sz="4" w:space="0"/>
              <w:bottom w:val="single" w:color="auto" w:sz="4" w:space="0"/>
              <w:right w:val="single" w:color="auto" w:sz="4" w:space="0"/>
            </w:tcBorders>
            <w:vAlign w:val="center"/>
          </w:tcPr>
          <w:p>
            <w:pPr>
              <w:pStyle w:val="41"/>
              <w:widowControl/>
              <w:ind w:firstLine="0" w:firstLineChars="0"/>
              <w:rPr>
                <w:rFonts w:hint="eastAsia" w:ascii="仿宋" w:hAnsi="仿宋" w:eastAsia="仿宋" w:cs="仿宋"/>
                <w:sz w:val="24"/>
                <w:szCs w:val="24"/>
              </w:rPr>
            </w:pPr>
            <w:r>
              <w:rPr>
                <w:rFonts w:hint="eastAsia" w:ascii="仿宋" w:hAnsi="仿宋" w:eastAsia="仿宋" w:cs="仿宋"/>
                <w:sz w:val="24"/>
                <w:szCs w:val="24"/>
              </w:rPr>
              <w:t>（1）完全满足招标文件参数要求的得满分20分，提供证明材料，公告参数以工信部公告参数为准，每有一项加星项负偏离，每项扣2分，扣完为止，每有一项非加星项负偏离，每项扣1分；</w:t>
            </w:r>
          </w:p>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sz w:val="24"/>
                <w:szCs w:val="24"/>
              </w:rPr>
              <w:t>（2）满足招标文件技术要求，提供所投产品工艺、质量、技术先进性证明材料，根据优劣程度得分，酌情打分0-3分。（提供生产线设备图片证明）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售后服务承诺</w:t>
            </w:r>
          </w:p>
          <w:p>
            <w:pPr>
              <w:widowControl/>
              <w:spacing w:line="360" w:lineRule="auto"/>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10分</w:t>
            </w:r>
            <w:r>
              <w:rPr>
                <w:rFonts w:hint="eastAsia" w:ascii="仿宋" w:hAnsi="仿宋" w:eastAsia="仿宋" w:cs="仿宋"/>
                <w:color w:val="000000"/>
                <w:kern w:val="0"/>
                <w:sz w:val="24"/>
                <w:szCs w:val="24"/>
                <w:lang w:eastAsia="zh-CN"/>
              </w:rPr>
              <w:t>）</w:t>
            </w:r>
          </w:p>
        </w:tc>
        <w:tc>
          <w:tcPr>
            <w:tcW w:w="6834" w:type="dxa"/>
            <w:tcBorders>
              <w:top w:val="single" w:color="auto" w:sz="4" w:space="0"/>
              <w:left w:val="single" w:color="auto" w:sz="4" w:space="0"/>
              <w:bottom w:val="single" w:color="auto" w:sz="4" w:space="0"/>
              <w:right w:val="single" w:color="auto" w:sz="4" w:space="0"/>
            </w:tcBorders>
            <w:vAlign w:val="center"/>
          </w:tcPr>
          <w:p>
            <w:pPr>
              <w:pStyle w:val="41"/>
              <w:widowControl/>
              <w:ind w:firstLine="0" w:firstLineChars="0"/>
              <w:jc w:val="left"/>
              <w:rPr>
                <w:rFonts w:hint="eastAsia" w:ascii="仿宋" w:hAnsi="仿宋" w:eastAsia="仿宋" w:cs="仿宋"/>
                <w:sz w:val="24"/>
                <w:szCs w:val="24"/>
              </w:rPr>
            </w:pPr>
            <w:r>
              <w:rPr>
                <w:rFonts w:hint="eastAsia" w:ascii="仿宋" w:hAnsi="仿宋" w:eastAsia="仿宋" w:cs="仿宋"/>
                <w:sz w:val="24"/>
                <w:szCs w:val="24"/>
              </w:rPr>
              <w:t>（1）具有完善的培训计划</w:t>
            </w:r>
            <w:r>
              <w:rPr>
                <w:rFonts w:hint="eastAsia" w:ascii="仿宋" w:hAnsi="仿宋" w:eastAsia="仿宋" w:cs="仿宋"/>
                <w:kern w:val="0"/>
                <w:sz w:val="24"/>
                <w:szCs w:val="24"/>
              </w:rPr>
              <w:t>；</w:t>
            </w:r>
            <w:r>
              <w:rPr>
                <w:rFonts w:hint="eastAsia" w:ascii="仿宋" w:hAnsi="仿宋" w:eastAsia="仿宋" w:cs="仿宋"/>
                <w:sz w:val="24"/>
                <w:szCs w:val="24"/>
              </w:rPr>
              <w:t>（0-1分）</w:t>
            </w:r>
          </w:p>
          <w:p>
            <w:pPr>
              <w:pStyle w:val="41"/>
              <w:widowControl/>
              <w:ind w:firstLine="0" w:firstLineChars="0"/>
              <w:jc w:val="left"/>
              <w:rPr>
                <w:rFonts w:hint="eastAsia" w:ascii="仿宋" w:hAnsi="仿宋" w:eastAsia="仿宋" w:cs="仿宋"/>
                <w:sz w:val="24"/>
                <w:szCs w:val="24"/>
              </w:rPr>
            </w:pPr>
            <w:r>
              <w:rPr>
                <w:rFonts w:hint="eastAsia" w:ascii="仿宋" w:hAnsi="仿宋" w:eastAsia="仿宋" w:cs="仿宋"/>
                <w:sz w:val="24"/>
                <w:szCs w:val="24"/>
              </w:rPr>
              <w:t>（2）投标单位售后服务能力方面具有售后服务五星级认证证书，并提供有效证明文件原件者得2分，售后服务四星级认证证书得1分；（0-2分）</w:t>
            </w:r>
          </w:p>
          <w:p>
            <w:pPr>
              <w:pStyle w:val="41"/>
              <w:widowControl/>
              <w:ind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（3）保修期内外服务承诺；（0-1分）            </w:t>
            </w:r>
          </w:p>
          <w:p>
            <w:pPr>
              <w:pStyle w:val="41"/>
              <w:widowControl/>
              <w:ind w:firstLine="0" w:firstLineChars="0"/>
              <w:jc w:val="left"/>
              <w:rPr>
                <w:rFonts w:hint="eastAsia" w:ascii="仿宋" w:hAnsi="仿宋" w:eastAsia="仿宋" w:cs="仿宋"/>
                <w:sz w:val="24"/>
                <w:szCs w:val="24"/>
              </w:rPr>
            </w:pPr>
            <w:r>
              <w:rPr>
                <w:rFonts w:hint="eastAsia" w:ascii="仿宋" w:hAnsi="仿宋" w:eastAsia="仿宋" w:cs="仿宋"/>
                <w:sz w:val="24"/>
                <w:szCs w:val="24"/>
              </w:rPr>
              <w:t>（4）能承诺在1小时响应，12小时到达现场，24小时内解决问题得2分</w:t>
            </w:r>
            <w:r>
              <w:rPr>
                <w:rFonts w:hint="eastAsia" w:ascii="仿宋" w:hAnsi="仿宋" w:eastAsia="仿宋" w:cs="仿宋"/>
                <w:sz w:val="24"/>
                <w:szCs w:val="24"/>
                <w:lang w:eastAsia="zh-CN"/>
              </w:rPr>
              <w:t>。</w:t>
            </w:r>
            <w:r>
              <w:rPr>
                <w:rFonts w:hint="eastAsia" w:ascii="仿宋" w:hAnsi="仿宋" w:eastAsia="仿宋" w:cs="仿宋"/>
                <w:sz w:val="24"/>
                <w:szCs w:val="24"/>
              </w:rPr>
              <w:t>（0-2分）</w:t>
            </w:r>
          </w:p>
          <w:p>
            <w:pPr>
              <w:pStyle w:val="41"/>
              <w:ind w:firstLine="0" w:firstLineChars="0"/>
              <w:rPr>
                <w:rFonts w:hint="eastAsia" w:ascii="仿宋" w:hAnsi="仿宋" w:eastAsia="仿宋" w:cs="仿宋"/>
                <w:sz w:val="24"/>
                <w:szCs w:val="24"/>
              </w:rPr>
            </w:pPr>
            <w:r>
              <w:rPr>
                <w:rFonts w:hint="eastAsia" w:ascii="仿宋" w:hAnsi="仿宋" w:eastAsia="仿宋" w:cs="仿宋"/>
                <w:sz w:val="24"/>
                <w:szCs w:val="24"/>
              </w:rPr>
              <w:t>（5）获得全国商品售后服务评价委员会颁布的“全国售后服务行业十佳单位”证书（0-2分）</w:t>
            </w:r>
          </w:p>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sz w:val="24"/>
                <w:szCs w:val="24"/>
              </w:rPr>
              <w:t>（6）投标人获得中国质量检验协会颁布的“全国产品和服务质量诚信示范企业”证书（0-2分）</w:t>
            </w:r>
          </w:p>
        </w:tc>
      </w:tr>
    </w:tbl>
    <w:p>
      <w:pPr>
        <w:pStyle w:val="3"/>
        <w:rPr>
          <w:rFonts w:hint="eastAsia" w:ascii="仿宋" w:hAnsi="仿宋" w:eastAsia="仿宋" w:cs="仿宋"/>
          <w:sz w:val="24"/>
          <w:szCs w:val="24"/>
          <w:lang w:val="en-US" w:eastAsia="zh-CN"/>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sz w:val="24"/>
          <w:szCs w:val="24"/>
          <w:lang w:eastAsia="zh-CN"/>
        </w:rPr>
        <w:t>按得分从高到低</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rPr>
          <w:rFonts w:ascii="仿宋" w:hAnsi="仿宋" w:eastAsia="仿宋" w:cs="黑体"/>
          <w:b/>
          <w:bCs/>
          <w:sz w:val="24"/>
          <w:szCs w:val="24"/>
          <w:lang w:val="zh-CN"/>
        </w:rPr>
      </w:pPr>
    </w:p>
    <w:p>
      <w:pPr>
        <w:pStyle w:val="2"/>
        <w:rPr>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仿宋" w:hAnsi="仿宋" w:eastAsia="仿宋" w:cs="黑体"/>
          <w:b/>
          <w:bCs/>
          <w:sz w:val="32"/>
          <w:szCs w:val="32"/>
          <w:lang w:val="zh-CN"/>
        </w:rPr>
      </w:pPr>
      <w:r>
        <w:rPr>
          <w:rFonts w:ascii="仿宋" w:hAnsi="仿宋" w:eastAsia="仿宋" w:cs="黑体"/>
          <w:b/>
          <w:bCs/>
          <w:sz w:val="24"/>
          <w:szCs w:val="24"/>
          <w:lang w:val="zh-CN"/>
        </w:rPr>
        <w:br w:type="page"/>
      </w:r>
      <w:r>
        <w:rPr>
          <w:rFonts w:hint="eastAsia" w:ascii="仿宋" w:hAnsi="仿宋" w:eastAsia="仿宋" w:cs="黑体"/>
          <w:b/>
          <w:bCs/>
          <w:sz w:val="32"/>
          <w:szCs w:val="32"/>
          <w:lang w:val="zh-CN"/>
        </w:rPr>
        <w:t>第八部分</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合同书</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9"/>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bookmarkStart w:id="1" w:name="_GoBack"/>
      <w:bookmarkEnd w:id="1"/>
    </w:p>
    <w:p>
      <w:pPr>
        <w:pStyle w:val="2"/>
        <w:rPr>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headerReference r:id="rId7" w:type="default"/>
      <w:footerReference r:id="rId8" w:type="default"/>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rinda">
    <w:panose1 w:val="020B0502040204020203"/>
    <w:charset w:val="00"/>
    <w:family w:val="swiss"/>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6E34"/>
    <w:multiLevelType w:val="singleLevel"/>
    <w:tmpl w:val="048F6E34"/>
    <w:lvl w:ilvl="0" w:tentative="0">
      <w:start w:val="1"/>
      <w:numFmt w:val="chineseCounting"/>
      <w:suff w:val="nothing"/>
      <w:lvlText w:val="%1、"/>
      <w:lvlJc w:val="left"/>
      <w:rPr>
        <w:rFonts w:hint="eastAsia"/>
      </w:r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0F32215B"/>
    <w:multiLevelType w:val="multilevel"/>
    <w:tmpl w:val="0F32215B"/>
    <w:lvl w:ilvl="0" w:tentative="0">
      <w:start w:val="1"/>
      <w:numFmt w:val="bullet"/>
      <w:lvlText w:val="-"/>
      <w:lvlJc w:val="left"/>
      <w:pPr>
        <w:ind w:left="986" w:hanging="420"/>
      </w:pPr>
      <w:rPr>
        <w:rFonts w:hint="default" w:ascii="Vrinda" w:hAnsi="Vrinda" w:cs="Vrinda"/>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3">
    <w:nsid w:val="26827E2F"/>
    <w:multiLevelType w:val="multilevel"/>
    <w:tmpl w:val="26827E2F"/>
    <w:lvl w:ilvl="0" w:tentative="0">
      <w:start w:val="19"/>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27AEF7"/>
    <w:multiLevelType w:val="singleLevel"/>
    <w:tmpl w:val="5A27AEF7"/>
    <w:lvl w:ilvl="0" w:tentative="0">
      <w:start w:val="2"/>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5"/>
  </w:num>
  <w:num w:numId="2">
    <w:abstractNumId w:val="8"/>
  </w:num>
  <w:num w:numId="3">
    <w:abstractNumId w:val="7"/>
  </w:num>
  <w:num w:numId="4">
    <w:abstractNumId w:val="4"/>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B242D7"/>
    <w:rsid w:val="03CB53C9"/>
    <w:rsid w:val="03D744EF"/>
    <w:rsid w:val="04252D6C"/>
    <w:rsid w:val="04524D74"/>
    <w:rsid w:val="048C72C6"/>
    <w:rsid w:val="054A14EB"/>
    <w:rsid w:val="055236E0"/>
    <w:rsid w:val="056568A4"/>
    <w:rsid w:val="05D7384A"/>
    <w:rsid w:val="05F47DA2"/>
    <w:rsid w:val="05F65379"/>
    <w:rsid w:val="05FF5666"/>
    <w:rsid w:val="0603119A"/>
    <w:rsid w:val="067E4800"/>
    <w:rsid w:val="06902805"/>
    <w:rsid w:val="06B75E86"/>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BAE3F8B"/>
    <w:rsid w:val="0C053D42"/>
    <w:rsid w:val="0C232636"/>
    <w:rsid w:val="0C3957DB"/>
    <w:rsid w:val="0CBA4EC9"/>
    <w:rsid w:val="0CE25187"/>
    <w:rsid w:val="0D2824A3"/>
    <w:rsid w:val="0D6A71DF"/>
    <w:rsid w:val="0D832C84"/>
    <w:rsid w:val="0DD45553"/>
    <w:rsid w:val="0E1F7A52"/>
    <w:rsid w:val="0F0A792C"/>
    <w:rsid w:val="0F0D73B6"/>
    <w:rsid w:val="0F2C7289"/>
    <w:rsid w:val="0F8A783D"/>
    <w:rsid w:val="0FBA420F"/>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5B03F9E"/>
    <w:rsid w:val="162949D9"/>
    <w:rsid w:val="166F3B31"/>
    <w:rsid w:val="16BB3F9C"/>
    <w:rsid w:val="17093EDF"/>
    <w:rsid w:val="17411E12"/>
    <w:rsid w:val="175B5BC6"/>
    <w:rsid w:val="17D43D54"/>
    <w:rsid w:val="17E545EE"/>
    <w:rsid w:val="183733AB"/>
    <w:rsid w:val="183D0ACD"/>
    <w:rsid w:val="186A4EF9"/>
    <w:rsid w:val="18AD21CB"/>
    <w:rsid w:val="19491C75"/>
    <w:rsid w:val="19786E3B"/>
    <w:rsid w:val="199F4E74"/>
    <w:rsid w:val="1A107C46"/>
    <w:rsid w:val="1A4540A3"/>
    <w:rsid w:val="1A717838"/>
    <w:rsid w:val="1B1630FE"/>
    <w:rsid w:val="1BA84F7D"/>
    <w:rsid w:val="1BFB31C4"/>
    <w:rsid w:val="1CC57EEC"/>
    <w:rsid w:val="1D1E07AB"/>
    <w:rsid w:val="1D285414"/>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4E2DFF"/>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7928D3"/>
    <w:rsid w:val="2D873A70"/>
    <w:rsid w:val="2DB610BD"/>
    <w:rsid w:val="2DFB43CE"/>
    <w:rsid w:val="2E5606EB"/>
    <w:rsid w:val="2E9D5FE0"/>
    <w:rsid w:val="2F232D02"/>
    <w:rsid w:val="2F2A34A3"/>
    <w:rsid w:val="2F38041E"/>
    <w:rsid w:val="2F433D86"/>
    <w:rsid w:val="2F9A5364"/>
    <w:rsid w:val="2FEB36BE"/>
    <w:rsid w:val="30006487"/>
    <w:rsid w:val="308E7A65"/>
    <w:rsid w:val="30AF47F4"/>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283908"/>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55979"/>
    <w:rsid w:val="44A75B9D"/>
    <w:rsid w:val="44CC251D"/>
    <w:rsid w:val="44ED61E4"/>
    <w:rsid w:val="44F765DB"/>
    <w:rsid w:val="452D2CD2"/>
    <w:rsid w:val="45570A50"/>
    <w:rsid w:val="457A6EF9"/>
    <w:rsid w:val="4612797F"/>
    <w:rsid w:val="46D375C4"/>
    <w:rsid w:val="46FF7143"/>
    <w:rsid w:val="4763462D"/>
    <w:rsid w:val="479A1D63"/>
    <w:rsid w:val="479E2BBB"/>
    <w:rsid w:val="485B029F"/>
    <w:rsid w:val="48AF4A09"/>
    <w:rsid w:val="49B4550E"/>
    <w:rsid w:val="49F50EB5"/>
    <w:rsid w:val="4AB76254"/>
    <w:rsid w:val="4AC27F67"/>
    <w:rsid w:val="4AF72F43"/>
    <w:rsid w:val="4AFC078A"/>
    <w:rsid w:val="4AFE130C"/>
    <w:rsid w:val="4B06415A"/>
    <w:rsid w:val="4B307A80"/>
    <w:rsid w:val="4BBD5B2C"/>
    <w:rsid w:val="4BF36702"/>
    <w:rsid w:val="4D72225E"/>
    <w:rsid w:val="4E952A7D"/>
    <w:rsid w:val="4F071606"/>
    <w:rsid w:val="4F403B1D"/>
    <w:rsid w:val="4F7F31B2"/>
    <w:rsid w:val="4F827ABA"/>
    <w:rsid w:val="4FA93F1C"/>
    <w:rsid w:val="4FCB730B"/>
    <w:rsid w:val="502B2E09"/>
    <w:rsid w:val="504A74E2"/>
    <w:rsid w:val="508D0A31"/>
    <w:rsid w:val="510C3D06"/>
    <w:rsid w:val="51937900"/>
    <w:rsid w:val="51ED5B69"/>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B900E1"/>
    <w:rsid w:val="58CE0AFE"/>
    <w:rsid w:val="58E11F40"/>
    <w:rsid w:val="58EA7FCE"/>
    <w:rsid w:val="593B360F"/>
    <w:rsid w:val="597E7640"/>
    <w:rsid w:val="59C42C00"/>
    <w:rsid w:val="5A4E53D8"/>
    <w:rsid w:val="5A8975CA"/>
    <w:rsid w:val="5A8D6038"/>
    <w:rsid w:val="5A937418"/>
    <w:rsid w:val="5AFB2867"/>
    <w:rsid w:val="5B176006"/>
    <w:rsid w:val="5B813A9C"/>
    <w:rsid w:val="5B8B5722"/>
    <w:rsid w:val="5C1D3EC2"/>
    <w:rsid w:val="5C2A1394"/>
    <w:rsid w:val="5C6F34F3"/>
    <w:rsid w:val="5CDE1B94"/>
    <w:rsid w:val="5D2B1C2D"/>
    <w:rsid w:val="5DD07849"/>
    <w:rsid w:val="5DDE705B"/>
    <w:rsid w:val="5E6E4ACB"/>
    <w:rsid w:val="5EA2252E"/>
    <w:rsid w:val="5F092277"/>
    <w:rsid w:val="5F4B6391"/>
    <w:rsid w:val="5F8471B4"/>
    <w:rsid w:val="5FCE7ED4"/>
    <w:rsid w:val="5FEB58A2"/>
    <w:rsid w:val="601B36B0"/>
    <w:rsid w:val="60A449E5"/>
    <w:rsid w:val="612A61E3"/>
    <w:rsid w:val="61B82A98"/>
    <w:rsid w:val="61F84732"/>
    <w:rsid w:val="62352BFE"/>
    <w:rsid w:val="62530EF5"/>
    <w:rsid w:val="62AE5738"/>
    <w:rsid w:val="63097C59"/>
    <w:rsid w:val="634F7C15"/>
    <w:rsid w:val="63736A17"/>
    <w:rsid w:val="63937116"/>
    <w:rsid w:val="63C05B9E"/>
    <w:rsid w:val="64900D74"/>
    <w:rsid w:val="651A4BCA"/>
    <w:rsid w:val="65D24C12"/>
    <w:rsid w:val="65F1505D"/>
    <w:rsid w:val="668F2678"/>
    <w:rsid w:val="66BA2132"/>
    <w:rsid w:val="6701680A"/>
    <w:rsid w:val="67547205"/>
    <w:rsid w:val="676E5060"/>
    <w:rsid w:val="67FC0C69"/>
    <w:rsid w:val="69D62811"/>
    <w:rsid w:val="6A690960"/>
    <w:rsid w:val="6AB109E9"/>
    <w:rsid w:val="6AF86FE1"/>
    <w:rsid w:val="6AFE3DEE"/>
    <w:rsid w:val="6B2C748D"/>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2777766"/>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8EF7686"/>
    <w:rsid w:val="79640B02"/>
    <w:rsid w:val="796E4180"/>
    <w:rsid w:val="79874C47"/>
    <w:rsid w:val="7A65229E"/>
    <w:rsid w:val="7A731DE7"/>
    <w:rsid w:val="7A957D92"/>
    <w:rsid w:val="7AE73174"/>
    <w:rsid w:val="7B1234F7"/>
    <w:rsid w:val="7B5007DD"/>
    <w:rsid w:val="7BD60299"/>
    <w:rsid w:val="7BDD1DA1"/>
    <w:rsid w:val="7BE5680C"/>
    <w:rsid w:val="7C04165D"/>
    <w:rsid w:val="7C09693B"/>
    <w:rsid w:val="7C504BF4"/>
    <w:rsid w:val="7C6B7787"/>
    <w:rsid w:val="7C6F62EE"/>
    <w:rsid w:val="7C9F5AAF"/>
    <w:rsid w:val="7CCC29A0"/>
    <w:rsid w:val="7CF42D7A"/>
    <w:rsid w:val="7D00267B"/>
    <w:rsid w:val="7D171AFF"/>
    <w:rsid w:val="7D4359D2"/>
    <w:rsid w:val="7D9A0C78"/>
    <w:rsid w:val="7DFE466B"/>
    <w:rsid w:val="7E430C57"/>
    <w:rsid w:val="7E84244F"/>
    <w:rsid w:val="7F0F3D7E"/>
    <w:rsid w:val="7F17791C"/>
    <w:rsid w:val="7F3B2004"/>
    <w:rsid w:val="7FD023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4"/>
    <w:qFormat/>
    <w:uiPriority w:val="0"/>
    <w:rPr>
      <w:b/>
      <w:bCs/>
      <w:kern w:val="44"/>
      <w:sz w:val="44"/>
      <w:szCs w:val="44"/>
    </w:rPr>
  </w:style>
  <w:style w:type="character" w:customStyle="1" w:styleId="45">
    <w:name w:val="标题 3字符"/>
    <w:basedOn w:val="30"/>
    <w:link w:val="6"/>
    <w:qFormat/>
    <w:uiPriority w:val="0"/>
    <w:rPr>
      <w:b/>
      <w:bCs/>
      <w:sz w:val="32"/>
      <w:szCs w:val="32"/>
    </w:rPr>
  </w:style>
  <w:style w:type="character" w:customStyle="1" w:styleId="46">
    <w:name w:val="标题 4字符"/>
    <w:basedOn w:val="30"/>
    <w:link w:val="7"/>
    <w:qFormat/>
    <w:uiPriority w:val="0"/>
    <w:rPr>
      <w:rFonts w:eastAsia="新宋体"/>
      <w:sz w:val="30"/>
      <w:szCs w:val="21"/>
    </w:rPr>
  </w:style>
  <w:style w:type="character" w:customStyle="1" w:styleId="47">
    <w:name w:val="标题 5字符"/>
    <w:basedOn w:val="30"/>
    <w:link w:val="8"/>
    <w:qFormat/>
    <w:uiPriority w:val="0"/>
    <w:rPr>
      <w:b/>
      <w:bCs/>
      <w:sz w:val="28"/>
      <w:szCs w:val="28"/>
    </w:rPr>
  </w:style>
  <w:style w:type="character" w:customStyle="1" w:styleId="48">
    <w:name w:val="标题 6字符"/>
    <w:basedOn w:val="30"/>
    <w:link w:val="9"/>
    <w:qFormat/>
    <w:uiPriority w:val="0"/>
    <w:rPr>
      <w:b/>
      <w:sz w:val="44"/>
    </w:rPr>
  </w:style>
  <w:style w:type="character" w:customStyle="1" w:styleId="49">
    <w:name w:val="标题 7字符"/>
    <w:basedOn w:val="30"/>
    <w:link w:val="11"/>
    <w:qFormat/>
    <w:uiPriority w:val="0"/>
    <w:rPr>
      <w:b/>
      <w:bCs/>
      <w:sz w:val="24"/>
      <w:szCs w:val="24"/>
    </w:rPr>
  </w:style>
  <w:style w:type="character" w:customStyle="1" w:styleId="50">
    <w:name w:val="标题 8字符"/>
    <w:basedOn w:val="30"/>
    <w:link w:val="12"/>
    <w:qFormat/>
    <w:uiPriority w:val="0"/>
    <w:rPr>
      <w:rFonts w:ascii="Arial" w:hAnsi="Arial" w:eastAsia="黑体"/>
      <w:sz w:val="24"/>
      <w:szCs w:val="24"/>
    </w:rPr>
  </w:style>
  <w:style w:type="character" w:customStyle="1" w:styleId="51">
    <w:name w:val="标题 9字符"/>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5"/>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4"/>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2"/>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10</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2018-07-27T02:42:00Z</cp:lastPrinted>
  <dcterms:modified xsi:type="dcterms:W3CDTF">2018-09-30T05:13:56Z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