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ind w:firstLine="883" w:firstLineChars="200"/>
        <w:rPr>
          <w:rFonts w:ascii="微软简隶书" w:eastAsia="微软简隶书"/>
          <w:color w:val="000000"/>
        </w:rPr>
      </w:pPr>
      <w:r>
        <w:rPr>
          <w:rFonts w:hint="eastAsia" w:asciiTheme="majorEastAsia" w:hAnsiTheme="majorEastAsia" w:eastAsiaTheme="majorEastAsia" w:cstheme="majorEastAsia"/>
          <w:b/>
          <w:bCs/>
          <w:color w:val="000000"/>
          <w:sz w:val="44"/>
          <w:szCs w:val="44"/>
        </w:rPr>
        <w:t>长葛市老城镇等三家敬老院招运营方项目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80"/>
          <w:szCs w:val="8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
          <w:color w:val="000000"/>
          <w:w w:val="90"/>
          <w:sz w:val="80"/>
          <w:szCs w:val="80"/>
        </w:rPr>
        <w:t>招标文件</w:t>
      </w:r>
    </w:p>
    <w:p>
      <w:pPr>
        <w:rPr>
          <w:rFonts w:ascii="微软简隶书" w:eastAsia="微软简隶书"/>
          <w:color w:val="000000"/>
        </w:rPr>
      </w:pPr>
    </w:p>
    <w:p>
      <w:pPr>
        <w:ind w:firstLine="2168" w:firstLineChars="600"/>
        <w:rPr>
          <w:rFonts w:asciiTheme="majorEastAsia" w:hAnsiTheme="majorEastAsia" w:eastAsiaTheme="majorEastAsia" w:cstheme="majorEastAsia"/>
          <w:b/>
          <w:bCs/>
          <w:sz w:val="36"/>
          <w:szCs w:val="36"/>
        </w:rPr>
      </w:pPr>
    </w:p>
    <w:p>
      <w:pPr>
        <w:ind w:firstLine="2168" w:firstLineChars="6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项目编号：长招采公字【2018】43号</w:t>
      </w:r>
    </w:p>
    <w:p>
      <w:pPr>
        <w:ind w:firstLine="2168" w:firstLineChars="600"/>
        <w:rPr>
          <w:rFonts w:asciiTheme="majorEastAsia" w:hAnsiTheme="majorEastAsia" w:eastAsiaTheme="majorEastAsia" w:cstheme="majorEastAsia"/>
          <w:b/>
          <w:bCs/>
          <w:color w:val="000000"/>
          <w:sz w:val="36"/>
          <w:szCs w:val="36"/>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numPr>
          <w:ilvl w:val="0"/>
          <w:numId w:val="0"/>
        </w:numPr>
        <w:ind w:left="288"/>
      </w:pPr>
    </w:p>
    <w:p>
      <w:pPr>
        <w:rPr>
          <w:rFonts w:ascii="微软简隶书" w:eastAsia="微软简隶书"/>
          <w:color w:val="000000"/>
        </w:rPr>
      </w:pP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招标人：长葛市民政局</w:t>
      </w:r>
    </w:p>
    <w:p>
      <w:pPr>
        <w:ind w:firstLine="1084" w:firstLineChars="300"/>
        <w:rPr>
          <w:rFonts w:asciiTheme="majorEastAsia" w:hAnsiTheme="majorEastAsia" w:eastAsiaTheme="majorEastAsia" w:cstheme="majorEastAsia"/>
          <w:b/>
          <w:bCs/>
          <w:color w:val="000000"/>
          <w:sz w:val="36"/>
          <w:szCs w:val="36"/>
        </w:rPr>
      </w:pP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代理机构：许昌建设工程项目管理有限公司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二〇一八年九月</w:t>
      </w:r>
    </w:p>
    <w:p>
      <w:pPr>
        <w:autoSpaceDE w:val="0"/>
        <w:autoSpaceDN w:val="0"/>
        <w:adjustRightInd w:val="0"/>
        <w:spacing w:line="700" w:lineRule="exact"/>
        <w:ind w:firstLine="551"/>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招标公告</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招标项目基本内容及要求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第四章供应商</w:t>
      </w:r>
      <w:r>
        <w:rPr>
          <w:rFonts w:hint="eastAsia" w:asciiTheme="majorEastAsia" w:hAnsiTheme="majorEastAsia" w:eastAsiaTheme="majorEastAsia" w:cstheme="majorEastAsia"/>
          <w:b/>
          <w:kern w:val="0"/>
          <w:sz w:val="32"/>
          <w:szCs w:val="32"/>
        </w:rPr>
        <w:t>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rPr>
          <w:rFonts w:ascii="宋体" w:hAnsi="宋体" w:cs="宋体"/>
          <w:b/>
          <w:color w:val="000000"/>
          <w:sz w:val="36"/>
          <w:szCs w:val="36"/>
          <w:shd w:val="clear" w:color="auto" w:fill="FFFFFF"/>
        </w:rPr>
      </w:pPr>
    </w:p>
    <w:p>
      <w:pPr>
        <w:jc w:val="center"/>
        <w:rPr>
          <w:rFonts w:ascii="仿宋" w:hAnsi="仿宋" w:eastAsia="仿宋"/>
          <w:sz w:val="24"/>
          <w:szCs w:val="24"/>
        </w:rPr>
      </w:pPr>
      <w:r>
        <w:rPr>
          <w:rFonts w:hint="eastAsia" w:ascii="方正小标宋简体" w:eastAsia="方正小标宋简体"/>
          <w:sz w:val="24"/>
          <w:szCs w:val="24"/>
        </w:rPr>
        <w:t>供应商失信行为惩戒告知</w:t>
      </w:r>
    </w:p>
    <w:p>
      <w:pPr>
        <w:ind w:firstLine="480" w:firstLineChars="200"/>
        <w:rPr>
          <w:rFonts w:ascii="仿宋" w:hAnsi="仿宋" w:eastAsia="仿宋"/>
          <w:sz w:val="24"/>
          <w:szCs w:val="24"/>
        </w:rPr>
      </w:pPr>
      <w:r>
        <w:rPr>
          <w:rFonts w:hint="eastAsia" w:ascii="仿宋" w:hAnsi="仿宋" w:eastAsia="仿宋"/>
          <w:sz w:val="24"/>
          <w:szCs w:val="24"/>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480" w:firstLineChars="200"/>
        <w:rPr>
          <w:rFonts w:ascii="黑体" w:hAnsi="黑体" w:eastAsia="黑体"/>
          <w:sz w:val="24"/>
          <w:szCs w:val="24"/>
        </w:rPr>
      </w:pPr>
      <w:r>
        <w:rPr>
          <w:rFonts w:hint="eastAsia" w:ascii="黑体" w:hAnsi="黑体" w:eastAsia="黑体"/>
          <w:sz w:val="24"/>
          <w:szCs w:val="24"/>
        </w:rPr>
        <w:t>一、供应商（供应商）的质疑投诉活动经调查有下列情形之一的，将实施“一案双查”，限制其一定期限内参与区域内公共资源交易活动，并在全国公共资源交易平台网上公示。</w:t>
      </w:r>
    </w:p>
    <w:p>
      <w:pPr>
        <w:ind w:firstLine="480" w:firstLineChars="200"/>
        <w:rPr>
          <w:rFonts w:ascii="仿宋" w:hAnsi="仿宋" w:eastAsia="仿宋"/>
          <w:sz w:val="24"/>
          <w:szCs w:val="24"/>
        </w:rPr>
      </w:pPr>
      <w:r>
        <w:rPr>
          <w:rFonts w:hint="eastAsia" w:ascii="仿宋" w:hAnsi="仿宋" w:eastAsia="仿宋"/>
          <w:sz w:val="24"/>
          <w:szCs w:val="24"/>
        </w:rPr>
        <w:t>1. 不符合投诉（举报）受理条件，被告知后仍进行重复投诉（举报），或多头投诉（举报）的。</w:t>
      </w:r>
    </w:p>
    <w:p>
      <w:pPr>
        <w:ind w:firstLine="480" w:firstLineChars="200"/>
        <w:rPr>
          <w:rFonts w:ascii="仿宋" w:hAnsi="仿宋" w:eastAsia="仿宋"/>
          <w:sz w:val="24"/>
          <w:szCs w:val="24"/>
        </w:rPr>
      </w:pPr>
      <w:r>
        <w:rPr>
          <w:rFonts w:hint="eastAsia" w:ascii="仿宋" w:hAnsi="仿宋" w:eastAsia="仿宋"/>
          <w:sz w:val="24"/>
          <w:szCs w:val="24"/>
        </w:rPr>
        <w:t>2. 行政监督部门受理投诉（举报）处理期间，投诉（举报）人仍就同一内容、事项向其他部门另行投诉（举报）的；同一投诉（举报）人以不同名义多次、重复投诉（举报）的。</w:t>
      </w:r>
    </w:p>
    <w:p>
      <w:pPr>
        <w:ind w:firstLine="480" w:firstLineChars="200"/>
        <w:rPr>
          <w:rFonts w:ascii="仿宋" w:hAnsi="仿宋" w:eastAsia="仿宋"/>
          <w:sz w:val="24"/>
          <w:szCs w:val="24"/>
        </w:rPr>
      </w:pPr>
      <w:r>
        <w:rPr>
          <w:rFonts w:hint="eastAsia" w:ascii="仿宋" w:hAnsi="仿宋" w:eastAsia="仿宋"/>
          <w:sz w:val="24"/>
          <w:szCs w:val="24"/>
        </w:rPr>
        <w:t>3.其他虚假恶意投诉（举报）情况。</w:t>
      </w:r>
    </w:p>
    <w:p>
      <w:pPr>
        <w:ind w:firstLine="480" w:firstLineChars="200"/>
        <w:rPr>
          <w:rFonts w:ascii="黑体" w:hAnsi="黑体" w:eastAsia="黑体"/>
          <w:sz w:val="24"/>
          <w:szCs w:val="24"/>
        </w:rPr>
      </w:pPr>
      <w:r>
        <w:rPr>
          <w:rFonts w:hint="eastAsia" w:ascii="黑体" w:hAnsi="黑体" w:eastAsia="黑体"/>
          <w:sz w:val="24"/>
          <w:szCs w:val="24"/>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480" w:firstLineChars="200"/>
        <w:rPr>
          <w:rFonts w:ascii="仿宋" w:hAnsi="仿宋" w:eastAsia="仿宋"/>
          <w:sz w:val="24"/>
          <w:szCs w:val="24"/>
        </w:rPr>
      </w:pPr>
      <w:r>
        <w:rPr>
          <w:rFonts w:hint="eastAsia" w:ascii="黑体" w:hAnsi="黑体" w:eastAsia="黑体"/>
          <w:sz w:val="24"/>
          <w:szCs w:val="24"/>
        </w:rPr>
        <w:t>三、供应商（供应商）及其从业人员的不良行为记录期限一般为6—24个月。</w:t>
      </w:r>
    </w:p>
    <w:p>
      <w:pPr>
        <w:ind w:firstLine="482" w:firstLineChars="200"/>
        <w:rPr>
          <w:rFonts w:ascii="仿宋" w:hAnsi="仿宋" w:eastAsia="仿宋"/>
          <w:b/>
          <w:bCs/>
          <w:sz w:val="24"/>
          <w:szCs w:val="24"/>
        </w:rPr>
      </w:pPr>
      <w:r>
        <w:rPr>
          <w:rFonts w:hint="eastAsia" w:ascii="仿宋" w:hAnsi="仿宋" w:eastAsia="仿宋"/>
          <w:b/>
          <w:bCs/>
          <w:sz w:val="24"/>
          <w:szCs w:val="24"/>
        </w:rPr>
        <w:t>（一）存在下列行为之一的，记录期限为6个月：</w:t>
      </w:r>
    </w:p>
    <w:p>
      <w:pPr>
        <w:ind w:firstLine="480" w:firstLineChars="200"/>
        <w:rPr>
          <w:rFonts w:ascii="仿宋" w:hAnsi="仿宋" w:eastAsia="仿宋"/>
          <w:sz w:val="24"/>
          <w:szCs w:val="24"/>
        </w:rPr>
      </w:pPr>
      <w:r>
        <w:rPr>
          <w:rFonts w:hint="eastAsia" w:ascii="仿宋" w:hAnsi="仿宋" w:eastAsia="仿宋"/>
          <w:sz w:val="24"/>
          <w:szCs w:val="24"/>
        </w:rPr>
        <w:t>1.采用不正当手段干扰交易活动正常进行的；</w:t>
      </w:r>
    </w:p>
    <w:p>
      <w:pPr>
        <w:ind w:firstLine="480" w:firstLineChars="200"/>
        <w:rPr>
          <w:rFonts w:ascii="仿宋" w:hAnsi="仿宋" w:eastAsia="仿宋"/>
          <w:sz w:val="24"/>
          <w:szCs w:val="24"/>
        </w:rPr>
      </w:pPr>
      <w:r>
        <w:rPr>
          <w:rFonts w:hint="eastAsia" w:ascii="仿宋" w:hAnsi="仿宋" w:eastAsia="仿宋"/>
          <w:sz w:val="24"/>
          <w:szCs w:val="24"/>
        </w:rPr>
        <w:t>2.不服从现场工作人员管理，扰乱开评标秩序的；</w:t>
      </w:r>
    </w:p>
    <w:p>
      <w:pPr>
        <w:ind w:firstLine="480" w:firstLineChars="200"/>
        <w:rPr>
          <w:rFonts w:ascii="仿宋" w:hAnsi="仿宋" w:eastAsia="仿宋"/>
          <w:sz w:val="24"/>
          <w:szCs w:val="24"/>
        </w:rPr>
      </w:pPr>
      <w:r>
        <w:rPr>
          <w:rFonts w:hint="eastAsia" w:ascii="仿宋" w:hAnsi="仿宋" w:eastAsia="仿宋"/>
          <w:sz w:val="24"/>
          <w:szCs w:val="24"/>
        </w:rPr>
        <w:t>3.在投标截止时间后撤回投标文件的；</w:t>
      </w:r>
    </w:p>
    <w:p>
      <w:pPr>
        <w:ind w:firstLine="480" w:firstLineChars="200"/>
        <w:rPr>
          <w:rFonts w:ascii="仿宋" w:hAnsi="仿宋" w:eastAsia="仿宋"/>
          <w:sz w:val="24"/>
          <w:szCs w:val="24"/>
        </w:rPr>
      </w:pPr>
      <w:r>
        <w:rPr>
          <w:rFonts w:hint="eastAsia" w:ascii="仿宋" w:hAnsi="仿宋" w:eastAsia="仿宋"/>
          <w:sz w:val="24"/>
          <w:szCs w:val="24"/>
        </w:rPr>
        <w:t>4.质疑（异议）、投诉提供的证据证明系非法取得的。</w:t>
      </w:r>
    </w:p>
    <w:p>
      <w:pPr>
        <w:ind w:firstLine="480" w:firstLineChars="200"/>
        <w:rPr>
          <w:rFonts w:ascii="仿宋" w:hAnsi="仿宋" w:eastAsia="仿宋"/>
          <w:sz w:val="24"/>
          <w:szCs w:val="24"/>
        </w:rPr>
      </w:pPr>
      <w:r>
        <w:rPr>
          <w:rFonts w:hint="eastAsia" w:ascii="仿宋" w:hAnsi="仿宋" w:eastAsia="仿宋"/>
          <w:sz w:val="24"/>
          <w:szCs w:val="24"/>
        </w:rPr>
        <w:t>5.一年内供应商质疑（异议）后无故撤销质疑（异议）2次（含2次）以上的；</w:t>
      </w:r>
    </w:p>
    <w:p>
      <w:pPr>
        <w:ind w:firstLine="482" w:firstLineChars="200"/>
        <w:rPr>
          <w:rFonts w:ascii="仿宋" w:hAnsi="仿宋" w:eastAsia="仿宋"/>
          <w:b/>
          <w:bCs/>
          <w:sz w:val="24"/>
          <w:szCs w:val="24"/>
        </w:rPr>
      </w:pPr>
      <w:r>
        <w:rPr>
          <w:rFonts w:hint="eastAsia" w:ascii="仿宋" w:hAnsi="仿宋" w:eastAsia="仿宋"/>
          <w:b/>
          <w:bCs/>
          <w:sz w:val="24"/>
          <w:szCs w:val="24"/>
        </w:rPr>
        <w:t>（二）存在下列行为之一的，记录期限为12个月：</w:t>
      </w:r>
    </w:p>
    <w:p>
      <w:pPr>
        <w:ind w:firstLine="480" w:firstLineChars="200"/>
        <w:rPr>
          <w:rFonts w:ascii="仿宋" w:hAnsi="仿宋" w:eastAsia="仿宋"/>
          <w:sz w:val="24"/>
          <w:szCs w:val="24"/>
        </w:rPr>
      </w:pPr>
      <w:r>
        <w:rPr>
          <w:rFonts w:hint="eastAsia" w:ascii="仿宋" w:hAnsi="仿宋" w:eastAsia="仿宋"/>
          <w:sz w:val="24"/>
          <w:szCs w:val="24"/>
        </w:rPr>
        <w:t>1.捏造、歪曲事实或提供虚假不实的证据恶意投诉，影响交易活动正常进行的；</w:t>
      </w:r>
    </w:p>
    <w:p>
      <w:pPr>
        <w:ind w:firstLine="480" w:firstLineChars="200"/>
        <w:rPr>
          <w:rFonts w:ascii="仿宋" w:hAnsi="仿宋" w:eastAsia="仿宋"/>
          <w:sz w:val="24"/>
          <w:szCs w:val="24"/>
        </w:rPr>
      </w:pPr>
      <w:r>
        <w:rPr>
          <w:rFonts w:hint="eastAsia" w:ascii="仿宋" w:hAnsi="仿宋" w:eastAsia="仿宋"/>
          <w:sz w:val="24"/>
          <w:szCs w:val="24"/>
        </w:rPr>
        <w:t>2.质疑（异议）投诉（举报）双方当事人无正当理由拒不配合调查处理或不参加质证的；</w:t>
      </w:r>
    </w:p>
    <w:p>
      <w:pPr>
        <w:ind w:firstLine="480" w:firstLineChars="200"/>
        <w:rPr>
          <w:rFonts w:ascii="仿宋" w:hAnsi="仿宋" w:eastAsia="仿宋"/>
          <w:sz w:val="24"/>
          <w:szCs w:val="24"/>
        </w:rPr>
      </w:pPr>
      <w:r>
        <w:rPr>
          <w:rFonts w:hint="eastAsia" w:ascii="仿宋" w:hAnsi="仿宋" w:eastAsia="仿宋"/>
          <w:sz w:val="24"/>
          <w:szCs w:val="24"/>
        </w:rPr>
        <w:t>3.未提供有效证明材料支持其主张，经行政监督部门2次及以上书面答复，仍缠诉或多方投诉的；</w:t>
      </w:r>
    </w:p>
    <w:p>
      <w:pPr>
        <w:ind w:firstLine="480" w:firstLineChars="200"/>
        <w:rPr>
          <w:rFonts w:ascii="仿宋" w:hAnsi="仿宋" w:eastAsia="仿宋"/>
          <w:sz w:val="24"/>
          <w:szCs w:val="24"/>
        </w:rPr>
      </w:pPr>
      <w:r>
        <w:rPr>
          <w:rFonts w:hint="eastAsia" w:ascii="仿宋" w:hAnsi="仿宋" w:eastAsia="仿宋"/>
          <w:sz w:val="24"/>
          <w:szCs w:val="24"/>
        </w:rPr>
        <w:t>4.未按交易文件主要内容签订合同的；</w:t>
      </w:r>
    </w:p>
    <w:p>
      <w:pPr>
        <w:ind w:firstLine="480" w:firstLineChars="200"/>
        <w:rPr>
          <w:rFonts w:ascii="仿宋" w:hAnsi="仿宋" w:eastAsia="仿宋"/>
          <w:sz w:val="24"/>
          <w:szCs w:val="24"/>
        </w:rPr>
      </w:pPr>
      <w:r>
        <w:rPr>
          <w:rFonts w:hint="eastAsia" w:ascii="仿宋" w:hAnsi="仿宋" w:eastAsia="仿宋"/>
          <w:sz w:val="24"/>
          <w:szCs w:val="24"/>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482" w:firstLineChars="200"/>
        <w:rPr>
          <w:rFonts w:ascii="仿宋" w:hAnsi="仿宋" w:eastAsia="仿宋"/>
          <w:b/>
          <w:bCs/>
          <w:sz w:val="24"/>
          <w:szCs w:val="24"/>
        </w:rPr>
      </w:pPr>
      <w:r>
        <w:rPr>
          <w:rFonts w:hint="eastAsia" w:ascii="仿宋" w:hAnsi="仿宋" w:eastAsia="仿宋"/>
          <w:b/>
          <w:bCs/>
          <w:sz w:val="24"/>
          <w:szCs w:val="24"/>
        </w:rPr>
        <w:t>（三）存在下列行为之一的，记录期限为18个月：</w:t>
      </w:r>
    </w:p>
    <w:p>
      <w:pPr>
        <w:ind w:firstLine="480" w:firstLineChars="200"/>
        <w:rPr>
          <w:rFonts w:ascii="仿宋" w:hAnsi="仿宋" w:eastAsia="仿宋"/>
          <w:sz w:val="24"/>
          <w:szCs w:val="24"/>
        </w:rPr>
      </w:pPr>
      <w:r>
        <w:rPr>
          <w:rFonts w:hint="eastAsia" w:ascii="仿宋" w:hAnsi="仿宋" w:eastAsia="仿宋"/>
          <w:sz w:val="24"/>
          <w:szCs w:val="24"/>
        </w:rPr>
        <w:t>1.在确定中标人之前就投标价格、投标方案等实质性内容与招标人（招标人）进行合同谈判的；</w:t>
      </w:r>
    </w:p>
    <w:p>
      <w:pPr>
        <w:ind w:firstLine="480" w:firstLineChars="200"/>
        <w:rPr>
          <w:rFonts w:ascii="仿宋" w:hAnsi="仿宋" w:eastAsia="仿宋"/>
          <w:sz w:val="24"/>
          <w:szCs w:val="24"/>
        </w:rPr>
      </w:pPr>
      <w:r>
        <w:rPr>
          <w:rFonts w:hint="eastAsia" w:ascii="仿宋" w:hAnsi="仿宋" w:eastAsia="仿宋"/>
          <w:sz w:val="24"/>
          <w:szCs w:val="24"/>
        </w:rPr>
        <w:t>2.无正当理由放弃中标（成交）资格的；</w:t>
      </w:r>
    </w:p>
    <w:p>
      <w:pPr>
        <w:ind w:firstLine="480" w:firstLineChars="200"/>
        <w:rPr>
          <w:rFonts w:ascii="仿宋" w:hAnsi="仿宋" w:eastAsia="仿宋"/>
          <w:sz w:val="24"/>
          <w:szCs w:val="24"/>
        </w:rPr>
      </w:pPr>
      <w:r>
        <w:rPr>
          <w:rFonts w:hint="eastAsia" w:ascii="仿宋" w:hAnsi="仿宋" w:eastAsia="仿宋"/>
          <w:sz w:val="24"/>
          <w:szCs w:val="24"/>
        </w:rPr>
        <w:t>3.中标（成交）后，不按招标文件规定提交履约保证金的；</w:t>
      </w:r>
    </w:p>
    <w:p>
      <w:pPr>
        <w:ind w:firstLine="480" w:firstLineChars="200"/>
        <w:rPr>
          <w:rFonts w:ascii="仿宋" w:hAnsi="仿宋" w:eastAsia="仿宋"/>
          <w:sz w:val="24"/>
          <w:szCs w:val="24"/>
        </w:rPr>
      </w:pPr>
      <w:r>
        <w:rPr>
          <w:rFonts w:hint="eastAsia" w:ascii="仿宋" w:hAnsi="仿宋" w:eastAsia="仿宋"/>
          <w:sz w:val="24"/>
          <w:szCs w:val="24"/>
        </w:rPr>
        <w:t>4.中标（成交）后，无正当理由未在规定期限内与招标人签订合同的；</w:t>
      </w:r>
    </w:p>
    <w:p>
      <w:pPr>
        <w:ind w:firstLine="480" w:firstLineChars="200"/>
        <w:rPr>
          <w:rFonts w:ascii="仿宋" w:hAnsi="仿宋" w:eastAsia="仿宋"/>
          <w:sz w:val="24"/>
          <w:szCs w:val="24"/>
        </w:rPr>
      </w:pPr>
      <w:r>
        <w:rPr>
          <w:rFonts w:hint="eastAsia" w:ascii="仿宋" w:hAnsi="仿宋" w:eastAsia="仿宋"/>
          <w:sz w:val="24"/>
          <w:szCs w:val="24"/>
        </w:rPr>
        <w:t>5.拒绝接受或者阻挠公管办和行政监督部门依法进行监督检查的。</w:t>
      </w:r>
    </w:p>
    <w:p>
      <w:pPr>
        <w:ind w:firstLine="482" w:firstLineChars="200"/>
        <w:rPr>
          <w:rFonts w:ascii="仿宋" w:hAnsi="仿宋" w:eastAsia="仿宋"/>
          <w:b/>
          <w:bCs/>
          <w:sz w:val="24"/>
          <w:szCs w:val="24"/>
        </w:rPr>
      </w:pPr>
      <w:r>
        <w:rPr>
          <w:rFonts w:hint="eastAsia" w:ascii="仿宋" w:hAnsi="仿宋" w:eastAsia="仿宋"/>
          <w:b/>
          <w:bCs/>
          <w:sz w:val="24"/>
          <w:szCs w:val="24"/>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480" w:firstLineChars="200"/>
        <w:rPr>
          <w:rFonts w:ascii="仿宋" w:hAnsi="仿宋" w:eastAsia="仿宋"/>
          <w:sz w:val="24"/>
          <w:szCs w:val="24"/>
        </w:rPr>
      </w:pPr>
      <w:r>
        <w:rPr>
          <w:rFonts w:hint="eastAsia" w:ascii="仿宋" w:hAnsi="仿宋" w:eastAsia="仿宋"/>
          <w:sz w:val="24"/>
          <w:szCs w:val="24"/>
        </w:rPr>
        <w:t>1.供应商互相串通投标或者与招标人串通投标，供应商以向招标人或者评标委员会成员行贿的手段谋取中标的；</w:t>
      </w:r>
    </w:p>
    <w:p>
      <w:pPr>
        <w:ind w:firstLine="480" w:firstLineChars="200"/>
        <w:rPr>
          <w:rFonts w:ascii="仿宋" w:hAnsi="仿宋" w:eastAsia="仿宋"/>
          <w:sz w:val="24"/>
          <w:szCs w:val="24"/>
        </w:rPr>
      </w:pPr>
      <w:r>
        <w:rPr>
          <w:rFonts w:hint="eastAsia" w:ascii="仿宋" w:hAnsi="仿宋" w:eastAsia="仿宋"/>
          <w:sz w:val="24"/>
          <w:szCs w:val="24"/>
        </w:rPr>
        <w:t>2.投标时提供虚假材料，或以受让、借用、涂改、盗用、伪造资质证书或年检记录、图章、签名，使用虚假身份证件以及其他弄虚作假的方式参与投标的；</w:t>
      </w:r>
    </w:p>
    <w:p>
      <w:pPr>
        <w:ind w:firstLine="480" w:firstLineChars="200"/>
        <w:rPr>
          <w:rFonts w:ascii="仿宋" w:hAnsi="仿宋" w:eastAsia="仿宋"/>
          <w:sz w:val="24"/>
          <w:szCs w:val="24"/>
        </w:rPr>
      </w:pPr>
      <w:r>
        <w:rPr>
          <w:rFonts w:hint="eastAsia" w:ascii="仿宋" w:hAnsi="仿宋" w:eastAsia="仿宋"/>
          <w:sz w:val="24"/>
          <w:szCs w:val="24"/>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480" w:firstLineChars="200"/>
        <w:rPr>
          <w:rFonts w:ascii="仿宋" w:hAnsi="仿宋" w:eastAsia="仿宋"/>
          <w:sz w:val="24"/>
          <w:szCs w:val="24"/>
        </w:rPr>
      </w:pPr>
      <w:r>
        <w:rPr>
          <w:rFonts w:hint="eastAsia" w:ascii="仿宋" w:hAnsi="仿宋" w:eastAsia="仿宋"/>
          <w:sz w:val="24"/>
          <w:szCs w:val="24"/>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480" w:firstLineChars="200"/>
        <w:rPr>
          <w:rFonts w:ascii="仿宋" w:hAnsi="仿宋" w:eastAsia="仿宋"/>
          <w:sz w:val="24"/>
          <w:szCs w:val="24"/>
        </w:rPr>
      </w:pPr>
      <w:r>
        <w:rPr>
          <w:rFonts w:hint="eastAsia" w:ascii="仿宋" w:hAnsi="仿宋" w:eastAsia="仿宋"/>
          <w:sz w:val="24"/>
          <w:szCs w:val="24"/>
        </w:rPr>
        <w:t>5.中标人不按照与招标人订立的合同履行义务，情节严重的；</w:t>
      </w:r>
    </w:p>
    <w:p>
      <w:pPr>
        <w:ind w:firstLine="480" w:firstLineChars="200"/>
        <w:rPr>
          <w:rFonts w:ascii="仿宋" w:hAnsi="仿宋" w:eastAsia="仿宋"/>
          <w:sz w:val="24"/>
          <w:szCs w:val="24"/>
        </w:rPr>
      </w:pPr>
      <w:r>
        <w:rPr>
          <w:rFonts w:hint="eastAsia" w:ascii="仿宋" w:hAnsi="仿宋" w:eastAsia="仿宋"/>
          <w:sz w:val="24"/>
          <w:szCs w:val="24"/>
        </w:rPr>
        <w:t>6.供应商存在提供虚假材料谋取中标、成交，采取不正当手段诋毁、排挤其他供应商，与招标人、其他供应商或者代理机构恶意串通，向招标人、采购代理机构行贿或者提供其他不当利益，在招标采购过程中与招标人进行协商谈判，或拒绝有关部门监督检查或者提供虚假情况等情形的。</w:t>
      </w:r>
    </w:p>
    <w:p>
      <w:pPr>
        <w:ind w:firstLine="480" w:firstLineChars="200"/>
        <w:rPr>
          <w:rFonts w:ascii="仿宋" w:hAnsi="仿宋" w:eastAsia="仿宋"/>
          <w:sz w:val="24"/>
          <w:szCs w:val="24"/>
        </w:rPr>
      </w:pPr>
      <w:r>
        <w:rPr>
          <w:rFonts w:hint="eastAsia" w:ascii="仿宋" w:hAnsi="仿宋" w:eastAsia="仿宋"/>
          <w:sz w:val="24"/>
          <w:szCs w:val="24"/>
        </w:rPr>
        <w:t xml:space="preserve">7.其它违反诚信原则或公共资源交易管理规定影响恶劣的行为。 </w:t>
      </w: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rPr>
          <w:rFonts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p>
    <w:p>
      <w:pPr>
        <w:pStyle w:val="20"/>
        <w:widowControl/>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第一章 招标公告</w:t>
      </w:r>
    </w:p>
    <w:p>
      <w:pPr>
        <w:ind w:firstLine="1285" w:firstLineChars="400"/>
        <w:rPr>
          <w:rFonts w:ascii="仿宋_GB2312" w:hAnsi="仿宋_GB2312" w:eastAsia="仿宋_GB2312" w:cs="仿宋_GB2312"/>
          <w:color w:val="000000"/>
          <w:sz w:val="32"/>
          <w:szCs w:val="32"/>
          <w:shd w:val="clear" w:color="auto" w:fill="FFFFFF"/>
        </w:rPr>
      </w:pPr>
      <w:r>
        <w:rPr>
          <w:rFonts w:hint="eastAsia" w:asciiTheme="majorEastAsia" w:hAnsiTheme="majorEastAsia" w:eastAsiaTheme="majorEastAsia" w:cstheme="majorEastAsia"/>
          <w:b/>
          <w:bCs/>
          <w:color w:val="000000"/>
          <w:sz w:val="32"/>
          <w:szCs w:val="32"/>
        </w:rPr>
        <w:t>长葛市老城镇等三家敬老院招运营方项目招标公告</w:t>
      </w:r>
    </w:p>
    <w:p>
      <w:pPr>
        <w:pStyle w:val="20"/>
        <w:widowControl/>
        <w:shd w:val="clear" w:color="auto" w:fill="FFFFFF"/>
        <w:spacing w:line="360" w:lineRule="auto"/>
        <w:ind w:firstLine="600"/>
        <w:contextualSpacing/>
        <w:jc w:val="left"/>
        <w:rPr>
          <w:color w:val="000000"/>
          <w:shd w:val="clear" w:color="auto" w:fill="FFFFFF"/>
        </w:rPr>
      </w:pPr>
      <w:r>
        <w:rPr>
          <w:rFonts w:hint="eastAsia"/>
          <w:color w:val="000000"/>
          <w:shd w:val="clear" w:color="auto" w:fill="FFFFFF"/>
        </w:rPr>
        <w:t>许昌建设工程项目管理有限公司受长葛市民政局的委托，对其长葛市老城镇等三家敬老院招运营方项目进行国内公开招标，欢迎符合相应资格条件的供应商参加。</w:t>
      </w:r>
    </w:p>
    <w:p>
      <w:pPr>
        <w:pStyle w:val="20"/>
        <w:widowControl/>
        <w:shd w:val="clear" w:color="auto" w:fill="FFFFFF"/>
        <w:spacing w:line="360" w:lineRule="auto"/>
        <w:contextualSpacing/>
        <w:jc w:val="left"/>
        <w:rPr>
          <w:rFonts w:ascii="宋体" w:hAnsi="宋体" w:cs="宋体"/>
          <w:b/>
          <w:bCs/>
          <w:color w:val="000000"/>
          <w:shd w:val="clear" w:color="auto" w:fill="FFFFFF"/>
        </w:rPr>
      </w:pPr>
      <w:r>
        <w:rPr>
          <w:rFonts w:hint="eastAsia" w:ascii="宋体" w:hAnsi="宋体" w:cs="宋体"/>
          <w:b/>
          <w:bCs/>
          <w:color w:val="000000"/>
          <w:shd w:val="clear" w:color="auto" w:fill="FFFFFF"/>
        </w:rPr>
        <w:t>一、项目名称及招标编号：</w:t>
      </w:r>
    </w:p>
    <w:p>
      <w:pPr>
        <w:pStyle w:val="20"/>
        <w:widowControl/>
        <w:shd w:val="clear" w:color="auto" w:fill="FFFFFF"/>
        <w:spacing w:line="360" w:lineRule="auto"/>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1.1项目名称：</w:t>
      </w:r>
      <w:r>
        <w:rPr>
          <w:rFonts w:hint="eastAsia" w:ascii="宋体" w:hAnsi="宋体" w:cs="宋体"/>
          <w:color w:val="000000"/>
        </w:rPr>
        <w:t>长葛市老城镇等三家敬老院招运营方项目</w:t>
      </w:r>
    </w:p>
    <w:p>
      <w:pPr>
        <w:pStyle w:val="20"/>
        <w:widowControl/>
        <w:shd w:val="clear" w:color="auto" w:fill="FFFFFF"/>
        <w:spacing w:line="360" w:lineRule="auto"/>
        <w:ind w:firstLine="420"/>
        <w:contextualSpacing/>
        <w:jc w:val="left"/>
        <w:rPr>
          <w:rFonts w:ascii="宋体" w:hAnsi="宋体" w:cs="宋体"/>
          <w:shd w:val="clear" w:color="auto" w:fill="FFFFFF"/>
        </w:rPr>
      </w:pPr>
      <w:r>
        <w:rPr>
          <w:rFonts w:hint="eastAsia" w:ascii="宋体" w:hAnsi="宋体" w:cs="宋体"/>
          <w:color w:val="000000"/>
          <w:shd w:val="clear" w:color="auto" w:fill="FFFFFF"/>
        </w:rPr>
        <w:t>1.2项目编号：</w:t>
      </w:r>
      <w:r>
        <w:rPr>
          <w:rFonts w:hint="eastAsia" w:ascii="宋体" w:hAnsi="宋体" w:cs="宋体"/>
          <w:shd w:val="clear" w:color="auto" w:fill="FFFFFF"/>
        </w:rPr>
        <w:t xml:space="preserve">长招采公字【2018】43号   </w:t>
      </w:r>
    </w:p>
    <w:p>
      <w:pPr>
        <w:pStyle w:val="20"/>
        <w:shd w:val="clear" w:color="auto" w:fill="FFFFFF"/>
        <w:spacing w:line="440" w:lineRule="exact"/>
        <w:rPr>
          <w:b/>
          <w:bCs/>
          <w:color w:val="000000"/>
          <w:sz w:val="28"/>
          <w:szCs w:val="28"/>
          <w:shd w:val="clear" w:color="auto" w:fill="FFFFFF"/>
        </w:rPr>
      </w:pPr>
      <w:r>
        <w:rPr>
          <w:rFonts w:hint="eastAsia" w:ascii="宋体" w:hAnsi="宋体" w:cs="宋体"/>
          <w:b/>
          <w:bCs/>
          <w:color w:val="000000"/>
          <w:shd w:val="clear" w:color="auto" w:fill="FFFFFF"/>
        </w:rPr>
        <w:t>二、</w:t>
      </w:r>
      <w:r>
        <w:rPr>
          <w:rFonts w:hint="eastAsia"/>
          <w:b/>
          <w:bCs/>
          <w:color w:val="000000"/>
          <w:sz w:val="28"/>
          <w:szCs w:val="28"/>
          <w:shd w:val="clear" w:color="auto" w:fill="FFFFFF"/>
        </w:rPr>
        <w:t>需要落实的政府采购政策</w:t>
      </w:r>
    </w:p>
    <w:p>
      <w:pPr>
        <w:pStyle w:val="20"/>
        <w:widowControl/>
        <w:shd w:val="clear" w:color="auto" w:fill="FFFFFF"/>
        <w:spacing w:line="360" w:lineRule="auto"/>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 xml:space="preserve"> 本项目落实中小微型企业扶持、促进残疾人就业等相关政府采购政策。</w:t>
      </w:r>
    </w:p>
    <w:p>
      <w:pPr>
        <w:pStyle w:val="20"/>
        <w:shd w:val="clear" w:color="auto" w:fill="FFFFFF"/>
        <w:spacing w:line="440" w:lineRule="exact"/>
        <w:rPr>
          <w:b/>
          <w:bCs/>
          <w:color w:val="000000"/>
          <w:sz w:val="28"/>
          <w:szCs w:val="28"/>
          <w:shd w:val="clear" w:color="auto" w:fill="FFFFFF"/>
        </w:rPr>
      </w:pPr>
      <w:r>
        <w:rPr>
          <w:rFonts w:hint="eastAsia"/>
          <w:b/>
          <w:bCs/>
          <w:color w:val="000000"/>
          <w:sz w:val="28"/>
          <w:szCs w:val="28"/>
          <w:shd w:val="clear" w:color="auto" w:fill="FFFFFF"/>
        </w:rPr>
        <w:t>三、采购内容及技术要求：</w:t>
      </w:r>
    </w:p>
    <w:p>
      <w:pPr>
        <w:pStyle w:val="20"/>
        <w:widowControl/>
        <w:shd w:val="clear" w:color="auto" w:fill="FFFFFF"/>
        <w:spacing w:line="360" w:lineRule="auto"/>
        <w:ind w:firstLine="720" w:firstLineChars="300"/>
        <w:contextualSpacing/>
        <w:jc w:val="left"/>
        <w:rPr>
          <w:rFonts w:ascii="宋体" w:hAnsi="宋体" w:cs="宋体"/>
          <w:shd w:val="clear" w:color="auto" w:fill="FFFFFF"/>
        </w:rPr>
      </w:pPr>
      <w:r>
        <w:rPr>
          <w:rFonts w:hint="eastAsia" w:ascii="宋体" w:hAnsi="宋体" w:cs="宋体"/>
          <w:color w:val="000000"/>
          <w:shd w:val="clear" w:color="auto" w:fill="FFFFFF"/>
        </w:rPr>
        <w:t>3.1采购内容：选择</w:t>
      </w:r>
      <w:r>
        <w:rPr>
          <w:rFonts w:hint="eastAsia" w:ascii="宋体" w:hAnsi="宋体" w:cs="宋体"/>
          <w:color w:val="000000"/>
        </w:rPr>
        <w:t>长葛市老城镇敬老院、</w:t>
      </w:r>
      <w:r>
        <w:rPr>
          <w:rFonts w:hint="eastAsia" w:ascii="宋体" w:hAnsi="宋体" w:cs="宋体"/>
        </w:rPr>
        <w:t>董村镇敬老院服</w:t>
      </w:r>
      <w:r>
        <w:rPr>
          <w:rFonts w:hint="eastAsia" w:ascii="宋体" w:hAnsi="宋体" w:cs="宋体"/>
          <w:color w:val="000000"/>
        </w:rPr>
        <w:t>和石像镇敬老院服务运营方，负责</w:t>
      </w:r>
      <w:r>
        <w:rPr>
          <w:rFonts w:hint="eastAsia"/>
        </w:rPr>
        <w:t>敬老院的运营管理工作，优化服务设施设备，提高管理和服务水平，推动敬老院健康和可持续发展</w:t>
      </w:r>
      <w:r>
        <w:rPr>
          <w:rFonts w:hint="eastAsia" w:ascii="宋体" w:hAnsi="宋体" w:cs="宋体"/>
          <w:shd w:val="clear" w:color="auto" w:fill="FFFFFF"/>
        </w:rPr>
        <w:t>。</w:t>
      </w:r>
    </w:p>
    <w:p>
      <w:pPr>
        <w:pStyle w:val="20"/>
        <w:widowControl/>
        <w:shd w:val="clear" w:color="auto" w:fill="FFFFFF"/>
        <w:spacing w:line="360" w:lineRule="auto"/>
        <w:ind w:firstLine="720" w:firstLineChars="300"/>
        <w:contextualSpacing/>
        <w:jc w:val="left"/>
        <w:rPr>
          <w:rFonts w:ascii="宋体" w:hAnsi="宋体" w:cs="宋体"/>
          <w:color w:val="000000"/>
          <w:shd w:val="clear" w:color="auto" w:fill="FFFFFF"/>
        </w:rPr>
      </w:pPr>
      <w:r>
        <w:rPr>
          <w:rFonts w:hint="eastAsia" w:ascii="宋体" w:hAnsi="宋体" w:cs="宋体"/>
          <w:color w:val="000000"/>
          <w:shd w:val="clear" w:color="auto" w:fill="FFFFFF"/>
        </w:rPr>
        <w:t>3.2服务期限 ：自合同生效之日起30年。</w:t>
      </w:r>
    </w:p>
    <w:p>
      <w:pPr>
        <w:pStyle w:val="20"/>
        <w:widowControl/>
        <w:shd w:val="clear" w:color="auto" w:fill="FFFFFF"/>
        <w:spacing w:line="360" w:lineRule="auto"/>
        <w:ind w:firstLine="720" w:firstLineChars="300"/>
        <w:contextualSpacing/>
        <w:jc w:val="left"/>
        <w:rPr>
          <w:rFonts w:ascii="宋体" w:hAnsi="宋体" w:cs="宋体"/>
          <w:color w:val="000000"/>
          <w:shd w:val="clear" w:color="auto" w:fill="FFFFFF"/>
        </w:rPr>
      </w:pPr>
      <w:r>
        <w:rPr>
          <w:rFonts w:hint="eastAsia" w:ascii="宋体" w:hAnsi="宋体" w:cs="宋体"/>
          <w:color w:val="000000"/>
          <w:shd w:val="clear" w:color="auto" w:fill="FFFFFF"/>
        </w:rPr>
        <w:t>3.3采购方式：公开招标</w:t>
      </w:r>
    </w:p>
    <w:p>
      <w:pPr>
        <w:pStyle w:val="20"/>
        <w:widowControl/>
        <w:shd w:val="clear" w:color="auto" w:fill="FFFFFF"/>
        <w:spacing w:line="360" w:lineRule="auto"/>
        <w:contextualSpacing/>
        <w:jc w:val="left"/>
        <w:rPr>
          <w:rFonts w:cs="宋体" w:asciiTheme="minorEastAsia" w:hAnsiTheme="minorEastAsia"/>
          <w:b/>
        </w:rPr>
      </w:pPr>
      <w:r>
        <w:rPr>
          <w:rFonts w:hint="eastAsia" w:ascii="宋体" w:hAnsi="宋体" w:cs="宋体"/>
          <w:b/>
          <w:bCs/>
          <w:color w:val="000000"/>
          <w:shd w:val="clear" w:color="auto" w:fill="FFFFFF"/>
        </w:rPr>
        <w:t>四、供应商资格要求</w:t>
      </w:r>
    </w:p>
    <w:p>
      <w:pPr>
        <w:pStyle w:val="20"/>
        <w:widowControl/>
        <w:shd w:val="clear" w:color="auto" w:fill="FFFFFF"/>
        <w:spacing w:line="360" w:lineRule="auto"/>
        <w:ind w:firstLine="720" w:firstLineChars="300"/>
        <w:contextualSpacing/>
        <w:jc w:val="left"/>
        <w:rPr>
          <w:rFonts w:ascii="宋体" w:hAnsi="宋体" w:cs="宋体"/>
          <w:color w:val="000000"/>
          <w:kern w:val="0"/>
          <w:lang w:val="zh-CN"/>
        </w:rPr>
      </w:pPr>
      <w:r>
        <w:rPr>
          <w:rFonts w:hint="eastAsia" w:ascii="宋体" w:hAnsi="宋体" w:cs="宋体"/>
          <w:color w:val="000000"/>
          <w:kern w:val="0"/>
        </w:rPr>
        <w:t>4.1</w:t>
      </w:r>
      <w:r>
        <w:rPr>
          <w:rFonts w:hint="eastAsia" w:ascii="宋体" w:hAnsi="宋体" w:cs="宋体"/>
          <w:color w:val="000000"/>
          <w:kern w:val="0"/>
          <w:lang w:val="zh-CN"/>
        </w:rPr>
        <w:t>符合《中华人民共和国政府采购法》第二十二条的规定。</w:t>
      </w:r>
    </w:p>
    <w:p>
      <w:pPr>
        <w:autoSpaceDE w:val="0"/>
        <w:autoSpaceDN w:val="0"/>
        <w:adjustRightInd w:val="0"/>
        <w:spacing w:line="360" w:lineRule="auto"/>
        <w:ind w:right="-11" w:firstLine="720" w:firstLineChars="300"/>
        <w:rPr>
          <w:rFonts w:ascii="宋体" w:hAnsi="宋体" w:cs="宋体"/>
          <w:sz w:val="24"/>
          <w:szCs w:val="24"/>
        </w:rPr>
      </w:pPr>
      <w:r>
        <w:rPr>
          <w:rFonts w:hint="eastAsia" w:ascii="宋体" w:hAnsi="宋体" w:cs="宋体"/>
          <w:sz w:val="24"/>
          <w:szCs w:val="24"/>
        </w:rPr>
        <w:t>4.2 供应商具有《养老机构设立许可证》或其运营项目具有《养老机构设立许可证》；具有与此次招标规模和服务内容相适应的资金能力和专业技术人员配置。</w:t>
      </w:r>
    </w:p>
    <w:p>
      <w:pPr>
        <w:autoSpaceDE w:val="0"/>
        <w:autoSpaceDN w:val="0"/>
        <w:adjustRightInd w:val="0"/>
        <w:spacing w:line="360" w:lineRule="auto"/>
        <w:ind w:firstLine="720" w:firstLineChars="300"/>
        <w:jc w:val="left"/>
        <w:rPr>
          <w:rFonts w:cs="宋体" w:asciiTheme="minorEastAsia" w:hAnsiTheme="minorEastAsia"/>
          <w:bCs/>
          <w:sz w:val="24"/>
          <w:szCs w:val="24"/>
          <w:lang w:val="zh-CN"/>
        </w:rPr>
      </w:pPr>
      <w:r>
        <w:rPr>
          <w:rFonts w:hint="eastAsia" w:cs="仿宋_GB2312" w:asciiTheme="minorEastAsia" w:hAnsiTheme="minorEastAsia"/>
          <w:bCs/>
          <w:sz w:val="24"/>
          <w:szCs w:val="24"/>
        </w:rPr>
        <w:t>4.3 财务状况：良好，需提供上一</w:t>
      </w:r>
      <w:r>
        <w:rPr>
          <w:rFonts w:hint="eastAsia" w:cs="宋体" w:asciiTheme="minorEastAsia" w:hAnsiTheme="minorEastAsia"/>
          <w:bCs/>
          <w:sz w:val="24"/>
          <w:szCs w:val="24"/>
          <w:lang w:val="zh-CN"/>
        </w:rPr>
        <w:t>年度的财务报告</w:t>
      </w:r>
      <w:r>
        <w:rPr>
          <w:rFonts w:hint="eastAsia" w:cs="宋体" w:asciiTheme="minorEastAsia" w:hAnsiTheme="minorEastAsia"/>
          <w:bCs/>
          <w:sz w:val="24"/>
          <w:szCs w:val="24"/>
          <w:lang w:val="en-US" w:eastAsia="zh-CN"/>
        </w:rPr>
        <w:t>(如成立不到一年无需提供)</w:t>
      </w:r>
      <w:r>
        <w:rPr>
          <w:rFonts w:hint="eastAsia" w:cs="宋体" w:asciiTheme="minorEastAsia" w:hAnsiTheme="minorEastAsia"/>
          <w:bCs/>
          <w:sz w:val="24"/>
          <w:szCs w:val="24"/>
          <w:lang w:val="zh-CN"/>
        </w:rPr>
        <w:t>。</w:t>
      </w:r>
    </w:p>
    <w:p>
      <w:pPr>
        <w:autoSpaceDE w:val="0"/>
        <w:autoSpaceDN w:val="0"/>
        <w:adjustRightInd w:val="0"/>
        <w:spacing w:line="360" w:lineRule="auto"/>
        <w:ind w:right="-11" w:firstLine="720" w:firstLineChars="300"/>
        <w:rPr>
          <w:rFonts w:cs="仿宋_GB2312" w:asciiTheme="minorEastAsia" w:hAnsiTheme="minorEastAsia"/>
          <w:bCs/>
          <w:sz w:val="24"/>
          <w:szCs w:val="24"/>
        </w:rPr>
      </w:pPr>
      <w:r>
        <w:rPr>
          <w:rFonts w:hint="eastAsia" w:cs="仿宋_GB2312" w:asciiTheme="minorEastAsia" w:hAnsiTheme="minorEastAsia"/>
          <w:bCs/>
          <w:sz w:val="24"/>
          <w:szCs w:val="24"/>
        </w:rPr>
        <w:t>4.4 依法缴纳税收：</w:t>
      </w:r>
    </w:p>
    <w:p>
      <w:pPr>
        <w:autoSpaceDE w:val="0"/>
        <w:autoSpaceDN w:val="0"/>
        <w:adjustRightInd w:val="0"/>
        <w:spacing w:line="360" w:lineRule="auto"/>
        <w:ind w:right="-11" w:firstLine="720" w:firstLineChars="300"/>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税务登记证和投标截止时间前三个月内任意一个月缴纳税收凭据。（非盈利企业和依法免税的供应商，应提供相应证明文件）</w:t>
      </w:r>
    </w:p>
    <w:p>
      <w:pPr>
        <w:autoSpaceDE w:val="0"/>
        <w:autoSpaceDN w:val="0"/>
        <w:adjustRightInd w:val="0"/>
        <w:spacing w:line="360" w:lineRule="auto"/>
        <w:ind w:right="-11" w:firstLine="720" w:firstLineChars="300"/>
        <w:rPr>
          <w:rFonts w:cs="宋体" w:asciiTheme="minorEastAsia" w:hAnsiTheme="minorEastAsia"/>
          <w:b/>
          <w:bCs/>
          <w:sz w:val="24"/>
          <w:szCs w:val="24"/>
          <w:lang w:val="zh-CN"/>
        </w:rPr>
      </w:pPr>
      <w:r>
        <w:rPr>
          <w:rFonts w:hint="eastAsia" w:cs="宋体" w:asciiTheme="minorEastAsia" w:hAnsiTheme="minorEastAsia"/>
          <w:sz w:val="24"/>
          <w:szCs w:val="24"/>
        </w:rPr>
        <w:t xml:space="preserve">4.5 </w:t>
      </w:r>
      <w:r>
        <w:rPr>
          <w:rFonts w:hint="eastAsia" w:cs="宋体" w:asciiTheme="minorEastAsia" w:hAnsiTheme="minorEastAsia"/>
          <w:sz w:val="24"/>
          <w:szCs w:val="24"/>
          <w:lang w:val="zh-CN"/>
        </w:rPr>
        <w:t>依法缴纳社会保障资金：</w:t>
      </w:r>
    </w:p>
    <w:p>
      <w:pPr>
        <w:autoSpaceDE w:val="0"/>
        <w:autoSpaceDN w:val="0"/>
        <w:adjustRightInd w:val="0"/>
        <w:spacing w:line="360" w:lineRule="auto"/>
        <w:ind w:right="-11" w:firstLine="720" w:firstLineChars="300"/>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投标截止时间前三个月内任意一个月缴纳社会保险凭据。（非盈利企业和依法不需要缴纳社会保障资金的供应商，应提供相应证明文件）</w:t>
      </w:r>
    </w:p>
    <w:p>
      <w:pPr>
        <w:autoSpaceDE w:val="0"/>
        <w:autoSpaceDN w:val="0"/>
        <w:adjustRightInd w:val="0"/>
        <w:spacing w:line="360" w:lineRule="auto"/>
        <w:ind w:right="-11" w:firstLine="720" w:firstLineChars="300"/>
        <w:rPr>
          <w:rFonts w:cs="宋体" w:asciiTheme="minorEastAsia" w:hAnsiTheme="minorEastAsia"/>
          <w:kern w:val="0"/>
          <w:sz w:val="24"/>
          <w:szCs w:val="24"/>
        </w:rPr>
      </w:pPr>
      <w:r>
        <w:rPr>
          <w:rFonts w:hint="eastAsia" w:cs="宋体" w:asciiTheme="minorEastAsia" w:hAnsiTheme="minorEastAsia"/>
          <w:sz w:val="24"/>
          <w:szCs w:val="24"/>
        </w:rPr>
        <w:t xml:space="preserve">4.6 </w:t>
      </w:r>
      <w:r>
        <w:rPr>
          <w:rFonts w:hint="eastAsia" w:cs="宋体" w:asciiTheme="minorEastAsia" w:hAnsiTheme="minorEastAsia"/>
          <w:sz w:val="24"/>
          <w:szCs w:val="24"/>
          <w:lang w:val="zh-CN"/>
        </w:rPr>
        <w:t>履行合同所必须的专业技术能力：</w:t>
      </w:r>
      <w:r>
        <w:rPr>
          <w:rFonts w:hint="eastAsia" w:cs="宋体" w:asciiTheme="minorEastAsia" w:hAnsiTheme="minorEastAsia"/>
          <w:bCs/>
          <w:sz w:val="24"/>
          <w:szCs w:val="24"/>
          <w:lang w:val="zh-CN"/>
        </w:rPr>
        <w:t>供应商专业技术人员岗位证书、用工合同等</w:t>
      </w:r>
      <w:r>
        <w:rPr>
          <w:rFonts w:hint="eastAsia" w:cs="宋体" w:asciiTheme="minorEastAsia" w:hAnsiTheme="minorEastAsia"/>
          <w:kern w:val="0"/>
          <w:sz w:val="24"/>
          <w:szCs w:val="24"/>
        </w:rPr>
        <w:t>。</w:t>
      </w:r>
    </w:p>
    <w:p>
      <w:pPr>
        <w:autoSpaceDE w:val="0"/>
        <w:autoSpaceDN w:val="0"/>
        <w:adjustRightInd w:val="0"/>
        <w:spacing w:line="360" w:lineRule="auto"/>
        <w:ind w:right="-11" w:firstLine="720" w:firstLineChars="300"/>
        <w:rPr>
          <w:rFonts w:cs="宋体" w:asciiTheme="minorEastAsia" w:hAnsiTheme="minorEastAsia"/>
          <w:bCs/>
          <w:sz w:val="24"/>
          <w:szCs w:val="24"/>
          <w:lang w:val="zh-CN"/>
        </w:rPr>
      </w:pPr>
      <w:r>
        <w:rPr>
          <w:rFonts w:hint="eastAsia" w:cs="宋体" w:asciiTheme="minorEastAsia" w:hAnsiTheme="minorEastAsia"/>
          <w:bCs/>
          <w:kern w:val="0"/>
          <w:sz w:val="24"/>
          <w:szCs w:val="24"/>
        </w:rPr>
        <w:t xml:space="preserve">4.7 </w:t>
      </w:r>
      <w:r>
        <w:rPr>
          <w:rFonts w:cs="宋体" w:asciiTheme="minorEastAsia" w:hAnsiTheme="minorEastAsia"/>
          <w:bCs/>
          <w:sz w:val="24"/>
          <w:szCs w:val="24"/>
          <w:lang w:val="zh-CN"/>
        </w:rPr>
        <w:t>参加政府采购活动前3年内在经营活动中没有重大违法记录的声明</w:t>
      </w:r>
      <w:r>
        <w:rPr>
          <w:rFonts w:hint="eastAsia" w:cs="宋体" w:asciiTheme="minorEastAsia" w:hAnsiTheme="minorEastAsia"/>
          <w:bCs/>
          <w:sz w:val="24"/>
          <w:szCs w:val="24"/>
          <w:lang w:val="zh-CN"/>
        </w:rPr>
        <w:t>：</w:t>
      </w:r>
    </w:p>
    <w:p>
      <w:pPr>
        <w:autoSpaceDE w:val="0"/>
        <w:autoSpaceDN w:val="0"/>
        <w:spacing w:line="360" w:lineRule="auto"/>
        <w:ind w:firstLine="720" w:firstLineChars="300"/>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ind w:firstLine="482" w:firstLineChars="200"/>
        <w:contextualSpacing/>
        <w:jc w:val="left"/>
        <w:rPr>
          <w:rFonts w:cs="宋体" w:asciiTheme="minorEastAsia" w:hAnsiTheme="minorEastAsia"/>
          <w:kern w:val="0"/>
          <w:sz w:val="24"/>
          <w:szCs w:val="24"/>
        </w:rPr>
      </w:pPr>
      <w:r>
        <w:rPr>
          <w:rFonts w:hint="eastAsia" w:cs="宋体" w:asciiTheme="minorEastAsia" w:hAnsiTheme="minorEastAsia"/>
          <w:b/>
          <w:bCs/>
          <w:sz w:val="24"/>
          <w:szCs w:val="24"/>
        </w:rPr>
        <w:t xml:space="preserve">4.8 </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 w:val="24"/>
          <w:szCs w:val="24"/>
          <w:shd w:val="clear" w:color="auto" w:fill="FFFFFF"/>
        </w:rPr>
        <w:t>供应商和“</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w:t>
      </w:r>
      <w:r>
        <w:rPr>
          <w:rFonts w:hint="eastAsia" w:cs="仿宋_GB2312" w:asciiTheme="minorEastAsia" w:hAnsiTheme="minorEastAsia"/>
          <w:b/>
          <w:color w:val="000000"/>
          <w:sz w:val="24"/>
          <w:szCs w:val="24"/>
          <w:shd w:val="clear" w:color="auto" w:fill="FFFFFF"/>
        </w:rPr>
        <w:t>供应商</w:t>
      </w:r>
      <w:r>
        <w:rPr>
          <w:rFonts w:hint="eastAsia" w:cs="宋体" w:asciiTheme="minorEastAsia" w:hAnsiTheme="minorEastAsia"/>
          <w:b/>
          <w:bCs/>
          <w:sz w:val="24"/>
          <w:szCs w:val="24"/>
          <w:lang w:val="zh-CN"/>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3、信用信息查询记录和证据留存具体方式：经招标人确认的查询结果网页截图作为查询记录和证据，与其他采购文件一并保存；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4、信用信息的使用原则：经招标人认定的被列入失信被执行人、重大税收违法案件当事人名单、政府采购严重违法失信行为记录名单的供应商，将拒绝其参与政府采购活动。</w:t>
      </w:r>
    </w:p>
    <w:p>
      <w:pPr>
        <w:pStyle w:val="20"/>
        <w:autoSpaceDE w:val="0"/>
        <w:spacing w:line="360" w:lineRule="exact"/>
        <w:ind w:firstLine="480" w:firstLineChars="200"/>
        <w:rPr>
          <w:rFonts w:ascii="宋体" w:hAnsi="宋体" w:cs="宋体"/>
          <w:color w:val="0000FF"/>
          <w:kern w:val="0"/>
          <w:lang w:val="zh-CN"/>
        </w:rPr>
      </w:pPr>
      <w:r>
        <w:rPr>
          <w:rFonts w:hint="eastAsia" w:cs="宋体" w:asciiTheme="minorEastAsia" w:hAnsiTheme="minorEastAsia"/>
          <w:kern w:val="0"/>
        </w:rPr>
        <w:t>5、供应商不良信用记录以招标人查询结果为准，招标人查询之后，网站信息发生的任何变更不再作为评审依据，供应商自行提供的与网站信息不一致的其他证明材料亦不作为评审依据。</w:t>
      </w:r>
    </w:p>
    <w:p>
      <w:pPr>
        <w:wordWrap w:val="0"/>
        <w:topLinePunct/>
        <w:autoSpaceDE w:val="0"/>
        <w:autoSpaceDN w:val="0"/>
        <w:adjustRightInd w:val="0"/>
        <w:snapToGrid w:val="0"/>
        <w:spacing w:line="360" w:lineRule="auto"/>
        <w:ind w:firstLine="600" w:firstLineChars="25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 xml:space="preserve">4.9 </w:t>
      </w:r>
      <w:r>
        <w:rPr>
          <w:rFonts w:hint="eastAsia" w:ascii="宋体" w:hAnsi="宋体" w:eastAsia="宋体" w:cs="宋体"/>
          <w:color w:val="000000"/>
          <w:kern w:val="0"/>
          <w:sz w:val="24"/>
          <w:szCs w:val="24"/>
          <w:lang w:val="zh-CN"/>
        </w:rPr>
        <w:t>本次招标不接受联合体投标。</w:t>
      </w:r>
    </w:p>
    <w:p>
      <w:pPr>
        <w:pStyle w:val="20"/>
        <w:autoSpaceDE w:val="0"/>
        <w:spacing w:line="360" w:lineRule="exact"/>
        <w:rPr>
          <w:rFonts w:ascii="宋体" w:hAnsi="宋体" w:cs="宋体"/>
          <w:b/>
          <w:bCs/>
          <w:color w:val="000000"/>
          <w:shd w:val="clear" w:color="auto" w:fill="FFFFFF"/>
        </w:rPr>
      </w:pPr>
      <w:r>
        <w:rPr>
          <w:rFonts w:hint="eastAsia" w:ascii="宋体" w:hAnsi="宋体" w:cs="宋体"/>
          <w:b/>
          <w:bCs/>
          <w:color w:val="000000"/>
          <w:shd w:val="clear" w:color="auto" w:fill="FFFFFF"/>
        </w:rPr>
        <w:t>五、投标报名及招标文件获取：</w:t>
      </w:r>
    </w:p>
    <w:p>
      <w:pPr>
        <w:pStyle w:val="20"/>
        <w:autoSpaceDE w:val="0"/>
        <w:spacing w:line="360" w:lineRule="exact"/>
        <w:ind w:firstLine="480" w:firstLineChars="200"/>
        <w:rPr>
          <w:rFonts w:ascii="宋体" w:hAnsi="宋体" w:cs="宋体"/>
        </w:rPr>
      </w:pPr>
      <w:r>
        <w:rPr>
          <w:rFonts w:hint="eastAsia" w:ascii="宋体" w:hAnsi="宋体" w:cs="宋体"/>
          <w:color w:val="000000"/>
          <w:kern w:val="0"/>
        </w:rPr>
        <w:t>5.1</w:t>
      </w:r>
      <w:r>
        <w:rPr>
          <w:rFonts w:hint="eastAsia" w:ascii="宋体" w:hAnsi="宋体" w:cs="宋体"/>
        </w:rPr>
        <w:t>报名时间： 2018年 9 月4 日至2018年9 月10日。</w:t>
      </w:r>
    </w:p>
    <w:p>
      <w:pPr>
        <w:pStyle w:val="20"/>
        <w:autoSpaceDE w:val="0"/>
        <w:spacing w:line="360" w:lineRule="exact"/>
        <w:ind w:firstLine="480" w:firstLineChars="200"/>
        <w:rPr>
          <w:rFonts w:ascii="宋体" w:hAnsi="宋体" w:cs="宋体"/>
        </w:rPr>
      </w:pPr>
      <w:r>
        <w:rPr>
          <w:rFonts w:hint="eastAsia" w:ascii="宋体" w:hAnsi="宋体" w:cs="宋体"/>
          <w:color w:val="000000"/>
          <w:kern w:val="0"/>
        </w:rPr>
        <w:t xml:space="preserve">5.2 </w:t>
      </w:r>
      <w:r>
        <w:rPr>
          <w:rFonts w:hint="eastAsia" w:ascii="宋体" w:hAnsi="宋体" w:cs="宋体"/>
        </w:rPr>
        <w:t>报名方式：网上报名。</w:t>
      </w:r>
    </w:p>
    <w:p>
      <w:pPr>
        <w:pStyle w:val="20"/>
        <w:autoSpaceDE w:val="0"/>
        <w:spacing w:line="360" w:lineRule="exact"/>
        <w:ind w:firstLine="480" w:firstLineChars="200"/>
        <w:rPr>
          <w:rFonts w:cs="宋体" w:asciiTheme="minorEastAsia" w:hAnsiTheme="minorEastAsia" w:eastAsiaTheme="minorEastAsia"/>
          <w:bCs/>
        </w:rPr>
      </w:pPr>
      <w:r>
        <w:rPr>
          <w:rFonts w:hint="eastAsia" w:cs="宋体" w:asciiTheme="minorEastAsia" w:hAnsiTheme="minorEastAsia" w:eastAsiaTheme="minorEastAsia"/>
          <w:bCs/>
        </w:rPr>
        <w:t>1</w:t>
      </w:r>
      <w:r>
        <w:rPr>
          <w:rFonts w:hint="eastAsia" w:cs="宋体" w:asciiTheme="minorEastAsia" w:hAnsiTheme="minorEastAsia" w:eastAsiaTheme="minorEastAsia"/>
          <w:bCs/>
          <w:lang w:val="zh-CN"/>
        </w:rPr>
        <w:t>、注册</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持</w:t>
      </w:r>
      <w:r>
        <w:rPr>
          <w:rFonts w:hint="eastAsia" w:cs="宋体" w:asciiTheme="minorEastAsia" w:hAnsiTheme="minorEastAsia" w:eastAsiaTheme="minorEastAsia"/>
          <w:bCs/>
        </w:rPr>
        <w:t>CA</w:t>
      </w:r>
      <w:r>
        <w:rPr>
          <w:rFonts w:hint="eastAsia" w:cs="宋体" w:asciiTheme="minorEastAsia" w:hAnsiTheme="minorEastAsia" w:eastAsiaTheme="minorEastAsia"/>
          <w:bCs/>
          <w:lang w:val="zh-CN"/>
        </w:rPr>
        <w:t>数字认证证书</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登录【全国公共资源交易平台</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河南省</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许昌市</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系统用户注册</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入口</w:t>
      </w:r>
      <w:r>
        <w:rPr>
          <w:rFonts w:hint="eastAsia" w:cs="宋体" w:asciiTheme="minorEastAsia" w:hAnsiTheme="minorEastAsia" w:eastAsiaTheme="minorEastAsia"/>
          <w:bCs/>
        </w:rPr>
        <w:t>（http://221.14.6.70:8088/ggzy/eps/public/RegistAllJcxx.html）</w:t>
      </w:r>
      <w:r>
        <w:rPr>
          <w:rFonts w:hint="eastAsia" w:cs="宋体" w:asciiTheme="minorEastAsia" w:hAnsiTheme="minorEastAsia" w:eastAsiaTheme="minorEastAsia"/>
          <w:bCs/>
          <w:lang w:val="zh-CN"/>
        </w:rPr>
        <w:t>进行免费注册登记</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详见网站首页</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常见问题解答</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诚信库网上注册相关资料下载</w:t>
      </w:r>
      <w:r>
        <w:rPr>
          <w:rFonts w:hint="eastAsia" w:cs="宋体" w:asciiTheme="minorEastAsia" w:hAnsiTheme="minorEastAsia" w:eastAsiaTheme="minorEastAsia"/>
          <w:bCs/>
        </w:rPr>
        <w:t>”）；</w:t>
      </w:r>
    </w:p>
    <w:p>
      <w:pPr>
        <w:pStyle w:val="20"/>
        <w:autoSpaceDE w:val="0"/>
        <w:spacing w:line="360" w:lineRule="exact"/>
        <w:ind w:firstLine="480" w:firstLineChars="200"/>
        <w:rPr>
          <w:rFonts w:cs="宋体" w:asciiTheme="minorEastAsia" w:hAnsiTheme="minorEastAsia" w:eastAsiaTheme="minorEastAsia"/>
          <w:bCs/>
          <w:lang w:val="zh-CN"/>
        </w:rPr>
      </w:pPr>
      <w:r>
        <w:rPr>
          <w:rFonts w:hint="eastAsia" w:cs="宋体" w:asciiTheme="minorEastAsia" w:hAnsiTheme="minorEastAsia" w:eastAsiaTheme="minorEastAsia"/>
          <w:bCs/>
        </w:rPr>
        <w:t>2</w:t>
      </w:r>
      <w:r>
        <w:rPr>
          <w:rFonts w:hint="eastAsia" w:cs="宋体" w:asciiTheme="minorEastAsia" w:hAnsiTheme="minorEastAsia" w:eastAsiaTheme="minorEastAsia"/>
          <w:bCs/>
          <w:lang w:val="zh-CN"/>
        </w:rPr>
        <w:t>、报名及招标文件获取</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报名期限内</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登录【全国公共资源交易平台</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河南省</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许昌市</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供应商</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供应商登录</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入口</w:t>
      </w:r>
      <w:r>
        <w:rPr>
          <w:rFonts w:hint="eastAsia" w:cs="宋体" w:asciiTheme="minorEastAsia" w:hAnsiTheme="minorEastAsia" w:eastAsiaTheme="minorEastAsia"/>
          <w:bCs/>
        </w:rPr>
        <w:t>（http://221.14.6.70:8088/ggzy/）</w:t>
      </w:r>
      <w:r>
        <w:rPr>
          <w:rFonts w:hint="eastAsia" w:cs="宋体" w:asciiTheme="minorEastAsia" w:hAnsiTheme="minorEastAsia" w:eastAsiaTheme="minorEastAsia"/>
          <w:bCs/>
          <w:lang w:val="zh-CN"/>
        </w:rPr>
        <w:t>报名</w:t>
      </w:r>
      <w:r>
        <w:rPr>
          <w:rFonts w:hint="eastAsia" w:cs="宋体" w:asciiTheme="minorEastAsia" w:hAnsiTheme="minorEastAsia" w:eastAsiaTheme="minorEastAsia"/>
          <w:bCs/>
        </w:rPr>
        <w:t>，</w:t>
      </w:r>
      <w:r>
        <w:rPr>
          <w:rFonts w:hint="eastAsia" w:cs="宋体" w:asciiTheme="minorEastAsia" w:hAnsiTheme="minorEastAsia" w:eastAsiaTheme="minorEastAsia"/>
          <w:bCs/>
          <w:lang w:val="zh-CN"/>
        </w:rPr>
        <w:t>自行下载本项目招标文件。（详见网站首页“常见问题解答-交易系统操作手册”）。</w:t>
      </w:r>
    </w:p>
    <w:p>
      <w:pPr>
        <w:pStyle w:val="20"/>
        <w:autoSpaceDE w:val="0"/>
        <w:spacing w:line="360" w:lineRule="exact"/>
        <w:ind w:firstLine="480" w:firstLineChars="200"/>
        <w:rPr>
          <w:rFonts w:cs="宋体" w:asciiTheme="minorEastAsia" w:hAnsiTheme="minorEastAsia" w:eastAsiaTheme="minorEastAsia"/>
          <w:bCs/>
          <w:lang w:val="zh-CN"/>
        </w:rPr>
      </w:pPr>
      <w:r>
        <w:rPr>
          <w:rFonts w:hint="eastAsia" w:cs="宋体" w:asciiTheme="minorEastAsia" w:hAnsiTheme="minorEastAsia" w:eastAsiaTheme="minorEastAsia"/>
          <w:bCs/>
          <w:lang w:val="zh-CN"/>
        </w:rPr>
        <w:t>3、招标文件费用：供应商在递交纸制投标文件时向代理公司缴纳招标文件费用，本项目招标文件费用为300元/套，售后不退。</w:t>
      </w:r>
    </w:p>
    <w:p>
      <w:pPr>
        <w:pStyle w:val="20"/>
        <w:autoSpaceDE w:val="0"/>
        <w:spacing w:line="360" w:lineRule="exact"/>
        <w:ind w:firstLine="240" w:firstLineChars="100"/>
        <w:rPr>
          <w:rFonts w:ascii="宋体" w:hAnsi="宋体" w:cs="宋体"/>
          <w:b/>
          <w:bCs/>
        </w:rPr>
      </w:pPr>
      <w:r>
        <w:rPr>
          <w:rFonts w:hint="eastAsia" w:ascii="宋体" w:hAnsi="宋体" w:cs="宋体"/>
          <w:color w:val="000000"/>
          <w:kern w:val="0"/>
        </w:rPr>
        <w:t xml:space="preserve">5.3 </w:t>
      </w:r>
      <w:r>
        <w:rPr>
          <w:rFonts w:hint="eastAsia" w:ascii="宋体" w:hAnsi="宋体" w:cs="宋体"/>
        </w:rPr>
        <w:t>未通过【全国公共资源交易平台（河南省·许昌市）】下载招标文件的供应商，拒收其递交的投标文件。</w:t>
      </w:r>
    </w:p>
    <w:p>
      <w:pPr>
        <w:pStyle w:val="20"/>
        <w:widowControl/>
        <w:shd w:val="clear" w:color="auto" w:fill="FFFFFF"/>
        <w:spacing w:line="360" w:lineRule="auto"/>
        <w:contextualSpacing/>
        <w:jc w:val="left"/>
        <w:rPr>
          <w:rFonts w:ascii="宋体" w:hAnsi="宋体" w:cs="宋体"/>
          <w:b/>
          <w:bCs/>
          <w:color w:val="000000"/>
          <w:shd w:val="clear" w:color="auto" w:fill="FFFFFF"/>
        </w:rPr>
      </w:pPr>
      <w:r>
        <w:rPr>
          <w:rFonts w:hint="eastAsia" w:ascii="宋体" w:hAnsi="宋体" w:cs="宋体"/>
          <w:b/>
          <w:bCs/>
          <w:color w:val="000000"/>
          <w:shd w:val="clear" w:color="auto" w:fill="FFFFFF"/>
        </w:rPr>
        <w:t>六、投标截止时间、开标时间及地点</w:t>
      </w:r>
    </w:p>
    <w:p>
      <w:pPr>
        <w:pStyle w:val="20"/>
        <w:widowControl/>
        <w:shd w:val="clear" w:color="auto" w:fill="FFFFFF"/>
        <w:spacing w:line="360" w:lineRule="auto"/>
        <w:ind w:firstLine="240" w:firstLineChars="100"/>
        <w:contextualSpacing/>
        <w:jc w:val="left"/>
        <w:rPr>
          <w:rFonts w:ascii="宋体" w:hAnsi="宋体" w:cs="宋体"/>
          <w:color w:val="000000"/>
        </w:rPr>
      </w:pPr>
      <w:r>
        <w:rPr>
          <w:rFonts w:hint="eastAsia" w:ascii="宋体" w:hAnsi="宋体" w:cs="宋体"/>
          <w:color w:val="000000"/>
        </w:rPr>
        <w:t>6.1投标截止及开标时</w:t>
      </w:r>
      <w:r>
        <w:rPr>
          <w:rFonts w:hint="eastAsia" w:ascii="宋体" w:hAnsi="宋体" w:cs="宋体"/>
        </w:rPr>
        <w:t>间：2018年9 月 26 日</w:t>
      </w:r>
      <w:r>
        <w:rPr>
          <w:rFonts w:hint="eastAsia" w:ascii="宋体" w:hAnsi="宋体" w:cs="宋体"/>
          <w:u w:val="single"/>
        </w:rPr>
        <w:t>9</w:t>
      </w:r>
      <w:r>
        <w:rPr>
          <w:rFonts w:hint="eastAsia" w:ascii="宋体" w:hAnsi="宋体" w:cs="宋体"/>
        </w:rPr>
        <w:t>时</w:t>
      </w:r>
      <w:r>
        <w:rPr>
          <w:rFonts w:hint="eastAsia" w:ascii="宋体" w:hAnsi="宋体" w:cs="宋体"/>
          <w:u w:val="single"/>
        </w:rPr>
        <w:t>00</w:t>
      </w:r>
      <w:r>
        <w:rPr>
          <w:rFonts w:hint="eastAsia" w:ascii="宋体" w:hAnsi="宋体" w:cs="宋体"/>
        </w:rPr>
        <w:t>分（北京</w:t>
      </w:r>
      <w:r>
        <w:rPr>
          <w:rFonts w:hint="eastAsia" w:ascii="宋体" w:hAnsi="宋体" w:cs="宋体"/>
          <w:color w:val="000000"/>
        </w:rPr>
        <w:t>时间），逾期提交或不符合规定的投标文件不予接受。</w:t>
      </w:r>
    </w:p>
    <w:p>
      <w:pPr>
        <w:pStyle w:val="20"/>
        <w:widowControl/>
        <w:shd w:val="clear" w:color="auto" w:fill="FFFFFF"/>
        <w:spacing w:line="360" w:lineRule="auto"/>
        <w:ind w:firstLine="480" w:firstLineChars="200"/>
        <w:contextualSpacing/>
        <w:jc w:val="left"/>
        <w:rPr>
          <w:rFonts w:ascii="宋体" w:hAnsi="宋体" w:cs="宋体"/>
        </w:rPr>
      </w:pPr>
      <w:r>
        <w:rPr>
          <w:rFonts w:hint="eastAsia" w:ascii="宋体" w:hAnsi="宋体" w:cs="宋体"/>
          <w:color w:val="000000"/>
        </w:rPr>
        <w:t>6.2 开标地点：长葛市葛天大道东段商务区6号楼</w:t>
      </w:r>
      <w:r>
        <w:rPr>
          <w:rFonts w:hint="eastAsia" w:ascii="宋体" w:hAnsi="宋体" w:cs="宋体"/>
        </w:rPr>
        <w:t>四楼418室。</w:t>
      </w:r>
    </w:p>
    <w:p>
      <w:pPr>
        <w:pStyle w:val="20"/>
        <w:widowControl/>
        <w:shd w:val="clear" w:color="auto" w:fill="FFFFFF"/>
        <w:spacing w:line="360" w:lineRule="auto"/>
        <w:contextualSpacing/>
        <w:jc w:val="left"/>
        <w:rPr>
          <w:color w:val="333333"/>
        </w:rPr>
      </w:pPr>
      <w:r>
        <w:rPr>
          <w:rFonts w:hint="eastAsia"/>
          <w:b/>
          <w:bCs/>
          <w:color w:val="000000"/>
          <w:shd w:val="clear" w:color="auto" w:fill="FFFFFF"/>
        </w:rPr>
        <w:t>七、发布公告的媒介</w:t>
      </w:r>
    </w:p>
    <w:p>
      <w:pPr>
        <w:pStyle w:val="4"/>
        <w:shd w:val="clear" w:color="auto" w:fill="FFFFFF"/>
        <w:spacing w:after="156"/>
        <w:ind w:left="-6" w:firstLine="480" w:firstLineChars="200"/>
        <w:jc w:val="both"/>
        <w:rPr>
          <w:rFonts w:cs="宋体"/>
          <w:b w:val="0"/>
          <w:bCs/>
          <w:shd w:val="clear" w:color="auto" w:fill="FFFFFF"/>
        </w:rPr>
      </w:pPr>
      <w:r>
        <w:rPr>
          <w:rFonts w:hint="eastAsia" w:cs="宋体"/>
          <w:b w:val="0"/>
          <w:shd w:val="clear" w:color="auto" w:fill="FFFFFF"/>
        </w:rPr>
        <w:t>本次招标公告同时在《河南省政府采购网》、《河南省电子招标投标公共服务平台》、《全国公共资源交易平台（河南省·许昌市）》和《长葛市人民政府门户网站》发布。</w:t>
      </w:r>
    </w:p>
    <w:p>
      <w:pPr>
        <w:pStyle w:val="20"/>
        <w:widowControl/>
        <w:shd w:val="clear" w:color="auto" w:fill="FFFFFF"/>
        <w:spacing w:line="360" w:lineRule="auto"/>
        <w:contextualSpacing/>
        <w:jc w:val="left"/>
        <w:rPr>
          <w:rFonts w:ascii="宋体" w:hAnsi="宋体" w:cs="宋体"/>
          <w:b/>
          <w:bCs/>
          <w:color w:val="000000"/>
        </w:rPr>
      </w:pPr>
      <w:r>
        <w:rPr>
          <w:rFonts w:hint="eastAsia" w:ascii="宋体" w:hAnsi="宋体" w:cs="宋体"/>
          <w:b/>
          <w:bCs/>
          <w:color w:val="000000"/>
          <w:shd w:val="clear" w:color="auto" w:fill="FFFFFF"/>
        </w:rPr>
        <w:t>八、</w:t>
      </w:r>
      <w:r>
        <w:rPr>
          <w:rFonts w:hint="eastAsia" w:ascii="宋体" w:hAnsi="宋体" w:cs="宋体"/>
          <w:b/>
          <w:bCs/>
          <w:color w:val="000000"/>
        </w:rPr>
        <w:t>联系方式</w:t>
      </w:r>
    </w:p>
    <w:p>
      <w:pPr>
        <w:pStyle w:val="20"/>
        <w:widowControl/>
        <w:shd w:val="clear" w:color="auto" w:fill="FFFFFF"/>
        <w:spacing w:line="360" w:lineRule="auto"/>
        <w:ind w:firstLine="420"/>
        <w:contextualSpacing/>
        <w:jc w:val="left"/>
        <w:rPr>
          <w:rFonts w:ascii="宋体" w:hAnsi="宋体" w:cs="宋体"/>
          <w:color w:val="000000"/>
        </w:rPr>
      </w:pPr>
      <w:r>
        <w:rPr>
          <w:rFonts w:hint="eastAsia" w:ascii="宋体" w:hAnsi="宋体" w:cs="宋体"/>
          <w:color w:val="000000"/>
        </w:rPr>
        <w:t>招标人：长葛市民政局</w:t>
      </w:r>
    </w:p>
    <w:p>
      <w:pPr>
        <w:pStyle w:val="20"/>
        <w:widowControl/>
        <w:shd w:val="clear" w:color="auto" w:fill="FFFFFF"/>
        <w:spacing w:line="360" w:lineRule="auto"/>
        <w:ind w:firstLine="420"/>
        <w:contextualSpacing/>
        <w:jc w:val="left"/>
        <w:rPr>
          <w:rFonts w:ascii="宋体" w:hAnsi="宋体" w:cs="宋体"/>
          <w:color w:val="000000"/>
        </w:rPr>
      </w:pPr>
      <w:r>
        <w:rPr>
          <w:rFonts w:hint="eastAsia" w:ascii="宋体" w:hAnsi="宋体" w:cs="宋体"/>
          <w:color w:val="000000"/>
        </w:rPr>
        <w:t>地 址：长葛市葛天大道东段商务区2号楼</w:t>
      </w:r>
    </w:p>
    <w:p>
      <w:pPr>
        <w:pStyle w:val="20"/>
        <w:widowControl/>
        <w:shd w:val="clear" w:color="auto" w:fill="FFFFFF"/>
        <w:spacing w:line="360" w:lineRule="auto"/>
        <w:ind w:firstLine="420"/>
        <w:contextualSpacing/>
        <w:jc w:val="left"/>
        <w:rPr>
          <w:rFonts w:ascii="宋体" w:hAnsi="宋体" w:cs="宋体"/>
          <w:color w:val="000000"/>
        </w:rPr>
      </w:pPr>
      <w:r>
        <w:rPr>
          <w:rFonts w:hint="eastAsia" w:ascii="宋体" w:hAnsi="宋体" w:cs="宋体"/>
          <w:color w:val="000000"/>
        </w:rPr>
        <w:t xml:space="preserve">联系人： 潘先生              </w:t>
      </w:r>
    </w:p>
    <w:p>
      <w:pPr>
        <w:pStyle w:val="20"/>
        <w:widowControl/>
        <w:shd w:val="clear" w:color="auto" w:fill="FFFFFF"/>
        <w:spacing w:line="360" w:lineRule="auto"/>
        <w:ind w:firstLine="420"/>
        <w:contextualSpacing/>
        <w:jc w:val="left"/>
        <w:rPr>
          <w:rFonts w:ascii="宋体" w:hAnsi="宋体" w:cs="宋体"/>
          <w:color w:val="000000"/>
        </w:rPr>
      </w:pPr>
      <w:r>
        <w:rPr>
          <w:rFonts w:hint="eastAsia" w:ascii="宋体" w:hAnsi="宋体" w:cs="宋体"/>
          <w:color w:val="000000"/>
        </w:rPr>
        <w:t>联系电话：0374-6123959</w:t>
      </w:r>
    </w:p>
    <w:p>
      <w:pPr>
        <w:pStyle w:val="20"/>
        <w:widowControl/>
        <w:shd w:val="clear" w:color="auto" w:fill="FFFFFF"/>
        <w:spacing w:line="360" w:lineRule="auto"/>
        <w:ind w:firstLine="420"/>
        <w:contextualSpacing/>
        <w:jc w:val="left"/>
        <w:rPr>
          <w:rFonts w:ascii="宋体" w:hAnsi="宋体" w:cs="宋体"/>
          <w:color w:val="000000"/>
        </w:rPr>
      </w:pPr>
      <w:r>
        <w:rPr>
          <w:rFonts w:hint="eastAsia" w:ascii="宋体" w:hAnsi="宋体" w:cs="宋体"/>
          <w:color w:val="000000"/>
        </w:rPr>
        <w:t>代理机构：许昌建设工程项目管理有限公司</w:t>
      </w:r>
    </w:p>
    <w:p>
      <w:pPr>
        <w:pStyle w:val="20"/>
        <w:widowControl/>
        <w:shd w:val="clear" w:color="auto" w:fill="FFFFFF"/>
        <w:spacing w:line="360" w:lineRule="auto"/>
        <w:ind w:firstLine="420"/>
        <w:contextualSpacing/>
        <w:jc w:val="left"/>
        <w:rPr>
          <w:rFonts w:ascii="宋体" w:hAnsi="宋体" w:cs="宋体"/>
          <w:color w:val="000000"/>
        </w:rPr>
      </w:pPr>
      <w:r>
        <w:rPr>
          <w:rFonts w:hint="eastAsia" w:ascii="宋体" w:hAnsi="宋体" w:cs="宋体"/>
          <w:color w:val="000000"/>
        </w:rPr>
        <w:t>地 址：许昌市东泰街东泰大厦五楼</w:t>
      </w:r>
    </w:p>
    <w:p>
      <w:pPr>
        <w:pStyle w:val="20"/>
        <w:widowControl/>
        <w:shd w:val="clear" w:color="auto" w:fill="FFFFFF"/>
        <w:spacing w:line="360" w:lineRule="auto"/>
        <w:ind w:firstLine="420"/>
        <w:contextualSpacing/>
        <w:jc w:val="left"/>
        <w:rPr>
          <w:rFonts w:ascii="宋体" w:hAnsi="宋体" w:cs="宋体"/>
          <w:color w:val="000000"/>
        </w:rPr>
      </w:pPr>
      <w:r>
        <w:rPr>
          <w:rFonts w:hint="eastAsia" w:ascii="宋体" w:hAnsi="宋体" w:cs="宋体"/>
          <w:color w:val="000000"/>
        </w:rPr>
        <w:t>联系人：于女士</w:t>
      </w:r>
    </w:p>
    <w:p>
      <w:pPr>
        <w:pStyle w:val="20"/>
        <w:widowControl/>
        <w:shd w:val="clear" w:color="auto" w:fill="FFFFFF"/>
        <w:spacing w:line="360" w:lineRule="auto"/>
        <w:contextualSpacing/>
        <w:jc w:val="left"/>
        <w:rPr>
          <w:rFonts w:cs="仿宋_GB2312" w:asciiTheme="minorEastAsia" w:hAnsiTheme="minorEastAsia"/>
          <w:color w:val="000000"/>
          <w:shd w:val="clear" w:color="auto" w:fill="FFFFFF"/>
        </w:rPr>
      </w:pPr>
      <w:r>
        <w:rPr>
          <w:rFonts w:hint="eastAsia" w:ascii="宋体" w:hAnsi="宋体" w:cs="宋体"/>
          <w:color w:val="000000"/>
        </w:rPr>
        <w:t>联系电话：0374-2162698</w:t>
      </w:r>
    </w:p>
    <w:p>
      <w:pPr>
        <w:pStyle w:val="20"/>
        <w:autoSpaceDE w:val="0"/>
        <w:spacing w:before="156" w:after="156" w:line="360" w:lineRule="exact"/>
        <w:rPr>
          <w:rFonts w:ascii="宋体" w:hAnsi="宋体" w:cs="宋体"/>
          <w:b/>
          <w:bCs/>
        </w:rPr>
      </w:pPr>
      <w:r>
        <w:rPr>
          <w:rFonts w:hint="eastAsia" w:ascii="宋体" w:hAnsi="宋体" w:cs="宋体"/>
          <w:b/>
          <w:bCs/>
        </w:rPr>
        <w:t>特别提示：</w:t>
      </w:r>
    </w:p>
    <w:p>
      <w:pPr>
        <w:numPr>
          <w:ilvl w:val="0"/>
          <w:numId w:val="4"/>
        </w:num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所有投标单位请时刻关注全国公共资源交易平台（河南省.许昌市）网，澄清、答疑、变更均在全国公共资源交易平台（河南省.许昌市）网发布，不再另行通知。如未及时查看影响其投标，后果自负。</w:t>
      </w:r>
    </w:p>
    <w:p>
      <w:pPr>
        <w:pStyle w:val="20"/>
        <w:widowControl/>
        <w:numPr>
          <w:ilvl w:val="0"/>
          <w:numId w:val="4"/>
        </w:numPr>
        <w:shd w:val="clear" w:color="auto" w:fill="FFFFFF"/>
        <w:wordWrap w:val="0"/>
        <w:autoSpaceDE w:val="0"/>
        <w:spacing w:line="400" w:lineRule="exact"/>
        <w:ind w:firstLine="480" w:firstLineChars="200"/>
        <w:jc w:val="left"/>
        <w:rPr>
          <w:rFonts w:ascii="宋体" w:hAnsi="宋体" w:cs="宋体"/>
        </w:rPr>
      </w:pPr>
      <w:r>
        <w:rPr>
          <w:rFonts w:hint="eastAsia" w:ascii="宋体" w:hAnsi="宋体" w:cs="宋体"/>
        </w:rPr>
        <w:t>各供应商对代理公司提供的服务不满意，或认为代理公司在服务过程中有不当行为的，可致电长葛市公共资源交易管理委员会办公室监管股（0374-6189576），经查实后将视情况作出处理。</w:t>
      </w:r>
    </w:p>
    <w:p>
      <w:pPr>
        <w:pStyle w:val="20"/>
        <w:widowControl/>
        <w:shd w:val="clear" w:color="auto" w:fill="FFFFFF"/>
        <w:wordWrap w:val="0"/>
        <w:autoSpaceDE w:val="0"/>
        <w:spacing w:line="400" w:lineRule="exact"/>
        <w:ind w:left="420" w:leftChars="200"/>
        <w:jc w:val="left"/>
        <w:rPr>
          <w:rFonts w:ascii="宋体" w:hAnsi="宋体" w:cs="宋体"/>
        </w:rPr>
      </w:pPr>
    </w:p>
    <w:p>
      <w:pPr>
        <w:pStyle w:val="20"/>
        <w:widowControl/>
        <w:shd w:val="clear" w:color="auto" w:fill="FFFFFF"/>
        <w:wordWrap w:val="0"/>
        <w:autoSpaceDE w:val="0"/>
        <w:spacing w:line="400" w:lineRule="exact"/>
        <w:ind w:left="420" w:leftChars="200"/>
        <w:jc w:val="left"/>
        <w:rPr>
          <w:rFonts w:ascii="宋体" w:hAnsi="宋体" w:cs="宋体"/>
        </w:rPr>
      </w:pPr>
    </w:p>
    <w:p>
      <w:pPr>
        <w:pStyle w:val="20"/>
        <w:widowControl/>
        <w:shd w:val="clear" w:color="auto" w:fill="FFFFFF"/>
        <w:wordWrap w:val="0"/>
        <w:autoSpaceDE w:val="0"/>
        <w:spacing w:line="400" w:lineRule="exact"/>
        <w:ind w:left="420" w:leftChars="200"/>
        <w:jc w:val="left"/>
        <w:rPr>
          <w:rFonts w:ascii="宋体" w:hAnsi="宋体" w:cs="宋体"/>
        </w:rPr>
      </w:pPr>
    </w:p>
    <w:p>
      <w:pPr>
        <w:pStyle w:val="20"/>
        <w:widowControl/>
        <w:shd w:val="clear" w:color="auto" w:fill="FFFFFF"/>
        <w:wordWrap w:val="0"/>
        <w:autoSpaceDE w:val="0"/>
        <w:spacing w:line="400" w:lineRule="exact"/>
        <w:ind w:left="420" w:leftChars="200"/>
        <w:jc w:val="left"/>
        <w:rPr>
          <w:rFonts w:ascii="宋体" w:hAnsi="宋体" w:cs="宋体"/>
        </w:rPr>
      </w:pPr>
    </w:p>
    <w:p>
      <w:pPr>
        <w:pStyle w:val="20"/>
        <w:widowControl/>
        <w:shd w:val="clear" w:color="auto" w:fill="FFFFFF"/>
        <w:wordWrap w:val="0"/>
        <w:autoSpaceDE w:val="0"/>
        <w:spacing w:line="400" w:lineRule="exact"/>
        <w:ind w:left="420" w:leftChars="200"/>
        <w:jc w:val="left"/>
        <w:rPr>
          <w:rFonts w:ascii="宋体" w:hAnsi="宋体" w:cs="宋体"/>
        </w:rPr>
      </w:pPr>
    </w:p>
    <w:p>
      <w:pPr>
        <w:pStyle w:val="20"/>
        <w:widowControl/>
        <w:shd w:val="clear" w:color="auto" w:fill="FFFFFF"/>
        <w:wordWrap w:val="0"/>
        <w:autoSpaceDE w:val="0"/>
        <w:spacing w:line="400" w:lineRule="exact"/>
        <w:ind w:left="420" w:leftChars="200"/>
        <w:jc w:val="left"/>
        <w:rPr>
          <w:rFonts w:ascii="宋体" w:hAnsi="宋体" w:cs="宋体"/>
        </w:rPr>
      </w:pPr>
    </w:p>
    <w:p>
      <w:pPr>
        <w:pStyle w:val="20"/>
        <w:widowControl/>
        <w:shd w:val="clear" w:color="auto" w:fill="FFFFFF"/>
        <w:wordWrap w:val="0"/>
        <w:autoSpaceDE w:val="0"/>
        <w:spacing w:line="400" w:lineRule="exact"/>
        <w:ind w:left="420" w:leftChars="200"/>
        <w:jc w:val="left"/>
        <w:rPr>
          <w:rFonts w:ascii="宋体" w:hAnsi="宋体" w:cs="宋体"/>
        </w:rPr>
      </w:pPr>
    </w:p>
    <w:p>
      <w:pPr>
        <w:pStyle w:val="20"/>
        <w:widowControl/>
        <w:shd w:val="clear" w:color="auto" w:fill="FFFFFF"/>
        <w:wordWrap w:val="0"/>
        <w:autoSpaceDE w:val="0"/>
        <w:spacing w:line="400" w:lineRule="exact"/>
        <w:ind w:left="420" w:leftChars="200"/>
        <w:jc w:val="left"/>
        <w:rPr>
          <w:rFonts w:ascii="宋体" w:hAnsi="宋体" w:cs="宋体"/>
        </w:rPr>
      </w:pPr>
    </w:p>
    <w:p>
      <w:pPr>
        <w:pStyle w:val="20"/>
        <w:widowControl/>
        <w:shd w:val="clear" w:color="auto" w:fill="FFFFFF"/>
        <w:wordWrap w:val="0"/>
        <w:autoSpaceDE w:val="0"/>
        <w:spacing w:line="400" w:lineRule="exact"/>
        <w:ind w:left="420" w:leftChars="200"/>
        <w:jc w:val="left"/>
        <w:rPr>
          <w:rFonts w:ascii="宋体" w:hAnsi="宋体" w:cs="宋体"/>
        </w:rPr>
      </w:pPr>
    </w:p>
    <w:p>
      <w:pPr>
        <w:pStyle w:val="20"/>
        <w:widowControl/>
        <w:shd w:val="clear" w:color="auto" w:fill="FFFFFF"/>
        <w:wordWrap w:val="0"/>
        <w:autoSpaceDE w:val="0"/>
        <w:spacing w:line="400" w:lineRule="exact"/>
        <w:ind w:left="420" w:leftChars="200"/>
        <w:jc w:val="left"/>
        <w:rPr>
          <w:rFonts w:ascii="宋体" w:hAnsi="宋体" w:cs="宋体"/>
        </w:rPr>
      </w:pPr>
    </w:p>
    <w:p>
      <w:pPr>
        <w:pStyle w:val="20"/>
        <w:widowControl/>
        <w:shd w:val="clear" w:color="auto" w:fill="FFFFFF"/>
        <w:wordWrap w:val="0"/>
        <w:autoSpaceDE w:val="0"/>
        <w:spacing w:line="400" w:lineRule="exact"/>
        <w:ind w:left="420" w:leftChars="200"/>
        <w:jc w:val="left"/>
        <w:rPr>
          <w:rFonts w:ascii="宋体" w:hAnsi="宋体" w:cs="宋体"/>
        </w:rPr>
      </w:pPr>
    </w:p>
    <w:p>
      <w:pPr>
        <w:pStyle w:val="20"/>
        <w:widowControl/>
        <w:shd w:val="clear" w:color="auto" w:fill="FFFFFF"/>
        <w:wordWrap w:val="0"/>
        <w:autoSpaceDE w:val="0"/>
        <w:spacing w:line="400" w:lineRule="exact"/>
        <w:ind w:left="420" w:leftChars="200"/>
        <w:jc w:val="left"/>
        <w:rPr>
          <w:rFonts w:ascii="宋体" w:hAnsi="宋体" w:cs="宋体"/>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招标项目基本内容及要求</w:t>
      </w:r>
    </w:p>
    <w:p>
      <w:pPr>
        <w:widowControl/>
        <w:numPr>
          <w:ilvl w:val="0"/>
          <w:numId w:val="6"/>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项目基本情况</w:t>
      </w:r>
    </w:p>
    <w:p>
      <w:pPr>
        <w:widowControl/>
        <w:spacing w:before="100" w:after="100"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老城镇敬老院位于魏武大道东侧、金鱼河北岸，占地面积22亩，于2010年1投入使用，整体布局按照花园式标准建设，房屋131间， 160个床位，现集中供养特困对象70人，院外有健身广场（门球场）等休闲娱乐场所，绿化率达到30%以上，路面全部实现水泥硬化。</w:t>
      </w:r>
    </w:p>
    <w:p>
      <w:pPr>
        <w:spacing w:before="100" w:after="100" w:line="360" w:lineRule="auto"/>
        <w:ind w:firstLine="480" w:firstLineChars="200"/>
        <w:rPr>
          <w:rFonts w:ascii="宋体" w:hAnsi="宋体" w:eastAsia="宋体" w:cs="宋体"/>
          <w:kern w:val="0"/>
          <w:sz w:val="24"/>
          <w:szCs w:val="24"/>
        </w:rPr>
      </w:pPr>
      <w:r>
        <w:rPr>
          <w:rFonts w:hint="eastAsia" w:ascii="宋体" w:hAnsi="宋体" w:eastAsia="宋体" w:cs="宋体"/>
          <w:color w:val="000000"/>
          <w:sz w:val="24"/>
          <w:szCs w:val="24"/>
        </w:rPr>
        <w:t>长葛市</w:t>
      </w:r>
      <w:r>
        <w:rPr>
          <w:rFonts w:hint="eastAsia" w:ascii="宋体" w:hAnsi="宋体" w:eastAsia="宋体" w:cs="宋体"/>
          <w:kern w:val="0"/>
          <w:sz w:val="24"/>
          <w:szCs w:val="24"/>
        </w:rPr>
        <w:t>石象镇敬老院，位于石象镇王沙沃村西一公里路南， 1996年投入使用，2003年、2009年经过改、扩建，现有房屋 124间，100个床位，现集中供养特困对象63人，室外有健身广场。</w:t>
      </w:r>
    </w:p>
    <w:p>
      <w:pPr>
        <w:pStyle w:val="6"/>
        <w:spacing w:line="360" w:lineRule="auto"/>
        <w:ind w:firstLine="480" w:firstLineChars="200"/>
        <w:rPr>
          <w:rFonts w:hAnsi="宋体" w:cs="宋体"/>
          <w:sz w:val="24"/>
          <w:szCs w:val="24"/>
        </w:rPr>
      </w:pPr>
      <w:r>
        <w:rPr>
          <w:rFonts w:hint="eastAsia" w:hAnsi="宋体" w:cs="宋体"/>
          <w:color w:val="000000"/>
          <w:sz w:val="24"/>
          <w:szCs w:val="24"/>
        </w:rPr>
        <w:t>长葛市</w:t>
      </w:r>
      <w:r>
        <w:rPr>
          <w:rFonts w:hint="eastAsia" w:hAnsi="宋体" w:cs="宋体"/>
          <w:sz w:val="24"/>
          <w:szCs w:val="24"/>
        </w:rPr>
        <w:t>董村镇敬老院于1990年初投入启用，现占地23亩，房屋151间，建筑面积3500平方米，130个床位，院内路面硬化平整，生活区景色怡人，空气清新。现集中供养特困对象94人，贫困户2户2人。</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二、本项目需实现的功能或者目标</w:t>
      </w:r>
    </w:p>
    <w:p>
      <w:pPr>
        <w:spacing w:line="360" w:lineRule="auto"/>
        <w:ind w:firstLine="480" w:firstLineChars="200"/>
        <w:contextualSpacing/>
        <w:rPr>
          <w:sz w:val="28"/>
          <w:szCs w:val="28"/>
        </w:rPr>
      </w:pPr>
      <w:r>
        <w:rPr>
          <w:rFonts w:hint="eastAsia" w:ascii="宋体" w:hAnsi="宋体" w:eastAsia="宋体" w:cs="宋体"/>
          <w:sz w:val="24"/>
          <w:szCs w:val="24"/>
        </w:rPr>
        <w:t>根据长葛市人民政府会议精神，对长葛市老城镇敬老院、石象镇敬老院、董村镇敬老院进行“参、改、提”社会化改革，实行所有权和经营权分离，通过公开招标的方式，确定服务运营方，在相关部门的监督和审核下，服务运营方负责公办养老服务机构的运营管理工作，优化服务设施设备，提高管理和服务水平，推动公办养老服务机构健康和可持续发展。</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三、对服务运营方的要求</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运营方应满足但不限于以下主要条件： </w:t>
      </w:r>
    </w:p>
    <w:p>
      <w:pPr>
        <w:spacing w:line="520" w:lineRule="exact"/>
        <w:rPr>
          <w:rFonts w:ascii="宋体" w:hAnsi="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符合《中华人民共和国政府采购法》第二十二条的规定；供应商具有《养老机构设立许可证》或其运营项目具有《养老机构设立许可证》；具有与此次招标规模和服务内容相适应的资金能力和专业技术人员配置</w:t>
      </w:r>
      <w:r>
        <w:rPr>
          <w:rFonts w:hint="eastAsia" w:ascii="宋体" w:hAnsi="宋体" w:cs="宋体"/>
          <w:sz w:val="24"/>
          <w:szCs w:val="24"/>
        </w:rPr>
        <w:t>。</w:t>
      </w:r>
    </w:p>
    <w:p>
      <w:pPr>
        <w:spacing w:line="520" w:lineRule="exact"/>
        <w:rPr>
          <w:rFonts w:ascii="宋体" w:hAnsi="宋体" w:eastAsia="宋体" w:cs="宋体"/>
          <w:sz w:val="24"/>
          <w:szCs w:val="24"/>
        </w:rPr>
      </w:pPr>
      <w:r>
        <w:rPr>
          <w:rFonts w:hint="eastAsia" w:ascii="宋体" w:hAnsi="宋体" w:eastAsia="宋体" w:cs="宋体"/>
          <w:sz w:val="24"/>
          <w:szCs w:val="24"/>
        </w:rPr>
        <w:t xml:space="preserve">2、运营方原供养渠道不变，以镇敬老院供养的特困对象为主要服务对象，政府将供养保障对象的政策供养资金及时足额拨付给运营方。在预留的政府供养对象床位数不能满足兜底保障时，其余床位优先满足政府供养人员需要；政府供养床位入住不满，空置超过一定期限的，可调整为本市有需求的社会老年人提供服务。 </w:t>
      </w:r>
    </w:p>
    <w:p>
      <w:pPr>
        <w:spacing w:line="520" w:lineRule="exact"/>
        <w:rPr>
          <w:rFonts w:ascii="宋体" w:hAnsi="宋体" w:eastAsia="宋体" w:cs="宋体"/>
          <w:sz w:val="24"/>
          <w:szCs w:val="24"/>
        </w:rPr>
      </w:pPr>
      <w:r>
        <w:rPr>
          <w:rFonts w:hint="eastAsia" w:ascii="宋体" w:hAnsi="宋体" w:eastAsia="宋体" w:cs="宋体"/>
          <w:sz w:val="24"/>
          <w:szCs w:val="24"/>
        </w:rPr>
        <w:t>3、运营方需在2018年11月之前完成敬老院“参、改、提”工作，主要进行养老服务机构适老化改造、室内外装修、设施设备升级改造、信息平台建设等（按照许昌市民政局敬老院改造提升标准执行），全面提升我市公办养老服务机构的硬件和服务水平，改善政府供养对象的生活环境及服务条件。</w:t>
      </w:r>
    </w:p>
    <w:p>
      <w:pPr>
        <w:spacing w:line="520" w:lineRule="exact"/>
        <w:rPr>
          <w:rFonts w:ascii="宋体" w:hAnsi="宋体" w:eastAsia="宋体" w:cs="宋体"/>
          <w:sz w:val="24"/>
          <w:szCs w:val="24"/>
        </w:rPr>
      </w:pPr>
      <w:r>
        <w:rPr>
          <w:rFonts w:hint="eastAsia" w:ascii="宋体" w:hAnsi="宋体" w:eastAsia="宋体" w:cs="宋体"/>
          <w:sz w:val="24"/>
          <w:szCs w:val="24"/>
        </w:rPr>
        <w:t xml:space="preserve">4、运营方的运营管理行为必须符合国家和省、市政府部门颁布的相关政策规定和标准要求，参照但不限于《养老机构基本规范》（国家标准 GB/T 29353—2012）、《许昌特困人员救助供养实施细则》、《养老机构服务质量基本规范》（GB/T 35796—2017））等文件执行。 </w:t>
      </w:r>
    </w:p>
    <w:p>
      <w:pPr>
        <w:spacing w:line="520" w:lineRule="exact"/>
        <w:rPr>
          <w:rFonts w:ascii="宋体" w:hAnsi="宋体" w:eastAsia="宋体" w:cs="宋体"/>
          <w:sz w:val="24"/>
          <w:szCs w:val="24"/>
        </w:rPr>
      </w:pPr>
      <w:r>
        <w:rPr>
          <w:rFonts w:hint="eastAsia" w:ascii="宋体" w:hAnsi="宋体" w:eastAsia="宋体" w:cs="宋体"/>
          <w:sz w:val="24"/>
          <w:szCs w:val="24"/>
        </w:rPr>
        <w:t>5、运营方对现有镇敬老院的工作人员优先聘用，凡经运营方考核合格，本人愿意的在岗人员，运营方都应聘用，重新签订《劳动合同》。</w:t>
      </w:r>
    </w:p>
    <w:p>
      <w:pPr>
        <w:spacing w:line="520" w:lineRule="exact"/>
        <w:rPr>
          <w:rFonts w:ascii="宋体" w:hAnsi="宋体" w:eastAsia="宋体" w:cs="宋体"/>
          <w:sz w:val="24"/>
          <w:szCs w:val="24"/>
        </w:rPr>
      </w:pPr>
      <w:r>
        <w:rPr>
          <w:rFonts w:hint="eastAsia" w:ascii="宋体" w:hAnsi="宋体" w:eastAsia="宋体" w:cs="宋体"/>
          <w:sz w:val="24"/>
          <w:szCs w:val="24"/>
        </w:rPr>
        <w:t>6、运营管理合同期结束后，敬老院的国有资产、运营方投资的不动产和运营方在合同经营期内购置的可动产一并无偿移交给镇政府。运营管理合同期结束后，运营方在同等条件下优先获得运营管理权。</w:t>
      </w:r>
    </w:p>
    <w:p>
      <w:pPr>
        <w:spacing w:line="520" w:lineRule="exact"/>
        <w:rPr>
          <w:rFonts w:ascii="宋体" w:hAnsi="宋体" w:eastAsia="宋体" w:cs="宋体"/>
          <w:sz w:val="24"/>
          <w:szCs w:val="24"/>
        </w:rPr>
      </w:pPr>
      <w:r>
        <w:rPr>
          <w:rFonts w:hint="eastAsia" w:ascii="宋体" w:hAnsi="宋体" w:eastAsia="宋体" w:cs="宋体"/>
          <w:sz w:val="24"/>
          <w:szCs w:val="24"/>
        </w:rPr>
        <w:t xml:space="preserve">7、运营方负责按照国家相关标准和规定对敬老院进行建设、运营，并对固定资产进行日常管理维护，不得从事养老服务以外的经营活动，不得出租、出借、处置敬老院国有资产，不得以敬老院国有资产进行抵押、融资、贷款等活动。 </w:t>
      </w:r>
    </w:p>
    <w:p>
      <w:pPr>
        <w:spacing w:line="520" w:lineRule="exact"/>
        <w:rPr>
          <w:rFonts w:ascii="宋体" w:hAnsi="宋体" w:eastAsia="宋体" w:cs="宋体"/>
          <w:sz w:val="24"/>
          <w:szCs w:val="24"/>
        </w:rPr>
      </w:pPr>
      <w:r>
        <w:rPr>
          <w:rFonts w:hint="eastAsia" w:ascii="宋体" w:hAnsi="宋体" w:eastAsia="宋体" w:cs="宋体"/>
          <w:sz w:val="24"/>
          <w:szCs w:val="24"/>
        </w:rPr>
        <w:t xml:space="preserve">8、运营方接受政府监管，积极配合政府开展养老方面的有关工作。 </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三、对服务运营方的考核督查</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民政部门负责敬老院的监督、指导工作，各镇人民政府负责监督改制后的敬老院日常管理工作，对运营方在敬老院运营管理工作进行督促检查，发现问题及时督促其整改。每年组织开展考核评估，重点考核服务管理、履行合同、入住老人的满意度等情况，达不到考核要求时扣除相应比例的床位费和业务费，运营方整改后，经考核评估合格，扣除的床位费和业务费由下个年度发放，情节严重的，对国有资产造成损失的，消防达不到安全的，发生意外伤害的，依法追究其赔偿责任，并终止运营合同，运营方投资的不动产和运营方在合同经营期内购置的可动产无偿归政府所有；构成犯罪的，移交司法部门依法追究其刑事责任。 </w:t>
      </w:r>
    </w:p>
    <w:p>
      <w:pPr>
        <w:pStyle w:val="20"/>
        <w:widowControl/>
        <w:spacing w:before="225" w:line="360" w:lineRule="auto"/>
        <w:ind w:firstLine="420"/>
        <w:rPr>
          <w:rFonts w:cs="宋体" w:asciiTheme="minorEastAsia" w:hAnsiTheme="minorEastAsia" w:eastAsiaTheme="minorEastAsia"/>
          <w:b/>
          <w:color w:val="000000"/>
          <w:kern w:val="0"/>
          <w:lang w:val="zh-CN"/>
        </w:rPr>
      </w:pPr>
      <w:r>
        <w:rPr>
          <w:rFonts w:hint="eastAsia" w:ascii="宋体" w:hAnsi="宋体" w:cs="宋体"/>
          <w:b/>
          <w:bCs/>
          <w:color w:val="333333"/>
        </w:rPr>
        <w:t>四、运营管理期限：</w:t>
      </w:r>
      <w:r>
        <w:rPr>
          <w:rFonts w:hint="eastAsia" w:ascii="宋体" w:hAnsi="宋体" w:cs="宋体"/>
          <w:color w:val="333333"/>
        </w:rPr>
        <w:t>自合同签定生效之日起30年。</w:t>
      </w:r>
    </w:p>
    <w:p>
      <w:pPr>
        <w:pStyle w:val="20"/>
        <w:widowControl/>
        <w:spacing w:before="225" w:line="360" w:lineRule="auto"/>
        <w:ind w:firstLine="420"/>
        <w:rPr>
          <w:rFonts w:ascii="宋体" w:hAnsi="宋体" w:cs="宋体"/>
          <w:color w:val="333333"/>
        </w:rPr>
      </w:pPr>
      <w:r>
        <w:rPr>
          <w:rFonts w:hint="eastAsia" w:ascii="宋体" w:hAnsi="宋体" w:cs="宋体"/>
          <w:b/>
          <w:bCs/>
          <w:color w:val="333333"/>
        </w:rPr>
        <w:t>五、本项目运营管理方式</w:t>
      </w:r>
    </w:p>
    <w:p>
      <w:pPr>
        <w:pStyle w:val="20"/>
        <w:widowControl/>
        <w:spacing w:before="225" w:line="360" w:lineRule="auto"/>
        <w:ind w:firstLine="420"/>
        <w:rPr>
          <w:rFonts w:ascii="宋体" w:hAnsi="宋体" w:cs="宋体"/>
        </w:rPr>
      </w:pPr>
      <w:r>
        <w:rPr>
          <w:rFonts w:hint="eastAsia" w:ascii="宋体" w:hAnsi="宋体" w:cs="宋体"/>
          <w:color w:val="333333"/>
        </w:rPr>
        <w:t>1、运营方</w:t>
      </w:r>
      <w:r>
        <w:rPr>
          <w:rFonts w:hint="eastAsia" w:ascii="宋体" w:hAnsi="宋体" w:cs="宋体"/>
        </w:rPr>
        <w:t>按照国家相关标准和政策规定全权负责敬老院的建设、运营管理工作，优化服务设施设备，提高管理和服务水平，推动敬老院健康和可持续发展。</w:t>
      </w:r>
    </w:p>
    <w:p>
      <w:pPr>
        <w:pStyle w:val="20"/>
        <w:widowControl/>
        <w:spacing w:before="225" w:line="360" w:lineRule="auto"/>
        <w:ind w:firstLine="420"/>
        <w:rPr>
          <w:rFonts w:ascii="宋体" w:hAnsi="宋体" w:cs="宋体"/>
        </w:rPr>
      </w:pPr>
      <w:r>
        <w:rPr>
          <w:rFonts w:hint="eastAsia" w:ascii="宋体" w:hAnsi="宋体" w:cs="宋体"/>
          <w:color w:val="333333"/>
        </w:rPr>
        <w:t>2、敬老院所在地人民政府将特困对象供养资金按照供养标准对象人数及时足额拨付运营方，用于支付特困供养保障对象入住人员集中供养服务费用，不足部分由运营方自行解决。</w:t>
      </w:r>
    </w:p>
    <w:p>
      <w:pPr>
        <w:pStyle w:val="20"/>
        <w:widowControl/>
        <w:spacing w:before="225" w:line="360" w:lineRule="auto"/>
        <w:ind w:firstLine="420"/>
        <w:rPr>
          <w:rFonts w:ascii="宋体" w:hAnsi="宋体" w:cs="宋体"/>
          <w:color w:val="333333"/>
        </w:rPr>
      </w:pPr>
      <w:r>
        <w:rPr>
          <w:rFonts w:hint="eastAsia" w:ascii="宋体" w:hAnsi="宋体" w:cs="宋体"/>
          <w:color w:val="333333"/>
        </w:rPr>
        <w:t>3、</w:t>
      </w:r>
      <w:r>
        <w:rPr>
          <w:rFonts w:hint="eastAsia" w:ascii="宋体" w:hAnsi="宋体" w:cs="宋体"/>
        </w:rPr>
        <w:t>运营方</w:t>
      </w:r>
      <w:r>
        <w:rPr>
          <w:rFonts w:hint="eastAsia" w:ascii="宋体" w:hAnsi="宋体" w:cs="宋体"/>
          <w:color w:val="333333"/>
        </w:rPr>
        <w:t>自主经营，自负盈亏。</w:t>
      </w:r>
    </w:p>
    <w:p>
      <w:pPr>
        <w:pStyle w:val="20"/>
        <w:widowControl/>
        <w:spacing w:before="225" w:line="360" w:lineRule="auto"/>
        <w:ind w:firstLine="420"/>
        <w:rPr>
          <w:rFonts w:ascii="宋体" w:hAnsi="宋体" w:cs="宋体"/>
          <w:b/>
          <w:bCs/>
          <w:color w:val="333333"/>
        </w:rPr>
      </w:pPr>
      <w:r>
        <w:rPr>
          <w:rFonts w:hint="eastAsia" w:ascii="宋体" w:hAnsi="宋体" w:cs="宋体"/>
          <w:color w:val="333333"/>
        </w:rPr>
        <w:t>4、</w:t>
      </w:r>
      <w:r>
        <w:rPr>
          <w:rFonts w:hint="eastAsia" w:ascii="宋体" w:hAnsi="宋体" w:cs="宋体"/>
        </w:rPr>
        <w:t>运营方对敬老院进行适老化改造，室内外装修、设施设备升级改造、信息平台建设等，全面提升敬老院的硬件和服务水平，改善供养对象的生活环境及服务条件。</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pStyle w:val="6"/>
        <w:ind w:firstLine="240"/>
        <w:rPr>
          <w:rFonts w:cs="黑体" w:asciiTheme="minorEastAsia" w:hAnsiTheme="minorEastAsia"/>
          <w:color w:val="000000"/>
          <w:sz w:val="24"/>
          <w:szCs w:val="24"/>
          <w:lang w:val="zh-CN"/>
        </w:rPr>
      </w:pPr>
    </w:p>
    <w:p>
      <w:pPr>
        <w:pStyle w:val="6"/>
        <w:ind w:firstLine="240"/>
        <w:rPr>
          <w:rFonts w:cs="黑体" w:asciiTheme="minorEastAsia" w:hAnsiTheme="minorEastAsia"/>
          <w:color w:val="000000"/>
          <w:sz w:val="24"/>
          <w:szCs w:val="24"/>
          <w:lang w:val="zh-CN"/>
        </w:rPr>
      </w:pPr>
    </w:p>
    <w:p>
      <w:pPr>
        <w:pStyle w:val="6"/>
        <w:ind w:firstLine="240"/>
        <w:rPr>
          <w:rFonts w:cs="黑体" w:asciiTheme="minorEastAsia" w:hAnsiTheme="minorEastAsia"/>
          <w:color w:val="000000"/>
          <w:sz w:val="24"/>
          <w:szCs w:val="24"/>
          <w:lang w:val="zh-CN"/>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pStyle w:val="27"/>
        <w:rPr>
          <w:rFonts w:asciiTheme="majorEastAsia" w:hAnsiTheme="majorEastAsia" w:eastAsiaTheme="majorEastAsia"/>
          <w:b/>
          <w:sz w:val="36"/>
          <w:szCs w:val="36"/>
        </w:rPr>
      </w:pPr>
    </w:p>
    <w:p>
      <w:pPr>
        <w:pStyle w:val="27"/>
        <w:rPr>
          <w:rFonts w:asciiTheme="majorEastAsia" w:hAnsiTheme="majorEastAsia" w:eastAsiaTheme="majorEastAsia"/>
          <w:b/>
          <w:sz w:val="36"/>
          <w:szCs w:val="36"/>
        </w:rPr>
      </w:pPr>
    </w:p>
    <w:p>
      <w:pPr>
        <w:pStyle w:val="27"/>
        <w:rPr>
          <w:rFonts w:asciiTheme="majorEastAsia" w:hAnsiTheme="majorEastAsia" w:eastAsiaTheme="majorEastAsia"/>
          <w:b/>
          <w:sz w:val="36"/>
          <w:szCs w:val="36"/>
        </w:rPr>
      </w:pPr>
    </w:p>
    <w:p>
      <w:pPr>
        <w:pStyle w:val="27"/>
        <w:rPr>
          <w:rFonts w:asciiTheme="majorEastAsia" w:hAnsiTheme="majorEastAsia" w:eastAsiaTheme="majorEastAsia"/>
          <w:b/>
          <w:sz w:val="36"/>
          <w:szCs w:val="36"/>
        </w:rPr>
      </w:pPr>
    </w:p>
    <w:p>
      <w:pPr>
        <w:pStyle w:val="27"/>
        <w:rPr>
          <w:rFonts w:asciiTheme="majorEastAsia" w:hAnsiTheme="majorEastAsia" w:eastAsiaTheme="majorEastAsia"/>
          <w:b/>
          <w:sz w:val="36"/>
          <w:szCs w:val="36"/>
        </w:rPr>
      </w:pPr>
    </w:p>
    <w:p>
      <w:pPr>
        <w:pStyle w:val="27"/>
        <w:rPr>
          <w:rFonts w:asciiTheme="majorEastAsia" w:hAnsiTheme="majorEastAsia" w:eastAsiaTheme="majorEastAsia"/>
          <w:b/>
          <w:sz w:val="36"/>
          <w:szCs w:val="36"/>
        </w:rPr>
      </w:pPr>
    </w:p>
    <w:p>
      <w:pPr>
        <w:pStyle w:val="27"/>
        <w:rPr>
          <w:rFonts w:asciiTheme="majorEastAsia" w:hAnsiTheme="majorEastAsia" w:eastAsiaTheme="majorEastAsia"/>
          <w:b/>
          <w:sz w:val="36"/>
          <w:szCs w:val="36"/>
        </w:rPr>
      </w:pPr>
    </w:p>
    <w:p>
      <w:pPr>
        <w:autoSpaceDE w:val="0"/>
        <w:autoSpaceDN w:val="0"/>
        <w:adjustRightInd w:val="0"/>
        <w:spacing w:line="700" w:lineRule="exact"/>
        <w:ind w:firstLine="3097" w:firstLineChars="964"/>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3097" w:firstLineChars="964"/>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3097" w:firstLineChars="964"/>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3097" w:firstLineChars="964"/>
        <w:rPr>
          <w:rFonts w:asciiTheme="majorEastAsia" w:hAnsiTheme="majorEastAsia" w:eastAsiaTheme="majorEastAsia" w:cstheme="majorEastAsia"/>
          <w:b/>
          <w:bCs/>
          <w:sz w:val="32"/>
          <w:szCs w:val="32"/>
          <w:lang w:val="zh-CN"/>
        </w:rPr>
      </w:pPr>
    </w:p>
    <w:p>
      <w:pPr>
        <w:jc w:val="center"/>
        <w:rPr>
          <w:rFonts w:cs="宋体" w:asciiTheme="majorEastAsia" w:hAnsiTheme="majorEastAsia" w:eastAsiaTheme="majorEastAsia"/>
          <w:b/>
          <w:kern w:val="0"/>
          <w:sz w:val="36"/>
          <w:szCs w:val="36"/>
          <w:lang w:val="zh-CN"/>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zh-CN"/>
        </w:rPr>
        <w:t>第三章投标人须知前附表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ind w:left="1440" w:hanging="1440" w:hangingChars="600"/>
              <w:jc w:val="left"/>
              <w:rPr>
                <w:rFonts w:ascii="宋体" w:hAnsi="宋体" w:eastAsia="宋体" w:cs="宋体"/>
                <w:color w:val="000000"/>
                <w:sz w:val="24"/>
                <w:szCs w:val="24"/>
              </w:rPr>
            </w:pPr>
            <w:r>
              <w:rPr>
                <w:rFonts w:hint="eastAsia" w:cs="仿宋_GB2312" w:asciiTheme="minorEastAsia" w:hAnsiTheme="minorEastAsia"/>
                <w:sz w:val="24"/>
                <w:szCs w:val="24"/>
              </w:rPr>
              <w:t>项目名称：</w:t>
            </w:r>
            <w:r>
              <w:rPr>
                <w:rFonts w:hint="eastAsia" w:ascii="宋体" w:hAnsi="宋体" w:eastAsia="宋体" w:cs="宋体"/>
                <w:color w:val="000000"/>
                <w:sz w:val="24"/>
                <w:szCs w:val="24"/>
              </w:rPr>
              <w:t>长葛市老城镇等三家敬老院招运营方项目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项目编号：长招采公字【2018】43号  </w:t>
            </w:r>
          </w:p>
          <w:p>
            <w:pPr>
              <w:shd w:val="clear" w:color="auto" w:fill="FFFFFF"/>
              <w:spacing w:line="360" w:lineRule="auto"/>
              <w:rPr>
                <w:rFonts w:ascii="仿宋" w:hAnsi="仿宋" w:cs="仿宋"/>
                <w:color w:val="000000"/>
                <w:sz w:val="30"/>
                <w:szCs w:val="30"/>
              </w:rPr>
            </w:pPr>
            <w:r>
              <w:rPr>
                <w:rFonts w:hint="eastAsia" w:cs="仿宋_GB2312" w:asciiTheme="minorEastAsia" w:hAnsiTheme="minorEastAsia"/>
                <w:sz w:val="24"/>
                <w:szCs w:val="24"/>
              </w:rPr>
              <w:t>项目内容：选定</w:t>
            </w:r>
            <w:r>
              <w:rPr>
                <w:rFonts w:hint="eastAsia" w:ascii="宋体" w:hAnsi="宋体" w:eastAsia="宋体" w:cs="宋体"/>
                <w:color w:val="000000"/>
                <w:sz w:val="24"/>
                <w:szCs w:val="24"/>
              </w:rPr>
              <w:t>长葛市老城镇等三个镇敬老院的服务运营方</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项目地址：长葛市</w:t>
            </w:r>
            <w:r>
              <w:rPr>
                <w:rFonts w:hint="eastAsia" w:ascii="宋体" w:hAnsi="宋体" w:eastAsia="宋体" w:cs="宋体"/>
                <w:color w:val="000000"/>
                <w:sz w:val="24"/>
                <w:szCs w:val="24"/>
              </w:rPr>
              <w:t>老城镇等三个乡镇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招标人</w:t>
            </w:r>
          </w:p>
        </w:tc>
        <w:tc>
          <w:tcPr>
            <w:tcW w:w="6813" w:type="dxa"/>
            <w:vAlign w:val="center"/>
          </w:tcPr>
          <w:p>
            <w:pPr>
              <w:autoSpaceDE w:val="0"/>
              <w:autoSpaceDN w:val="0"/>
              <w:adjustRightInd w:val="0"/>
              <w:spacing w:line="360" w:lineRule="auto"/>
              <w:jc w:val="left"/>
              <w:rPr>
                <w:rFonts w:eastAsia="宋体" w:cs="仿宋_GB2312" w:asciiTheme="minorEastAsia" w:hAnsiTheme="minorEastAsia"/>
                <w:sz w:val="24"/>
                <w:szCs w:val="24"/>
              </w:rPr>
            </w:pPr>
            <w:r>
              <w:rPr>
                <w:rFonts w:hint="eastAsia" w:cs="仿宋_GB2312" w:asciiTheme="minorEastAsia" w:hAnsiTheme="minorEastAsia"/>
                <w:sz w:val="24"/>
                <w:szCs w:val="24"/>
              </w:rPr>
              <w:t>名称：</w:t>
            </w:r>
            <w:r>
              <w:rPr>
                <w:rFonts w:hint="eastAsia" w:ascii="宋体" w:hAnsi="宋体" w:eastAsia="宋体" w:cs="宋体"/>
                <w:color w:val="000000"/>
                <w:sz w:val="24"/>
                <w:szCs w:val="24"/>
              </w:rPr>
              <w:t>长葛市民政局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地址：长葛市葛天大道东段商务区2号楼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联系人：潘先生                </w:t>
            </w:r>
          </w:p>
          <w:p>
            <w:pPr>
              <w:pStyle w:val="20"/>
              <w:widowControl/>
              <w:shd w:val="clear" w:color="auto" w:fill="FFFFFF"/>
              <w:spacing w:line="360" w:lineRule="auto"/>
              <w:contextualSpacing/>
              <w:jc w:val="left"/>
              <w:rPr>
                <w:rFonts w:cs="仿宋_GB2312" w:asciiTheme="minorEastAsia" w:hAnsiTheme="minorEastAsia"/>
              </w:rPr>
            </w:pPr>
            <w:r>
              <w:rPr>
                <w:rFonts w:hint="eastAsia" w:cs="仿宋_GB2312" w:asciiTheme="minorEastAsia" w:hAnsiTheme="minorEastAsia"/>
              </w:rPr>
              <w:t>电话：</w:t>
            </w:r>
            <w:r>
              <w:rPr>
                <w:rFonts w:hint="eastAsia" w:ascii="宋体" w:hAnsi="宋体" w:cs="宋体"/>
                <w:color w:val="000000"/>
              </w:rPr>
              <w:t>0374-6123959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名称：许昌建设工程项目管理有限公司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地址：许昌市东泰街东泰大厦五楼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联系人：于女士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电话：0374-2162698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sz w:val="24"/>
                <w:szCs w:val="24"/>
              </w:rPr>
            </w:pPr>
            <w:r>
              <w:rPr>
                <w:rFonts w:hint="eastAsia" w:cs="宋体" w:asciiTheme="minorEastAsia" w:hAnsiTheme="minorEastAsia"/>
                <w:b/>
                <w:sz w:val="24"/>
                <w:szCs w:val="24"/>
              </w:rPr>
              <w:t>（</w:t>
            </w:r>
            <w:r>
              <w:rPr>
                <w:rFonts w:hint="eastAsia" w:cs="宋体" w:asciiTheme="minorEastAsia" w:hAnsiTheme="minorEastAsia"/>
                <w:b/>
                <w:sz w:val="24"/>
                <w:szCs w:val="24"/>
                <w:lang w:val="zh-CN"/>
              </w:rPr>
              <w:t>一</w:t>
            </w:r>
            <w:r>
              <w:rPr>
                <w:rFonts w:hint="eastAsia" w:cs="宋体" w:asciiTheme="minorEastAsia" w:hAnsiTheme="minorEastAsia"/>
                <w:b/>
                <w:sz w:val="24"/>
                <w:szCs w:val="24"/>
              </w:rPr>
              <w:t>）资格要求</w:t>
            </w:r>
          </w:p>
          <w:p>
            <w:pPr>
              <w:pStyle w:val="20"/>
              <w:widowControl/>
              <w:shd w:val="clear" w:color="auto" w:fill="FFFFFF"/>
              <w:spacing w:line="360" w:lineRule="auto"/>
              <w:contextualSpacing/>
              <w:jc w:val="left"/>
              <w:rPr>
                <w:rFonts w:ascii="宋体" w:hAnsi="宋体" w:cs="宋体"/>
                <w:color w:val="000000"/>
                <w:kern w:val="0"/>
                <w:lang w:val="zh-CN"/>
              </w:rPr>
            </w:pPr>
            <w:r>
              <w:rPr>
                <w:rFonts w:hint="eastAsia" w:cs="宋体" w:asciiTheme="minorEastAsia" w:hAnsiTheme="minorEastAsia"/>
                <w:bCs/>
              </w:rPr>
              <w:t xml:space="preserve">1、 </w:t>
            </w:r>
            <w:r>
              <w:rPr>
                <w:rFonts w:hint="eastAsia" w:ascii="宋体" w:hAnsi="宋体" w:cs="宋体"/>
                <w:color w:val="000000"/>
                <w:kern w:val="0"/>
                <w:lang w:val="zh-CN"/>
              </w:rPr>
              <w:t>符合《中华人民共和国政府采购法》第二十二条的规定。</w:t>
            </w:r>
          </w:p>
          <w:p>
            <w:pPr>
              <w:autoSpaceDE w:val="0"/>
              <w:autoSpaceDN w:val="0"/>
              <w:adjustRightInd w:val="0"/>
              <w:spacing w:line="360" w:lineRule="auto"/>
              <w:ind w:right="-11"/>
              <w:rPr>
                <w:rFonts w:cs="宋体" w:asciiTheme="minorEastAsia" w:hAnsiTheme="minorEastAsia"/>
                <w:bCs/>
                <w:sz w:val="24"/>
                <w:szCs w:val="24"/>
              </w:rPr>
            </w:pPr>
            <w:r>
              <w:rPr>
                <w:rFonts w:hint="eastAsia" w:cs="宋体" w:asciiTheme="minorEastAsia" w:hAnsiTheme="minorEastAsia"/>
                <w:bCs/>
                <w:sz w:val="24"/>
                <w:szCs w:val="24"/>
              </w:rPr>
              <w:t>2、供应商具有《养老机构设立许可证》或其运营项目具有《养老机构设立许可证》；具有与此次招标规模和服务内容相适应的资金能力和专业技术人员配置。</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b/>
                <w:sz w:val="24"/>
                <w:szCs w:val="24"/>
              </w:rPr>
              <w:t>（二）财务状况：</w:t>
            </w:r>
            <w:r>
              <w:rPr>
                <w:rFonts w:hint="eastAsia" w:cs="仿宋_GB2312" w:asciiTheme="minorEastAsia" w:hAnsiTheme="minorEastAsia"/>
                <w:bCs/>
                <w:sz w:val="24"/>
                <w:szCs w:val="24"/>
              </w:rPr>
              <w:t>良好，需提供上一</w:t>
            </w:r>
            <w:r>
              <w:rPr>
                <w:rFonts w:hint="eastAsia" w:cs="宋体" w:asciiTheme="minorEastAsia" w:hAnsiTheme="minorEastAsia"/>
                <w:bCs/>
                <w:sz w:val="24"/>
                <w:szCs w:val="24"/>
                <w:lang w:val="zh-CN"/>
              </w:rPr>
              <w:t>年度的财务报告</w:t>
            </w:r>
            <w:r>
              <w:rPr>
                <w:rFonts w:hint="eastAsia" w:cs="宋体" w:asciiTheme="minorEastAsia" w:hAnsiTheme="minorEastAsia"/>
                <w:bCs/>
                <w:sz w:val="24"/>
                <w:szCs w:val="24"/>
                <w:lang w:val="en-US" w:eastAsia="zh-CN"/>
              </w:rPr>
              <w:t>(如成立不到一年无需提供)</w:t>
            </w:r>
            <w:r>
              <w:rPr>
                <w:rFonts w:hint="eastAsia" w:cs="宋体" w:asciiTheme="minorEastAsia" w:hAnsiTheme="minorEastAsia"/>
                <w:bCs/>
                <w:sz w:val="24"/>
                <w:szCs w:val="24"/>
                <w:lang w:val="zh-CN"/>
              </w:rPr>
              <w:t>。</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税务登记证和投标截止时间前三个月内任意一个月缴纳税收凭据。（非盈利企业和依法免税的供应商，应提供相应证明文件）</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w:t>
            </w:r>
          </w:p>
          <w:p>
            <w:pPr>
              <w:autoSpaceDE w:val="0"/>
              <w:autoSpaceDN w:val="0"/>
              <w:adjustRightInd w:val="0"/>
              <w:spacing w:line="24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投标截止时间前三个月内任意一个月缴纳社会保险凭据。（非盈利企业和依法不需要缴纳社会保障资金的供应商，应提供相应证明文件）</w:t>
            </w:r>
          </w:p>
          <w:p>
            <w:pPr>
              <w:autoSpaceDE w:val="0"/>
              <w:autoSpaceDN w:val="0"/>
              <w:adjustRightInd w:val="0"/>
              <w:spacing w:line="24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（五）履行合同所必须的专业技术能力</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供应商专业技术人员岗位证书、用工合同等</w:t>
            </w:r>
            <w:r>
              <w:rPr>
                <w:rFonts w:hint="eastAsia" w:cs="宋体" w:asciiTheme="minorEastAsia" w:hAnsiTheme="minorEastAsia"/>
                <w:kern w:val="0"/>
                <w:sz w:val="24"/>
                <w:szCs w:val="24"/>
              </w:rPr>
              <w:t>。</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 w:val="24"/>
                <w:szCs w:val="24"/>
                <w:shd w:val="clear" w:color="auto" w:fill="FFFFFF"/>
              </w:rPr>
              <w:t>供应商和“</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w:t>
            </w:r>
            <w:r>
              <w:rPr>
                <w:rFonts w:hint="eastAsia" w:cs="仿宋_GB2312" w:asciiTheme="minorEastAsia" w:hAnsiTheme="minorEastAsia"/>
                <w:b/>
                <w:color w:val="000000"/>
                <w:sz w:val="24"/>
                <w:szCs w:val="24"/>
                <w:shd w:val="clear" w:color="auto" w:fill="FFFFFF"/>
              </w:rPr>
              <w:t>供应商</w:t>
            </w:r>
            <w:r>
              <w:rPr>
                <w:rFonts w:hint="eastAsia" w:cs="宋体" w:asciiTheme="minorEastAsia" w:hAnsiTheme="minorEastAsia"/>
                <w:b/>
                <w:bCs/>
                <w:sz w:val="24"/>
                <w:szCs w:val="24"/>
                <w:lang w:val="zh-CN"/>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3、信用信息查询记录和证据留存具体方式：经招标人确认的查询结果网页截图作为查询记录和证据，与其他采购文件一并保存；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4、信用信息的使用原则：经招标人认定的被列入失信被执行人、重大税收违法案件当事人名单、政府采购严重违法失信行为记录名单的供应商，将拒绝其参与政府采购活动。</w:t>
            </w:r>
          </w:p>
          <w:p>
            <w:pPr>
              <w:pStyle w:val="20"/>
              <w:autoSpaceDE w:val="0"/>
              <w:spacing w:line="360" w:lineRule="exact"/>
              <w:ind w:firstLine="480" w:firstLineChars="200"/>
              <w:rPr>
                <w:rFonts w:ascii="宋体" w:hAnsi="宋体" w:cs="宋体"/>
                <w:color w:val="0000FF"/>
                <w:kern w:val="0"/>
                <w:lang w:val="zh-CN"/>
              </w:rPr>
            </w:pPr>
            <w:r>
              <w:rPr>
                <w:rFonts w:hint="eastAsia" w:cs="宋体" w:asciiTheme="minorEastAsia" w:hAnsiTheme="minorEastAsia"/>
                <w:kern w:val="0"/>
              </w:rPr>
              <w:t>5、供应商不良信用记录以招标人查询结果为准，招标人查询之后，网站信息发生的任何变更不再作为评审依据，供应商自行提供的与网站信息不一致的其他证明材料亦不作为评审依据。</w:t>
            </w:r>
          </w:p>
          <w:p>
            <w:pPr>
              <w:wordWrap w:val="0"/>
              <w:topLinePunct/>
              <w:autoSpaceDE w:val="0"/>
              <w:autoSpaceDN w:val="0"/>
              <w:adjustRightInd w:val="0"/>
              <w:snapToGrid w:val="0"/>
              <w:spacing w:line="360" w:lineRule="auto"/>
              <w:rPr>
                <w:rFonts w:cs="仿宋_GB2312" w:asciiTheme="minorEastAsia" w:hAnsiTheme="minorEastAsia"/>
                <w:sz w:val="24"/>
                <w:szCs w:val="24"/>
              </w:rPr>
            </w:pPr>
            <w:r>
              <w:rPr>
                <w:rFonts w:hint="eastAsia" w:ascii="宋体" w:hAnsi="宋体" w:eastAsia="宋体" w:cs="宋体"/>
                <w:color w:val="000000"/>
                <w:kern w:val="0"/>
                <w:sz w:val="24"/>
                <w:szCs w:val="24"/>
                <w:lang w:val="zh-CN"/>
              </w:rPr>
              <w:t>（八）本次招标不接受联合体投标。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投标报价</w:t>
            </w:r>
          </w:p>
          <w:p>
            <w:pPr>
              <w:autoSpaceDE w:val="0"/>
              <w:autoSpaceDN w:val="0"/>
              <w:adjustRightInd w:val="0"/>
              <w:spacing w:line="276" w:lineRule="auto"/>
              <w:jc w:val="center"/>
              <w:rPr>
                <w:rFonts w:ascii="宋体" w:hAnsi="宋体" w:eastAsia="宋体" w:cs="宋体"/>
                <w:sz w:val="24"/>
                <w:szCs w:val="24"/>
                <w:shd w:val="clear" w:color="auto" w:fill="FFFFFF"/>
              </w:rPr>
            </w:pPr>
            <w:r>
              <w:rPr>
                <w:rFonts w:hint="eastAsia" w:cs="宋体" w:asciiTheme="minorEastAsia" w:hAnsiTheme="minorEastAsia"/>
                <w:bCs/>
                <w:sz w:val="24"/>
                <w:szCs w:val="24"/>
              </w:rPr>
              <w:t>（费率）</w:t>
            </w:r>
          </w:p>
        </w:tc>
        <w:tc>
          <w:tcPr>
            <w:tcW w:w="6813" w:type="dxa"/>
            <w:vAlign w:val="center"/>
          </w:tcPr>
          <w:p>
            <w:pPr>
              <w:autoSpaceDE w:val="0"/>
              <w:autoSpaceDN w:val="0"/>
              <w:adjustRightInd w:val="0"/>
              <w:spacing w:line="276" w:lineRule="auto"/>
              <w:rPr>
                <w:rFonts w:cs="宋体" w:asciiTheme="minorEastAsia" w:hAnsiTheme="minorEastAsia"/>
                <w:b/>
                <w:bCs/>
                <w:kern w:val="0"/>
                <w:sz w:val="24"/>
                <w:szCs w:val="24"/>
              </w:rPr>
            </w:pPr>
            <w:r>
              <w:rPr>
                <w:rFonts w:hint="eastAsia" w:cs="宋体" w:asciiTheme="minorEastAsia" w:hAnsiTheme="minorEastAsia"/>
                <w:b/>
                <w:bCs/>
                <w:kern w:val="0"/>
                <w:sz w:val="24"/>
                <w:szCs w:val="24"/>
                <w:lang w:val="zh-CN"/>
              </w:rPr>
              <w:t>注：投标报价</w:t>
            </w:r>
            <w:r>
              <w:rPr>
                <w:rFonts w:hint="eastAsia" w:cs="宋体" w:asciiTheme="minorEastAsia" w:hAnsiTheme="minorEastAsia"/>
                <w:b/>
                <w:bCs/>
                <w:kern w:val="0"/>
                <w:sz w:val="24"/>
                <w:szCs w:val="24"/>
              </w:rPr>
              <w:t>（费率）为投标单位实际投标费率</w:t>
            </w:r>
          </w:p>
          <w:p>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kern w:val="0"/>
                <w:sz w:val="24"/>
                <w:szCs w:val="24"/>
                <w:lang w:val="zh-CN"/>
              </w:rPr>
              <w:t>实际的收费价格</w:t>
            </w:r>
            <w:r>
              <w:rPr>
                <w:rFonts w:hint="eastAsia" w:cs="宋体" w:asciiTheme="minorEastAsia" w:hAnsiTheme="minorEastAsia"/>
                <w:b/>
                <w:bCs/>
                <w:kern w:val="0"/>
                <w:sz w:val="24"/>
                <w:szCs w:val="24"/>
              </w:rPr>
              <w:t>=物价部门</w:t>
            </w:r>
            <w:r>
              <w:rPr>
                <w:rFonts w:hint="eastAsia" w:cs="宋体" w:asciiTheme="minorEastAsia" w:hAnsiTheme="minorEastAsia"/>
                <w:b/>
                <w:bCs/>
                <w:kern w:val="0"/>
                <w:sz w:val="24"/>
                <w:szCs w:val="24"/>
                <w:lang w:val="zh-CN"/>
              </w:rPr>
              <w:t>核定的收费标准</w:t>
            </w:r>
            <w:r>
              <w:rPr>
                <w:rFonts w:hint="eastAsia" w:cs="宋体" w:asciiTheme="minorEastAsia" w:hAnsiTheme="minorEastAsia"/>
                <w:b/>
                <w:bCs/>
                <w:kern w:val="0"/>
                <w:sz w:val="24"/>
                <w:szCs w:val="24"/>
              </w:rPr>
              <w:t>*</w:t>
            </w:r>
            <w:r>
              <w:rPr>
                <w:rFonts w:hint="eastAsia" w:cs="宋体" w:asciiTheme="minorEastAsia" w:hAnsiTheme="minorEastAsia"/>
                <w:b/>
                <w:bCs/>
                <w:sz w:val="24"/>
                <w:szCs w:val="24"/>
                <w:lang w:val="zh-CN"/>
              </w:rPr>
              <w:t>投标报价</w:t>
            </w:r>
          </w:p>
          <w:p>
            <w:pPr>
              <w:autoSpaceDE w:val="0"/>
              <w:autoSpaceDN w:val="0"/>
              <w:adjustRightInd w:val="0"/>
              <w:spacing w:line="276" w:lineRule="auto"/>
            </w:pPr>
            <w:r>
              <w:rPr>
                <w:rFonts w:hint="eastAsia" w:cs="宋体" w:asciiTheme="minorEastAsia" w:hAnsiTheme="minorEastAsia"/>
                <w:b/>
                <w:bCs/>
                <w:sz w:val="24"/>
                <w:szCs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最高限价</w:t>
            </w:r>
          </w:p>
        </w:tc>
        <w:tc>
          <w:tcPr>
            <w:tcW w:w="6813" w:type="dxa"/>
            <w:vAlign w:val="center"/>
          </w:tcPr>
          <w:p>
            <w:pPr>
              <w:autoSpaceDE w:val="0"/>
              <w:autoSpaceDN w:val="0"/>
              <w:adjustRightInd w:val="0"/>
              <w:spacing w:line="276" w:lineRule="auto"/>
              <w:rPr>
                <w:rFonts w:ascii="宋体" w:hAnsi="宋体" w:eastAsia="宋体" w:cs="宋体"/>
                <w:b/>
                <w:bCs/>
                <w:sz w:val="24"/>
                <w:szCs w:val="24"/>
                <w:lang w:val="zh-CN"/>
              </w:rPr>
            </w:pPr>
            <w:r>
              <w:rPr>
                <w:rFonts w:hint="eastAsia" w:ascii="宋体" w:hAnsi="宋体" w:eastAsia="宋体" w:cs="宋体"/>
                <w:b/>
                <w:bCs/>
                <w:sz w:val="24"/>
                <w:szCs w:val="24"/>
                <w:lang w:val="zh-CN"/>
              </w:rPr>
              <w:t>本项目最高限价为物价部门核定的收费标准，高于物价部门核定的收费标准的投标视为无效投标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w:t>
            </w:r>
            <w:r>
              <w:rPr>
                <w:rFonts w:hint="eastAsia" w:cs="仿宋_GB2312"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2018年</w:t>
            </w:r>
            <w:r>
              <w:rPr>
                <w:rFonts w:hint="eastAsia" w:cs="宋体" w:asciiTheme="minorEastAsia" w:hAnsiTheme="minorEastAsia"/>
                <w:bCs/>
                <w:sz w:val="24"/>
                <w:szCs w:val="24"/>
              </w:rPr>
              <w:t xml:space="preserve">9 </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26 </w:t>
            </w:r>
            <w:r>
              <w:rPr>
                <w:rFonts w:hint="eastAsia" w:cs="宋体" w:asciiTheme="minorEastAsia" w:hAnsiTheme="minorEastAsia"/>
                <w:bCs/>
                <w:sz w:val="24"/>
                <w:szCs w:val="24"/>
                <w:lang w:val="zh-CN"/>
              </w:rPr>
              <w:t>日9时</w:t>
            </w:r>
            <w:r>
              <w:rPr>
                <w:rFonts w:hint="eastAsia" w:cs="宋体" w:asciiTheme="minorEastAsia" w:hAnsiTheme="minorEastAsia"/>
                <w:bCs/>
                <w:sz w:val="24"/>
                <w:szCs w:val="24"/>
              </w:rPr>
              <w:t>0</w:t>
            </w:r>
            <w:r>
              <w:rPr>
                <w:rFonts w:hint="eastAsia" w:cs="宋体" w:asciiTheme="minorEastAsia" w:hAnsiTheme="minorEastAsia"/>
                <w:bCs/>
                <w:sz w:val="24"/>
                <w:szCs w:val="24"/>
                <w:lang w:val="zh-CN"/>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ind w:left="480" w:hanging="480" w:hangingChars="200"/>
              <w:rPr>
                <w:rFonts w:ascii="宋体" w:hAnsi="宋体" w:eastAsia="宋体" w:cs="宋体"/>
                <w:sz w:val="24"/>
                <w:szCs w:val="24"/>
              </w:rPr>
            </w:pPr>
            <w:r>
              <w:rPr>
                <w:rFonts w:hint="eastAsia" w:ascii="宋体" w:hAnsi="宋体" w:eastAsia="宋体" w:cs="宋体"/>
                <w:sz w:val="24"/>
                <w:szCs w:val="24"/>
              </w:rPr>
              <w:t>长葛市公共资源交易中心（长葛市葛天大道东段商务区6#楼</w:t>
            </w:r>
          </w:p>
          <w:p>
            <w:pPr>
              <w:autoSpaceDE w:val="0"/>
              <w:autoSpaceDN w:val="0"/>
              <w:adjustRightInd w:val="0"/>
              <w:spacing w:line="360" w:lineRule="auto"/>
              <w:ind w:left="480" w:hanging="480" w:hangingChars="200"/>
              <w:rPr>
                <w:rFonts w:cs="宋体" w:asciiTheme="minorEastAsia" w:hAnsiTheme="minorEastAsia"/>
                <w:bCs/>
                <w:sz w:val="24"/>
                <w:szCs w:val="24"/>
                <w:lang w:val="zh-CN"/>
              </w:rPr>
            </w:pPr>
            <w:r>
              <w:rPr>
                <w:rFonts w:hint="eastAsia" w:ascii="宋体" w:hAnsi="宋体" w:eastAsia="宋体" w:cs="宋体"/>
                <w:sz w:val="24"/>
                <w:szCs w:val="24"/>
              </w:rPr>
              <w:t>418开标三室）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spacing w:line="276" w:lineRule="auto"/>
              <w:rPr>
                <w:rFonts w:hAnsi="宋体" w:cs="仿宋_GB2312"/>
                <w:bCs/>
                <w:sz w:val="24"/>
                <w:szCs w:val="24"/>
              </w:rPr>
            </w:pPr>
            <w:r>
              <w:rPr>
                <w:rFonts w:hint="eastAsia" w:hAnsi="宋体" w:cs="仿宋_GB2312"/>
                <w:bCs/>
                <w:sz w:val="24"/>
                <w:szCs w:val="24"/>
              </w:rPr>
              <w:t>各供应商须按本采购文件规定缴纳投标保证金。</w:t>
            </w:r>
          </w:p>
          <w:p>
            <w:pPr>
              <w:spacing w:line="276" w:lineRule="auto"/>
              <w:rPr>
                <w:rFonts w:hAnsi="宋体" w:cs="仿宋_GB2312"/>
                <w:bCs/>
                <w:sz w:val="24"/>
                <w:szCs w:val="24"/>
              </w:rPr>
            </w:pPr>
            <w:r>
              <w:rPr>
                <w:rFonts w:hint="eastAsia" w:hAnsi="宋体" w:cs="仿宋_GB2312"/>
                <w:bCs/>
                <w:sz w:val="24"/>
                <w:szCs w:val="24"/>
              </w:rPr>
              <w:t>投标保证金为投标文件的组成部分之一。</w:t>
            </w:r>
          </w:p>
          <w:p>
            <w:pPr>
              <w:spacing w:line="276" w:lineRule="auto"/>
              <w:rPr>
                <w:rFonts w:hAnsi="宋体" w:cs="仿宋_GB2312"/>
                <w:bCs/>
                <w:sz w:val="24"/>
                <w:szCs w:val="24"/>
              </w:rPr>
            </w:pPr>
            <w:r>
              <w:rPr>
                <w:rFonts w:hint="eastAsia" w:hAnsi="宋体" w:cs="仿宋_GB2312"/>
                <w:bCs/>
                <w:sz w:val="24"/>
                <w:szCs w:val="24"/>
              </w:rPr>
              <w:t>投标保证金用于保护本次招标人免受供应商的行为而引起的风险。</w:t>
            </w:r>
          </w:p>
          <w:p>
            <w:pPr>
              <w:spacing w:line="276" w:lineRule="auto"/>
              <w:rPr>
                <w:rFonts w:hAnsi="宋体" w:cs="仿宋_GB2312"/>
                <w:b/>
                <w:sz w:val="24"/>
                <w:szCs w:val="24"/>
              </w:rPr>
            </w:pPr>
            <w:r>
              <w:rPr>
                <w:rFonts w:hint="eastAsia" w:hAnsi="宋体" w:cs="仿宋_GB2312"/>
                <w:b/>
                <w:sz w:val="24"/>
                <w:szCs w:val="24"/>
              </w:rPr>
              <w:t>1、投标保证金的缴纳</w:t>
            </w:r>
          </w:p>
          <w:p>
            <w:pPr>
              <w:spacing w:line="276" w:lineRule="auto"/>
              <w:rPr>
                <w:rFonts w:hAnsi="宋体" w:cs="仿宋_GB2312"/>
                <w:b/>
                <w:sz w:val="24"/>
                <w:szCs w:val="24"/>
              </w:rPr>
            </w:pPr>
            <w:r>
              <w:rPr>
                <w:rFonts w:hint="eastAsia" w:hAnsi="宋体" w:cs="仿宋_GB2312"/>
                <w:b/>
                <w:sz w:val="24"/>
                <w:szCs w:val="24"/>
              </w:rPr>
              <w:t>2、递交截止时间：2018年9 月26 日9 时00分。　　　</w:t>
            </w:r>
          </w:p>
          <w:p>
            <w:pPr>
              <w:spacing w:line="276" w:lineRule="auto"/>
              <w:rPr>
                <w:rFonts w:hAnsi="宋体" w:cs="仿宋_GB2312"/>
                <w:b/>
                <w:sz w:val="24"/>
                <w:szCs w:val="24"/>
              </w:rPr>
            </w:pPr>
            <w:r>
              <w:rPr>
                <w:rFonts w:hint="eastAsia" w:hAnsi="宋体" w:cs="仿宋_GB2312"/>
                <w:b/>
                <w:sz w:val="24"/>
                <w:szCs w:val="24"/>
              </w:rPr>
              <w:t>金额：壹万元整（￥10000.00元）</w:t>
            </w:r>
          </w:p>
          <w:p>
            <w:pPr>
              <w:tabs>
                <w:tab w:val="left" w:pos="1260"/>
              </w:tabs>
              <w:autoSpaceDE w:val="0"/>
              <w:autoSpaceDN w:val="0"/>
              <w:spacing w:line="360" w:lineRule="auto"/>
              <w:contextualSpacing/>
              <w:rPr>
                <w:rFonts w:hAnsi="宋体" w:cs="仿宋_GB2312"/>
                <w:b/>
                <w:sz w:val="24"/>
                <w:szCs w:val="24"/>
              </w:rPr>
            </w:pPr>
            <w:r>
              <w:rPr>
                <w:rFonts w:hint="eastAsia" w:hAnsi="宋体" w:cs="仿宋_GB2312"/>
                <w:b/>
                <w:sz w:val="24"/>
                <w:szCs w:val="24"/>
              </w:rPr>
              <w:t>3、递交方式：银行转账、银行电汇，不接受以现金方式缴纳的投标保证金。凡以现金方式缴纳投标保证金而影响其投标结果的，由供应商自行负责。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仿宋_GB2312"/>
                <w:b/>
                <w:sz w:val="24"/>
                <w:szCs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河南省政府采购网》、《河南省电子招标投标公共服务平台》、《全国公共资源交易平台（河南省·许昌市）》和《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招标人澄清或修改招标文件时间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投标文件五份，正本一份，副本四份（投标文件电子版一份U盘形式）。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签字或盖章要求</w:t>
            </w:r>
          </w:p>
        </w:tc>
        <w:tc>
          <w:tcPr>
            <w:tcW w:w="6813" w:type="dxa"/>
            <w:vAlign w:val="center"/>
          </w:tcPr>
          <w:p>
            <w:pPr>
              <w:autoSpaceDE w:val="0"/>
              <w:autoSpaceDN w:val="0"/>
              <w:adjustRightInd w:val="0"/>
              <w:spacing w:line="420" w:lineRule="exact"/>
              <w:rPr>
                <w:rFonts w:cs="仿宋_GB2312" w:asciiTheme="minorEastAsia" w:hAnsiTheme="minorEastAsia"/>
                <w:sz w:val="24"/>
                <w:szCs w:val="24"/>
              </w:rPr>
            </w:pPr>
            <w:r>
              <w:rPr>
                <w:rFonts w:hint="eastAsia" w:cs="仿宋_GB2312" w:asciiTheme="minorEastAsia" w:hAnsiTheme="minorEastAsia"/>
                <w:sz w:val="24"/>
                <w:szCs w:val="24"/>
              </w:rPr>
              <w:t>投标文件封面、投标函及投标函附录均应加盖供应商印章，并由供应商的法定代表人或其委托代理人签字或盖单位章。委托代理人签字的，投标文件应附法定代表人签署的授权委托书。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420" w:lineRule="exact"/>
              <w:ind w:firstLine="480" w:firstLineChars="200"/>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评标委员会构成： 5人，由招标人代表1人及技术、经济等方面专家4人组成，评标专家确定方式：从财政部门组建的评标专家库中随机抽取。评审委员会应当推选组长，但招标人代表不得担任组长。与供应商有利害关系的人不得进入评标委员会。</w:t>
            </w:r>
          </w:p>
          <w:p>
            <w:pPr>
              <w:autoSpaceDE w:val="0"/>
              <w:autoSpaceDN w:val="0"/>
              <w:adjustRightInd w:val="0"/>
              <w:spacing w:line="420" w:lineRule="exact"/>
              <w:rPr>
                <w:lang w:val="zh-CN"/>
              </w:rPr>
            </w:pPr>
            <w:r>
              <w:rPr>
                <w:rFonts w:hint="eastAsia" w:cs="仿宋_GB2312" w:asciiTheme="minorEastAsia" w:hAnsiTheme="minorEastAsia"/>
                <w:b/>
                <w:bCs/>
                <w:sz w:val="24"/>
                <w:szCs w:val="24"/>
              </w:rPr>
              <w:t>注：评审专家在评审过程中存在不良记录行为的，将按照《政府采购评审专家管理办法》〔财库（2016）198号〕、《许昌市公共资源交易当事人不良行为管理暂行办法》〔许公管委〔2017〕1号〕、《许昌市政府采购行为规范》（许财购〔2017〕3号）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封套上应载明的信息</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供应商的名称：  </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招标编号：</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投标项目：</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在    年   月   日  时  分前不得开启</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（投标文件包开口处应以密封条密封，并加盖骑缝章）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递交投标文件地点</w:t>
            </w:r>
          </w:p>
        </w:tc>
        <w:tc>
          <w:tcPr>
            <w:tcW w:w="6813" w:type="dxa"/>
            <w:vAlign w:val="center"/>
          </w:tcPr>
          <w:p>
            <w:pPr>
              <w:spacing w:line="400" w:lineRule="exact"/>
              <w:rPr>
                <w:rFonts w:ascii="宋体" w:hAnsi="宋体" w:eastAsia="宋体" w:cs="宋体"/>
                <w:b/>
                <w:kern w:val="0"/>
                <w:sz w:val="24"/>
                <w:szCs w:val="24"/>
                <w:lang w:val="zh-CN"/>
              </w:rPr>
            </w:pPr>
            <w:r>
              <w:rPr>
                <w:rFonts w:hint="eastAsia" w:ascii="宋体" w:hAnsi="宋体" w:eastAsia="宋体" w:cs="宋体"/>
                <w:b/>
                <w:bCs/>
                <w:sz w:val="24"/>
                <w:szCs w:val="24"/>
              </w:rPr>
              <w:t>长葛市葛天大道东段商务区6#楼四楼开标三室</w:t>
            </w:r>
            <w:r>
              <w:rPr>
                <w:rFonts w:hint="eastAsia" w:ascii="宋体" w:hAnsi="宋体" w:eastAsia="宋体" w:cs="宋体"/>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是否退还投标文件</w:t>
            </w:r>
          </w:p>
        </w:tc>
        <w:tc>
          <w:tcPr>
            <w:tcW w:w="6813" w:type="dxa"/>
            <w:vAlign w:val="center"/>
          </w:tcPr>
          <w:p>
            <w:pPr>
              <w:pStyle w:val="10"/>
              <w:topLinePunct/>
              <w:spacing w:line="400" w:lineRule="exact"/>
              <w:rPr>
                <w:rFonts w:ascii="宋体" w:hAnsi="宋体" w:cs="宋体"/>
                <w:b/>
                <w:color w:val="auto"/>
                <w:kern w:val="0"/>
                <w:lang w:val="zh-CN"/>
              </w:rPr>
            </w:pPr>
            <w:r>
              <w:rPr>
                <w:rFonts w:hint="eastAsia" w:ascii="宋体" w:hAnsi="宋体" w:cs="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开标时间和地点</w:t>
            </w:r>
          </w:p>
        </w:tc>
        <w:tc>
          <w:tcPr>
            <w:tcW w:w="6813" w:type="dxa"/>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rPr>
              <w:t>开标时间：</w:t>
            </w:r>
            <w:r>
              <w:rPr>
                <w:rFonts w:hint="eastAsia" w:ascii="宋体" w:hAnsi="宋体" w:eastAsia="宋体" w:cs="宋体"/>
                <w:b/>
                <w:bCs/>
                <w:kern w:val="0"/>
                <w:sz w:val="24"/>
                <w:szCs w:val="24"/>
                <w:u w:val="single"/>
              </w:rPr>
              <w:t>2018</w:t>
            </w:r>
            <w:r>
              <w:rPr>
                <w:rFonts w:hint="eastAsia" w:ascii="宋体" w:hAnsi="宋体" w:eastAsia="宋体" w:cs="宋体"/>
                <w:b/>
                <w:bCs/>
                <w:kern w:val="0"/>
                <w:sz w:val="24"/>
                <w:szCs w:val="24"/>
              </w:rPr>
              <w:t>年</w:t>
            </w:r>
            <w:r>
              <w:rPr>
                <w:rFonts w:hint="eastAsia" w:ascii="宋体" w:hAnsi="宋体" w:eastAsia="宋体" w:cs="宋体"/>
                <w:b/>
                <w:bCs/>
                <w:kern w:val="0"/>
                <w:sz w:val="24"/>
                <w:szCs w:val="24"/>
                <w:u w:val="single"/>
              </w:rPr>
              <w:t>9</w:t>
            </w:r>
            <w:r>
              <w:rPr>
                <w:rFonts w:hint="eastAsia" w:ascii="宋体" w:hAnsi="宋体" w:eastAsia="宋体" w:cs="宋体"/>
                <w:b/>
                <w:bCs/>
                <w:kern w:val="0"/>
                <w:sz w:val="24"/>
                <w:szCs w:val="24"/>
              </w:rPr>
              <w:t>月</w:t>
            </w:r>
            <w:r>
              <w:rPr>
                <w:rFonts w:hint="eastAsia" w:ascii="宋体" w:hAnsi="宋体" w:eastAsia="宋体" w:cs="宋体"/>
                <w:b/>
                <w:bCs/>
                <w:kern w:val="0"/>
                <w:sz w:val="24"/>
                <w:szCs w:val="24"/>
                <w:u w:val="single"/>
              </w:rPr>
              <w:t xml:space="preserve">26 </w:t>
            </w:r>
            <w:r>
              <w:rPr>
                <w:rFonts w:hint="eastAsia" w:ascii="宋体" w:hAnsi="宋体" w:eastAsia="宋体" w:cs="宋体"/>
                <w:b/>
                <w:bCs/>
                <w:kern w:val="0"/>
                <w:sz w:val="24"/>
                <w:szCs w:val="24"/>
              </w:rPr>
              <w:t>日</w:t>
            </w:r>
            <w:r>
              <w:rPr>
                <w:rFonts w:hint="eastAsia" w:ascii="宋体" w:hAnsi="宋体" w:eastAsia="宋体" w:cs="宋体"/>
                <w:b/>
                <w:bCs/>
                <w:kern w:val="0"/>
                <w:sz w:val="24"/>
                <w:szCs w:val="24"/>
                <w:u w:val="single"/>
              </w:rPr>
              <w:t xml:space="preserve"> 9 </w:t>
            </w:r>
            <w:r>
              <w:rPr>
                <w:rFonts w:hint="eastAsia" w:ascii="宋体" w:hAnsi="宋体" w:eastAsia="宋体" w:cs="宋体"/>
                <w:b/>
                <w:bCs/>
                <w:kern w:val="0"/>
                <w:sz w:val="24"/>
                <w:szCs w:val="24"/>
              </w:rPr>
              <w:t>时</w:t>
            </w:r>
            <w:r>
              <w:rPr>
                <w:rFonts w:hint="eastAsia" w:ascii="宋体" w:hAnsi="宋体" w:eastAsia="宋体" w:cs="宋体"/>
                <w:b/>
                <w:bCs/>
                <w:kern w:val="0"/>
                <w:sz w:val="24"/>
                <w:szCs w:val="24"/>
                <w:u w:val="single"/>
              </w:rPr>
              <w:t xml:space="preserve"> 00 </w:t>
            </w:r>
            <w:r>
              <w:rPr>
                <w:rFonts w:hint="eastAsia" w:ascii="宋体" w:hAnsi="宋体" w:eastAsia="宋体" w:cs="宋体"/>
                <w:b/>
                <w:bCs/>
                <w:kern w:val="0"/>
                <w:sz w:val="24"/>
                <w:szCs w:val="24"/>
              </w:rPr>
              <w:t>分</w:t>
            </w:r>
          </w:p>
          <w:p>
            <w:pPr>
              <w:spacing w:line="400" w:lineRule="exact"/>
              <w:rPr>
                <w:rFonts w:ascii="宋体" w:hAnsi="宋体" w:eastAsia="宋体" w:cs="宋体"/>
                <w:b/>
                <w:kern w:val="0"/>
                <w:sz w:val="24"/>
                <w:szCs w:val="24"/>
                <w:lang w:val="zh-CN"/>
              </w:rPr>
            </w:pPr>
            <w:r>
              <w:rPr>
                <w:rFonts w:hint="eastAsia" w:ascii="宋体" w:hAnsi="宋体" w:eastAsia="宋体" w:cs="宋体"/>
                <w:b/>
                <w:bCs/>
                <w:sz w:val="24"/>
                <w:szCs w:val="24"/>
              </w:rPr>
              <w:t>开标地点：长葛市葛天大道东段商务区6#楼四楼418开标三室。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开标程序</w:t>
            </w:r>
          </w:p>
        </w:tc>
        <w:tc>
          <w:tcPr>
            <w:tcW w:w="6813" w:type="dxa"/>
            <w:vAlign w:val="center"/>
          </w:tcPr>
          <w:p>
            <w:pPr>
              <w:spacing w:line="400" w:lineRule="exact"/>
              <w:rPr>
                <w:rFonts w:ascii="宋体" w:hAnsi="宋体" w:eastAsia="宋体" w:cs="宋体"/>
                <w:sz w:val="24"/>
                <w:szCs w:val="24"/>
              </w:rPr>
            </w:pPr>
            <w:r>
              <w:rPr>
                <w:rFonts w:hint="eastAsia" w:ascii="宋体" w:hAnsi="宋体" w:eastAsia="宋体" w:cs="宋体"/>
                <w:sz w:val="24"/>
                <w:szCs w:val="24"/>
              </w:rPr>
              <w:t>密封情况检查：</w:t>
            </w:r>
            <w:r>
              <w:rPr>
                <w:rFonts w:hint="eastAsia" w:ascii="宋体" w:hAnsi="宋体" w:eastAsia="宋体" w:cs="宋体"/>
                <w:kern w:val="0"/>
                <w:sz w:val="24"/>
                <w:szCs w:val="24"/>
              </w:rPr>
              <w:t>由供应商代表检查投标文件的密封情况。</w:t>
            </w:r>
          </w:p>
          <w:p>
            <w:pPr>
              <w:spacing w:line="400" w:lineRule="exact"/>
              <w:rPr>
                <w:rFonts w:hint="eastAsia" w:ascii="宋体" w:hAnsi="宋体" w:eastAsia="宋体" w:cs="宋体"/>
                <w:kern w:val="0"/>
                <w:sz w:val="24"/>
                <w:szCs w:val="24"/>
              </w:rPr>
            </w:pPr>
            <w:r>
              <w:rPr>
                <w:rFonts w:hint="eastAsia" w:ascii="宋体" w:hAnsi="宋体" w:eastAsia="宋体" w:cs="宋体"/>
                <w:sz w:val="24"/>
                <w:szCs w:val="24"/>
              </w:rPr>
              <w:t>开标顺序：</w:t>
            </w:r>
            <w:r>
              <w:rPr>
                <w:rFonts w:hint="eastAsia" w:ascii="宋体" w:hAnsi="宋体" w:eastAsia="宋体" w:cs="宋体"/>
                <w:kern w:val="0"/>
                <w:sz w:val="24"/>
                <w:szCs w:val="24"/>
              </w:rPr>
              <w:t>按照递交投标文件时间的逆顺序。</w:t>
            </w:r>
          </w:p>
          <w:p>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注：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spacing w:line="400" w:lineRule="exact"/>
              <w:rPr>
                <w:rFonts w:ascii="宋体" w:hAnsi="宋体" w:eastAsia="宋体" w:cs="宋体"/>
                <w:b/>
                <w:color w:val="000000"/>
                <w:kern w:val="0"/>
                <w:sz w:val="24"/>
                <w:szCs w:val="24"/>
                <w:lang w:val="zh-CN"/>
              </w:rPr>
            </w:pPr>
            <w:r>
              <w:rPr>
                <w:rFonts w:hint="eastAsia" w:ascii="宋体" w:hAnsi="宋体" w:eastAsia="宋体" w:cs="宋体"/>
                <w:kern w:val="0"/>
                <w:sz w:val="24"/>
                <w:szCs w:val="24"/>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pStyle w:val="27"/>
              <w:rPr>
                <w:b/>
                <w:bCs/>
              </w:rPr>
            </w:pPr>
            <w:r>
              <w:rPr>
                <w:rFonts w:hint="eastAsia"/>
                <w:b/>
                <w:bCs/>
              </w:rPr>
              <w:t>3万元</w:t>
            </w:r>
          </w:p>
          <w:p>
            <w:pPr>
              <w:pStyle w:val="27"/>
            </w:pPr>
            <w:r>
              <w:rPr>
                <w:rFonts w:hint="eastAsia"/>
                <w:b/>
                <w:bCs/>
              </w:rPr>
              <w:t>中标后由中标人交于代理机构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spacing w:line="400" w:lineRule="exact"/>
              <w:ind w:firstLine="480" w:firstLineChars="200"/>
              <w:rPr>
                <w:rFonts w:ascii="宋体" w:hAnsi="宋体" w:eastAsia="宋体" w:cs="宋体"/>
                <w:bCs/>
                <w:sz w:val="24"/>
                <w:szCs w:val="24"/>
                <w:lang w:val="zh-CN"/>
              </w:rPr>
            </w:pPr>
            <w:r>
              <w:rPr>
                <w:rFonts w:hint="eastAsia" w:ascii="宋体" w:hAnsi="宋体" w:eastAsia="宋体" w:cs="宋体"/>
                <w:sz w:val="24"/>
                <w:szCs w:val="24"/>
              </w:rPr>
              <w:t>重新招标</w:t>
            </w:r>
          </w:p>
        </w:tc>
        <w:tc>
          <w:tcPr>
            <w:tcW w:w="6813" w:type="dxa"/>
            <w:vAlign w:val="center"/>
          </w:tcPr>
          <w:p>
            <w:pPr>
              <w:autoSpaceDE w:val="0"/>
              <w:autoSpaceDN w:val="0"/>
              <w:adjustRightInd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有下列情形之一的，招标人将重新招标：</w:t>
            </w:r>
          </w:p>
          <w:p>
            <w:pPr>
              <w:autoSpaceDE w:val="0"/>
              <w:autoSpaceDN w:val="0"/>
              <w:adjustRightInd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（1）投标截止时间结束后，供应商少于3 个的；</w:t>
            </w:r>
          </w:p>
          <w:p>
            <w:pPr>
              <w:spacing w:line="400" w:lineRule="exact"/>
              <w:rPr>
                <w:rFonts w:ascii="宋体" w:hAnsi="宋体" w:eastAsia="宋体" w:cs="宋体"/>
                <w:b/>
                <w:bCs/>
                <w:sz w:val="24"/>
                <w:szCs w:val="24"/>
              </w:rPr>
            </w:pPr>
            <w:r>
              <w:rPr>
                <w:rFonts w:hint="eastAsia" w:ascii="宋体" w:hAnsi="宋体" w:eastAsia="宋体" w:cs="宋体"/>
                <w:kern w:val="0"/>
                <w:sz w:val="24"/>
                <w:szCs w:val="24"/>
              </w:rPr>
              <w:t>（2）经评标委员会评审后否决所有投标的。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400" w:lineRule="exact"/>
              <w:ind w:firstLine="480" w:firstLineChars="200"/>
              <w:rPr>
                <w:rFonts w:ascii="宋体" w:hAnsi="宋体" w:eastAsia="宋体" w:cs="宋体"/>
                <w:bCs/>
                <w:sz w:val="24"/>
                <w:szCs w:val="24"/>
                <w:lang w:val="zh-CN"/>
              </w:rPr>
            </w:pPr>
            <w:r>
              <w:rPr>
                <w:rFonts w:hint="eastAsia" w:ascii="宋体" w:hAnsi="宋体" w:eastAsia="宋体" w:cs="宋体"/>
                <w:kern w:val="0"/>
                <w:sz w:val="24"/>
                <w:szCs w:val="24"/>
              </w:rPr>
              <w:t>采购方式</w:t>
            </w:r>
          </w:p>
        </w:tc>
        <w:tc>
          <w:tcPr>
            <w:tcW w:w="6813" w:type="dxa"/>
            <w:vAlign w:val="center"/>
          </w:tcPr>
          <w:p>
            <w:pPr>
              <w:autoSpaceDE w:val="0"/>
              <w:autoSpaceDN w:val="0"/>
              <w:adjustRightInd w:val="0"/>
              <w:spacing w:line="400" w:lineRule="exact"/>
              <w:jc w:val="left"/>
              <w:rPr>
                <w:rFonts w:ascii="宋体" w:hAnsi="宋体" w:eastAsia="宋体" w:cs="宋体"/>
                <w:b/>
                <w:bCs/>
                <w:sz w:val="24"/>
                <w:szCs w:val="24"/>
              </w:rPr>
            </w:pPr>
            <w:r>
              <w:rPr>
                <w:rFonts w:hint="eastAsia" w:ascii="宋体" w:hAnsi="宋体" w:eastAsia="宋体" w:cs="宋体"/>
                <w:kern w:val="0"/>
                <w:sz w:val="24"/>
                <w:szCs w:val="24"/>
              </w:rPr>
              <w:t>重新招标后供应商仍少于3个或者所有投标被否决的，属于必须审批或核准的工程建设项目，经原审批或核准部门批准后变更为其他采购方式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spacing w:line="400" w:lineRule="exact"/>
              <w:ind w:firstLine="240" w:firstLineChars="100"/>
              <w:rPr>
                <w:rFonts w:ascii="宋体" w:hAnsi="宋体" w:eastAsia="宋体" w:cs="宋体"/>
                <w:bCs/>
                <w:sz w:val="24"/>
                <w:szCs w:val="24"/>
                <w:lang w:val="zh-CN"/>
              </w:rPr>
            </w:pPr>
            <w:r>
              <w:rPr>
                <w:rFonts w:hint="eastAsia" w:ascii="宋体" w:hAnsi="宋体" w:eastAsia="宋体" w:cs="宋体"/>
                <w:kern w:val="0"/>
                <w:sz w:val="24"/>
                <w:szCs w:val="24"/>
              </w:rPr>
              <w:t>纪律和监督</w:t>
            </w:r>
          </w:p>
        </w:tc>
        <w:tc>
          <w:tcPr>
            <w:tcW w:w="6813" w:type="dxa"/>
            <w:vAlign w:val="center"/>
          </w:tcPr>
          <w:p>
            <w:pPr>
              <w:autoSpaceDE w:val="0"/>
              <w:autoSpaceDN w:val="0"/>
              <w:adjustRightInd w:val="0"/>
              <w:spacing w:line="400" w:lineRule="exact"/>
              <w:jc w:val="left"/>
              <w:rPr>
                <w:rFonts w:ascii="宋体" w:hAnsi="宋体" w:eastAsia="宋体" w:cs="宋体"/>
                <w:b/>
                <w:bCs/>
                <w:sz w:val="24"/>
                <w:szCs w:val="24"/>
              </w:rPr>
            </w:pPr>
            <w:r>
              <w:rPr>
                <w:rFonts w:hint="eastAsia" w:ascii="宋体" w:hAnsi="宋体" w:eastAsia="宋体" w:cs="宋体"/>
                <w:kern w:val="0"/>
                <w:sz w:val="24"/>
                <w:szCs w:val="24"/>
              </w:rPr>
              <w:t>招标人不得泄漏招标投标活动中应当保密的情况和资料，不得与供应商串通损害国家利益、社会公共利益或者他人合法权益。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32</w:t>
            </w:r>
          </w:p>
        </w:tc>
        <w:tc>
          <w:tcPr>
            <w:tcW w:w="2268" w:type="dxa"/>
            <w:vAlign w:val="center"/>
          </w:tcPr>
          <w:p>
            <w:pPr>
              <w:autoSpaceDE w:val="0"/>
              <w:autoSpaceDN w:val="0"/>
              <w:adjustRightInd w:val="0"/>
              <w:spacing w:line="400" w:lineRule="exact"/>
              <w:jc w:val="center"/>
              <w:rPr>
                <w:rFonts w:ascii="宋体" w:hAnsi="宋体" w:eastAsia="宋体" w:cs="宋体"/>
                <w:bCs/>
                <w:sz w:val="24"/>
                <w:szCs w:val="24"/>
                <w:lang w:val="zh-CN"/>
              </w:rPr>
            </w:pPr>
            <w:r>
              <w:rPr>
                <w:rFonts w:hint="eastAsia" w:ascii="宋体" w:hAnsi="宋体" w:eastAsia="宋体" w:cs="宋体"/>
                <w:color w:val="000000"/>
                <w:sz w:val="24"/>
                <w:szCs w:val="24"/>
              </w:rPr>
              <w:t>不良行为记录</w:t>
            </w:r>
          </w:p>
        </w:tc>
        <w:tc>
          <w:tcPr>
            <w:tcW w:w="6813" w:type="dxa"/>
          </w:tcPr>
          <w:p>
            <w:pPr>
              <w:autoSpaceDE w:val="0"/>
              <w:autoSpaceDN w:val="0"/>
              <w:adjustRightInd w:val="0"/>
              <w:spacing w:line="400" w:lineRule="exact"/>
              <w:rPr>
                <w:rFonts w:ascii="宋体" w:hAnsi="宋体" w:eastAsia="宋体" w:cs="宋体"/>
                <w:b/>
                <w:bCs/>
                <w:sz w:val="24"/>
                <w:szCs w:val="24"/>
              </w:rPr>
            </w:pPr>
            <w:r>
              <w:rPr>
                <w:rFonts w:hint="eastAsia" w:ascii="宋体" w:hAnsi="宋体" w:eastAsia="宋体" w:cs="宋体"/>
                <w:color w:val="000000"/>
                <w:sz w:val="24"/>
                <w:szCs w:val="24"/>
              </w:rPr>
              <w:t>不良行为记录是指：</w:t>
            </w:r>
            <w:r>
              <w:rPr>
                <w:rFonts w:hint="eastAsia" w:ascii="宋体" w:hAnsi="宋体" w:eastAsia="宋体" w:cs="宋体"/>
                <w:sz w:val="24"/>
                <w:szCs w:val="24"/>
              </w:rPr>
              <w:t>企业或企业主要管理人员在司法机关、行政监管机关有不良行为记录的。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33</w:t>
            </w:r>
          </w:p>
        </w:tc>
        <w:tc>
          <w:tcPr>
            <w:tcW w:w="2268" w:type="dxa"/>
            <w:vAlign w:val="center"/>
          </w:tcPr>
          <w:p>
            <w:pPr>
              <w:autoSpaceDE w:val="0"/>
              <w:autoSpaceDN w:val="0"/>
              <w:adjustRightInd w:val="0"/>
              <w:spacing w:line="400" w:lineRule="exact"/>
              <w:jc w:val="center"/>
              <w:rPr>
                <w:rFonts w:ascii="宋体" w:hAnsi="宋体" w:eastAsia="宋体" w:cs="宋体"/>
                <w:bCs/>
                <w:sz w:val="24"/>
                <w:szCs w:val="24"/>
                <w:lang w:val="zh-CN"/>
              </w:rPr>
            </w:pPr>
            <w:r>
              <w:rPr>
                <w:rFonts w:hint="eastAsia" w:ascii="宋体" w:hAnsi="宋体" w:eastAsia="宋体" w:cs="宋体"/>
                <w:kern w:val="0"/>
                <w:sz w:val="24"/>
                <w:szCs w:val="24"/>
              </w:rPr>
              <w:t>供应商代表出席开标会</w:t>
            </w:r>
          </w:p>
        </w:tc>
        <w:tc>
          <w:tcPr>
            <w:tcW w:w="6813" w:type="dxa"/>
          </w:tcPr>
          <w:p>
            <w:pPr>
              <w:spacing w:line="312" w:lineRule="auto"/>
              <w:rPr>
                <w:rFonts w:ascii="宋体" w:hAnsi="宋体" w:eastAsia="宋体" w:cs="宋体"/>
                <w:b/>
                <w:bCs/>
                <w:sz w:val="24"/>
                <w:szCs w:val="24"/>
              </w:rPr>
            </w:pPr>
            <w:r>
              <w:rPr>
                <w:rFonts w:hint="eastAsia" w:ascii="宋体" w:hAnsi="宋体" w:eastAsia="宋体" w:cs="宋体"/>
                <w:kern w:val="0"/>
                <w:sz w:val="24"/>
                <w:szCs w:val="24"/>
              </w:rPr>
              <w:t>供应商的法定代表人应持法定代表人证明和有效身份证明参加开标会议,委托他人参加的，须持有效委托书原件，委托书应当载明委托事项权限及有效期等主要内容。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34</w:t>
            </w:r>
          </w:p>
        </w:tc>
        <w:tc>
          <w:tcPr>
            <w:tcW w:w="2268" w:type="dxa"/>
            <w:vAlign w:val="center"/>
          </w:tcPr>
          <w:p>
            <w:pPr>
              <w:autoSpaceDE w:val="0"/>
              <w:autoSpaceDN w:val="0"/>
              <w:adjustRightInd w:val="0"/>
              <w:spacing w:line="400" w:lineRule="exact"/>
              <w:jc w:val="center"/>
              <w:rPr>
                <w:rFonts w:ascii="宋体" w:hAnsi="宋体" w:eastAsia="宋体" w:cs="宋体"/>
                <w:bCs/>
                <w:sz w:val="24"/>
                <w:szCs w:val="24"/>
                <w:lang w:val="zh-CN"/>
              </w:rPr>
            </w:pPr>
            <w:r>
              <w:rPr>
                <w:rFonts w:hint="eastAsia" w:ascii="宋体" w:hAnsi="宋体" w:eastAsia="宋体" w:cs="宋体"/>
                <w:kern w:val="0"/>
                <w:sz w:val="24"/>
                <w:szCs w:val="24"/>
              </w:rPr>
              <w:t>知识产权</w:t>
            </w:r>
          </w:p>
        </w:tc>
        <w:tc>
          <w:tcPr>
            <w:tcW w:w="6813" w:type="dxa"/>
          </w:tcPr>
          <w:p>
            <w:pPr>
              <w:autoSpaceDE w:val="0"/>
              <w:autoSpaceDN w:val="0"/>
              <w:adjustRightInd w:val="0"/>
              <w:spacing w:line="400" w:lineRule="exact"/>
              <w:rPr>
                <w:rFonts w:ascii="宋体" w:hAnsi="宋体" w:eastAsia="宋体" w:cs="宋体"/>
                <w:b/>
                <w:bCs/>
                <w:sz w:val="24"/>
                <w:szCs w:val="24"/>
              </w:rPr>
            </w:pPr>
            <w:r>
              <w:rPr>
                <w:rFonts w:hint="eastAsia" w:ascii="宋体" w:hAnsi="宋体" w:eastAsia="宋体" w:cs="宋体"/>
                <w:kern w:val="0"/>
                <w:sz w:val="24"/>
                <w:szCs w:val="24"/>
              </w:rPr>
              <w:t>构成本采购文件各个组成部分的文件，未经招标人书面同意，供应商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35</w:t>
            </w:r>
          </w:p>
        </w:tc>
        <w:tc>
          <w:tcPr>
            <w:tcW w:w="2268" w:type="dxa"/>
            <w:vAlign w:val="center"/>
          </w:tcPr>
          <w:p>
            <w:pPr>
              <w:autoSpaceDE w:val="0"/>
              <w:autoSpaceDN w:val="0"/>
              <w:adjustRightInd w:val="0"/>
              <w:spacing w:line="400" w:lineRule="exact"/>
              <w:jc w:val="center"/>
              <w:rPr>
                <w:rFonts w:ascii="宋体" w:hAnsi="宋体" w:eastAsia="宋体" w:cs="宋体"/>
                <w:bCs/>
                <w:sz w:val="24"/>
                <w:szCs w:val="24"/>
                <w:lang w:val="zh-CN"/>
              </w:rPr>
            </w:pPr>
            <w:r>
              <w:rPr>
                <w:rFonts w:hint="eastAsia" w:ascii="宋体" w:hAnsi="宋体" w:eastAsia="宋体" w:cs="宋体"/>
                <w:kern w:val="0"/>
                <w:sz w:val="24"/>
                <w:szCs w:val="24"/>
              </w:rPr>
              <w:t>重新招标的其他情形</w:t>
            </w:r>
          </w:p>
        </w:tc>
        <w:tc>
          <w:tcPr>
            <w:tcW w:w="6813" w:type="dxa"/>
          </w:tcPr>
          <w:p>
            <w:pPr>
              <w:autoSpaceDE w:val="0"/>
              <w:autoSpaceDN w:val="0"/>
              <w:adjustRightInd w:val="0"/>
              <w:spacing w:line="400" w:lineRule="exact"/>
              <w:rPr>
                <w:rFonts w:ascii="宋体" w:hAnsi="宋体" w:eastAsia="宋体" w:cs="宋体"/>
                <w:b/>
                <w:bCs/>
                <w:sz w:val="24"/>
                <w:szCs w:val="24"/>
              </w:rPr>
            </w:pPr>
            <w:r>
              <w:rPr>
                <w:rFonts w:hint="eastAsia" w:ascii="宋体" w:hAnsi="宋体" w:eastAsia="宋体" w:cs="宋体"/>
                <w:kern w:val="0"/>
                <w:sz w:val="24"/>
                <w:szCs w:val="24"/>
              </w:rPr>
              <w:t>除投标人须知前附表第8条规定的情形外，除非已经产生中标候选人，否则在投标有效期内同意延长投标有效期的供应商少于三个的，招标人应当依法重新招标。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36</w:t>
            </w:r>
          </w:p>
        </w:tc>
        <w:tc>
          <w:tcPr>
            <w:tcW w:w="2268" w:type="dxa"/>
            <w:vAlign w:val="center"/>
          </w:tcPr>
          <w:p>
            <w:pPr>
              <w:autoSpaceDE w:val="0"/>
              <w:autoSpaceDN w:val="0"/>
              <w:adjustRightInd w:val="0"/>
              <w:spacing w:line="400" w:lineRule="exact"/>
              <w:jc w:val="center"/>
              <w:rPr>
                <w:rFonts w:ascii="宋体" w:hAnsi="宋体" w:eastAsia="宋体" w:cs="宋体"/>
                <w:bCs/>
                <w:sz w:val="24"/>
                <w:szCs w:val="24"/>
                <w:lang w:val="zh-CN"/>
              </w:rPr>
            </w:pPr>
            <w:r>
              <w:rPr>
                <w:rFonts w:hint="eastAsia" w:ascii="宋体" w:hAnsi="宋体" w:eastAsia="宋体" w:cs="宋体"/>
                <w:kern w:val="0"/>
                <w:sz w:val="24"/>
                <w:szCs w:val="24"/>
              </w:rPr>
              <w:t>监  督</w:t>
            </w:r>
          </w:p>
        </w:tc>
        <w:tc>
          <w:tcPr>
            <w:tcW w:w="6813" w:type="dxa"/>
          </w:tcPr>
          <w:p>
            <w:pPr>
              <w:autoSpaceDE w:val="0"/>
              <w:autoSpaceDN w:val="0"/>
              <w:adjustRightInd w:val="0"/>
              <w:spacing w:line="400" w:lineRule="exact"/>
              <w:rPr>
                <w:rFonts w:ascii="宋体" w:hAnsi="宋体" w:eastAsia="宋体" w:cs="宋体"/>
                <w:b/>
                <w:bCs/>
                <w:sz w:val="24"/>
                <w:szCs w:val="24"/>
              </w:rPr>
            </w:pPr>
            <w:r>
              <w:rPr>
                <w:rFonts w:hint="eastAsia" w:ascii="宋体" w:hAnsi="宋体" w:eastAsia="宋体" w:cs="宋体"/>
                <w:kern w:val="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37</w:t>
            </w:r>
          </w:p>
        </w:tc>
        <w:tc>
          <w:tcPr>
            <w:tcW w:w="2268" w:type="dxa"/>
            <w:vAlign w:val="center"/>
          </w:tcPr>
          <w:p>
            <w:pPr>
              <w:autoSpaceDE w:val="0"/>
              <w:autoSpaceDN w:val="0"/>
              <w:adjustRightInd w:val="0"/>
              <w:spacing w:line="400" w:lineRule="exact"/>
              <w:jc w:val="center"/>
              <w:rPr>
                <w:rFonts w:ascii="宋体" w:hAnsi="宋体" w:eastAsia="宋体" w:cs="宋体"/>
                <w:bCs/>
                <w:sz w:val="24"/>
                <w:szCs w:val="24"/>
                <w:lang w:val="zh-CN"/>
              </w:rPr>
            </w:pPr>
            <w:r>
              <w:rPr>
                <w:rFonts w:hint="eastAsia" w:ascii="宋体" w:hAnsi="宋体" w:eastAsia="宋体" w:cs="宋体"/>
                <w:kern w:val="0"/>
                <w:sz w:val="24"/>
                <w:szCs w:val="24"/>
              </w:rPr>
              <w:t>解  释</w:t>
            </w:r>
          </w:p>
        </w:tc>
        <w:tc>
          <w:tcPr>
            <w:tcW w:w="6813" w:type="dxa"/>
          </w:tcPr>
          <w:p>
            <w:pPr>
              <w:autoSpaceDE w:val="0"/>
              <w:autoSpaceDN w:val="0"/>
              <w:adjustRightInd w:val="0"/>
              <w:spacing w:line="400" w:lineRule="exact"/>
              <w:rPr>
                <w:rFonts w:ascii="宋体" w:hAnsi="宋体" w:eastAsia="宋体" w:cs="宋体"/>
                <w:b/>
                <w:bCs/>
                <w:sz w:val="24"/>
                <w:szCs w:val="24"/>
              </w:rPr>
            </w:pPr>
            <w:r>
              <w:rPr>
                <w:rFonts w:hint="eastAsia" w:ascii="宋体" w:hAnsi="宋体" w:eastAsia="宋体" w:cs="宋体"/>
                <w:kern w:val="0"/>
                <w:sz w:val="24"/>
                <w:szCs w:val="24"/>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38</w:t>
            </w:r>
          </w:p>
        </w:tc>
        <w:tc>
          <w:tcPr>
            <w:tcW w:w="2268" w:type="dxa"/>
            <w:vAlign w:val="center"/>
          </w:tcPr>
          <w:p>
            <w:pPr>
              <w:autoSpaceDE w:val="0"/>
              <w:autoSpaceDN w:val="0"/>
              <w:adjustRightInd w:val="0"/>
              <w:spacing w:line="400" w:lineRule="exact"/>
              <w:jc w:val="center"/>
              <w:rPr>
                <w:rFonts w:ascii="宋体" w:hAnsi="宋体" w:eastAsia="宋体" w:cs="宋体"/>
                <w:bCs/>
                <w:sz w:val="24"/>
                <w:szCs w:val="24"/>
                <w:lang w:val="zh-CN"/>
              </w:rPr>
            </w:pPr>
            <w:r>
              <w:rPr>
                <w:rFonts w:hint="eastAsia" w:ascii="宋体" w:hAnsi="宋体" w:eastAsia="宋体" w:cs="宋体"/>
                <w:kern w:val="0"/>
                <w:sz w:val="24"/>
                <w:szCs w:val="24"/>
              </w:rPr>
              <w:t>投标文件的拒收</w:t>
            </w:r>
          </w:p>
        </w:tc>
        <w:tc>
          <w:tcPr>
            <w:tcW w:w="6813" w:type="dxa"/>
            <w:vAlign w:val="center"/>
          </w:tcPr>
          <w:p>
            <w:pPr>
              <w:autoSpaceDE w:val="0"/>
              <w:autoSpaceDN w:val="0"/>
              <w:adjustRightInd w:val="0"/>
              <w:spacing w:line="400" w:lineRule="exact"/>
              <w:rPr>
                <w:rFonts w:ascii="宋体" w:hAnsi="宋体" w:eastAsia="宋体" w:cs="宋体"/>
                <w:kern w:val="0"/>
                <w:sz w:val="24"/>
                <w:szCs w:val="24"/>
              </w:rPr>
            </w:pPr>
            <w:r>
              <w:rPr>
                <w:rFonts w:hint="eastAsia" w:ascii="宋体" w:hAnsi="宋体" w:eastAsia="宋体" w:cs="宋体"/>
                <w:kern w:val="0"/>
                <w:sz w:val="24"/>
                <w:szCs w:val="24"/>
              </w:rPr>
              <w:t>1.逾期送达或未送达指定地点的；</w:t>
            </w:r>
          </w:p>
          <w:p>
            <w:pPr>
              <w:autoSpaceDE w:val="0"/>
              <w:autoSpaceDN w:val="0"/>
              <w:adjustRightInd w:val="0"/>
              <w:spacing w:line="400" w:lineRule="exact"/>
              <w:rPr>
                <w:rFonts w:ascii="宋体" w:hAnsi="宋体" w:eastAsia="宋体" w:cs="宋体"/>
                <w:kern w:val="0"/>
                <w:sz w:val="24"/>
                <w:szCs w:val="24"/>
              </w:rPr>
            </w:pPr>
            <w:r>
              <w:rPr>
                <w:rFonts w:hint="eastAsia" w:ascii="宋体" w:hAnsi="宋体" w:eastAsia="宋体" w:cs="宋体"/>
                <w:kern w:val="0"/>
                <w:sz w:val="24"/>
                <w:szCs w:val="24"/>
              </w:rPr>
              <w:t>2.投标文件未按要求密封的；</w:t>
            </w:r>
          </w:p>
          <w:p>
            <w:pPr>
              <w:autoSpaceDE w:val="0"/>
              <w:autoSpaceDN w:val="0"/>
              <w:adjustRightInd w:val="0"/>
              <w:spacing w:line="400" w:lineRule="exact"/>
              <w:rPr>
                <w:rFonts w:ascii="宋体" w:hAnsi="宋体" w:eastAsia="宋体" w:cs="宋体"/>
                <w:b/>
                <w:bCs/>
                <w:sz w:val="24"/>
                <w:szCs w:val="24"/>
              </w:rPr>
            </w:pPr>
            <w:r>
              <w:rPr>
                <w:rFonts w:hint="eastAsia" w:ascii="宋体" w:hAnsi="宋体" w:eastAsia="宋体" w:cs="宋体"/>
                <w:kern w:val="0"/>
                <w:sz w:val="24"/>
                <w:szCs w:val="24"/>
              </w:rPr>
              <w:t>3.未通过许昌市公共资源交易网下载采购文件的。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9887" w:type="dxa"/>
            <w:gridSpan w:val="3"/>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未尽事宜，按国家有关规定执行。</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pStyle w:val="27"/>
        <w:rPr>
          <w:rFonts w:asciiTheme="majorEastAsia" w:hAnsiTheme="majorEastAsia" w:eastAsiaTheme="majorEastAsia"/>
          <w:b/>
          <w:sz w:val="36"/>
          <w:szCs w:val="36"/>
        </w:rPr>
      </w:pPr>
    </w:p>
    <w:p>
      <w:pPr>
        <w:pStyle w:val="27"/>
        <w:rPr>
          <w:rFonts w:asciiTheme="majorEastAsia" w:hAnsiTheme="majorEastAsia" w:eastAsiaTheme="majorEastAsia"/>
          <w:b/>
          <w:sz w:val="36"/>
          <w:szCs w:val="36"/>
        </w:rPr>
      </w:pPr>
    </w:p>
    <w:p>
      <w:pPr>
        <w:pStyle w:val="27"/>
        <w:rPr>
          <w:rFonts w:asciiTheme="majorEastAsia" w:hAnsiTheme="majorEastAsia" w:eastAsiaTheme="majorEastAsia"/>
          <w:b/>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Style w:val="27"/>
      </w:pPr>
    </w:p>
    <w:p>
      <w:pPr>
        <w:pStyle w:val="27"/>
      </w:pPr>
    </w:p>
    <w:p>
      <w:pPr>
        <w:pStyle w:val="27"/>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1.1本招标文件仅适用于本次“招标公告”中所述采购项目。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1.2本招标文件解释权属于“招标公告”所述的招标人。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2.2“招标人”：“投标人须知前附表”中所述的组织本次招标的代理机构和招标人。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2.3“招标人”：是指依法进行政府采购的国家机关、事业单位、团体组织。招标人名称、地址、电话、联系人见“投标人须知前附表”。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2.4“代理机构”：接受招标人委托，代理采购项目的采购代理机构。代理机构名称、地址、电话、联系人见“投标人须知前附表”。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，不得为所代理的采购项目的供应商参加本项目提供投标咨询。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“潜在供应商”指符合《中华人民共和国政府采购法》及相关法律法规和本招标文件的各项规定，且按照本项目招标公告及招标文件规定的方式获取招标文件的法人、其他组织或者自然人。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w:t>
      </w:r>
      <w:r>
        <w:rPr>
          <w:rFonts w:hint="eastAsia" w:cs="宋体" w:asciiTheme="minorEastAsia" w:hAnsiTheme="minorEastAsia" w:eastAsiaTheme="minorEastAsia"/>
          <w:sz w:val="24"/>
          <w:szCs w:val="24"/>
          <w:lang w:val="zh-CN"/>
        </w:rPr>
        <w:t>符合《中华人民共和国政府采购法》第二十二条的规定</w:t>
      </w:r>
      <w:r>
        <w:rPr>
          <w:rFonts w:hint="eastAsia" w:cs="宋体" w:asciiTheme="minorEastAsia" w:hAnsiTheme="minorEastAsia" w:eastAsiaTheme="minorEastAsia"/>
          <w:sz w:val="24"/>
          <w:szCs w:val="24"/>
        </w:rPr>
        <w:t>。</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2符合本项目“招标公告”和“投标人须知前附表”中规定的合格供应商所必须具备的条件。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3政府采购活动中查询及使用供应商信用记录的具体要求为：供应商未被列入失信被执行人、重大税收违法案件当事人名单、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（3）信用信息查询记录和证据留存具体方式：经招标人确认的查询结果网页截图作为查询记录和证据，与其他采购文件一并保存；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（4）信用信息的使用原则：经招标人认定的被列入失信被执行人、重大税收违法案件当事人名单、政府采购严重违法失信行为记录名单的供应商，将拒绝其参与政府采购活动。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（5）供应商不良信用记录以招标人查询结果为准，招标人查询之后，网站信息发生的任何变更不再作为评审依据，供应商自行提供的与网站信息不一致的其他证明材料亦不作为评审依据。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6“招标公告”和“投标人须知前附表”规定接受联合体投标的，除应符合本章第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（1）在投标文件中向招标人提交联合体协议书，明确联合体各方承担的工作和义务；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（3）招标人根据采购项目的特殊要求规定供应商特定条件的，联合体各方中至少应当有一方符合采购规定的特定条件。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w:t>
      </w:r>
      <w:r>
        <w:rPr>
          <w:rFonts w:hint="eastAsia" w:cs="宋体" w:asciiTheme="minorEastAsia" w:hAnsiTheme="minorEastAsia"/>
          <w:kern w:val="0"/>
          <w:sz w:val="24"/>
          <w:szCs w:val="24"/>
        </w:rPr>
        <w:t>招标人</w:t>
      </w:r>
      <w:r>
        <w:rPr>
          <w:rFonts w:cs="宋体" w:asciiTheme="minorEastAsia" w:hAnsiTheme="minorEastAsia"/>
          <w:kern w:val="0"/>
          <w:sz w:val="24"/>
          <w:szCs w:val="24"/>
        </w:rPr>
        <w:t>签订采购合同，就采购合同约定的事项对</w:t>
      </w:r>
      <w:r>
        <w:rPr>
          <w:rFonts w:hint="eastAsia" w:cs="宋体" w:asciiTheme="minorEastAsia" w:hAnsiTheme="minorEastAsia"/>
          <w:kern w:val="0"/>
          <w:sz w:val="24"/>
          <w:szCs w:val="24"/>
        </w:rPr>
        <w:t>招标人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供应商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4.2供应商所提供的服务应当没有侵犯任何第三方的知识产权、技术秘密等合法权利。</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不论投标的结果如何，供应商均应自行承担所有与投标有关的全部费用，招标人在任何情况下均无义务和责任承担这些费用。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《河南省政府采购网》、《河南省电子招标投标公共服务平台》、《全国公共资源交易平台（河南省·许昌市）》和《长葛市人民政府门户网站》</w:t>
      </w:r>
      <w:r>
        <w:rPr>
          <w:rFonts w:hint="eastAsia" w:cs="宋体" w:asciiTheme="minorEastAsia" w:hAnsiTheme="minorEastAsia"/>
          <w:kern w:val="0"/>
          <w:sz w:val="24"/>
          <w:szCs w:val="24"/>
        </w:rPr>
        <w:t>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按照第三章“投标人须知前附表”执行。</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本“供应商须知”的条款如与“招标公告”、“招标项目基本内容及要求”、“投标人须知前附表”和“资格审查与评标”就同一内容的表述不一致的，以“招标公告”、“ 招标项目基本内容及要求”、 “投标人须知前附表”和“资格审查与评标”中规定的内容为准。</w:t>
      </w:r>
    </w:p>
    <w:p>
      <w:pPr>
        <w:tabs>
          <w:tab w:val="left" w:pos="1260"/>
        </w:tabs>
        <w:autoSpaceDE w:val="0"/>
        <w:autoSpaceDN w:val="0"/>
        <w:spacing w:line="360" w:lineRule="auto"/>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（2）招标项目基本内容及要求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供应商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供应商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招标人根据采购项目的具体情况，可以在招标文件公告期满后，组织已获取招标文件的潜在供应商现场考察或者召开开标前答疑会。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供应商应按“投标人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现场考察及参加开标前答疑会所发生的费用及一切责任由供应商自行承担。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在投标截止期前，无论出于何种原因，招标人可主动地或在解答潜在供应商提出的澄清问题时对招标文件进行修改。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w:t>
      </w:r>
      <w:r>
        <w:rPr>
          <w:rFonts w:hint="eastAsia" w:cs="宋体" w:asciiTheme="minorEastAsia" w:hAnsiTheme="minorEastAsia"/>
          <w:kern w:val="0"/>
          <w:sz w:val="24"/>
          <w:szCs w:val="24"/>
        </w:rPr>
        <w:t>5日前，在财政部门指定的政府采购信息发布媒体和《全国公共资源交易平台（河南省·许昌市）》发布更正公告。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澄清或修改公告的内容为招标文件的组成部分，并对供应商具有约束力。当招标文件与澄清或修改公告就同一内容的表述不一致时，以最后发出的文件内容为准。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tabs>
          <w:tab w:val="left" w:pos="1260"/>
        </w:tabs>
        <w:autoSpaceDE w:val="0"/>
        <w:autoSpaceDN w:val="0"/>
        <w:spacing w:line="360" w:lineRule="auto"/>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本次招标项目以</w:t>
      </w:r>
      <w:r>
        <w:rPr>
          <w:rFonts w:hint="eastAsia" w:cs="宋体" w:asciiTheme="minorEastAsia" w:hAnsiTheme="minorEastAsia"/>
          <w:bCs/>
          <w:kern w:val="0"/>
          <w:sz w:val="24"/>
          <w:szCs w:val="24"/>
        </w:rPr>
        <w:t>投标人须知前附表规定的方式进行报价</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招标人不得向供应商索要或者接受其给予的赠品、回扣或者与采购无关的其他商品、服务。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13.3供应商应对项目要求的全部内容进行报价，少报漏报将导致其投标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13.4供应商应当按照国家相关规定，结合自身服务水平和承受能力进行报价。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,供应商的投标报价高于最高限价（项目控制金额上限）的，该供应商的投标文件将被视为非实质性响应予以拒绝。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投标有效期内供应商撤销投标文件的，招标人将不退还投标保证金。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供应商延长投标有效期。这种要求与答复均应以书面形式提交。供应商可拒绝招标人的这种要求，其投标保证金将不会被没收，但其投标在原投标有效期期满后将不再有效。同意延长投标有效期的供应商将不会被要求和允许修正其投标，而只会被要求相应地延长其投标保证金的有效期。在这种情况下，有关投标保证金的退还和没收的规定将在延长了的有效期内继续有效。同意延期的供应商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15.2供应商应当按照招标文件的要求编制投标文件。投标文件应当对招标文件提出的要求和条件作出明确响应。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15.4供应商根据招标文件的规定和采购项目的实际情况，拟在中标后将中标项目的非主体、非关键性工作分包的，应当在投标文件中载明分包承担主体，分包承担主体应当具备相应资质条件且不得再次分包。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投标文件应参照招标文件第八部分（投标文件有关格式）的内容要求、编排顺序和格式要求，供应商应按照以上要求将投标文件编上唯一的连贯页码并以</w:t>
      </w:r>
      <w:r>
        <w:rPr>
          <w:rFonts w:hint="eastAsia" w:cs="宋体" w:asciiTheme="minorEastAsia" w:hAnsiTheme="minorEastAsia"/>
          <w:b/>
          <w:bCs/>
          <w:kern w:val="0"/>
          <w:sz w:val="24"/>
          <w:szCs w:val="24"/>
        </w:rPr>
        <w:t>A4</w:t>
      </w:r>
      <w:r>
        <w:rPr>
          <w:rFonts w:hint="eastAsia" w:cs="宋体" w:asciiTheme="minorEastAsia" w:hAnsiTheme="minorEastAsia"/>
          <w:kern w:val="0"/>
          <w:sz w:val="24"/>
          <w:szCs w:val="24"/>
        </w:rPr>
        <w:t>幅面装订成册，并在投标文件封面上注明：正本/副本、所投项目名称、项目编号、供应商名称、日期等字样。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16.2供应商应按招标文件提供的格式编写投标文件。招标文件未提供标准格式的供应商可自行拟定。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jc w:val="left"/>
        <w:rPr>
          <w:rFonts w:ascii="宋体" w:cs="宋体"/>
          <w:sz w:val="24"/>
        </w:rPr>
      </w:pPr>
      <w:r>
        <w:rPr>
          <w:rFonts w:ascii="宋体" w:hAnsi="宋体" w:cs="宋体"/>
          <w:b/>
          <w:bCs/>
          <w:sz w:val="24"/>
        </w:rPr>
        <w:t>17.1</w:t>
      </w:r>
      <w:r>
        <w:rPr>
          <w:rFonts w:hint="eastAsia" w:ascii="宋体" w:hAnsi="宋体" w:cs="宋体"/>
          <w:b/>
          <w:bCs/>
          <w:sz w:val="24"/>
        </w:rPr>
        <w:t>保证金缴纳账户的绑定</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17.1.1 供应商网上报名后，登录http://221.14.6.70:8088/ggzy 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17.1.2 成功缴纳后重新登录前述系统，依次点击“会员向导”→“参与投标”→“保证金绑定”→“绑定”进行投标保证金绑定。</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17.1.3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供应商可根据提示情况决定是否重新缴纳。</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保证金缴纳绑定问题咨询电话:0374-2961598。</w:t>
      </w:r>
    </w:p>
    <w:p>
      <w:pPr>
        <w:autoSpaceDE w:val="0"/>
        <w:autoSpaceDN w:val="0"/>
        <w:adjustRightInd w:val="0"/>
        <w:snapToGrid w:val="0"/>
        <w:spacing w:line="450" w:lineRule="atLeast"/>
        <w:ind w:firstLine="480"/>
        <w:jc w:val="left"/>
        <w:outlineLvl w:val="0"/>
        <w:rPr>
          <w:b/>
          <w:bCs/>
          <w:sz w:val="24"/>
          <w:szCs w:val="24"/>
        </w:rPr>
      </w:pPr>
      <w:r>
        <w:rPr>
          <w:rFonts w:hint="eastAsia"/>
          <w:b/>
          <w:bCs/>
          <w:sz w:val="24"/>
          <w:szCs w:val="24"/>
        </w:rPr>
        <w:t>17.1.4 每个供应商每个项目每个标段只有唯一缴纳账号，切勿重复缴纳或错误缴纳。</w:t>
      </w:r>
    </w:p>
    <w:p>
      <w:pPr>
        <w:autoSpaceDE w:val="0"/>
        <w:autoSpaceDN w:val="0"/>
        <w:adjustRightInd w:val="0"/>
        <w:snapToGrid w:val="0"/>
        <w:spacing w:line="450" w:lineRule="atLeast"/>
        <w:ind w:firstLine="480"/>
        <w:jc w:val="left"/>
        <w:outlineLvl w:val="0"/>
        <w:rPr>
          <w:b/>
          <w:bCs/>
          <w:sz w:val="24"/>
          <w:szCs w:val="24"/>
        </w:rPr>
      </w:pPr>
      <w:r>
        <w:rPr>
          <w:rFonts w:hint="eastAsia"/>
          <w:b/>
          <w:bCs/>
          <w:sz w:val="24"/>
          <w:szCs w:val="24"/>
        </w:rPr>
        <w:t>供应商所提交的投标保证金仅限当次投标项目（标段）有效，不得重复替代使用。一个招标项目有多个标段或者有多个项目同时招标的，供应商必须按项目、标段分别提交投标保证金。</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17.1.5、未按上述规定操作引起的无效投标，由供应商自行负责。</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17.1.6、汇款凭证无须备注项目编号和项目名称。</w:t>
      </w:r>
    </w:p>
    <w:p>
      <w:pPr>
        <w:autoSpaceDE w:val="0"/>
        <w:autoSpaceDN w:val="0"/>
        <w:adjustRightInd w:val="0"/>
        <w:snapToGrid w:val="0"/>
        <w:spacing w:line="450" w:lineRule="atLeast"/>
        <w:ind w:firstLine="480"/>
        <w:jc w:val="left"/>
        <w:outlineLvl w:val="0"/>
        <w:rPr>
          <w:b/>
          <w:bCs/>
          <w:sz w:val="24"/>
          <w:szCs w:val="24"/>
        </w:rPr>
      </w:pPr>
      <w:r>
        <w:rPr>
          <w:rFonts w:hint="eastAsia"/>
          <w:b/>
          <w:bCs/>
          <w:sz w:val="24"/>
          <w:szCs w:val="24"/>
        </w:rPr>
        <w:t>17.1.7、出现以下情形造成的投标保证金无效，由供应商自行负责。</w:t>
      </w:r>
    </w:p>
    <w:p>
      <w:pPr>
        <w:autoSpaceDE w:val="0"/>
        <w:autoSpaceDN w:val="0"/>
        <w:adjustRightInd w:val="0"/>
        <w:snapToGrid w:val="0"/>
        <w:spacing w:line="450" w:lineRule="atLeast"/>
        <w:ind w:firstLine="480"/>
        <w:jc w:val="left"/>
        <w:outlineLvl w:val="0"/>
        <w:rPr>
          <w:b/>
          <w:bCs/>
          <w:sz w:val="24"/>
          <w:szCs w:val="24"/>
        </w:rPr>
      </w:pPr>
      <w:r>
        <w:rPr>
          <w:rFonts w:hint="eastAsia"/>
          <w:b/>
          <w:bCs/>
          <w:sz w:val="24"/>
          <w:szCs w:val="24"/>
        </w:rPr>
        <w:t>(1)投标保证金未从供应商的注册账户转出；</w:t>
      </w:r>
    </w:p>
    <w:p>
      <w:pPr>
        <w:autoSpaceDE w:val="0"/>
        <w:autoSpaceDN w:val="0"/>
        <w:adjustRightInd w:val="0"/>
        <w:snapToGrid w:val="0"/>
        <w:spacing w:line="450" w:lineRule="atLeast"/>
        <w:ind w:firstLine="480"/>
        <w:jc w:val="left"/>
        <w:outlineLvl w:val="0"/>
        <w:rPr>
          <w:b/>
          <w:bCs/>
          <w:sz w:val="24"/>
          <w:szCs w:val="24"/>
        </w:rPr>
      </w:pPr>
      <w:r>
        <w:rPr>
          <w:rFonts w:hint="eastAsia"/>
          <w:b/>
          <w:bCs/>
          <w:sz w:val="24"/>
          <w:szCs w:val="24"/>
        </w:rPr>
        <w:t>(2)投标保证金未按照采购文件划分的标段转账。</w:t>
      </w:r>
    </w:p>
    <w:p>
      <w:pPr>
        <w:autoSpaceDE w:val="0"/>
        <w:autoSpaceDN w:val="0"/>
        <w:adjustRightInd w:val="0"/>
        <w:snapToGrid w:val="0"/>
        <w:spacing w:line="450" w:lineRule="atLeast"/>
        <w:ind w:firstLine="480"/>
        <w:jc w:val="left"/>
        <w:outlineLvl w:val="0"/>
        <w:rPr>
          <w:b/>
          <w:bCs/>
          <w:sz w:val="24"/>
          <w:szCs w:val="24"/>
        </w:rPr>
      </w:pPr>
      <w:r>
        <w:rPr>
          <w:rFonts w:hint="eastAsia"/>
          <w:b/>
          <w:bCs/>
          <w:sz w:val="24"/>
          <w:szCs w:val="24"/>
        </w:rPr>
        <w:t>17.1．8、《保证金缴纳绑定操作指南》获取方法：</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登录《全国公共资源交易平台（河南省·许昌市）》系统-组件下载-《保证金缴纳绑定操作指南》。</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保证金缴纳绑定问题咨询电话:0374-2961598</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供应商不按前附表要求提交保证金的，其投标文件不予接收。</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17.2投标保证金的退还 ：</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退还投标保证金时，区别中标与否，按不同时序按来款途径退还原账户。</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17.2.1自中标通知书发出之日起5个工作日内退还未中标人的投标保证金。电话：0374-6189379</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17.2.2自采购合同签订之日起5个工作日内退还中标人的投标保证金。（携带中标通知书和合同原件）。</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电话：0374-6189379</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17.2.3项目废标或招标人终止招标的，在此后5个工作日内退还投标保证金及银行同期活期存利息。</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17.2.4 投标活动中出现质疑、投诉的，中标候选人、质疑人和被质疑人、投诉人和被投诉人的投标保证金暂停退还。</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17.2.5 相关供应商有违法违规行为的项目，其投标保证金暂不退还，待行政监督部门对相关情况处置后，按照有关规定办理。</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17.2.6 因供应商的原因无法及时退还投标保证金、滞留三年以上的，投标保证金上缴同级国库。</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以上事项，请供应商仔细研读，未按规定操作引起的无效投标，由供应商自行负责。</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17.2.7退还投标保证金，除另有规定外，一般以转账方式一次性退还至投标保证金的原提交账户。</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17.2.8投标人（供应商）如需了解投标保证金退还情况，请持授权委托书及个人身份证件到中心业务受理部查询，不接受电话查询。</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17.3特殊情况处理</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供应商投标过程中因账户开户银行、银行账号发生变化，不能按照来款途径原路返还投标保证金的，供应商须提供原账户开户银行相关证明及新开账户开户许可证，到长葛市公共资源交易中心业务受理部办理退款手续（长葛市葛天大道东段商务区6号楼4楼405室）。</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电话：0374-6189133。</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17.4供应商有下列情形之一的，投标保证金不予退还：</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（1）在招标文件要求提交投标文件的截止时间后至投标文件有效期满前撤回投标的； </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（2）中标通知书发出后，中标人无故放弃中标项目，或无正当理由在规定时间内不与招标人订立合同，或在签订合同时向招标人提出附加条件，或未按招标文件规定提交履约保证金的；</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（3） 将中标项目转让给他人，或者在投标文件中未说明，且未经招标人同意，将中标项目分包给他人的； </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 xml:space="preserve">（4）供应商在招投标活动中弄虚作假、围标串标、骗取中标等，并经招投标行政监督部门调查核实的； </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（5）拒绝履行合同义务的；</w:t>
      </w:r>
    </w:p>
    <w:p>
      <w:pPr>
        <w:autoSpaceDE w:val="0"/>
        <w:autoSpaceDN w:val="0"/>
        <w:adjustRightInd w:val="0"/>
        <w:snapToGrid w:val="0"/>
        <w:spacing w:line="450" w:lineRule="atLeast"/>
        <w:ind w:firstLine="480"/>
        <w:jc w:val="left"/>
        <w:outlineLvl w:val="0"/>
        <w:rPr>
          <w:sz w:val="24"/>
          <w:szCs w:val="24"/>
        </w:rPr>
      </w:pPr>
      <w:r>
        <w:rPr>
          <w:rFonts w:hint="eastAsia"/>
          <w:sz w:val="24"/>
          <w:szCs w:val="24"/>
        </w:rPr>
        <w:t>（6）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rPr>
          <w:sz w:val="24"/>
          <w:szCs w:val="24"/>
        </w:rPr>
      </w:pPr>
      <w:r>
        <w:rPr>
          <w:rFonts w:hint="eastAsia"/>
          <w:sz w:val="24"/>
          <w:szCs w:val="24"/>
        </w:rPr>
        <w:t>（7）相关法律、法规规定不予退还的其它情形。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.1供应商应提交投标文件份数见“投标人须知前附表”。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1</w:t>
      </w:r>
      <w:r>
        <w:rPr>
          <w:rFonts w:hint="eastAsia" w:cs="仿宋_GB2312" w:asciiTheme="minorEastAsia" w:hAnsiTheme="minorEastAsia"/>
          <w:sz w:val="24"/>
          <w:szCs w:val="24"/>
        </w:rPr>
        <w:t xml:space="preserve">8.2 </w:t>
      </w:r>
      <w:r>
        <w:rPr>
          <w:rFonts w:hint="eastAsia" w:cs="仿宋_GB2312" w:asciiTheme="minorEastAsia" w:hAnsiTheme="minorEastAsia"/>
          <w:sz w:val="24"/>
          <w:szCs w:val="24"/>
          <w:lang w:val="zh-CN"/>
        </w:rPr>
        <w:t>投标文件必须按照采购文件给定的格式编制投标文件，以</w:t>
      </w:r>
      <w:r>
        <w:rPr>
          <w:rFonts w:cs="仿宋_GB2312" w:asciiTheme="minorEastAsia" w:hAnsiTheme="minorEastAsia"/>
          <w:sz w:val="24"/>
          <w:szCs w:val="24"/>
          <w:lang w:val="zh-CN"/>
        </w:rPr>
        <w:t>A4</w:t>
      </w:r>
      <w:r>
        <w:rPr>
          <w:rFonts w:hint="eastAsia" w:cs="仿宋_GB2312" w:asciiTheme="minorEastAsia" w:hAnsiTheme="minorEastAsia"/>
          <w:sz w:val="24"/>
          <w:szCs w:val="24"/>
          <w:lang w:val="zh-CN"/>
        </w:rPr>
        <w:t>纸大小为标准打印或用不褪色墨水书写并胶装。除了投标文件封面以外，每个页面都要编制页码，按流水顺序填写，如有资格证明文件或宣传资料彩页等材料而无法编制页码的，可用不退色的墨水笔按顺序填写，字迹必须清晰可认，不可潦草，投标文件的目录必须编序，以保证评标委员会的评审和投标文件存档需要。由于编排混乱导致响应文件被误读或查找不到而被视为无效投标等不利后果由竞标人自行承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1</w:t>
      </w:r>
      <w:r>
        <w:rPr>
          <w:rFonts w:hint="eastAsia" w:cs="仿宋_GB2312" w:asciiTheme="minorEastAsia" w:hAnsiTheme="minorEastAsia"/>
          <w:sz w:val="24"/>
          <w:szCs w:val="24"/>
        </w:rPr>
        <w:t xml:space="preserve">8.3 </w:t>
      </w:r>
      <w:r>
        <w:rPr>
          <w:rFonts w:hint="eastAsia" w:cs="仿宋_GB2312" w:asciiTheme="minorEastAsia" w:hAnsiTheme="minorEastAsia"/>
          <w:sz w:val="24"/>
          <w:szCs w:val="24"/>
          <w:lang w:val="zh-CN"/>
        </w:rPr>
        <w:t>投标文件由法定代表人签署的，须提交以书面形式出具的“法定代表人身份证明书”；由授权代理人签署的，须提交以书面形式出具的“法人授权委托书”。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18.4 </w:t>
      </w:r>
      <w:r>
        <w:rPr>
          <w:rFonts w:hint="eastAsia" w:cs="仿宋_GB2312" w:asciiTheme="minorEastAsia" w:hAnsiTheme="minorEastAsia"/>
          <w:sz w:val="24"/>
          <w:szCs w:val="24"/>
          <w:lang w:val="zh-CN"/>
        </w:rPr>
        <w:t>投标文件中凡是要求签署和加盖公章处均须由供应商的法定代表人本人或其授权代理人本人手书签字并加盖供应商公章。未按要求签字和加盖公章的投标文件为无效投标。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18.5 </w:t>
      </w:r>
      <w:r>
        <w:rPr>
          <w:rFonts w:hint="eastAsia" w:cs="仿宋_GB2312" w:asciiTheme="minorEastAsia" w:hAnsiTheme="minorEastAsia"/>
          <w:sz w:val="24"/>
          <w:szCs w:val="24"/>
          <w:lang w:val="zh-CN"/>
        </w:rPr>
        <w:t>每份投标文件必须清楚地标明“正本”或“副本”。投标文件的正本和副本需打印并由供应商法定代表人或其授权代表签字，如果正本与副本不符，以正本为准。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1</w:t>
      </w:r>
      <w:r>
        <w:rPr>
          <w:rFonts w:hint="eastAsia" w:cs="仿宋_GB2312" w:asciiTheme="minorEastAsia" w:hAnsiTheme="minorEastAsia"/>
          <w:sz w:val="24"/>
          <w:szCs w:val="24"/>
        </w:rPr>
        <w:t xml:space="preserve">8.6 </w:t>
      </w:r>
      <w:r>
        <w:rPr>
          <w:rFonts w:hint="eastAsia" w:cs="仿宋_GB2312" w:asciiTheme="minorEastAsia" w:hAnsiTheme="minorEastAsia"/>
          <w:sz w:val="24"/>
          <w:szCs w:val="24"/>
          <w:lang w:val="zh-CN"/>
        </w:rPr>
        <w:t>采购文件已提供有标准格式的按标准格式填列，未提供标准格式的可由供应商自行拟定。</w:t>
      </w:r>
    </w:p>
    <w:p>
      <w:pPr>
        <w:tabs>
          <w:tab w:val="left" w:pos="1260"/>
        </w:tabs>
        <w:autoSpaceDE w:val="0"/>
        <w:autoSpaceDN w:val="0"/>
        <w:spacing w:line="360" w:lineRule="auto"/>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.1供应商应将纸质投标文件“正本”、“ 副本”密封包装。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．1供应商必须在</w:t>
      </w:r>
      <w:r>
        <w:rPr>
          <w:rFonts w:hint="eastAsia" w:cs="宋体" w:asciiTheme="minorEastAsia" w:hAnsiTheme="minorEastAsia"/>
          <w:kern w:val="0"/>
          <w:sz w:val="24"/>
          <w:szCs w:val="24"/>
        </w:rPr>
        <w:t>“招标公告”</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11条规定，通过修改招标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spacing w:line="400" w:lineRule="exact"/>
        <w:rPr>
          <w:rFonts w:ascii="宋体"/>
          <w:sz w:val="24"/>
        </w:rPr>
      </w:pPr>
      <w:r>
        <w:rPr>
          <w:sz w:val="24"/>
        </w:rPr>
        <w:t>2</w:t>
      </w:r>
      <w:r>
        <w:rPr>
          <w:rFonts w:hint="eastAsia"/>
          <w:sz w:val="24"/>
        </w:rPr>
        <w:t>2</w:t>
      </w:r>
      <w:r>
        <w:rPr>
          <w:sz w:val="24"/>
        </w:rPr>
        <w:t>.1</w:t>
      </w:r>
      <w:r>
        <w:rPr>
          <w:rFonts w:hint="eastAsia"/>
          <w:sz w:val="24"/>
        </w:rPr>
        <w:t>在</w:t>
      </w:r>
      <w:r>
        <w:rPr>
          <w:rFonts w:hint="eastAsia" w:ascii="宋体" w:hAnsi="宋体"/>
          <w:sz w:val="24"/>
        </w:rPr>
        <w:t>投标截止时间前，供应商可以修改或撤回已递交的投标文件，但应以书面形式通知采购人。</w:t>
      </w:r>
    </w:p>
    <w:p>
      <w:pPr>
        <w:spacing w:line="400" w:lineRule="exact"/>
        <w:rPr>
          <w:sz w:val="24"/>
        </w:rPr>
      </w:pPr>
      <w:r>
        <w:rPr>
          <w:sz w:val="24"/>
        </w:rPr>
        <w:t>2</w:t>
      </w:r>
      <w:r>
        <w:rPr>
          <w:rFonts w:hint="eastAsia"/>
          <w:sz w:val="24"/>
        </w:rPr>
        <w:t>2</w:t>
      </w:r>
      <w:r>
        <w:rPr>
          <w:sz w:val="24"/>
        </w:rPr>
        <w:t>.2</w:t>
      </w:r>
      <w:r>
        <w:rPr>
          <w:rFonts w:hint="eastAsia"/>
          <w:sz w:val="24"/>
        </w:rPr>
        <w:t>供应商的修改或撤回通知书应按规定密封、标记和递交，并标明“修改”或“撤回”字样。</w:t>
      </w:r>
      <w:r>
        <w:rPr>
          <w:rFonts w:hint="eastAsia" w:ascii="宋体" w:hAnsi="宋体"/>
          <w:sz w:val="24"/>
        </w:rPr>
        <w:t>修改的内容为投标文件的组成部分。修改的投标文件应按照本章第</w:t>
      </w:r>
      <w:r>
        <w:rPr>
          <w:rFonts w:ascii="宋体" w:hAnsi="宋体"/>
          <w:sz w:val="24"/>
        </w:rPr>
        <w:t>19</w:t>
      </w:r>
      <w:r>
        <w:rPr>
          <w:rFonts w:hint="eastAsia" w:ascii="宋体" w:hAnsi="宋体"/>
          <w:sz w:val="24"/>
        </w:rPr>
        <w:t>条、第</w:t>
      </w:r>
      <w:r>
        <w:rPr>
          <w:rFonts w:ascii="宋体" w:hAnsi="宋体"/>
          <w:sz w:val="24"/>
        </w:rPr>
        <w:t>20</w:t>
      </w:r>
      <w:r>
        <w:rPr>
          <w:rFonts w:hint="eastAsia" w:ascii="宋体" w:hAnsi="宋体"/>
          <w:sz w:val="24"/>
        </w:rPr>
        <w:t>条规定进行编制、密封、标记和递交，并标明“修改”字样。</w:t>
      </w:r>
    </w:p>
    <w:p>
      <w:pPr>
        <w:spacing w:line="400" w:lineRule="exact"/>
        <w:rPr>
          <w:sz w:val="24"/>
        </w:rPr>
      </w:pPr>
      <w:r>
        <w:rPr>
          <w:sz w:val="24"/>
        </w:rPr>
        <w:t>2</w:t>
      </w:r>
      <w:r>
        <w:rPr>
          <w:rFonts w:hint="eastAsia"/>
          <w:sz w:val="24"/>
        </w:rPr>
        <w:t>2</w:t>
      </w:r>
      <w:r>
        <w:rPr>
          <w:sz w:val="24"/>
        </w:rPr>
        <w:t xml:space="preserve">.3 </w:t>
      </w:r>
      <w:r>
        <w:rPr>
          <w:rFonts w:hint="eastAsia"/>
          <w:sz w:val="24"/>
        </w:rPr>
        <w:t>“撤回”的投标文件将不予开封并原封退回供应商。</w:t>
      </w:r>
    </w:p>
    <w:p>
      <w:pPr>
        <w:spacing w:line="400" w:lineRule="exact"/>
        <w:rPr>
          <w:sz w:val="24"/>
        </w:rPr>
      </w:pPr>
      <w:r>
        <w:rPr>
          <w:sz w:val="24"/>
        </w:rPr>
        <w:t>2</w:t>
      </w:r>
      <w:r>
        <w:rPr>
          <w:rFonts w:hint="eastAsia"/>
          <w:sz w:val="24"/>
        </w:rPr>
        <w:t>2</w:t>
      </w:r>
      <w:r>
        <w:rPr>
          <w:sz w:val="24"/>
        </w:rPr>
        <w:t xml:space="preserve">.4 </w:t>
      </w:r>
      <w:r>
        <w:rPr>
          <w:rFonts w:hint="eastAsia"/>
          <w:sz w:val="24"/>
        </w:rPr>
        <w:t>在投标截止时间后（即从开标之时起），供应商不得对其投标文件做任何修改。</w:t>
      </w:r>
    </w:p>
    <w:p>
      <w:pPr>
        <w:spacing w:line="400" w:lineRule="exact"/>
        <w:rPr>
          <w:sz w:val="24"/>
        </w:rPr>
      </w:pPr>
      <w:r>
        <w:rPr>
          <w:sz w:val="24"/>
        </w:rPr>
        <w:t>2</w:t>
      </w:r>
      <w:r>
        <w:rPr>
          <w:rFonts w:hint="eastAsia"/>
          <w:sz w:val="24"/>
        </w:rPr>
        <w:t>2</w:t>
      </w:r>
      <w:r>
        <w:rPr>
          <w:sz w:val="24"/>
        </w:rPr>
        <w:t xml:space="preserve">.5 </w:t>
      </w:r>
      <w:r>
        <w:rPr>
          <w:rFonts w:hint="eastAsia"/>
          <w:sz w:val="24"/>
        </w:rPr>
        <w:t>从投标截止时间至投标有效期期满，供应商不得撤回投标。供应商之间恶意串通而撤回投标的，除投标保证金被没收外，还将受到根据政府采购法律法规的有关规定作出的处理。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除投标人须知前附表另有规定外，供应商所提交的电子投标文件、纸质投标不予退还。</w:t>
      </w:r>
    </w:p>
    <w:p>
      <w:pPr>
        <w:tabs>
          <w:tab w:val="left" w:pos="1260"/>
        </w:tabs>
        <w:autoSpaceDE w:val="0"/>
        <w:autoSpaceDN w:val="0"/>
        <w:spacing w:line="360" w:lineRule="auto"/>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24.1 采购人在采购文件规定的投标截止时间（开标时间）和地点公开开标，并邀请所有供应商的法定代表人或其委托代理人准时参加。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24.2 主持人按下列程序进行开标：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（1）宣布开标纪律；</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（2）公布在投标截止时间前递交投标文件的供应商名称，并点名确认供应商是否派人到场；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（3）宣布开标人、唱标人、记录人、监标人等有关人员姓名；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（4）按照供应商须知前附表规定检查投标文件的密封情况；</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（5）按照供应商须知前附表的规定确定并宣布投标文件开标顺序；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（6）按照宣布的开标顺序当众开标，公布供应商名称、投标保证金的递交情况、投标报价、工期及其他内容，并记录在案；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（7）供应商代表、采购人代表、监标人、记录人等有关人员在开标记录上签字确认；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（8）开标结束。</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24.3所有投标唱标完毕，如供应商代表对宣读的“开标一览表”上的内容有异议的，应在获得开标会主持人同意后当场提出。如确实属于唱标人员宣读错了的，经现场监督人员核实后，当场予以更正。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24.4 投标文件中有关明细表内容与“开标一览表”不一致的，以“开标一览表”为准。对不同文字文本投标文件的解释发生异议的，以中文文本为准。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24.5 开标时未宣读的投标价格、价格折扣等实质性内容，评标时不予承认。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供应商不足3家的，不得开标。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7</w:t>
      </w:r>
      <w:r>
        <w:rPr>
          <w:rFonts w:hint="eastAsia" w:asciiTheme="minorEastAsia" w:hAnsiTheme="minorEastAsia"/>
          <w:bCs/>
          <w:sz w:val="24"/>
          <w:szCs w:val="24"/>
        </w:rPr>
        <w:t xml:space="preserve">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责记录，由参加开标的各供应商代表和相关工作人员签字确认后随采购文件一并存档。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24.8供应商</w:t>
      </w:r>
      <w:r>
        <w:rPr>
          <w:rFonts w:hint="eastAsia" w:cs="仿宋_GB2312" w:asciiTheme="minorEastAsia" w:hAnsiTheme="minorEastAsia"/>
          <w:sz w:val="24"/>
          <w:szCs w:val="24"/>
          <w:lang w:val="zh-CN"/>
        </w:rPr>
        <w:t>代表对开标过程和开标记录有疑义，以及认为招标人、采购代理机构相关工作人员有需要回避的情形的，应当场提出询问或者回避申请。招标人、采购代理机构对供应商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供应商未参加开标的，视同认可开标结果。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开标结束后，招标人依法对供应商的资格进行审查。</w:t>
      </w:r>
      <w:r>
        <w:rPr>
          <w:rFonts w:hint="eastAsia" w:cs="仿宋_GB2312" w:asciiTheme="minorEastAsia" w:hAnsiTheme="minorEastAsia"/>
          <w:sz w:val="24"/>
          <w:szCs w:val="24"/>
          <w:lang w:val="zh-CN"/>
        </w:rPr>
        <w:t>合格供应商不足3家的，不得评标。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2</w:t>
      </w:r>
      <w:r>
        <w:rPr>
          <w:rFonts w:hint="eastAsia" w:cs="仿宋_GB2312" w:asciiTheme="minorEastAsia" w:hAnsiTheme="minorEastAsia"/>
          <w:bCs/>
          <w:sz w:val="24"/>
          <w:szCs w:val="24"/>
        </w:rPr>
        <w:t>6</w:t>
      </w:r>
      <w:r>
        <w:rPr>
          <w:rFonts w:hint="eastAsia" w:cs="仿宋_GB2312" w:asciiTheme="minorEastAsia" w:hAnsiTheme="minorEastAsia"/>
          <w:bCs/>
          <w:sz w:val="24"/>
          <w:szCs w:val="24"/>
          <w:lang w:val="zh-CN"/>
        </w:rPr>
        <w:t>.1. 评标由采购人依法组建的评标委员会负责。评标委员会由采购人代表1人及有关技术、经济等方面的专家4人组成。评标委员会成员人数以及技术、经济等方面专家的确定方式见“招标项目基本内容及要求”规定。</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.1.1评审专家与参加采购活动的供应商存在下列利害关系之一的,应当回避:</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　(一)参加采购活动前三年内,与供应商存在劳动关系,或者担任过供应商的董事、监事,或者是供应商的控股股东或实际控制人;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　(二)与供应商的法定代表人或者负责人有夫妻、直系血亲、三代以内旁系血亲或者近姻亲关系;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　(三)与供应商有其他可能影响政府采购活动公平、公正进行的关系。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评审专家发现本人与参加采购活动的供应商有利害关系的,应当主动提出回避。采购人或者采购代理机构发现评审专家与参加采购活动的供应商有利害关系的,应当要求其回避。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除特殊情形外,评审专家对本单位的政府采购项目只能作为采购人代表参与评审活动。</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各级财政部门政府采购监督管理工作人员,不得作为评审专家参与政府采购项目的评审活动。</w:t>
      </w:r>
    </w:p>
    <w:p>
      <w:pPr>
        <w:tabs>
          <w:tab w:val="left" w:pos="1260"/>
        </w:tabs>
        <w:autoSpaceDE w:val="0"/>
        <w:autoSpaceDN w:val="0"/>
        <w:spacing w:line="360" w:lineRule="auto"/>
        <w:contextualSpacing/>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2</w:t>
      </w:r>
      <w:r>
        <w:rPr>
          <w:rFonts w:hint="eastAsia" w:cs="仿宋_GB2312" w:asciiTheme="minorEastAsia" w:hAnsiTheme="minorEastAsia"/>
          <w:bCs/>
          <w:sz w:val="24"/>
          <w:szCs w:val="24"/>
        </w:rPr>
        <w:t>6</w:t>
      </w:r>
      <w:r>
        <w:rPr>
          <w:rFonts w:hint="eastAsia" w:cs="仿宋_GB2312" w:asciiTheme="minorEastAsia" w:hAnsiTheme="minorEastAsia"/>
          <w:bCs/>
          <w:sz w:val="24"/>
          <w:szCs w:val="24"/>
          <w:lang w:val="zh-CN"/>
        </w:rPr>
        <w:t>.2评标活动遵循公平、公正、科学和择优的原则。</w:t>
      </w:r>
    </w:p>
    <w:p>
      <w:pPr>
        <w:tabs>
          <w:tab w:val="left" w:pos="1260"/>
        </w:tabs>
        <w:autoSpaceDE w:val="0"/>
        <w:autoSpaceDN w:val="0"/>
        <w:spacing w:line="360" w:lineRule="auto"/>
        <w:contextualSpacing/>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2</w:t>
      </w:r>
      <w:r>
        <w:rPr>
          <w:rFonts w:hint="eastAsia" w:cs="仿宋_GB2312" w:asciiTheme="minorEastAsia" w:hAnsiTheme="minorEastAsia"/>
          <w:bCs/>
          <w:sz w:val="24"/>
          <w:szCs w:val="24"/>
        </w:rPr>
        <w:t>6</w:t>
      </w:r>
      <w:r>
        <w:rPr>
          <w:rFonts w:hint="eastAsia" w:cs="仿宋_GB2312" w:asciiTheme="minorEastAsia" w:hAnsiTheme="minorEastAsia"/>
          <w:bCs/>
          <w:sz w:val="24"/>
          <w:szCs w:val="24"/>
          <w:lang w:val="zh-CN"/>
        </w:rPr>
        <w:t>.3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pPr>
        <w:tabs>
          <w:tab w:val="left" w:pos="1260"/>
        </w:tabs>
        <w:autoSpaceDE w:val="0"/>
        <w:autoSpaceDN w:val="0"/>
        <w:spacing w:line="360" w:lineRule="auto"/>
        <w:contextualSpacing/>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2</w:t>
      </w:r>
      <w:r>
        <w:rPr>
          <w:rFonts w:hint="eastAsia" w:cs="仿宋_GB2312" w:asciiTheme="minorEastAsia" w:hAnsiTheme="minorEastAsia"/>
          <w:bCs/>
          <w:sz w:val="24"/>
          <w:szCs w:val="24"/>
        </w:rPr>
        <w:t>6</w:t>
      </w:r>
      <w:r>
        <w:rPr>
          <w:rFonts w:hint="eastAsia" w:cs="仿宋_GB2312" w:asciiTheme="minorEastAsia" w:hAnsiTheme="minorEastAsia"/>
          <w:bCs/>
          <w:sz w:val="24"/>
          <w:szCs w:val="24"/>
          <w:lang w:val="zh-CN"/>
        </w:rPr>
        <w:t>.4评审专家应当严格遵守评审工作纪律,按照客观、公正、审慎的原则,根据采购文件规定的评审程序、评审方法和评审标准进行独立评审。</w:t>
      </w:r>
    </w:p>
    <w:p>
      <w:pPr>
        <w:tabs>
          <w:tab w:val="left" w:pos="1260"/>
        </w:tabs>
        <w:autoSpaceDE w:val="0"/>
        <w:autoSpaceDN w:val="0"/>
        <w:spacing w:line="360" w:lineRule="auto"/>
        <w:ind w:firstLine="480" w:firstLineChars="200"/>
        <w:contextualSpacing/>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评审专家发现采购文件内容违反国家有关强制性规定或者采购文件存在歧义、重大缺陷导致评审工作无法进行时,应当停止评审并向采购人或者采购代理机构书面说明情况。</w:t>
      </w:r>
    </w:p>
    <w:p>
      <w:pPr>
        <w:tabs>
          <w:tab w:val="left" w:pos="1260"/>
        </w:tabs>
        <w:autoSpaceDE w:val="0"/>
        <w:autoSpaceDN w:val="0"/>
        <w:spacing w:line="360" w:lineRule="auto"/>
        <w:ind w:firstLine="480" w:firstLineChars="200"/>
        <w:contextualSpacing/>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评审专家应当配合答复供应商的询问、质疑和投诉等事项,不得泄露评审文件、评审情况和在评审过程中获悉的商业秘密。</w:t>
      </w:r>
    </w:p>
    <w:p>
      <w:pPr>
        <w:tabs>
          <w:tab w:val="left" w:pos="1260"/>
        </w:tabs>
        <w:autoSpaceDE w:val="0"/>
        <w:autoSpaceDN w:val="0"/>
        <w:spacing w:line="360" w:lineRule="auto"/>
        <w:ind w:firstLine="480" w:firstLineChars="200"/>
        <w:contextualSpacing/>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评审专家发现供应商具有行贿、提供虚假材料或者串通等违法行为的,应当及时向财政部门报告。</w:t>
      </w:r>
    </w:p>
    <w:p>
      <w:pPr>
        <w:tabs>
          <w:tab w:val="left" w:pos="1260"/>
        </w:tabs>
        <w:autoSpaceDE w:val="0"/>
        <w:autoSpaceDN w:val="0"/>
        <w:spacing w:line="360" w:lineRule="auto"/>
        <w:ind w:firstLine="480" w:firstLineChars="200"/>
        <w:contextualSpacing/>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tabs>
          <w:tab w:val="left" w:pos="1260"/>
        </w:tabs>
        <w:autoSpaceDE w:val="0"/>
        <w:autoSpaceDN w:val="0"/>
        <w:spacing w:line="360" w:lineRule="auto"/>
        <w:ind w:firstLine="480" w:firstLineChars="200"/>
        <w:contextualSpacing/>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tabs>
          <w:tab w:val="left" w:pos="1260"/>
        </w:tabs>
        <w:autoSpaceDE w:val="0"/>
        <w:autoSpaceDN w:val="0"/>
        <w:spacing w:line="360" w:lineRule="auto"/>
        <w:ind w:firstLine="480" w:firstLineChars="200"/>
        <w:contextualSpacing/>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评审专家与供应商存在利害关系未回避的,处2万元以上5万元以下的罚款,禁止其参加政府采购评审活动。</w:t>
      </w:r>
    </w:p>
    <w:p>
      <w:pPr>
        <w:tabs>
          <w:tab w:val="left" w:pos="1260"/>
        </w:tabs>
        <w:autoSpaceDE w:val="0"/>
        <w:autoSpaceDN w:val="0"/>
        <w:spacing w:line="360" w:lineRule="auto"/>
        <w:ind w:firstLine="480" w:firstLineChars="200"/>
        <w:contextualSpacing/>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评审专家收受采购人、采购代理机构、供应商贿赂或者获取其他不正当利益,构成犯罪的,依法追究刑事责任;尚不构成犯罪的,处2万元以上5万元以下的罚款,禁止其参加政府采购评审活动。</w:t>
      </w:r>
    </w:p>
    <w:p>
      <w:pPr>
        <w:tabs>
          <w:tab w:val="left" w:pos="1260"/>
        </w:tabs>
        <w:autoSpaceDE w:val="0"/>
        <w:autoSpaceDN w:val="0"/>
        <w:spacing w:line="360" w:lineRule="auto"/>
        <w:ind w:firstLine="480" w:firstLineChars="200"/>
        <w:contextualSpacing/>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评审专家有上述违法行为的,其评审意见无效;有违法所得的,没收违法所得;给他人造成损失的,依法承担民事责任。</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评标委员会依据有关法律法规和招标文件的规定，对符合资格的供应商的投标文件进行符合性审查，以确定其是否满足招标文件的实质性要求。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可要求供应商对投标文件有关事项作出澄清或者说明。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对于投标文件中含义不明确、同类问题表述不一致或者有明显文字和计算错误的内容，评标委员会应当以书面形式要求供应商作出必要的澄清、说明或者补正。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.3供应商的澄清文件是其投标文件的组成部分。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总价金额与按单价汇总金额不一致的，以单价金额计算结果为准。同时出现两种以上不一致的，按照前款规定的顺序修正。修正后的报价按照“供应商须知”2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.2规定经供应商确认后产生约束力，供应商不确认的，其投标无效。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w:t>
      </w:r>
      <w:r>
        <w:rPr>
          <w:rFonts w:hint="eastAsia" w:cs="仿宋_GB2312" w:asciiTheme="minorEastAsia" w:hAnsiTheme="minorEastAsia"/>
          <w:sz w:val="24"/>
          <w:szCs w:val="24"/>
          <w:lang w:val="zh-CN"/>
        </w:rPr>
        <w:t>招标人</w:t>
      </w:r>
      <w:r>
        <w:rPr>
          <w:rFonts w:cs="仿宋_GB2312" w:asciiTheme="minorEastAsia" w:hAnsiTheme="minorEastAsia"/>
          <w:sz w:val="24"/>
          <w:szCs w:val="24"/>
          <w:lang w:val="zh-CN"/>
        </w:rPr>
        <w:t>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有下列情形之一的，视为供应商串通投标，其投标无效：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不同供应商的投标文件由同一单位或者个人编制；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不同供应商委托同一单位或者个人办理投标事宜；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不同供应商的投标文件载明的项目管理成员或者联系人员为同一人；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不同供应商的投标文件异常一致或者投标报价呈规律性差异；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不同供应商的投标文件相互混装；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不同供应商的投标保证金从同一单位或者个人的账户转出。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供应商应当遵循公平竞争的原则，不得恶意串通，不得妨碍其他供应商的竞争行为，不得损害招标人或者其他供应商的合法权益。在评标过程中发现供应商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最低评标价法，是指投标文件满足招标文件全部实质性要求，且投标报价最低的供应商为中标候选人的评标方法。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采用最低评标价法评标时，除了算术修正和落实政府采购政策需进行的价格扣除外，不能对供应商的投标价格进行任何调整。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综合评分法，是指投标文件满足招标文件全部实质性要求，且按照评审因素的量化指标评审得分最高的供应商为中标候选人的评标方法。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价格分采用低价优先法计算，即满足招标文件要求且投标价格最低的投标报价为评标基准价，其价格分为满分。其他供应商的价格分统一按照下列公式计算：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投标报价得分=(评标基准价/投标报价)×评标标准中的价格分值</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采用最低评标价法的，评标结果按投标报价由低到高顺序排列。投标报价相同的并列。投标文件满足招标文件全部实质性要求且投标报价最低的供应商为排名第一的中标候选人。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接受供应商提出的与投标文件不一致的澄清或者说明，《供应商须知》规定的情形除外；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违反评标纪律发表倾向性意见或者征询招标人的倾向性意见；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招标人、采购代理机构应当采取必要措施，保证评标在严格保密的情况下进行。有关人员对评标情况以及在评标过程中获悉的国家秘密、商业秘密负有保密责任。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招标人应当自收到评标报告之日起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个工作日内，在评标报告确定的中标候选人名单中按顺序确定中标人。中标候选人并列的，由招标人采取随机抽取的方式确定。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招标人在收到评标报告5个工作日内未按评标报告推荐的中标候选人顺序确定中标人，又不能说明合法理由的，视同按评标报告推荐的顺序确定排名第一的中标候选人为中标人。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招标人确认中标人后，招标人在公告中标结果的同时，向中标人发出中标通知书。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中标通知书发出后，招标人不得违法改变中标结果，中标人无正当理由不得放弃中标。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39.1政府采购项目的招标活动受《中华人民共和国政府采购法》和相关法律法规的约束，以确保招标活动的公开、公平和公正。</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39.2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代理人提出质疑和投诉，应当提交投标人签署的授权委托书。</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39.3以联合体形式参加政府采购活动的，其投诉应当由组成联合体的所有投标人共同提出。</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39.4投标人认为采购文件、采购过程、中标或者成交结果使自己的权益受到损害的，可以在知道或者应知其权益受到损害之日起7个工作日内，以书面形式向采购人、采购代理机构提出质疑。</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招标人：长葛市民政局</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地 址：长葛市葛天大道东段商务区2号楼</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联系人： 潘先生              </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联系电话：0374-6123959</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代理机构：许昌建设工程项目管理有限公司</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地 址：许昌市东泰街东泰大厦五楼</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联系人：于女士</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联系电话：0374-2162698</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投标人在法定质疑期内一次性提出针对同一采购程序环节的质疑。</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39.5 提出质疑的投标人（以下简称质疑投标人）应当是参与所质疑项目采购活动的投标人。</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潜在投标人已依法获取其可质疑的采购文件的，可以对该文件提出质疑。对采购文件提出质疑的，应当在获取采购文件或者采购文件公告期限届满之日起7个工作日内提出。</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39.6 投标人提出质疑应当提交质疑函和必要的证明材料。质疑函应当包括下列内容：</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（一）投标人的姓名或者名称、地址、邮编、联系人及联系电话；</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（二）质疑项目的名称、编号；</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（三）具体、明确的质疑事项和与质疑事项相关的请求；</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（四）事实依据；</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（五）必要的法律依据；</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（六）提出质疑的日期。</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投标人为自然人的，应当由本人签字；投标人为法人或者其他组织的，应当由法定代表人、主要负责人，或者其授权代表签字或者盖章，并加盖公章。</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39.7质疑投标人对采购人、采购代理机构的答复不满意，或者采购人、采购代理机构未在规定时间内作出答复的，可以在答复期满后15个工作日内向本办法第六条规定的财政部门提起投诉。</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39.8投诉人投诉时,应当提交投诉书和必要的证明材料，并按照被投诉采购人、采购代理机构（以下简称被投诉人）和与投诉事项有关的投标人数量提供投诉书的副本。投诉书应当包括下列内容：</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（一）投诉人和被投诉人的姓名或者名称、通讯地址、邮编、联系人及联系电话；</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（二）质疑和质疑答复情况说明及相关证明材料；</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（三）具体、明确的投诉事项和与投诉事项相关的投诉请求；</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（四）事实依据；</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（五）法律依据；</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（六）提起投诉的日期。</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xml:space="preserve"> 投诉人为自然人的，应当由本人签字；投诉人为法人或者其他组织的，应当由法定代表人、主要负责人，或者其授权代表签字或者盖章，并加盖公章。</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inorEastAsia" w:hAnsiTheme="minorEastAsia"/>
          <w:color w:val="333333"/>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中标人提交履约保证金的，中标人应当以支票、汇票、本票或者金融机构、担保机构出具的保函等非现金形式向招标人提交。履约保证金的数额不得超过政府采购合同金额的10%。</w:t>
      </w:r>
    </w:p>
    <w:p>
      <w:pPr>
        <w:tabs>
          <w:tab w:val="left" w:pos="1260"/>
        </w:tabs>
        <w:autoSpaceDE w:val="0"/>
        <w:autoSpaceDN w:val="0"/>
        <w:spacing w:line="360" w:lineRule="auto"/>
        <w:contextualSpacing/>
        <w:jc w:val="left"/>
        <w:rPr>
          <w:rFonts w:ascii="宋体" w:hAnsi="宋体" w:eastAsia="宋体" w:cs="宋体"/>
          <w:b/>
          <w:bCs/>
          <w:color w:val="333333"/>
          <w:sz w:val="24"/>
          <w:szCs w:val="24"/>
        </w:rPr>
      </w:pPr>
      <w:r>
        <w:rPr>
          <w:rFonts w:hint="eastAsia" w:ascii="宋体" w:hAnsi="宋体" w:eastAsia="宋体" w:cs="宋体"/>
          <w:b/>
          <w:bCs/>
          <w:color w:val="333333"/>
          <w:sz w:val="24"/>
          <w:szCs w:val="24"/>
        </w:rPr>
        <w:t>42.其它</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其它未尽事宜按照《中华人民共和国政府采购法》及相关法律、法规的有关规定执行。</w:t>
      </w:r>
    </w:p>
    <w:p>
      <w:pPr>
        <w:tabs>
          <w:tab w:val="left" w:pos="1260"/>
        </w:tabs>
        <w:autoSpaceDE w:val="0"/>
        <w:autoSpaceDN w:val="0"/>
        <w:spacing w:line="360" w:lineRule="auto"/>
        <w:contextualSpacing/>
        <w:jc w:val="left"/>
        <w:rPr>
          <w:rFonts w:ascii="宋体" w:hAnsi="宋体" w:eastAsia="宋体" w:cs="宋体"/>
          <w:b/>
          <w:bCs/>
          <w:color w:val="333333"/>
          <w:sz w:val="24"/>
          <w:szCs w:val="24"/>
        </w:rPr>
      </w:pPr>
      <w:r>
        <w:rPr>
          <w:rFonts w:hint="eastAsia" w:ascii="宋体" w:hAnsi="宋体" w:eastAsia="宋体" w:cs="宋体"/>
          <w:b/>
          <w:bCs/>
          <w:color w:val="333333"/>
          <w:sz w:val="24"/>
          <w:szCs w:val="24"/>
        </w:rPr>
        <w:t>43.供应商行为规范</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43.1供应商在参与政府采购活动中有下列情形之一的，处招标金额千分之五以上，千分之十以下罚款，列入不良行为记录名单，在一至三年内禁止参加许昌市范围内政府采购活动，并予以公告，有违法所得的，没收违法所得。情节严重的，由工商行政管理机关吊销其营业执照;构成犯罪的，由司法机关依法追究刑事责任。中标人有下列情形之一的，中标无效。</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(一)供应商提供虚假材料谋取中标的;</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(二)采取不正当手段诋毁、排挤其他投标人;</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(三)与采购人、其他投标人、招标代理机构串通谋取中标，或哄抬中标价格的;</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(四)向采购人、评委、招标代理机构行贿或提供不正当利益的;</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(五)在招标过程中与采购人、招标代理机构协商谈判，不按招标文件、中标人的投标文件及招标过程中补充的法定文件订立合同，或者与采购人另行订立有悖于合同实质性内容协议的。</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43.2中标供应商应严格按照招标文件、投标文件、政府采购合同及具有法律约束力的补充文件(资料)履行中标后的所有义务。在履约过程中，有下列情形之一的，采购人、招标代理机构可以没收其投标保证金或履约保证金。情节严重的，列入不良行为记录名单，在一至三年内禁止参加政府采购招标活动，并予以公告。</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(一)中标后无正当理由不与采购人签订政府采购合同;</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(二)将中标项目转让给他人，或者在投标文件中未说明，且未经采购人、招标代理机构、政府采购监督管理部门同意，将中标项目分包给他人的;</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(三)拒绝履行合同规定义务的;</w:t>
      </w:r>
    </w:p>
    <w:p>
      <w:pPr>
        <w:tabs>
          <w:tab w:val="left" w:pos="1260"/>
        </w:tabs>
        <w:autoSpaceDE w:val="0"/>
        <w:autoSpaceDN w:val="0"/>
        <w:spacing w:line="360" w:lineRule="auto"/>
        <w:contextualSpacing/>
        <w:jc w:val="left"/>
        <w:rPr>
          <w:rFonts w:ascii="宋体" w:hAnsi="宋体" w:eastAsia="宋体" w:cs="宋体"/>
          <w:color w:val="333333"/>
          <w:sz w:val="24"/>
          <w:szCs w:val="24"/>
        </w:rPr>
      </w:pPr>
      <w:r>
        <w:rPr>
          <w:rFonts w:hint="eastAsia" w:ascii="宋体" w:hAnsi="宋体" w:eastAsia="宋体" w:cs="宋体"/>
          <w:color w:val="333333"/>
          <w:sz w:val="24"/>
          <w:szCs w:val="24"/>
        </w:rPr>
        <w:t>　　(四)在履约过程中未按招标文件、中标的投标文件、生效的政府采购合同等约定，提供货物、工程和服务的。</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pStyle w:val="2"/>
        <w:numPr>
          <w:ilvl w:val="0"/>
          <w:numId w:val="0"/>
        </w:numPr>
      </w:pPr>
    </w:p>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一、节约能源、保护环境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rPr>
        <w:t>（本次采购不适用该政策规定）</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按照财政部、国家环保总局发布的《环境标志产品政府采购实施的意见》（财库[2006]90号）和《财政部、环保部关于调整公布环境标志产品政府采购清单的通知》最新一期的规定，供应商所投产品若属于“环境标志产品政府采购清单”内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（本次采购不适用该政策规定）</w:t>
      </w:r>
    </w:p>
    <w:p>
      <w:pPr>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供应商产品的价格给予6%-10%的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2、中小企业投标应提供《中小企业声明函》，如为联合投标的，联合体各方需分别填写《中小企业声明函》。</w:t>
      </w:r>
    </w:p>
    <w:p>
      <w:pPr>
        <w:topLinePunct/>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lang w:val="zh-CN"/>
        </w:rPr>
      </w:pPr>
      <w:r>
        <w:rPr>
          <w:rFonts w:hint="eastAsia" w:cs="仿宋_GB2312" w:asciiTheme="minorEastAsia" w:hAnsiTheme="minorEastAsia" w:eastAsiaTheme="minorEastAsia"/>
          <w:szCs w:val="24"/>
        </w:rPr>
        <w:t>（本次采购不适用该政策规定）</w:t>
      </w:r>
    </w:p>
    <w:p>
      <w:pPr>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891" w:firstLineChars="800"/>
        <w:contextualSpacing/>
        <w:rPr>
          <w:rFonts w:cs="宋体" w:asciiTheme="majorEastAsia" w:hAnsiTheme="majorEastAsia" w:eastAsiaTheme="majorEastAsia"/>
          <w:b/>
          <w:kern w:val="0"/>
          <w:sz w:val="36"/>
          <w:szCs w:val="36"/>
        </w:rPr>
      </w:pPr>
    </w:p>
    <w:p>
      <w:pPr>
        <w:pStyle w:val="13"/>
        <w:spacing w:line="360" w:lineRule="auto"/>
        <w:ind w:firstLine="2891" w:firstLineChars="800"/>
        <w:contextualSpacing/>
        <w:rPr>
          <w:rFonts w:cs="宋体" w:asciiTheme="majorEastAsia" w:hAnsiTheme="majorEastAsia" w:eastAsiaTheme="majorEastAsia"/>
          <w:b/>
          <w:kern w:val="0"/>
          <w:sz w:val="36"/>
          <w:szCs w:val="36"/>
        </w:rPr>
      </w:pPr>
    </w:p>
    <w:p>
      <w:pPr>
        <w:pStyle w:val="13"/>
        <w:spacing w:line="360" w:lineRule="auto"/>
        <w:ind w:firstLine="2891" w:firstLineChars="800"/>
        <w:contextualSpacing/>
        <w:rPr>
          <w:rFonts w:cs="宋体" w:asciiTheme="majorEastAsia" w:hAnsiTheme="majorEastAsia" w:eastAsiaTheme="majorEastAsia"/>
          <w:b/>
          <w:kern w:val="0"/>
          <w:sz w:val="36"/>
          <w:szCs w:val="36"/>
        </w:rPr>
      </w:pPr>
    </w:p>
    <w:p>
      <w:pPr>
        <w:pStyle w:val="13"/>
        <w:spacing w:line="360" w:lineRule="auto"/>
        <w:ind w:firstLine="2891" w:firstLineChars="800"/>
        <w:contextualSpacing/>
        <w:rPr>
          <w:rFonts w:cs="宋体" w:asciiTheme="majorEastAsia" w:hAnsiTheme="majorEastAsia" w:eastAsiaTheme="majorEastAsia"/>
          <w:b/>
          <w:kern w:val="0"/>
          <w:sz w:val="36"/>
          <w:szCs w:val="36"/>
        </w:rPr>
      </w:pPr>
    </w:p>
    <w:p>
      <w:pPr>
        <w:pStyle w:val="13"/>
        <w:spacing w:line="360" w:lineRule="auto"/>
        <w:ind w:firstLine="2891" w:firstLineChars="800"/>
        <w:contextualSpacing/>
        <w:rPr>
          <w:rFonts w:cs="宋体" w:asciiTheme="majorEastAsia" w:hAnsiTheme="majorEastAsia" w:eastAsiaTheme="majorEastAsia"/>
          <w:b/>
          <w:kern w:val="0"/>
          <w:sz w:val="36"/>
          <w:szCs w:val="36"/>
        </w:rPr>
      </w:pPr>
    </w:p>
    <w:p>
      <w:pPr>
        <w:pStyle w:val="13"/>
        <w:spacing w:line="360" w:lineRule="auto"/>
        <w:ind w:firstLine="2891" w:firstLineChars="800"/>
        <w:contextualSpacing/>
        <w:rPr>
          <w:rFonts w:cs="宋体" w:asciiTheme="majorEastAsia" w:hAnsiTheme="majorEastAsia" w:eastAsiaTheme="majorEastAsia"/>
          <w:b/>
          <w:kern w:val="0"/>
          <w:sz w:val="36"/>
          <w:szCs w:val="36"/>
        </w:rPr>
      </w:pPr>
    </w:p>
    <w:p>
      <w:pPr>
        <w:pStyle w:val="13"/>
        <w:spacing w:line="360" w:lineRule="auto"/>
        <w:ind w:firstLine="2891" w:firstLineChars="800"/>
        <w:contextualSpacing/>
        <w:rPr>
          <w:rFonts w:cs="宋体" w:asciiTheme="majorEastAsia" w:hAnsiTheme="majorEastAsia" w:eastAsiaTheme="majorEastAsia"/>
          <w:b/>
          <w:kern w:val="0"/>
          <w:sz w:val="36"/>
          <w:szCs w:val="36"/>
        </w:rPr>
      </w:pPr>
    </w:p>
    <w:p>
      <w:pPr>
        <w:pStyle w:val="13"/>
        <w:spacing w:line="360" w:lineRule="auto"/>
        <w:ind w:firstLine="2891" w:firstLineChars="800"/>
        <w:contextualSpacing/>
        <w:rPr>
          <w:rFonts w:cs="宋体" w:asciiTheme="majorEastAsia" w:hAnsiTheme="majorEastAsia" w:eastAsiaTheme="majorEastAsia"/>
          <w:b/>
          <w:kern w:val="0"/>
          <w:sz w:val="36"/>
          <w:szCs w:val="36"/>
        </w:rPr>
      </w:pPr>
    </w:p>
    <w:p>
      <w:pPr>
        <w:pStyle w:val="13"/>
        <w:spacing w:line="360" w:lineRule="auto"/>
        <w:ind w:firstLine="2891" w:firstLineChars="800"/>
        <w:contextualSpacing/>
        <w:rPr>
          <w:rFonts w:cs="宋体" w:asciiTheme="majorEastAsia" w:hAnsiTheme="majorEastAsia" w:eastAsiaTheme="majorEastAsia"/>
          <w:b/>
          <w:kern w:val="0"/>
          <w:sz w:val="36"/>
          <w:szCs w:val="36"/>
        </w:rPr>
      </w:pPr>
    </w:p>
    <w:p>
      <w:pPr>
        <w:pStyle w:val="13"/>
        <w:spacing w:line="360" w:lineRule="auto"/>
        <w:ind w:firstLine="2891" w:firstLineChars="800"/>
        <w:contextualSpacing/>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891" w:firstLineChars="800"/>
        <w:contextualSpacing/>
        <w:rPr>
          <w:rFonts w:cs="仿宋_GB2312" w:asciiTheme="minorEastAsia" w:hAnsiTheme="minorEastAsia"/>
          <w:lang w:val="zh-CN"/>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根据财政部87号令要求，政府采购公开招标项目资格审查应当按以下程序进行：</w:t>
      </w:r>
    </w:p>
    <w:p>
      <w:pPr>
        <w:spacing w:line="360" w:lineRule="auto"/>
        <w:ind w:right="420" w:rightChars="200"/>
        <w:contextualSpacing/>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⑴资格审查材料的接收与退还</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开标结束后，由代理公司指定专人负责接收供应商的资格审查材料。</w:t>
      </w:r>
    </w:p>
    <w:p>
      <w:pPr>
        <w:spacing w:line="360" w:lineRule="auto"/>
        <w:ind w:right="420" w:rightChars="200"/>
        <w:contextualSpacing/>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⑵资格审查时间及地点</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开标后，在开标室进行，所有投标人离场.</w:t>
      </w:r>
    </w:p>
    <w:p>
      <w:pPr>
        <w:spacing w:line="360" w:lineRule="auto"/>
        <w:ind w:right="420" w:rightChars="200"/>
        <w:contextualSpacing/>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⑶资格审查小组</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资格性审查小组由采购人代表3人组成.</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资格性审查小组成员均须持采购单位有明确授权事项的授权书，与资格审查材料一并存入项目档案。</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资格性审查小组成员不得出席开标活动。</w:t>
      </w:r>
    </w:p>
    <w:p>
      <w:pPr>
        <w:spacing w:line="360" w:lineRule="auto"/>
        <w:ind w:right="420" w:rightChars="200"/>
        <w:contextualSpacing/>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⑷资格审查内容</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详见资格审查表</w:t>
      </w:r>
    </w:p>
    <w:p>
      <w:pPr>
        <w:spacing w:line="360" w:lineRule="auto"/>
        <w:ind w:right="420" w:rightChars="200"/>
        <w:contextualSpacing/>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(5)资格审查结果的运用</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资格审查结果与评标结果一并公布。</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合格的投标人不足3家的，不得评标。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1、法人或者其他组织应具有的营业执照等证明文件：</w:t>
            </w:r>
          </w:p>
          <w:p>
            <w:pPr>
              <w:spacing w:line="360" w:lineRule="auto"/>
              <w:rPr>
                <w:rFonts w:asciiTheme="minorEastAsia" w:hAnsiTheme="minorEastAsia"/>
                <w:b/>
                <w:sz w:val="24"/>
                <w:szCs w:val="24"/>
              </w:rPr>
            </w:pPr>
            <w:r>
              <w:rPr>
                <w:rFonts w:hint="eastAsia" w:asciiTheme="minorEastAsia" w:hAnsiTheme="minorEastAsia"/>
                <w:sz w:val="24"/>
                <w:szCs w:val="24"/>
              </w:rPr>
              <w:t xml:space="preserve">是否符合“投标人须知前附表”第四条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2、财务状况报告相关材料：</w:t>
            </w:r>
            <w:r>
              <w:rPr>
                <w:rFonts w:hint="eastAsia" w:asciiTheme="minorEastAsia" w:hAnsiTheme="minorEastAsia"/>
                <w:sz w:val="24"/>
                <w:szCs w:val="24"/>
              </w:rPr>
              <w:t xml:space="preserve">是否符合“投标人须知前附表”第四条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bCs/>
                <w:sz w:val="24"/>
                <w:szCs w:val="24"/>
              </w:rPr>
              <w:t>3、依法缴纳税收相关材料：</w:t>
            </w:r>
            <w:r>
              <w:rPr>
                <w:rFonts w:hint="eastAsia" w:asciiTheme="minorEastAsia" w:hAnsiTheme="minorEastAsia"/>
                <w:sz w:val="24"/>
                <w:szCs w:val="24"/>
              </w:rPr>
              <w:t xml:space="preserve">是否符合“投标人须知前附表”第四条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4、依法缴纳社会保障资金的证明材料：</w:t>
            </w:r>
            <w:r>
              <w:rPr>
                <w:rFonts w:hint="eastAsia" w:asciiTheme="minorEastAsia" w:hAnsiTheme="minorEastAsia"/>
                <w:sz w:val="24"/>
                <w:szCs w:val="24"/>
              </w:rPr>
              <w:t>是否符合“投标人须知前附表”第四条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5、履行合同所必须的专业技术能力的证明材料：</w:t>
            </w:r>
          </w:p>
          <w:p>
            <w:pPr>
              <w:pStyle w:val="27"/>
              <w:rPr>
                <w:color w:val="auto"/>
              </w:rPr>
            </w:pPr>
            <w:r>
              <w:rPr>
                <w:rFonts w:hint="eastAsia" w:asciiTheme="minorEastAsia" w:hAnsiTheme="minorEastAsia"/>
                <w:color w:val="auto"/>
              </w:rPr>
              <w:t>是否符合“投标人须知前附表”第四条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sz w:val="24"/>
                <w:szCs w:val="24"/>
              </w:rPr>
              <w:t xml:space="preserve">是否符合“投标人须知前附表”第四条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7、信用要求：</w:t>
            </w:r>
            <w:r>
              <w:rPr>
                <w:rFonts w:hint="eastAsia" w:asciiTheme="minorEastAsia" w:hAnsiTheme="minorEastAsia"/>
                <w:sz w:val="24"/>
                <w:szCs w:val="24"/>
              </w:rPr>
              <w:t xml:space="preserve">是否符合“投标人须知前附表”第四条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sz w:val="24"/>
                <w:szCs w:val="24"/>
              </w:rPr>
              <w:t>8、是否提供法定代表人身份证明或提供法定代表人授权委托书及被授权人身份证明。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ind w:right="-88" w:rightChars="-42"/>
              <w:jc w:val="left"/>
              <w:rPr>
                <w:rFonts w:ascii="宋体" w:hAnsi="宋体" w:cs="宋体"/>
                <w:sz w:val="24"/>
                <w:szCs w:val="24"/>
              </w:rPr>
            </w:pPr>
            <w:r>
              <w:rPr>
                <w:rFonts w:hint="eastAsia" w:ascii="宋体" w:hAnsi="宋体" w:cs="宋体"/>
                <w:sz w:val="24"/>
                <w:szCs w:val="24"/>
              </w:rPr>
              <w:t>说明：</w:t>
            </w:r>
          </w:p>
          <w:p>
            <w:pPr>
              <w:ind w:right="-88" w:rightChars="-42"/>
              <w:jc w:val="left"/>
              <w:rPr>
                <w:rFonts w:ascii="宋体" w:hAnsi="宋体" w:cs="宋体"/>
                <w:sz w:val="24"/>
                <w:szCs w:val="24"/>
              </w:rPr>
            </w:pPr>
            <w:r>
              <w:rPr>
                <w:rFonts w:hint="eastAsia" w:ascii="宋体" w:hAnsi="宋体" w:cs="宋体"/>
                <w:sz w:val="24"/>
                <w:szCs w:val="24"/>
              </w:rPr>
              <w:t>1.资格证明文件原件另行包封提交，供应商应附资格审查清单表，不得与投标文件封装在一个包封内。</w:t>
            </w:r>
          </w:p>
          <w:p>
            <w:pPr>
              <w:spacing w:line="360" w:lineRule="auto"/>
              <w:contextualSpacing/>
              <w:rPr>
                <w:rFonts w:asciiTheme="minorEastAsia" w:hAnsiTheme="minorEastAsia"/>
                <w:b/>
                <w:sz w:val="24"/>
                <w:szCs w:val="24"/>
              </w:rPr>
            </w:pPr>
            <w:r>
              <w:rPr>
                <w:rFonts w:hint="eastAsia" w:ascii="宋体" w:hAnsi="宋体" w:cs="宋体"/>
                <w:sz w:val="24"/>
                <w:szCs w:val="24"/>
              </w:rPr>
              <w:t>2.以上要求中，如有投标人成立时限不足要求时限的，由投标人根据自身成立时间提供证明资料。</w:t>
            </w:r>
          </w:p>
        </w:tc>
      </w:tr>
    </w:tbl>
    <w:p>
      <w:pPr>
        <w:spacing w:line="440" w:lineRule="exact"/>
        <w:rPr>
          <w:rFonts w:ascii="宋体" w:hAnsi="宋体"/>
          <w:color w:val="000000"/>
          <w:sz w:val="24"/>
          <w:szCs w:val="24"/>
        </w:rPr>
      </w:pPr>
      <w:r>
        <w:rPr>
          <w:rFonts w:hint="eastAsia" w:ascii="宋体" w:hAnsi="宋体"/>
          <w:color w:val="000000"/>
          <w:sz w:val="24"/>
          <w:szCs w:val="24"/>
        </w:rPr>
        <w:t>注：</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上述资格性审查中若有任何一项不符合者，即为无效投标。</w:t>
      </w:r>
    </w:p>
    <w:p>
      <w:pPr>
        <w:spacing w:line="440" w:lineRule="exact"/>
        <w:ind w:firstLine="482" w:firstLineChars="200"/>
        <w:rPr>
          <w:rFonts w:ascii="宋体" w:hAnsi="宋体"/>
          <w:b/>
          <w:color w:val="000000"/>
          <w:sz w:val="24"/>
          <w:szCs w:val="24"/>
        </w:rPr>
      </w:pPr>
      <w:r>
        <w:rPr>
          <w:rFonts w:hint="eastAsia" w:ascii="宋体" w:hAnsi="宋体"/>
          <w:b/>
          <w:color w:val="000000"/>
          <w:sz w:val="24"/>
          <w:szCs w:val="24"/>
        </w:rPr>
        <w:t>评审现场提供的原件须与投标文件中的复印件一致，不提供原件者或投标文件中没有附复印件者为无效投标。</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采购人将在开标结束后资格审查时，通过“信用中国”网站 (www.creditchina.gov.cn)、中国政府采购网(www.ccgp.gov.cn)查询相关投标人信用记录：投标人是否被列入失信被执行人、重大税收违法案件当事人名单、政府采购严重违法失信行为记录名单。</w:t>
      </w:r>
    </w:p>
    <w:p>
      <w:pPr>
        <w:spacing w:line="440" w:lineRule="exact"/>
        <w:ind w:firstLine="480" w:firstLineChars="200"/>
        <w:rPr>
          <w:rFonts w:ascii="宋体" w:hAnsi="宋体"/>
          <w:color w:val="000000"/>
          <w:sz w:val="24"/>
          <w:szCs w:val="24"/>
        </w:rPr>
      </w:pPr>
      <w:r>
        <w:rPr>
          <w:sz w:val="24"/>
          <w:szCs w:val="24"/>
        </w:rPr>
        <w:t>1</w:t>
      </w:r>
      <w:r>
        <w:rPr>
          <w:rFonts w:hint="eastAsia" w:ascii="宋体" w:hAnsi="宋体"/>
          <w:color w:val="000000"/>
          <w:sz w:val="24"/>
          <w:szCs w:val="24"/>
        </w:rPr>
        <w:t>查询渠道：“信用中国”网站（www.creditchina.gov.cn）和中国政府采购网（</w:t>
      </w:r>
      <w:r>
        <w:fldChar w:fldCharType="begin"/>
      </w:r>
      <w:r>
        <w:instrText xml:space="preserve"> HYPERLINK "http://www.ccgp.gov.cn" </w:instrText>
      </w:r>
      <w:r>
        <w:fldChar w:fldCharType="separate"/>
      </w:r>
      <w:r>
        <w:rPr>
          <w:rStyle w:val="25"/>
          <w:rFonts w:hint="eastAsia" w:ascii="宋体" w:hAnsi="宋体"/>
          <w:sz w:val="24"/>
          <w:szCs w:val="24"/>
        </w:rPr>
        <w:t>www.ccgp.gov.cn</w:t>
      </w:r>
      <w:r>
        <w:rPr>
          <w:rStyle w:val="25"/>
          <w:rFonts w:hint="eastAsia" w:ascii="宋体" w:hAnsi="宋体"/>
          <w:sz w:val="24"/>
          <w:szCs w:val="24"/>
        </w:rPr>
        <w:fldChar w:fldCharType="end"/>
      </w:r>
      <w:r>
        <w:rPr>
          <w:rFonts w:hint="eastAsia" w:ascii="宋体" w:hAnsi="宋体"/>
          <w:color w:val="000000"/>
          <w:sz w:val="24"/>
          <w:szCs w:val="24"/>
        </w:rPr>
        <w:t>）；</w:t>
      </w:r>
    </w:p>
    <w:p>
      <w:pPr>
        <w:spacing w:line="440" w:lineRule="exact"/>
        <w:ind w:firstLine="480" w:firstLineChars="200"/>
        <w:rPr>
          <w:rFonts w:ascii="宋体" w:hAnsi="宋体"/>
          <w:color w:val="000000"/>
          <w:sz w:val="24"/>
          <w:szCs w:val="24"/>
        </w:rPr>
      </w:pPr>
      <w:r>
        <w:rPr>
          <w:sz w:val="24"/>
          <w:szCs w:val="24"/>
        </w:rPr>
        <w:t>2</w:t>
      </w:r>
      <w:r>
        <w:rPr>
          <w:rFonts w:hint="eastAsia" w:ascii="宋体" w:hAnsi="宋体"/>
          <w:color w:val="000000"/>
          <w:sz w:val="24"/>
          <w:szCs w:val="24"/>
        </w:rPr>
        <w:t>信用信息查询截止时点：同投标截止时间；</w:t>
      </w:r>
    </w:p>
    <w:p>
      <w:pPr>
        <w:spacing w:line="440" w:lineRule="exact"/>
        <w:ind w:firstLine="480" w:firstLineChars="200"/>
        <w:rPr>
          <w:rFonts w:ascii="宋体" w:hAnsi="宋体"/>
          <w:color w:val="000000"/>
          <w:sz w:val="24"/>
          <w:szCs w:val="24"/>
        </w:rPr>
      </w:pPr>
      <w:r>
        <w:rPr>
          <w:sz w:val="24"/>
          <w:szCs w:val="24"/>
        </w:rPr>
        <w:t>3</w:t>
      </w:r>
      <w:r>
        <w:rPr>
          <w:rFonts w:hint="eastAsia" w:ascii="宋体" w:hAnsi="宋体"/>
          <w:color w:val="000000"/>
          <w:sz w:val="24"/>
          <w:szCs w:val="24"/>
        </w:rPr>
        <w:t>信用信息查询记录和证据留存具体方式：采购人（采购代理机构）应当对投标人信用记录进行甄别，对确认的查询结果网页截图作为查询记录和证据，与其他招标文件一并保存；</w:t>
      </w:r>
    </w:p>
    <w:p>
      <w:pPr>
        <w:spacing w:line="440" w:lineRule="exact"/>
        <w:ind w:firstLine="480" w:firstLineChars="200"/>
        <w:rPr>
          <w:rFonts w:ascii="宋体" w:hAnsi="宋体"/>
          <w:color w:val="000000"/>
          <w:sz w:val="24"/>
          <w:szCs w:val="24"/>
        </w:rPr>
      </w:pPr>
      <w:r>
        <w:rPr>
          <w:sz w:val="24"/>
          <w:szCs w:val="24"/>
        </w:rPr>
        <w:t>4</w:t>
      </w:r>
      <w:r>
        <w:rPr>
          <w:rFonts w:hint="eastAsia" w:ascii="宋体" w:hAnsi="宋体"/>
          <w:color w:val="000000"/>
          <w:sz w:val="24"/>
          <w:szCs w:val="24"/>
        </w:rPr>
        <w:t>信用信息使用原则：经查询被列入失信被执行人、重大税收违法案件当事人名单、政府采购严重违法失信行为记录名单的投标人，将拒绝其参与政府采购活动。</w:t>
      </w:r>
    </w:p>
    <w:p>
      <w:pPr>
        <w:spacing w:line="440" w:lineRule="exact"/>
        <w:ind w:firstLine="480" w:firstLineChars="200"/>
        <w:rPr>
          <w:rFonts w:ascii="宋体" w:hAnsi="宋体"/>
          <w:color w:val="000000"/>
          <w:sz w:val="24"/>
          <w:szCs w:val="24"/>
        </w:rPr>
      </w:pPr>
      <w:r>
        <w:rPr>
          <w:rFonts w:hint="eastAsia" w:ascii="宋体" w:hAnsi="宋体"/>
          <w:color w:val="000000"/>
          <w:sz w:val="24"/>
          <w:szCs w:val="24"/>
        </w:rPr>
        <w:t>（4）按照招标文件要求成功在《全国公共资源交易平台（河南省.许昌市）》报名，并下载获取了招标文件。否则其投标无效</w:t>
      </w:r>
    </w:p>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评标委员会对符合资格的供应商的投标文件进行符合性审查，以确定其是否满足招标文件的商务、技术等实质性要求。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w:t>
      </w:r>
      <w:r>
        <w:rPr>
          <w:rFonts w:hint="eastAsia" w:cs="仿宋_GB2312" w:asciiTheme="minorEastAsia" w:hAnsiTheme="minorEastAsia" w:eastAsiaTheme="minorEastAsia"/>
          <w:b/>
          <w:szCs w:val="24"/>
          <w:lang w:val="zh-CN"/>
        </w:rPr>
        <w:t>供应商</w:t>
      </w:r>
      <w:r>
        <w:rPr>
          <w:rFonts w:cs="仿宋_GB2312" w:asciiTheme="minorEastAsia" w:hAnsiTheme="minorEastAsia" w:eastAsiaTheme="minorEastAsia"/>
          <w:b/>
          <w:szCs w:val="24"/>
          <w:lang w:val="zh-CN"/>
        </w:rPr>
        <w:t>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w:t>
      </w:r>
      <w:r>
        <w:rPr>
          <w:rFonts w:hint="eastAsia" w:cs="仿宋_GB2312" w:asciiTheme="minorEastAsia" w:hAnsiTheme="minorEastAsia" w:eastAsiaTheme="minorEastAsia"/>
          <w:szCs w:val="24"/>
          <w:lang w:val="zh-CN"/>
        </w:rPr>
        <w:t>供应商</w:t>
      </w:r>
      <w:r>
        <w:rPr>
          <w:rFonts w:cs="仿宋_GB2312" w:asciiTheme="minorEastAsia" w:hAnsiTheme="minorEastAsia" w:eastAsiaTheme="minorEastAsia"/>
          <w:szCs w:val="24"/>
          <w:lang w:val="zh-CN"/>
        </w:rPr>
        <w:t>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供应商</w:t>
      </w:r>
      <w:r>
        <w:rPr>
          <w:rFonts w:cs="仿宋_GB2312" w:asciiTheme="minorEastAsia" w:hAnsiTheme="minorEastAsia" w:eastAsiaTheme="minorEastAsia"/>
          <w:szCs w:val="24"/>
          <w:lang w:val="zh-CN"/>
        </w:rPr>
        <w:t>的澄清、说明或者补正应当采用书面形式，并加盖公章，或者由法定代表人或其授权的代表签字。</w:t>
      </w:r>
      <w:r>
        <w:rPr>
          <w:rFonts w:hint="eastAsia" w:cs="仿宋_GB2312" w:asciiTheme="minorEastAsia" w:hAnsiTheme="minorEastAsia" w:eastAsiaTheme="minorEastAsia"/>
          <w:szCs w:val="24"/>
          <w:lang w:val="zh-CN"/>
        </w:rPr>
        <w:t>供应商</w:t>
      </w:r>
      <w:r>
        <w:rPr>
          <w:rFonts w:cs="仿宋_GB2312" w:asciiTheme="minorEastAsia" w:hAnsiTheme="minorEastAsia" w:eastAsiaTheme="minorEastAsia"/>
          <w:szCs w:val="24"/>
          <w:lang w:val="zh-CN"/>
        </w:rPr>
        <w:t>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w:t>
      </w:r>
      <w:r>
        <w:rPr>
          <w:rFonts w:hint="eastAsia" w:cs="仿宋_GB2312" w:asciiTheme="minorEastAsia" w:hAnsiTheme="minorEastAsia" w:eastAsiaTheme="minorEastAsia"/>
          <w:szCs w:val="24"/>
          <w:lang w:val="zh-CN"/>
        </w:rPr>
        <w:t>低</w:t>
      </w:r>
      <w:r>
        <w:rPr>
          <w:rFonts w:cs="仿宋_GB2312" w:asciiTheme="minorEastAsia" w:hAnsiTheme="minorEastAsia" w:eastAsiaTheme="minorEastAsia"/>
          <w:szCs w:val="24"/>
          <w:lang w:val="zh-CN"/>
        </w:rPr>
        <w:t>价优先法计算，即满足招标文件要求且投标价格最</w:t>
      </w:r>
      <w:r>
        <w:rPr>
          <w:rFonts w:hint="eastAsia" w:cs="仿宋_GB2312" w:asciiTheme="minorEastAsia" w:hAnsiTheme="minorEastAsia" w:eastAsiaTheme="minorEastAsia"/>
          <w:szCs w:val="24"/>
          <w:lang w:val="zh-CN"/>
        </w:rPr>
        <w:t>低</w:t>
      </w:r>
      <w:r>
        <w:rPr>
          <w:rFonts w:cs="仿宋_GB2312" w:asciiTheme="minorEastAsia" w:hAnsiTheme="minorEastAsia" w:eastAsiaTheme="minorEastAsia"/>
          <w:szCs w:val="24"/>
          <w:lang w:val="zh-CN"/>
        </w:rPr>
        <w:t>的投标报价为评标基准价，其价格分为满分。因落实政府采购政策进行价格调整的，以调整后的价格计算评标基准价和投标报价。</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1）如果本项目非专门面向中小企业采购，对小型和微型企业供应商的投标价格给予6%的增加，用增加后的价格参与评审。</w:t>
      </w:r>
    </w:p>
    <w:p>
      <w:pPr>
        <w:pStyle w:val="13"/>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rPr>
        <w:t>2</w:t>
      </w:r>
      <w:r>
        <w:rPr>
          <w:rFonts w:hint="eastAsia" w:cs="仿宋_GB2312" w:asciiTheme="minorEastAsia" w:hAnsiTheme="minorEastAsia" w:eastAsiaTheme="minor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增加，用增加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1）供应商应当遵循公平竞争的原则，不得恶意串通，不得妨碍其他供应商的竞争行为，不得损害招标人或者其他供应商的合法权益。在评标过程中发现供应商有上述情形的，评标委员会应当认定其投标无效。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3）有下列情形之一的，视为供应商串通投标，其投标无效：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a.不同供应商的投标文件由同一单位或者个人编制；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b.不同供应商委托同一单位或者个人办理投标事宜；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c.不同供应商的投标文件载明的项目管理成员或者联系人员为同一人；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d.不同供应商的投标文件异常一致或者投标报价呈规律性差异；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e.不同供应商的投标文件相互混装；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供应商的报价明显高于其他通过符合性审查供应商的报价，有可能不能诚信履约的，应当要求其在评标现场合理的时间内提供书面说明，必要时提交相关证明材料；供应商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3</w:t>
      </w:r>
      <w:r>
        <w:rPr>
          <w:rFonts w:hint="eastAsia" w:cs="仿宋_GB2312" w:asciiTheme="minorEastAsia" w:hAnsiTheme="minorEastAsia" w:eastAsiaTheme="minorEastAsia"/>
          <w:b/>
          <w:szCs w:val="24"/>
          <w:lang w:val="zh-CN"/>
        </w:rPr>
        <w:t>）评标标准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6"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分值构成</w:t>
            </w:r>
          </w:p>
        </w:tc>
        <w:tc>
          <w:tcPr>
            <w:tcW w:w="6920" w:type="dxa"/>
            <w:gridSpan w:val="2"/>
            <w:vAlign w:val="center"/>
          </w:tcPr>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价格分值：</w:t>
            </w:r>
            <w:r>
              <w:rPr>
                <w:rFonts w:hint="eastAsia" w:cs="Times New Roman" w:asciiTheme="minorEastAsia" w:hAnsiTheme="minorEastAsia"/>
                <w:sz w:val="24"/>
                <w:szCs w:val="24"/>
                <w:u w:val="single"/>
              </w:rPr>
              <w:t>20</w:t>
            </w:r>
            <w:r>
              <w:rPr>
                <w:rFonts w:hint="eastAsia" w:cs="Times New Roman" w:asciiTheme="minorEastAsia" w:hAnsiTheme="minorEastAsia"/>
                <w:sz w:val="24"/>
                <w:szCs w:val="24"/>
              </w:rPr>
              <w:t>分</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商务部分：</w:t>
            </w:r>
            <w:r>
              <w:rPr>
                <w:rFonts w:hint="eastAsia" w:cs="Times New Roman" w:asciiTheme="minorEastAsia" w:hAnsiTheme="minorEastAsia"/>
                <w:sz w:val="24"/>
                <w:szCs w:val="24"/>
                <w:u w:val="single"/>
              </w:rPr>
              <w:t>45</w:t>
            </w:r>
            <w:r>
              <w:rPr>
                <w:rFonts w:hint="eastAsia" w:cs="Times New Roman" w:asciiTheme="minorEastAsia" w:hAnsiTheme="minorEastAsia"/>
                <w:sz w:val="24"/>
                <w:szCs w:val="24"/>
              </w:rPr>
              <w:t>分</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技术部分：</w:t>
            </w:r>
            <w:r>
              <w:rPr>
                <w:rFonts w:hint="eastAsia" w:cs="Times New Roman" w:asciiTheme="minorEastAsia" w:hAnsiTheme="minorEastAsia"/>
                <w:sz w:val="24"/>
                <w:szCs w:val="24"/>
                <w:u w:val="single"/>
              </w:rPr>
              <w:t>35</w:t>
            </w:r>
            <w:r>
              <w:rPr>
                <w:rFonts w:hint="eastAsia" w:cs="Times New Roman"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966" w:type="dxa"/>
            <w:gridSpan w:val="3"/>
            <w:tcBorders>
              <w:bottom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一、价格部分（满分</w:t>
            </w:r>
            <w:r>
              <w:rPr>
                <w:rFonts w:hint="eastAsia" w:cs="Times New Roman" w:asciiTheme="minorEastAsia" w:hAnsiTheme="minorEastAsia"/>
                <w:b/>
                <w:sz w:val="24"/>
                <w:szCs w:val="24"/>
                <w:u w:val="single"/>
              </w:rPr>
              <w:t>20</w:t>
            </w:r>
            <w:r>
              <w:rPr>
                <w:rFonts w:hint="eastAsia" w:cs="Times New Roman"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2046" w:type="dxa"/>
            <w:tcBorders>
              <w:top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评分因素</w:t>
            </w:r>
          </w:p>
        </w:tc>
        <w:tc>
          <w:tcPr>
            <w:tcW w:w="5953" w:type="dxa"/>
            <w:tcBorders>
              <w:top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评分标准</w:t>
            </w:r>
          </w:p>
        </w:tc>
        <w:tc>
          <w:tcPr>
            <w:tcW w:w="967" w:type="dxa"/>
            <w:tcBorders>
              <w:top w:val="single" w:color="auto" w:sz="4" w:space="0"/>
            </w:tcBorders>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2046" w:type="dxa"/>
            <w:tcBorders>
              <w:top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投标报价评分标准</w:t>
            </w:r>
          </w:p>
        </w:tc>
        <w:tc>
          <w:tcPr>
            <w:tcW w:w="5953" w:type="dxa"/>
            <w:tcBorders>
              <w:top w:val="single" w:color="auto" w:sz="4" w:space="0"/>
            </w:tcBorders>
            <w:vAlign w:val="center"/>
          </w:tcPr>
          <w:p>
            <w:pPr>
              <w:rPr>
                <w:rFonts w:cs="Times New Roman" w:asciiTheme="minorEastAsia" w:hAnsiTheme="minorEastAsia"/>
                <w:sz w:val="24"/>
                <w:szCs w:val="24"/>
              </w:rPr>
            </w:pPr>
            <w:r>
              <w:rPr>
                <w:rFonts w:hint="eastAsia" w:cs="Times New Roman" w:asciiTheme="minorEastAsia" w:hAnsiTheme="minorEastAsia"/>
                <w:sz w:val="24"/>
                <w:szCs w:val="24"/>
              </w:rPr>
              <w:t>评标基准价：满足招标文件要求的有效投标报价中，最低的投标报价为评标基准价。</w:t>
            </w:r>
          </w:p>
          <w:p>
            <w:pPr>
              <w:rPr>
                <w:rFonts w:cs="Times New Roman" w:asciiTheme="minorEastAsia" w:hAnsiTheme="minorEastAsia"/>
                <w:sz w:val="24"/>
                <w:szCs w:val="24"/>
                <w:u w:val="single"/>
              </w:rPr>
            </w:pPr>
            <w:r>
              <w:rPr>
                <w:rFonts w:hint="eastAsia" w:cs="Times New Roman" w:asciiTheme="minorEastAsia" w:hAnsiTheme="minorEastAsia"/>
                <w:sz w:val="24"/>
                <w:szCs w:val="24"/>
              </w:rPr>
              <w:t>投标报价得分=（评标基准价/有效投标报价）×</w:t>
            </w:r>
            <w:r>
              <w:rPr>
                <w:rFonts w:hint="eastAsia" w:cs="Times New Roman" w:asciiTheme="minorEastAsia" w:hAnsiTheme="minorEastAsia"/>
                <w:sz w:val="24"/>
                <w:szCs w:val="24"/>
                <w:u w:val="single"/>
              </w:rPr>
              <w:t>20</w:t>
            </w:r>
          </w:p>
          <w:p>
            <w:pPr>
              <w:rPr>
                <w:rFonts w:cs="Times New Roman" w:asciiTheme="minorEastAsia" w:hAnsiTheme="minorEastAsia"/>
                <w:sz w:val="24"/>
                <w:szCs w:val="24"/>
              </w:rPr>
            </w:pPr>
            <w:r>
              <w:rPr>
                <w:rFonts w:hint="eastAsia" w:cs="Times New Roman" w:asciiTheme="minorEastAsia" w:hAnsiTheme="minorEastAsia"/>
                <w:sz w:val="24"/>
                <w:szCs w:val="24"/>
              </w:rPr>
              <w:t>注：有效投标报价是指通过评审的供应商报价</w:t>
            </w:r>
            <w:r>
              <w:rPr>
                <w:rFonts w:hint="eastAsia" w:cs="Times New Roman" w:asciiTheme="minorEastAsia" w:hAnsiTheme="minorEastAsia"/>
                <w:sz w:val="24"/>
                <w:szCs w:val="24"/>
                <w:lang w:val="zh-CN"/>
              </w:rPr>
              <w:t>。</w:t>
            </w:r>
          </w:p>
        </w:tc>
        <w:tc>
          <w:tcPr>
            <w:tcW w:w="967" w:type="dxa"/>
            <w:tcBorders>
              <w:top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u w:val="single"/>
              </w:rPr>
              <w:t>20</w:t>
            </w:r>
            <w:r>
              <w:rPr>
                <w:rFonts w:hint="eastAsia" w:ascii="仿宋" w:hAnsi="仿宋"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6" w:type="dxa"/>
            <w:gridSpan w:val="3"/>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二、商务部分（满分</w:t>
            </w:r>
            <w:r>
              <w:rPr>
                <w:rFonts w:hint="eastAsia" w:cs="Times New Roman" w:asciiTheme="minorEastAsia" w:hAnsiTheme="minorEastAsia"/>
                <w:b/>
                <w:sz w:val="24"/>
                <w:szCs w:val="24"/>
                <w:u w:val="single"/>
              </w:rPr>
              <w:t>45</w:t>
            </w:r>
            <w:r>
              <w:rPr>
                <w:rFonts w:hint="eastAsia" w:cs="Times New Roman"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2046" w:type="dxa"/>
            <w:tcBorders>
              <w:bottom w:val="single" w:color="auto" w:sz="4" w:space="0"/>
            </w:tcBorders>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评分因素</w:t>
            </w:r>
          </w:p>
        </w:tc>
        <w:tc>
          <w:tcPr>
            <w:tcW w:w="5953"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评分标准</w:t>
            </w:r>
          </w:p>
        </w:tc>
        <w:tc>
          <w:tcPr>
            <w:tcW w:w="967" w:type="dxa"/>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360" w:lineRule="exact"/>
              <w:jc w:val="center"/>
              <w:rPr>
                <w:rFonts w:cs="Times New Roman" w:asciiTheme="minorEastAsia" w:hAnsiTheme="minorEastAsia"/>
                <w:sz w:val="24"/>
                <w:szCs w:val="24"/>
              </w:rPr>
            </w:pPr>
            <w:r>
              <w:rPr>
                <w:rFonts w:hint="eastAsia" w:cs="Times New Roman" w:asciiTheme="minorEastAsia" w:hAnsiTheme="minorEastAsia"/>
                <w:sz w:val="24"/>
                <w:szCs w:val="24"/>
              </w:rPr>
              <w:t>企业实力</w:t>
            </w:r>
          </w:p>
        </w:tc>
        <w:tc>
          <w:tcPr>
            <w:tcW w:w="5953" w:type="dxa"/>
            <w:vAlign w:val="center"/>
          </w:tcPr>
          <w:p>
            <w:pPr>
              <w:numPr>
                <w:ilvl w:val="0"/>
                <w:numId w:val="7"/>
              </w:numPr>
              <w:spacing w:line="360" w:lineRule="exact"/>
              <w:rPr>
                <w:sz w:val="24"/>
                <w:szCs w:val="24"/>
              </w:rPr>
            </w:pPr>
            <w:r>
              <w:rPr>
                <w:rFonts w:hint="eastAsia"/>
                <w:sz w:val="24"/>
                <w:szCs w:val="24"/>
              </w:rPr>
              <w:t>供应商自2015年1月1日以来，获得过政府部门表彰奖励的，市级的得4分；省级及以上的得8分，此项满分8分，奖项不累计加分，只计取最高分。</w:t>
            </w:r>
          </w:p>
          <w:p>
            <w:pPr>
              <w:spacing w:line="360" w:lineRule="exact"/>
              <w:rPr>
                <w:sz w:val="24"/>
                <w:szCs w:val="24"/>
              </w:rPr>
            </w:pPr>
            <w:r>
              <w:rPr>
                <w:rFonts w:hint="eastAsia"/>
                <w:sz w:val="24"/>
                <w:szCs w:val="24"/>
              </w:rPr>
              <w:t>2、供应商法人自2015年1月1日以来，获得过政府部门表彰奖励的，市级的得4分；省级及以上的得8分，此项满分8分，奖项不累计加分，只计取最高分。</w:t>
            </w:r>
          </w:p>
          <w:p>
            <w:pPr>
              <w:spacing w:line="360" w:lineRule="exact"/>
              <w:rPr>
                <w:sz w:val="24"/>
                <w:szCs w:val="24"/>
              </w:rPr>
            </w:pPr>
            <w:r>
              <w:rPr>
                <w:rFonts w:hint="eastAsia"/>
                <w:sz w:val="24"/>
                <w:szCs w:val="24"/>
              </w:rPr>
              <w:t>3、供应商通过质量管理体系认证、环境管理体系认、职业健康安全管理体系认证的，每项3分，满分9分。</w:t>
            </w:r>
          </w:p>
          <w:p>
            <w:pPr>
              <w:spacing w:line="360" w:lineRule="exact"/>
              <w:rPr>
                <w:sz w:val="24"/>
                <w:szCs w:val="24"/>
              </w:rPr>
            </w:pPr>
            <w:r>
              <w:rPr>
                <w:rFonts w:hint="eastAsia"/>
                <w:sz w:val="24"/>
                <w:szCs w:val="24"/>
              </w:rPr>
              <w:t>4、供应商具有养老服务行业一年以上的委托管理实践经验的得5分，没有不得分，本项最高得5分。</w:t>
            </w:r>
          </w:p>
          <w:p>
            <w:pPr>
              <w:spacing w:line="360" w:lineRule="exact"/>
              <w:rPr>
                <w:sz w:val="24"/>
                <w:szCs w:val="24"/>
              </w:rPr>
            </w:pPr>
            <w:r>
              <w:rPr>
                <w:rFonts w:hint="eastAsia"/>
                <w:sz w:val="24"/>
                <w:szCs w:val="24"/>
              </w:rPr>
              <w:t>5、配备的运营管理团队负责人具有3年及以上养老机构管理经验的得5分，没有不得分，本项最高得5分。</w:t>
            </w:r>
          </w:p>
          <w:p>
            <w:pPr>
              <w:spacing w:line="360" w:lineRule="exact"/>
              <w:rPr>
                <w:sz w:val="24"/>
                <w:szCs w:val="24"/>
              </w:rPr>
            </w:pPr>
            <w:r>
              <w:rPr>
                <w:rFonts w:hint="eastAsia"/>
                <w:sz w:val="24"/>
                <w:szCs w:val="24"/>
              </w:rPr>
              <w:t>（注：以上资料在投标文件中须提供相关证明材料，开标时提供证书原件）</w:t>
            </w:r>
          </w:p>
        </w:tc>
        <w:tc>
          <w:tcPr>
            <w:tcW w:w="96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u w:val="single"/>
              </w:rPr>
              <w:t>35</w:t>
            </w:r>
            <w:r>
              <w:rPr>
                <w:rFonts w:hint="eastAsia" w:ascii="仿宋" w:hAnsi="仿宋"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业绩</w:t>
            </w:r>
          </w:p>
        </w:tc>
        <w:tc>
          <w:tcPr>
            <w:tcW w:w="5953" w:type="dxa"/>
            <w:vAlign w:val="center"/>
          </w:tcPr>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供应商自2015年1月1日以来具有养老院运营管理项目业绩，每个项目加5分，此项最高10分。（开标时提供合同原件、中标通知书原件(或行政主管部门履约意见原件)，以合同签订日期为准，并在投标文件中附完整的复印件，未提供原件或原件不齐的不得分）。</w:t>
            </w:r>
          </w:p>
        </w:tc>
        <w:tc>
          <w:tcPr>
            <w:tcW w:w="96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u w:val="single"/>
              </w:rPr>
              <w:t>10</w:t>
            </w:r>
            <w:r>
              <w:rPr>
                <w:rFonts w:hint="eastAsia" w:ascii="仿宋" w:hAnsi="仿宋"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966" w:type="dxa"/>
            <w:gridSpan w:val="3"/>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三、技术部分（满分</w:t>
            </w:r>
            <w:r>
              <w:rPr>
                <w:rFonts w:hint="eastAsia" w:cs="Times New Roman" w:asciiTheme="minorEastAsia" w:hAnsiTheme="minorEastAsia"/>
                <w:b/>
                <w:sz w:val="24"/>
                <w:szCs w:val="24"/>
                <w:u w:val="single"/>
              </w:rPr>
              <w:t>35</w:t>
            </w:r>
            <w:r>
              <w:rPr>
                <w:rFonts w:hint="eastAsia" w:cs="Times New Roman"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046"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评分因素</w:t>
            </w:r>
          </w:p>
        </w:tc>
        <w:tc>
          <w:tcPr>
            <w:tcW w:w="5953" w:type="dxa"/>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评分标准</w:t>
            </w:r>
          </w:p>
        </w:tc>
        <w:tc>
          <w:tcPr>
            <w:tcW w:w="967" w:type="dxa"/>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运营管理方案</w:t>
            </w:r>
          </w:p>
        </w:tc>
        <w:tc>
          <w:tcPr>
            <w:tcW w:w="5953" w:type="dxa"/>
            <w:vAlign w:val="center"/>
          </w:tcPr>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1、对运营项目背景现状、实际需求、运作要求和改造资金投入等理解到位、分析全面深入的得5分，有相关描述的得2分，不提供不得分。</w:t>
            </w:r>
          </w:p>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2、工作流程、作业程序及管理方案全面、规范、无漏项的，得5分，有相关描述的得2分，不提供不得分。</w:t>
            </w:r>
          </w:p>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3、员工培训计划方案、绩效考核、管理全面、有效的，得5分，有相关描述的得2分，不提供不得分。</w:t>
            </w:r>
          </w:p>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4、应急情况处理方案全面、有效的，得5分，有相关描述的得2分，不提供不得分。</w:t>
            </w:r>
          </w:p>
          <w:p>
            <w:pPr>
              <w:spacing w:line="360" w:lineRule="exact"/>
              <w:rPr>
                <w:rFonts w:cs="Times New Roman" w:asciiTheme="minorEastAsia" w:hAnsiTheme="minorEastAsia"/>
                <w:sz w:val="24"/>
                <w:szCs w:val="24"/>
              </w:rPr>
            </w:pPr>
            <w:r>
              <w:rPr>
                <w:rFonts w:hint="eastAsia" w:cs="Times New Roman" w:asciiTheme="minorEastAsia" w:hAnsiTheme="minorEastAsia"/>
                <w:sz w:val="24"/>
                <w:szCs w:val="24"/>
              </w:rPr>
              <w:t>5、管理人员岗位配置全面无缺岗，且人员数量科学合理的，得5分，有相关描述的得2分，不提供不得分。</w:t>
            </w:r>
          </w:p>
        </w:tc>
        <w:tc>
          <w:tcPr>
            <w:tcW w:w="967"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u w:val="single"/>
              </w:rPr>
              <w:t>25</w:t>
            </w:r>
            <w:r>
              <w:rPr>
                <w:rFonts w:hint="eastAsia" w:ascii="仿宋" w:hAnsi="仿宋"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6" w:type="dxa"/>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服务承诺</w:t>
            </w:r>
          </w:p>
        </w:tc>
        <w:tc>
          <w:tcPr>
            <w:tcW w:w="5953" w:type="dxa"/>
            <w:vAlign w:val="center"/>
          </w:tcPr>
          <w:p>
            <w:pPr>
              <w:spacing w:line="360" w:lineRule="exact"/>
              <w:rPr>
                <w:rFonts w:hAnsi="宋体"/>
                <w:sz w:val="24"/>
                <w:szCs w:val="24"/>
              </w:rPr>
            </w:pPr>
            <w:r>
              <w:rPr>
                <w:rFonts w:hint="eastAsia" w:hAnsi="宋体"/>
                <w:sz w:val="24"/>
                <w:szCs w:val="24"/>
              </w:rPr>
              <w:t>1、按供应商承诺投资改造金额多少，对供应商在0-5分内酌情打分。</w:t>
            </w:r>
          </w:p>
          <w:p>
            <w:pPr>
              <w:spacing w:line="360" w:lineRule="exact"/>
              <w:rPr>
                <w:rFonts w:cs="Times New Roman" w:asciiTheme="minorEastAsia" w:hAnsiTheme="minorEastAsia"/>
                <w:sz w:val="24"/>
                <w:szCs w:val="24"/>
              </w:rPr>
            </w:pPr>
            <w:r>
              <w:rPr>
                <w:rFonts w:hint="eastAsia" w:hAnsi="宋体"/>
                <w:sz w:val="24"/>
                <w:szCs w:val="24"/>
              </w:rPr>
              <w:t>2、供应商针对招标项目的特点和要求，结合自身条件和潜力为招标人排忧解难有优惠承诺者和服务承诺。由评委根据标书的具体内容在0-5分酌情打分</w:t>
            </w:r>
          </w:p>
        </w:tc>
        <w:tc>
          <w:tcPr>
            <w:tcW w:w="967" w:type="dxa"/>
            <w:vAlign w:val="center"/>
          </w:tcPr>
          <w:p>
            <w:pPr>
              <w:jc w:val="center"/>
              <w:rPr>
                <w:rFonts w:ascii="仿宋" w:hAnsi="仿宋" w:eastAsia="仿宋" w:cs="Times New Roman"/>
                <w:sz w:val="24"/>
                <w:szCs w:val="24"/>
                <w:u w:val="single"/>
              </w:rPr>
            </w:pPr>
            <w:r>
              <w:rPr>
                <w:rFonts w:hint="eastAsia" w:ascii="仿宋" w:hAnsi="仿宋" w:eastAsia="仿宋" w:cs="Times New Roman"/>
                <w:sz w:val="24"/>
                <w:szCs w:val="24"/>
                <w:u w:val="single"/>
              </w:rPr>
              <w:t>10</w:t>
            </w:r>
            <w:r>
              <w:rPr>
                <w:rFonts w:hint="eastAsia" w:ascii="仿宋" w:hAnsi="仿宋" w:eastAsia="仿宋" w:cs="Times New Roman"/>
                <w:sz w:val="24"/>
                <w:szCs w:val="24"/>
              </w:rPr>
              <w:t>分</w:t>
            </w:r>
          </w:p>
        </w:tc>
      </w:tr>
    </w:tbl>
    <w:p>
      <w:pPr>
        <w:spacing w:line="360" w:lineRule="auto"/>
        <w:ind w:firstLine="241" w:firstLineChars="1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6"/>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非联合体供应商</w:t>
            </w:r>
          </w:p>
          <w:p>
            <w:pPr>
              <w:jc w:val="center"/>
              <w:rPr>
                <w:rFonts w:ascii="宋体" w:hAnsi="宋体"/>
                <w:b/>
                <w:color w:val="000000"/>
                <w:sz w:val="24"/>
                <w:szCs w:val="24"/>
                <w:lang w:val="en-GB"/>
              </w:rPr>
            </w:pPr>
            <w:r>
              <w:rPr>
                <w:rFonts w:hint="eastAsia" w:ascii="宋体" w:hAnsi="宋体"/>
                <w:color w:val="000000"/>
                <w:sz w:val="24"/>
                <w:szCs w:val="24"/>
                <w:lang w:val="en-GB"/>
              </w:rPr>
              <w:t>（供应商须为中小企业）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rPr>
              <w:t>2</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jc w:val="center"/>
        </w:trPr>
        <w:tc>
          <w:tcPr>
            <w:tcW w:w="8931" w:type="dxa"/>
            <w:gridSpan w:val="4"/>
            <w:vAlign w:val="center"/>
          </w:tcPr>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240" w:firstLineChars="100"/>
              <w:rPr>
                <w:rFonts w:ascii="宋体" w:hAnsi="宋体"/>
                <w:bCs/>
                <w:sz w:val="24"/>
                <w:szCs w:val="24"/>
                <w:lang w:val="en-GB"/>
              </w:rPr>
            </w:pPr>
            <w:r>
              <w:rPr>
                <w:rFonts w:hint="eastAsia" w:ascii="宋体" w:hAnsi="宋体"/>
                <w:bCs/>
                <w:sz w:val="24"/>
                <w:szCs w:val="24"/>
              </w:rPr>
              <w:t>1</w:t>
            </w:r>
            <w:r>
              <w:rPr>
                <w:rFonts w:hint="eastAsia" w:ascii="宋体" w:hAnsi="宋体"/>
                <w:bCs/>
                <w:sz w:val="24"/>
                <w:szCs w:val="24"/>
                <w:lang w:val="en-GB"/>
              </w:rPr>
              <w:t>、小型和微型企业产品包括货物及其提供的服务与工程。</w:t>
            </w:r>
          </w:p>
          <w:p>
            <w:pPr>
              <w:spacing w:line="360" w:lineRule="auto"/>
              <w:ind w:firstLine="240" w:firstLineChars="100"/>
              <w:rPr>
                <w:rFonts w:ascii="宋体" w:hAnsi="宋体"/>
                <w:bCs/>
                <w:sz w:val="24"/>
                <w:szCs w:val="24"/>
                <w:lang w:val="en-GB"/>
              </w:rPr>
            </w:pPr>
            <w:r>
              <w:rPr>
                <w:rFonts w:hint="eastAsia" w:ascii="宋体" w:hAnsi="宋体"/>
                <w:bCs/>
                <w:sz w:val="24"/>
                <w:szCs w:val="24"/>
              </w:rPr>
              <w:t>2</w:t>
            </w:r>
            <w:r>
              <w:rPr>
                <w:rFonts w:hint="eastAsia" w:ascii="宋体" w:hAnsi="宋体"/>
                <w:bCs/>
                <w:sz w:val="24"/>
                <w:szCs w:val="24"/>
                <w:lang w:val="en-GB"/>
              </w:rPr>
              <w:t>、残疾人福利性单位属于小型、微型企业的，不重复享受政策。</w:t>
            </w:r>
          </w:p>
          <w:p>
            <w:pPr>
              <w:spacing w:line="360" w:lineRule="auto"/>
              <w:ind w:firstLine="240" w:firstLineChars="100"/>
              <w:rPr>
                <w:rFonts w:ascii="宋体" w:hAnsi="宋体"/>
                <w:bCs/>
                <w:sz w:val="24"/>
                <w:szCs w:val="24"/>
                <w:lang w:val="zh-CN"/>
              </w:rPr>
            </w:pPr>
            <w:r>
              <w:rPr>
                <w:rFonts w:hint="eastAsia" w:ascii="宋体" w:hAnsi="宋体"/>
                <w:bCs/>
                <w:sz w:val="24"/>
                <w:szCs w:val="24"/>
              </w:rPr>
              <w:t>3</w:t>
            </w:r>
            <w:r>
              <w:rPr>
                <w:rFonts w:hint="eastAsia" w:ascii="宋体" w:hAnsi="宋体"/>
                <w:bCs/>
                <w:sz w:val="24"/>
                <w:szCs w:val="24"/>
                <w:lang w:val="zh-CN"/>
              </w:rPr>
              <w:t>、中小企业应在投标文件提供《中小企业声明函》。残疾人福利性单位应当在投标文件中提供《残疾人福利性单位声明函》。</w:t>
            </w:r>
          </w:p>
          <w:p>
            <w:pPr>
              <w:spacing w:line="360" w:lineRule="auto"/>
              <w:ind w:firstLine="240" w:firstLineChars="100"/>
              <w:rPr>
                <w:rFonts w:ascii="宋体" w:hAnsi="宋体"/>
                <w:bCs/>
                <w:sz w:val="24"/>
                <w:szCs w:val="24"/>
                <w:lang w:val="zh-CN"/>
              </w:rPr>
            </w:pPr>
            <w:r>
              <w:rPr>
                <w:rFonts w:hint="eastAsia" w:ascii="宋体" w:hAnsi="宋体"/>
                <w:bCs/>
                <w:sz w:val="24"/>
                <w:szCs w:val="24"/>
              </w:rPr>
              <w:t>4</w:t>
            </w:r>
            <w:r>
              <w:rPr>
                <w:rFonts w:hint="eastAsia" w:ascii="宋体" w:hAnsi="宋体"/>
                <w:bCs/>
                <w:sz w:val="24"/>
                <w:szCs w:val="24"/>
                <w:lang w:val="zh-CN"/>
              </w:rPr>
              <w:t>、经评标委员会审查、评价，投标文件符合招标文件实质性要求且进行了政策性价格调整后，以评标价格的最低价者定为评标基准价，其价格分为满分。其他供应商的价格分统一按下列公式计算。即：</w:t>
            </w:r>
          </w:p>
          <w:p>
            <w:pPr>
              <w:spacing w:line="360" w:lineRule="auto"/>
              <w:ind w:firstLine="240" w:firstLineChars="100"/>
              <w:rPr>
                <w:rFonts w:ascii="宋体" w:hAnsi="宋体"/>
                <w:bCs/>
                <w:sz w:val="24"/>
                <w:szCs w:val="24"/>
                <w:lang w:val="zh-CN"/>
              </w:rPr>
            </w:pPr>
            <w:r>
              <w:rPr>
                <w:rFonts w:hint="eastAsia" w:ascii="宋体" w:hAnsi="宋体"/>
                <w:bCs/>
                <w:sz w:val="24"/>
                <w:szCs w:val="24"/>
                <w:lang w:val="zh-CN"/>
              </w:rPr>
              <w:t>评标基准价=评标价格的最低价</w:t>
            </w:r>
          </w:p>
          <w:p>
            <w:pPr>
              <w:spacing w:line="360" w:lineRule="auto"/>
              <w:ind w:firstLine="240" w:firstLineChars="100"/>
              <w:rPr>
                <w:lang w:val="zh-CN"/>
              </w:rPr>
            </w:pPr>
            <w:r>
              <w:rPr>
                <w:rFonts w:hint="eastAsia" w:ascii="宋体" w:hAnsi="宋体"/>
                <w:bCs/>
                <w:sz w:val="24"/>
                <w:szCs w:val="24"/>
                <w:lang w:val="zh-CN"/>
              </w:rPr>
              <w:t>其他投标报价得分=（评标基准价/评标价格）×评标标准中价格分值</w:t>
            </w:r>
          </w:p>
        </w:tc>
      </w:tr>
    </w:tbl>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4</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w:t>
      </w:r>
      <w:r>
        <w:rPr>
          <w:rFonts w:hint="eastAsia" w:cs="仿宋_GB2312" w:asciiTheme="minorEastAsia" w:hAnsiTheme="minorEastAsia"/>
          <w:sz w:val="24"/>
          <w:szCs w:val="24"/>
          <w:lang w:val="zh-CN"/>
        </w:rPr>
        <w:t>招标人</w:t>
      </w:r>
      <w:r>
        <w:rPr>
          <w:rFonts w:cs="仿宋_GB2312" w:asciiTheme="minorEastAsia" w:hAnsiTheme="minorEastAsia"/>
          <w:sz w:val="24"/>
          <w:szCs w:val="24"/>
          <w:lang w:val="zh-CN"/>
        </w:rPr>
        <w:t>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w:t>
      </w:r>
      <w:r>
        <w:rPr>
          <w:rFonts w:cs="仿宋_GB2312" w:asciiTheme="minorEastAsia" w:hAnsiTheme="minorEastAsia"/>
          <w:sz w:val="24"/>
          <w:szCs w:val="24"/>
          <w:lang w:val="zh-CN"/>
        </w:rPr>
        <w:t>对本条第一款情形提出质疑的，</w:t>
      </w:r>
      <w:r>
        <w:rPr>
          <w:rFonts w:hint="eastAsia" w:cs="仿宋_GB2312" w:asciiTheme="minorEastAsia" w:hAnsiTheme="minorEastAsia"/>
          <w:sz w:val="24"/>
          <w:szCs w:val="24"/>
          <w:lang w:val="zh-CN"/>
        </w:rPr>
        <w:t>招标人</w:t>
      </w:r>
      <w:r>
        <w:rPr>
          <w:rFonts w:cs="仿宋_GB2312" w:asciiTheme="minorEastAsia" w:hAnsiTheme="minorEastAsia"/>
          <w:sz w:val="24"/>
          <w:szCs w:val="24"/>
          <w:lang w:val="zh-CN"/>
        </w:rPr>
        <w:t>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400" w:lineRule="exact"/>
        <w:ind w:firstLine="482" w:firstLineChars="200"/>
        <w:rPr>
          <w:rFonts w:ascii="宋体" w:hAnsi="宋体"/>
          <w:b/>
          <w:bCs/>
        </w:rPr>
      </w:pPr>
      <w:r>
        <w:rPr>
          <w:rFonts w:hint="eastAsia" w:cs="仿宋_GB2312" w:asciiTheme="minorEastAsia" w:hAnsiTheme="minorEastAsia"/>
          <w:b/>
          <w:sz w:val="24"/>
          <w:szCs w:val="24"/>
        </w:rPr>
        <w:t>4、</w:t>
      </w:r>
      <w:r>
        <w:rPr>
          <w:rFonts w:hint="eastAsia" w:ascii="宋体" w:hAnsi="宋体"/>
          <w:b/>
          <w:bCs/>
          <w:kern w:val="0"/>
          <w:sz w:val="24"/>
        </w:rPr>
        <w:t>投标文件的澄清和补正</w:t>
      </w:r>
    </w:p>
    <w:p>
      <w:pPr>
        <w:spacing w:line="400" w:lineRule="exact"/>
        <w:ind w:firstLine="480" w:firstLineChars="200"/>
        <w:rPr>
          <w:rFonts w:ascii="宋体" w:hAnsi="宋体"/>
          <w:sz w:val="24"/>
          <w:szCs w:val="24"/>
        </w:rPr>
      </w:pPr>
      <w:r>
        <w:rPr>
          <w:rFonts w:hint="eastAsia" w:ascii="宋体" w:hAnsi="宋体"/>
          <w:sz w:val="24"/>
          <w:szCs w:val="24"/>
        </w:rPr>
        <w:t>（1） 在评标过程中，评标委员会可以书面形式要求供应商对所提交投标文件中不明确的内容进行书面澄清或说明，或者对细微偏差进行补正。评标委员会不接受供应商主动提出的澄清、说明或补正。</w:t>
      </w:r>
    </w:p>
    <w:p>
      <w:pPr>
        <w:spacing w:line="400" w:lineRule="exact"/>
        <w:ind w:firstLine="480" w:firstLineChars="200"/>
        <w:rPr>
          <w:rFonts w:ascii="宋体" w:hAnsi="宋体"/>
          <w:sz w:val="24"/>
          <w:szCs w:val="24"/>
        </w:rPr>
      </w:pPr>
      <w:r>
        <w:rPr>
          <w:rFonts w:hint="eastAsia" w:ascii="宋体" w:hAnsi="宋体"/>
          <w:sz w:val="24"/>
          <w:szCs w:val="24"/>
        </w:rPr>
        <w:t>（2） 澄清、说明和补正不得改变投标文件的实质性内容（算术性错误修正的除外）。供应商的书面澄清、说明和补正属于投标文件的组成部分。</w:t>
      </w:r>
    </w:p>
    <w:p>
      <w:pPr>
        <w:spacing w:line="360" w:lineRule="auto"/>
        <w:ind w:firstLine="480" w:firstLineChars="200"/>
        <w:rPr>
          <w:rFonts w:ascii="宋体" w:hAnsi="宋体"/>
          <w:sz w:val="24"/>
          <w:szCs w:val="24"/>
        </w:rPr>
      </w:pPr>
      <w:r>
        <w:rPr>
          <w:rFonts w:hint="eastAsia" w:ascii="宋体" w:hAnsi="宋体"/>
          <w:sz w:val="24"/>
          <w:szCs w:val="24"/>
        </w:rPr>
        <w:t>（3） 评标委员会对供应商提交的澄清、说明或补正有疑问的，可以要求供应商进一步澄清、说明或补正，直至满足评标委员会的要求。</w:t>
      </w:r>
    </w:p>
    <w:p>
      <w:pPr>
        <w:spacing w:line="360" w:lineRule="auto"/>
        <w:ind w:firstLine="480" w:firstLineChars="200"/>
        <w:rPr>
          <w:rFonts w:ascii="宋体" w:hAnsi="宋体" w:cs="仿宋"/>
          <w:sz w:val="24"/>
          <w:szCs w:val="24"/>
        </w:rPr>
      </w:pPr>
      <w:r>
        <w:rPr>
          <w:rFonts w:hint="eastAsia" w:ascii="宋体" w:hAnsi="宋体"/>
          <w:sz w:val="24"/>
          <w:szCs w:val="24"/>
        </w:rPr>
        <w:t>（4）</w:t>
      </w:r>
      <w:r>
        <w:rPr>
          <w:rFonts w:hint="eastAsia" w:ascii="宋体" w:hAnsi="宋体" w:cs="仿宋"/>
          <w:sz w:val="24"/>
          <w:szCs w:val="24"/>
        </w:rPr>
        <w:t>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w:t>
      </w:r>
      <w:r>
        <w:rPr>
          <w:rFonts w:hint="eastAsia" w:ascii="宋体" w:hAnsi="宋体" w:cs="仿宋"/>
          <w:b/>
          <w:bCs/>
          <w:sz w:val="24"/>
          <w:szCs w:val="24"/>
        </w:rPr>
        <w:t>特别是对排名第一的、报价最低的、投标或相应文件被认定为无效的情形进行重点复核，并根据评审结果推荐中标或成交候选供应商，起草并签署评审报告。</w:t>
      </w:r>
      <w:r>
        <w:rPr>
          <w:rFonts w:hint="eastAsia" w:ascii="宋体" w:hAnsi="宋体" w:cs="仿宋"/>
          <w:sz w:val="24"/>
          <w:szCs w:val="24"/>
        </w:rPr>
        <w:t>评审委员会要在采购项目招标失败时，出具招标文件是否存在不合理条款的论证意见，要协助采购人、代理机构、财政部门答复质疑或处理投诉事项。</w:t>
      </w:r>
    </w:p>
    <w:p>
      <w:pPr>
        <w:spacing w:line="400" w:lineRule="exact"/>
        <w:rPr>
          <w:rFonts w:ascii="宋体" w:hAnsi="宋体"/>
          <w:b/>
          <w:bCs/>
          <w:kern w:val="0"/>
          <w:sz w:val="24"/>
          <w:szCs w:val="24"/>
        </w:rPr>
      </w:pPr>
      <w:r>
        <w:rPr>
          <w:rFonts w:hint="eastAsia" w:ascii="宋体" w:hAnsi="宋体"/>
          <w:b/>
          <w:bCs/>
          <w:kern w:val="0"/>
          <w:sz w:val="24"/>
          <w:szCs w:val="24"/>
        </w:rPr>
        <w:t>5、评标结果</w:t>
      </w:r>
    </w:p>
    <w:p>
      <w:pPr>
        <w:spacing w:line="400" w:lineRule="exact"/>
        <w:ind w:firstLine="240" w:firstLineChars="100"/>
        <w:rPr>
          <w:rFonts w:ascii="宋体" w:hAnsi="宋体"/>
          <w:sz w:val="24"/>
          <w:szCs w:val="24"/>
        </w:rPr>
      </w:pPr>
      <w:r>
        <w:rPr>
          <w:rFonts w:hint="eastAsia" w:ascii="宋体" w:hAnsi="宋体"/>
          <w:sz w:val="24"/>
          <w:szCs w:val="24"/>
        </w:rPr>
        <w:t>5.1分数汇总时，将各评委对某一投标人评分的算术平均值作为该投标人的最终得分。计分过程取至小数点后两位，最终得分按四舍五入取至小数点后两位。 除第二章“供应商须知”前附表授权直接确定中标人外，评标委员会按照得分高到低的顺序排序。如果得分相同的，按照投标报价低的优先，投标报价也相同的按技术指标响应得分高的优先。得分、投标报价、技术指标响应得分都相同的由评标委员会集体商议决定排序。</w:t>
      </w:r>
    </w:p>
    <w:p>
      <w:pPr>
        <w:spacing w:line="400" w:lineRule="exact"/>
        <w:ind w:firstLine="240" w:firstLineChars="100"/>
        <w:rPr>
          <w:rFonts w:ascii="宋体" w:hAnsi="宋体"/>
          <w:sz w:val="24"/>
          <w:szCs w:val="24"/>
        </w:rPr>
      </w:pPr>
      <w:r>
        <w:rPr>
          <w:rFonts w:hint="eastAsia" w:ascii="宋体" w:hAnsi="宋体"/>
          <w:sz w:val="24"/>
          <w:szCs w:val="24"/>
        </w:rPr>
        <w:t>5.2 评标委员会完成评标后，应当向采购人提交书面评标报告。</w:t>
      </w:r>
    </w:p>
    <w:p>
      <w:pPr>
        <w:spacing w:line="400" w:lineRule="exact"/>
        <w:rPr>
          <w:rFonts w:ascii="宋体" w:hAnsi="宋体"/>
          <w:b/>
          <w:bCs/>
          <w:kern w:val="0"/>
          <w:sz w:val="24"/>
          <w:szCs w:val="24"/>
        </w:rPr>
      </w:pPr>
      <w:r>
        <w:rPr>
          <w:rFonts w:hint="eastAsia" w:ascii="宋体" w:hAnsi="宋体"/>
          <w:b/>
          <w:bCs/>
          <w:kern w:val="0"/>
          <w:sz w:val="24"/>
          <w:szCs w:val="24"/>
        </w:rPr>
        <w:t>6、评标报告</w:t>
      </w:r>
    </w:p>
    <w:p>
      <w:pPr>
        <w:pStyle w:val="19"/>
        <w:shd w:val="clear" w:color="auto" w:fill="FFFFFF"/>
        <w:spacing w:before="150" w:after="150" w:line="435" w:lineRule="atLeast"/>
        <w:ind w:firstLine="240" w:firstLineChars="100"/>
        <w:rPr>
          <w:rFonts w:ascii="Times New Roman" w:hAnsi="Times New Roman"/>
          <w:kern w:val="2"/>
        </w:rPr>
      </w:pPr>
      <w:r>
        <w:rPr>
          <w:rFonts w:hint="eastAsia"/>
        </w:rPr>
        <w:t>6</w:t>
      </w:r>
      <w:r>
        <w:t>.1</w:t>
      </w:r>
      <w:r>
        <w:rPr>
          <w:kern w:val="2"/>
        </w:rPr>
        <w:t>采购人根据评标委员会提供的书面评标报告，取排名第一的中标候选人为中标人。中标供应商拒绝与采购人签订合同的，采购人可以按照评审报告推荐的中标候选人名单排序，确定下一候选人为中标或者成交供应商，也可以重新开展政府采购活动。</w:t>
      </w:r>
    </w:p>
    <w:p>
      <w:pPr>
        <w:spacing w:line="400" w:lineRule="exact"/>
        <w:ind w:firstLine="240" w:firstLineChars="100"/>
        <w:rPr>
          <w:sz w:val="24"/>
          <w:szCs w:val="24"/>
        </w:rPr>
      </w:pPr>
      <w:r>
        <w:rPr>
          <w:rFonts w:hint="eastAsia" w:ascii="宋体" w:hAnsi="宋体"/>
          <w:sz w:val="24"/>
          <w:szCs w:val="24"/>
        </w:rPr>
        <w:t>6.2评标委员会按规定向采购人提交评标报告。评标报告应当由全体评标委员会成员签字，并于评标结束时抄送有关行政监督部门。</w:t>
      </w:r>
    </w:p>
    <w:p>
      <w:pPr>
        <w:spacing w:line="400" w:lineRule="exact"/>
        <w:ind w:firstLine="480" w:firstLineChars="200"/>
        <w:rPr>
          <w:rFonts w:ascii="宋体" w:hAnsi="宋体"/>
          <w:sz w:val="24"/>
          <w:szCs w:val="24"/>
        </w:rPr>
      </w:pPr>
      <w:r>
        <w:rPr>
          <w:rFonts w:hint="eastAsia" w:ascii="宋体" w:hAnsi="宋体"/>
          <w:sz w:val="24"/>
          <w:szCs w:val="24"/>
        </w:rPr>
        <w:t>评标报告应当记录一下内容：（1）基本情况和数据表；（</w:t>
      </w:r>
      <w:r>
        <w:rPr>
          <w:rFonts w:hint="eastAsia"/>
          <w:sz w:val="24"/>
          <w:szCs w:val="24"/>
        </w:rPr>
        <w:t>2</w:t>
      </w:r>
      <w:r>
        <w:rPr>
          <w:rFonts w:hint="eastAsia" w:ascii="宋体" w:hAnsi="宋体"/>
          <w:sz w:val="24"/>
          <w:szCs w:val="24"/>
        </w:rPr>
        <w:t>）评标委员会成员名单，负责人姓名；（</w:t>
      </w:r>
      <w:r>
        <w:rPr>
          <w:rFonts w:hint="eastAsia"/>
          <w:sz w:val="24"/>
          <w:szCs w:val="24"/>
        </w:rPr>
        <w:t>3</w:t>
      </w:r>
      <w:r>
        <w:rPr>
          <w:rFonts w:hint="eastAsia" w:ascii="宋体" w:hAnsi="宋体"/>
          <w:sz w:val="24"/>
          <w:szCs w:val="24"/>
        </w:rPr>
        <w:t>）开标记录；（</w:t>
      </w:r>
      <w:r>
        <w:rPr>
          <w:rFonts w:hint="eastAsia"/>
          <w:sz w:val="24"/>
          <w:szCs w:val="24"/>
        </w:rPr>
        <w:t>4</w:t>
      </w:r>
      <w:r>
        <w:rPr>
          <w:rFonts w:hint="eastAsia" w:ascii="宋体" w:hAnsi="宋体"/>
          <w:sz w:val="24"/>
          <w:szCs w:val="24"/>
        </w:rPr>
        <w:t>）符合要求的投标一览表；（</w:t>
      </w:r>
      <w:r>
        <w:rPr>
          <w:rFonts w:hint="eastAsia"/>
          <w:sz w:val="24"/>
          <w:szCs w:val="24"/>
        </w:rPr>
        <w:t>5</w:t>
      </w:r>
      <w:r>
        <w:rPr>
          <w:rFonts w:hint="eastAsia" w:ascii="宋体" w:hAnsi="宋体"/>
          <w:sz w:val="24"/>
          <w:szCs w:val="24"/>
        </w:rPr>
        <w:t>）废标情况说明；（</w:t>
      </w:r>
      <w:r>
        <w:rPr>
          <w:rFonts w:hint="eastAsia"/>
          <w:sz w:val="24"/>
          <w:szCs w:val="24"/>
        </w:rPr>
        <w:t>6</w:t>
      </w:r>
      <w:r>
        <w:rPr>
          <w:rFonts w:hint="eastAsia" w:ascii="宋体" w:hAnsi="宋体"/>
          <w:sz w:val="24"/>
          <w:szCs w:val="24"/>
        </w:rPr>
        <w:t>）经评审的供应商排序；（</w:t>
      </w:r>
      <w:r>
        <w:rPr>
          <w:rFonts w:hint="eastAsia"/>
          <w:sz w:val="24"/>
          <w:szCs w:val="24"/>
        </w:rPr>
        <w:t>7</w:t>
      </w:r>
      <w:r>
        <w:rPr>
          <w:rFonts w:hint="eastAsia" w:ascii="宋体" w:hAnsi="宋体"/>
          <w:sz w:val="24"/>
          <w:szCs w:val="24"/>
        </w:rPr>
        <w:t>）推荐的中标候选人名单与签订合同前要处理的事宜；（</w:t>
      </w:r>
      <w:r>
        <w:rPr>
          <w:rFonts w:hint="eastAsia"/>
          <w:sz w:val="24"/>
          <w:szCs w:val="24"/>
        </w:rPr>
        <w:t>8</w:t>
      </w:r>
      <w:r>
        <w:rPr>
          <w:rFonts w:hint="eastAsia" w:ascii="宋体" w:hAnsi="宋体"/>
          <w:sz w:val="24"/>
          <w:szCs w:val="24"/>
        </w:rPr>
        <w:t>）澄清、说明、补正事项纪要。</w:t>
      </w:r>
    </w:p>
    <w:p>
      <w:pPr>
        <w:spacing w:line="400" w:lineRule="exact"/>
        <w:ind w:firstLine="480" w:firstLineChars="200"/>
        <w:rPr>
          <w:rFonts w:ascii="宋体" w:hAnsi="宋体"/>
          <w:sz w:val="24"/>
          <w:szCs w:val="24"/>
        </w:rPr>
      </w:pPr>
      <w:r>
        <w:rPr>
          <w:rFonts w:hint="eastAsia" w:ascii="宋体" w:hAnsi="宋体"/>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64"/>
        <w:rPr>
          <w:rFonts w:ascii="宋体" w:hAnsi="宋体"/>
          <w:b/>
          <w:bCs/>
          <w:sz w:val="24"/>
          <w:szCs w:val="24"/>
        </w:rPr>
      </w:pPr>
      <w:r>
        <w:rPr>
          <w:rFonts w:hint="eastAsia" w:ascii="宋体" w:hAnsi="宋体"/>
          <w:b/>
          <w:bCs/>
          <w:sz w:val="24"/>
          <w:szCs w:val="24"/>
        </w:rPr>
        <w:t>7、公示</w:t>
      </w:r>
    </w:p>
    <w:p>
      <w:pPr>
        <w:spacing w:line="400" w:lineRule="exact"/>
        <w:ind w:firstLine="480" w:firstLineChars="200"/>
        <w:rPr>
          <w:rFonts w:ascii="宋体" w:hAnsi="宋体"/>
          <w:sz w:val="24"/>
          <w:szCs w:val="24"/>
        </w:rPr>
      </w:pPr>
      <w:r>
        <w:rPr>
          <w:rFonts w:hint="eastAsia" w:ascii="宋体" w:hAnsi="宋体"/>
          <w:sz w:val="24"/>
          <w:szCs w:val="24"/>
        </w:rPr>
        <w:t>中标确定后，采购人应当在招标公告发布媒体上进行公示，公示时间不少于1个工作日。公示期满后，采购人应当将招标投标情况书面报告提交招标投标管理部门备案，向中标人发出中标通知书，并向所有合格供应商告知中标结果。公示应当包括以下内容：评标委员会推荐的中标候选人名单及排序；唱标记录；投标文件被判定为废标的供应商名称、废标原因及其依据；评标委员会对投标报价给予修正的原因、依据和修正结果；评标委员会成员对各供应商投标文件的评分；中标价和中标价中包括的暂估价、暂列金额等。</w:t>
      </w:r>
    </w:p>
    <w:p>
      <w:pPr>
        <w:pStyle w:val="64"/>
        <w:rPr>
          <w:rFonts w:ascii="宋体" w:hAnsi="宋体"/>
          <w:b/>
          <w:bCs/>
          <w:sz w:val="24"/>
          <w:szCs w:val="24"/>
        </w:rPr>
      </w:pPr>
      <w:r>
        <w:rPr>
          <w:rFonts w:hint="eastAsia" w:ascii="宋体" w:hAnsi="宋体"/>
          <w:b/>
          <w:bCs/>
          <w:sz w:val="24"/>
          <w:szCs w:val="24"/>
        </w:rPr>
        <w:t>8特殊情况的处置程序</w:t>
      </w:r>
    </w:p>
    <w:p>
      <w:pPr>
        <w:spacing w:line="400" w:lineRule="exact"/>
        <w:ind w:firstLine="240" w:firstLineChars="100"/>
        <w:rPr>
          <w:rFonts w:ascii="宋体" w:hAnsi="宋体"/>
          <w:sz w:val="24"/>
          <w:szCs w:val="24"/>
        </w:rPr>
      </w:pPr>
      <w:r>
        <w:rPr>
          <w:rFonts w:hint="eastAsia" w:ascii="宋体" w:hAnsi="宋体"/>
          <w:sz w:val="24"/>
          <w:szCs w:val="24"/>
        </w:rPr>
        <w:t>8.1关于评标活动暂停</w:t>
      </w:r>
    </w:p>
    <w:p>
      <w:pPr>
        <w:spacing w:line="400" w:lineRule="exact"/>
        <w:ind w:firstLine="240" w:firstLineChars="100"/>
        <w:rPr>
          <w:rFonts w:ascii="宋体" w:hAnsi="宋体"/>
          <w:sz w:val="24"/>
          <w:szCs w:val="24"/>
        </w:rPr>
      </w:pPr>
      <w:r>
        <w:rPr>
          <w:rFonts w:hint="eastAsia" w:ascii="宋体" w:hAnsi="宋体"/>
          <w:sz w:val="24"/>
          <w:szCs w:val="24"/>
        </w:rPr>
        <w:t>8.1.1评标委员会应当执行连续评标的原则，按评标办法中规定的程序、内容、方法、标准完成全部评标工作。只有发生不可抗力导致评标工作无法继续时，评标活动可暂停。</w:t>
      </w:r>
    </w:p>
    <w:p>
      <w:pPr>
        <w:spacing w:line="400" w:lineRule="exact"/>
        <w:ind w:firstLine="240" w:firstLineChars="100"/>
        <w:rPr>
          <w:rFonts w:ascii="宋体" w:hAnsi="宋体"/>
          <w:sz w:val="24"/>
          <w:szCs w:val="24"/>
        </w:rPr>
      </w:pPr>
      <w:r>
        <w:rPr>
          <w:rFonts w:hint="eastAsia" w:ascii="宋体" w:hAnsi="宋体"/>
          <w:sz w:val="24"/>
          <w:szCs w:val="24"/>
        </w:rPr>
        <w:t>8.1.2发生评标暂停情况时，评标委员会应当封存全部投标文件和评标记录，待不可抗力的影响结束且具备继续评标的条件时，由原评标委员会继续评标。</w:t>
      </w:r>
    </w:p>
    <w:p>
      <w:pPr>
        <w:spacing w:line="400" w:lineRule="exact"/>
        <w:ind w:firstLine="120" w:firstLineChars="50"/>
        <w:rPr>
          <w:rFonts w:ascii="宋体" w:hAnsi="宋体"/>
          <w:sz w:val="24"/>
          <w:szCs w:val="24"/>
        </w:rPr>
      </w:pPr>
      <w:r>
        <w:rPr>
          <w:rFonts w:hint="eastAsia" w:ascii="宋体" w:hAnsi="宋体"/>
          <w:sz w:val="24"/>
          <w:szCs w:val="24"/>
        </w:rPr>
        <w:t>8.2关于评标中途更换评标委员会成员</w:t>
      </w:r>
    </w:p>
    <w:p>
      <w:pPr>
        <w:spacing w:line="400" w:lineRule="exact"/>
        <w:ind w:firstLine="120" w:firstLineChars="50"/>
        <w:rPr>
          <w:rFonts w:ascii="宋体" w:hAnsi="宋体"/>
          <w:sz w:val="24"/>
          <w:szCs w:val="24"/>
        </w:rPr>
      </w:pPr>
      <w:r>
        <w:rPr>
          <w:rFonts w:hint="eastAsia" w:ascii="宋体" w:hAnsi="宋体"/>
          <w:sz w:val="24"/>
          <w:szCs w:val="24"/>
        </w:rPr>
        <w:t>8.2.1  除非发生下列情况之一，评标委员会成员不得在评标中途更换；</w:t>
      </w:r>
    </w:p>
    <w:p>
      <w:pPr>
        <w:spacing w:line="400" w:lineRule="exact"/>
        <w:rPr>
          <w:rFonts w:ascii="宋体" w:hAnsi="宋体"/>
          <w:sz w:val="24"/>
          <w:szCs w:val="24"/>
        </w:rPr>
      </w:pPr>
      <w:r>
        <w:rPr>
          <w:rFonts w:hint="eastAsia" w:ascii="宋体" w:hAnsi="宋体"/>
          <w:sz w:val="24"/>
          <w:szCs w:val="24"/>
        </w:rPr>
        <w:t>（1） 因不可抗拒的客观原因，不能到场或需在评标中途退出评标活动。</w:t>
      </w:r>
    </w:p>
    <w:p>
      <w:pPr>
        <w:spacing w:line="400" w:lineRule="exact"/>
        <w:rPr>
          <w:rFonts w:ascii="宋体" w:hAnsi="宋体"/>
          <w:sz w:val="24"/>
          <w:szCs w:val="24"/>
        </w:rPr>
      </w:pPr>
      <w:r>
        <w:rPr>
          <w:rFonts w:hint="eastAsia" w:ascii="宋体" w:hAnsi="宋体"/>
          <w:sz w:val="24"/>
          <w:szCs w:val="24"/>
        </w:rPr>
        <w:t>（2） 根据法律法规规定，某个或某几个评标委员会成员需要回避。</w:t>
      </w:r>
    </w:p>
    <w:p>
      <w:pPr>
        <w:spacing w:line="400" w:lineRule="exact"/>
        <w:ind w:firstLine="120" w:firstLineChars="50"/>
        <w:rPr>
          <w:rFonts w:ascii="宋体" w:hAnsi="宋体"/>
          <w:sz w:val="24"/>
          <w:szCs w:val="24"/>
        </w:rPr>
      </w:pPr>
      <w:r>
        <w:rPr>
          <w:rFonts w:hint="eastAsia" w:ascii="宋体" w:hAnsi="宋体"/>
          <w:sz w:val="24"/>
          <w:szCs w:val="24"/>
        </w:rPr>
        <w:t>8.2.2  退出评标的评标委员会成员，其已完成的评标行为无效。由采购人根据本采购文件规定的评标委员会成员产生方式另行确定替代者进行评标。</w:t>
      </w:r>
    </w:p>
    <w:p>
      <w:pPr>
        <w:spacing w:line="400" w:lineRule="exact"/>
        <w:ind w:firstLine="120" w:firstLineChars="50"/>
        <w:rPr>
          <w:rFonts w:ascii="宋体" w:hAnsi="宋体"/>
          <w:sz w:val="24"/>
          <w:szCs w:val="24"/>
        </w:rPr>
      </w:pPr>
      <w:r>
        <w:rPr>
          <w:rFonts w:hint="eastAsia" w:ascii="宋体" w:hAnsi="宋体"/>
          <w:sz w:val="24"/>
          <w:szCs w:val="24"/>
        </w:rPr>
        <w:t>8.3 记名投票</w:t>
      </w:r>
    </w:p>
    <w:p>
      <w:pPr>
        <w:spacing w:line="400" w:lineRule="exact"/>
        <w:ind w:firstLine="240" w:firstLineChars="100"/>
        <w:rPr>
          <w:rFonts w:ascii="宋体" w:hAnsi="宋体"/>
          <w:sz w:val="24"/>
          <w:szCs w:val="24"/>
        </w:rPr>
      </w:pPr>
      <w:r>
        <w:rPr>
          <w:rFonts w:hint="eastAsia" w:ascii="宋体" w:hAnsi="宋体"/>
          <w:sz w:val="24"/>
          <w:szCs w:val="24"/>
        </w:rPr>
        <w:t>在任何评标环节中，需评标委员会就某项定性的评审结论做出表决的，由评标委员会全体成员按照少数服从多数的原则，以记名投票方式表决。</w:t>
      </w:r>
    </w:p>
    <w:p>
      <w:pPr>
        <w:spacing w:line="400" w:lineRule="exact"/>
        <w:rPr>
          <w:rFonts w:ascii="宋体" w:hAnsi="宋体"/>
          <w:sz w:val="24"/>
          <w:szCs w:val="24"/>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（此合同仅供参考。以最终招标人与中标人签定的合同条款为准进行公示，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20"/>
        <w:widowControl/>
        <w:spacing w:before="225"/>
        <w:ind w:firstLine="420"/>
        <w:rPr>
          <w:rStyle w:val="22"/>
          <w:rFonts w:ascii="Tahoma" w:hAnsi="Tahoma" w:eastAsia="Tahoma" w:cs="Tahoma"/>
          <w:color w:val="333333"/>
          <w:sz w:val="21"/>
          <w:szCs w:val="21"/>
        </w:rPr>
      </w:pPr>
    </w:p>
    <w:p>
      <w:pPr>
        <w:pStyle w:val="20"/>
        <w:widowControl/>
        <w:shd w:val="clear" w:color="auto" w:fill="FFFFFF"/>
        <w:spacing w:line="360" w:lineRule="auto"/>
        <w:ind w:firstLine="420"/>
        <w:contextualSpacing/>
        <w:jc w:val="center"/>
        <w:rPr>
          <w:rFonts w:ascii="宋体" w:hAnsi="宋体" w:cs="宋体"/>
          <w:color w:val="333333"/>
        </w:rPr>
      </w:pPr>
      <w:r>
        <w:rPr>
          <w:rFonts w:hint="eastAsia" w:ascii="宋体" w:hAnsi="宋体" w:cs="宋体"/>
          <w:b/>
          <w:bCs/>
          <w:color w:val="000000"/>
          <w:shd w:val="clear" w:color="auto" w:fill="FFFFFF"/>
        </w:rPr>
        <w:t>长葛市老城镇等三家敬老院招运营方项目</w:t>
      </w:r>
      <w:r>
        <w:rPr>
          <w:rStyle w:val="22"/>
          <w:rFonts w:hint="eastAsia" w:ascii="宋体" w:hAnsi="宋体" w:cs="宋体"/>
          <w:color w:val="333333"/>
        </w:rPr>
        <w:t>合同</w:t>
      </w:r>
    </w:p>
    <w:p>
      <w:pPr>
        <w:pStyle w:val="20"/>
        <w:widowControl/>
        <w:spacing w:before="225" w:line="360" w:lineRule="auto"/>
        <w:ind w:firstLine="420"/>
        <w:rPr>
          <w:rFonts w:ascii="宋体" w:hAnsi="宋体" w:cs="宋体"/>
          <w:color w:val="333333"/>
          <w:u w:val="single"/>
        </w:rPr>
      </w:pPr>
      <w:r>
        <w:rPr>
          <w:rFonts w:hint="eastAsia" w:ascii="宋体" w:hAnsi="宋体" w:cs="宋体"/>
          <w:color w:val="333333"/>
        </w:rPr>
        <w:t>甲方：</w:t>
      </w:r>
    </w:p>
    <w:p>
      <w:pPr>
        <w:pStyle w:val="20"/>
        <w:widowControl/>
        <w:spacing w:before="225" w:line="360" w:lineRule="auto"/>
        <w:ind w:firstLine="420"/>
        <w:rPr>
          <w:rFonts w:ascii="宋体" w:hAnsi="宋体" w:cs="宋体"/>
          <w:color w:val="333333"/>
          <w:u w:val="single"/>
        </w:rPr>
      </w:pPr>
      <w:r>
        <w:rPr>
          <w:rFonts w:hint="eastAsia" w:ascii="宋体" w:hAnsi="宋体" w:cs="宋体"/>
          <w:color w:val="333333"/>
        </w:rPr>
        <w:t>乙方：</w:t>
      </w:r>
    </w:p>
    <w:p>
      <w:pPr>
        <w:pStyle w:val="7"/>
        <w:tabs>
          <w:tab w:val="left" w:pos="2457"/>
          <w:tab w:val="left" w:pos="3592"/>
          <w:tab w:val="left" w:pos="8115"/>
        </w:tabs>
        <w:spacing w:before="227" w:line="360" w:lineRule="auto"/>
        <w:ind w:left="100" w:right="108" w:firstLine="359"/>
        <w:rPr>
          <w:rFonts w:ascii="宋体" w:hAnsi="宋体" w:eastAsia="宋体" w:cs="宋体"/>
          <w:sz w:val="24"/>
          <w:szCs w:val="24"/>
        </w:rPr>
      </w:pPr>
      <w:r>
        <w:rPr>
          <w:rFonts w:hint="eastAsia" w:ascii="宋体" w:hAnsi="宋体" w:eastAsia="宋体" w:cs="宋体"/>
          <w:sz w:val="24"/>
          <w:szCs w:val="24"/>
        </w:rPr>
        <w:t>为实施</w:t>
      </w:r>
      <w:r>
        <w:rPr>
          <w:rFonts w:hint="eastAsia" w:ascii="宋体" w:hAnsi="宋体" w:eastAsia="宋体" w:cs="宋体"/>
          <w:color w:val="000000"/>
          <w:sz w:val="24"/>
          <w:szCs w:val="24"/>
        </w:rPr>
        <w:t>长葛市老城镇等三家敬老院招运营方项目，</w:t>
      </w:r>
      <w:r>
        <w:rPr>
          <w:rFonts w:hint="eastAsia" w:ascii="宋体" w:hAnsi="宋体" w:eastAsia="宋体" w:cs="宋体"/>
          <w:sz w:val="24"/>
          <w:szCs w:val="24"/>
        </w:rPr>
        <w:t>已接受</w:t>
      </w:r>
      <w:r>
        <w:rPr>
          <w:rFonts w:hint="eastAsia" w:ascii="宋体" w:hAnsi="宋体" w:eastAsia="宋体" w:cs="宋体"/>
          <w:sz w:val="24"/>
          <w:szCs w:val="24"/>
          <w:u w:val="single"/>
        </w:rPr>
        <w:tab/>
      </w:r>
      <w:r>
        <w:rPr>
          <w:rFonts w:hint="eastAsia" w:ascii="宋体" w:hAnsi="宋体" w:eastAsia="宋体" w:cs="宋体"/>
          <w:sz w:val="24"/>
          <w:szCs w:val="24"/>
        </w:rPr>
        <w:t>（乙方名称）对</w:t>
      </w:r>
      <w:r>
        <w:rPr>
          <w:rFonts w:hint="eastAsia" w:ascii="宋体" w:hAnsi="宋体" w:eastAsia="宋体" w:cs="宋体"/>
          <w:color w:val="000000"/>
          <w:sz w:val="24"/>
          <w:szCs w:val="24"/>
        </w:rPr>
        <w:t>该项目</w:t>
      </w:r>
      <w:r>
        <w:rPr>
          <w:rFonts w:hint="eastAsia" w:ascii="宋体" w:hAnsi="宋体" w:eastAsia="宋体" w:cs="宋体"/>
          <w:sz w:val="24"/>
          <w:szCs w:val="24"/>
        </w:rPr>
        <w:t>投标。甲方和乙方共同达成如下协议：</w:t>
      </w:r>
    </w:p>
    <w:p>
      <w:pPr>
        <w:widowControl/>
        <w:shd w:val="clear" w:color="auto" w:fill="FFFFFF"/>
        <w:spacing w:line="360" w:lineRule="auto"/>
        <w:contextualSpacing/>
        <w:jc w:val="left"/>
        <w:rPr>
          <w:rFonts w:ascii="宋体" w:hAnsi="宋体" w:eastAsia="宋体" w:cs="宋体"/>
          <w:color w:val="000000"/>
          <w:kern w:val="0"/>
          <w:sz w:val="24"/>
          <w:szCs w:val="24"/>
          <w:lang w:val="zh-CN"/>
        </w:rPr>
      </w:pPr>
      <w:r>
        <w:rPr>
          <w:rFonts w:hint="eastAsia" w:ascii="宋体" w:hAnsi="宋体" w:eastAsia="宋体" w:cs="宋体"/>
          <w:color w:val="333333"/>
          <w:sz w:val="24"/>
          <w:szCs w:val="24"/>
        </w:rPr>
        <w:t xml:space="preserve">第一条 </w:t>
      </w:r>
      <w:r>
        <w:rPr>
          <w:rFonts w:hint="eastAsia" w:ascii="宋体" w:hAnsi="宋体" w:eastAsia="宋体" w:cs="宋体"/>
          <w:color w:val="000000"/>
          <w:sz w:val="24"/>
          <w:szCs w:val="24"/>
          <w:shd w:val="clear" w:color="auto" w:fill="FFFFFF"/>
        </w:rPr>
        <w:t>本项目需实现的功能或者目标</w:t>
      </w:r>
    </w:p>
    <w:p>
      <w:pPr>
        <w:pStyle w:val="20"/>
        <w:widowControl/>
        <w:spacing w:before="225" w:line="360" w:lineRule="auto"/>
        <w:ind w:firstLine="420"/>
        <w:rPr>
          <w:rFonts w:ascii="宋体" w:hAnsi="宋体" w:cs="宋体"/>
          <w:color w:val="333333"/>
        </w:rPr>
      </w:pPr>
      <w:r>
        <w:rPr>
          <w:rFonts w:hint="eastAsia" w:ascii="宋体" w:hAnsi="宋体" w:cs="宋体"/>
          <w:color w:val="333333"/>
        </w:rPr>
        <w:t xml:space="preserve">  根据长葛市人民政府会议精神，对长葛市老城镇等三家敬老院招运营方项目，实行所有权和经营权分离，通过公开招标的方式，确定服务运营方，在相关部门的监督和审核下，服务运营方负责公办养老服务机构的运营管理工作，优化服务设施设备，提高管理和服务水平，推动公办养老服务机构健康和可持续发展。</w:t>
      </w:r>
    </w:p>
    <w:p>
      <w:pPr>
        <w:pStyle w:val="20"/>
        <w:widowControl/>
        <w:spacing w:before="225" w:line="360" w:lineRule="auto"/>
        <w:rPr>
          <w:rFonts w:ascii="宋体" w:hAnsi="宋体" w:cs="宋体"/>
          <w:color w:val="333333"/>
        </w:rPr>
      </w:pPr>
      <w:r>
        <w:rPr>
          <w:rFonts w:hint="eastAsia" w:ascii="宋体" w:hAnsi="宋体" w:cs="宋体"/>
          <w:color w:val="333333"/>
        </w:rPr>
        <w:t>第二条 运营管理方式</w:t>
      </w:r>
    </w:p>
    <w:p>
      <w:pPr>
        <w:pStyle w:val="20"/>
        <w:widowControl/>
        <w:spacing w:before="225" w:line="360" w:lineRule="auto"/>
        <w:ind w:firstLine="420"/>
        <w:rPr>
          <w:rFonts w:ascii="宋体" w:hAnsi="宋体" w:cs="宋体"/>
          <w:color w:val="333333"/>
        </w:rPr>
      </w:pPr>
      <w:r>
        <w:rPr>
          <w:rFonts w:hint="eastAsia" w:ascii="宋体" w:hAnsi="宋体" w:cs="宋体"/>
          <w:color w:val="333333"/>
        </w:rPr>
        <w:t xml:space="preserve"> 1、乙方按照国家相关标准和政策规定全权负责敬老院的建设、运营管理工作，优化服务设施设备，提高管理和服务水平，推动养老服务机构健康和可持续发展。</w:t>
      </w:r>
    </w:p>
    <w:p>
      <w:pPr>
        <w:pStyle w:val="20"/>
        <w:widowControl/>
        <w:spacing w:before="225" w:line="360" w:lineRule="auto"/>
        <w:ind w:firstLine="420"/>
        <w:rPr>
          <w:rFonts w:ascii="宋体" w:hAnsi="宋体" w:cs="宋体"/>
          <w:color w:val="333333"/>
        </w:rPr>
      </w:pPr>
      <w:r>
        <w:rPr>
          <w:rFonts w:hint="eastAsia" w:ascii="宋体" w:hAnsi="宋体" w:cs="宋体"/>
          <w:color w:val="333333"/>
        </w:rPr>
        <w:t xml:space="preserve"> 2、甲方负责对本项目的运营管理进行考核监督，同时协调有关部门积极争取对“参、改、提”供养机构落实政府购买服务、税费减免、运营补贴、投资等扶持政策；将政府供养保障对象的供养经费及时足额拨付运营方，用于支付政府供养保障对象入住人员集中供养服务费用。 </w:t>
      </w:r>
    </w:p>
    <w:p>
      <w:pPr>
        <w:pStyle w:val="20"/>
        <w:widowControl/>
        <w:spacing w:before="225" w:line="360" w:lineRule="auto"/>
        <w:rPr>
          <w:rFonts w:ascii="宋体" w:hAnsi="宋体" w:cs="宋体"/>
          <w:color w:val="333333"/>
        </w:rPr>
      </w:pPr>
      <w:r>
        <w:rPr>
          <w:rFonts w:hint="eastAsia" w:ascii="宋体" w:hAnsi="宋体" w:cs="宋体"/>
          <w:color w:val="333333"/>
        </w:rPr>
        <w:t>第三条 运营管理期限</w:t>
      </w:r>
    </w:p>
    <w:p>
      <w:pPr>
        <w:pStyle w:val="20"/>
        <w:widowControl/>
        <w:spacing w:before="225" w:line="360" w:lineRule="auto"/>
        <w:ind w:firstLine="420"/>
        <w:rPr>
          <w:rFonts w:ascii="宋体" w:hAnsi="宋体" w:cs="宋体"/>
          <w:color w:val="333333"/>
        </w:rPr>
      </w:pPr>
      <w:r>
        <w:rPr>
          <w:rFonts w:hint="eastAsia" w:ascii="宋体" w:hAnsi="宋体" w:cs="宋体"/>
          <w:color w:val="333333"/>
        </w:rPr>
        <w:t xml:space="preserve"> 1、甲乙双方约定，本项目运营管理期限自本合同签定生效之日起30年，即从 年 月 日起，至 年月 日止。</w:t>
      </w:r>
    </w:p>
    <w:p>
      <w:pPr>
        <w:pStyle w:val="20"/>
        <w:widowControl/>
        <w:spacing w:before="225" w:line="360" w:lineRule="auto"/>
        <w:ind w:firstLine="420"/>
        <w:rPr>
          <w:rFonts w:ascii="宋体" w:hAnsi="宋体" w:cs="宋体"/>
          <w:color w:val="333333"/>
        </w:rPr>
      </w:pPr>
      <w:r>
        <w:rPr>
          <w:rFonts w:hint="eastAsia" w:ascii="宋体" w:hAnsi="宋体" w:cs="宋体"/>
          <w:color w:val="333333"/>
        </w:rPr>
        <w:t xml:space="preserve"> 2、本合同生效后，甲方十个在工作日内向乙方交付敬老院的土地、房屋、设备等资产和在院人员，同时移交相关文件和其它资料，并签署交接文件。</w:t>
      </w:r>
    </w:p>
    <w:p>
      <w:pPr>
        <w:pStyle w:val="20"/>
        <w:widowControl/>
        <w:spacing w:before="225" w:line="360" w:lineRule="auto"/>
        <w:rPr>
          <w:rFonts w:ascii="宋体" w:hAnsi="宋体" w:cs="宋体"/>
          <w:color w:val="333333"/>
        </w:rPr>
      </w:pPr>
      <w:r>
        <w:rPr>
          <w:rFonts w:hint="eastAsia" w:ascii="宋体" w:hAnsi="宋体" w:cs="宋体"/>
          <w:color w:val="333333"/>
        </w:rPr>
        <w:t>第四条 运营管理费及投资资金</w:t>
      </w:r>
    </w:p>
    <w:p>
      <w:pPr>
        <w:pStyle w:val="20"/>
        <w:widowControl/>
        <w:spacing w:before="225" w:line="360" w:lineRule="auto"/>
        <w:ind w:firstLine="480" w:firstLineChars="200"/>
        <w:rPr>
          <w:rFonts w:ascii="宋体" w:hAnsi="宋体" w:cs="宋体"/>
          <w:color w:val="333333"/>
        </w:rPr>
      </w:pPr>
      <w:r>
        <w:rPr>
          <w:rFonts w:hint="eastAsia" w:ascii="宋体" w:hAnsi="宋体" w:cs="宋体"/>
          <w:color w:val="333333"/>
        </w:rPr>
        <w:t>1、甲方向乙方提供敬老院的土地、房屋、设备等资产，由乙方无偿使用。</w:t>
      </w:r>
    </w:p>
    <w:p>
      <w:pPr>
        <w:pStyle w:val="20"/>
        <w:widowControl/>
        <w:spacing w:before="225" w:line="360" w:lineRule="auto"/>
        <w:ind w:firstLine="480" w:firstLineChars="200"/>
        <w:rPr>
          <w:rFonts w:ascii="宋体" w:hAnsi="宋体" w:cs="宋体"/>
          <w:color w:val="333333"/>
        </w:rPr>
      </w:pPr>
      <w:r>
        <w:rPr>
          <w:rFonts w:hint="eastAsia" w:ascii="宋体" w:hAnsi="宋体" w:cs="宋体"/>
          <w:color w:val="333333"/>
        </w:rPr>
        <w:t>2、甲方将特困对象供养资金按照供养标准对象人数及时足额拨付运营方，用于支付特困供养保障对象入住人员集中供养服务费用，不足部分由运营方自行解决。</w:t>
      </w:r>
    </w:p>
    <w:p>
      <w:pPr>
        <w:pStyle w:val="20"/>
        <w:widowControl/>
        <w:spacing w:before="225" w:line="360" w:lineRule="auto"/>
        <w:ind w:firstLine="480" w:firstLineChars="200"/>
        <w:rPr>
          <w:rFonts w:ascii="宋体" w:hAnsi="宋体" w:cs="宋体"/>
          <w:color w:val="333333"/>
        </w:rPr>
      </w:pPr>
      <w:r>
        <w:rPr>
          <w:rFonts w:hint="eastAsia" w:ascii="宋体" w:hAnsi="宋体" w:cs="宋体"/>
          <w:color w:val="333333"/>
        </w:rPr>
        <w:t>3、乙方自主经营，自负盈亏。</w:t>
      </w:r>
    </w:p>
    <w:p>
      <w:pPr>
        <w:pStyle w:val="20"/>
        <w:widowControl/>
        <w:spacing w:before="225" w:line="360" w:lineRule="auto"/>
        <w:ind w:firstLine="480" w:firstLineChars="200"/>
        <w:rPr>
          <w:rFonts w:ascii="宋体" w:hAnsi="宋体" w:cs="宋体"/>
          <w:color w:val="333333"/>
        </w:rPr>
      </w:pPr>
      <w:r>
        <w:rPr>
          <w:rFonts w:hint="eastAsia" w:ascii="宋体" w:hAnsi="宋体" w:cs="宋体"/>
          <w:color w:val="333333"/>
        </w:rPr>
        <w:t>4、乙方对敬老院进行适老化改造，室内外装修、设施设备升级改造、信息平台建设等，全面提升养老服务机构的硬件和服务水平，改善供养对象的生活环境及服务条件。</w:t>
      </w:r>
    </w:p>
    <w:p>
      <w:pPr>
        <w:pStyle w:val="20"/>
        <w:widowControl/>
        <w:spacing w:before="225" w:line="360" w:lineRule="auto"/>
        <w:rPr>
          <w:rFonts w:ascii="宋体" w:hAnsi="宋体" w:cs="宋体"/>
          <w:color w:val="333333"/>
        </w:rPr>
      </w:pPr>
      <w:r>
        <w:rPr>
          <w:rFonts w:hint="eastAsia" w:ascii="宋体" w:hAnsi="宋体" w:cs="宋体"/>
          <w:color w:val="333333"/>
        </w:rPr>
        <w:t>第五条 甲方的权利和义务</w:t>
      </w:r>
    </w:p>
    <w:p>
      <w:pPr>
        <w:pStyle w:val="20"/>
        <w:widowControl/>
        <w:spacing w:before="225" w:line="360" w:lineRule="auto"/>
        <w:ind w:firstLine="420"/>
        <w:rPr>
          <w:rFonts w:ascii="宋体" w:hAnsi="宋体" w:cs="宋体"/>
          <w:color w:val="333333"/>
        </w:rPr>
      </w:pPr>
      <w:r>
        <w:rPr>
          <w:rFonts w:hint="eastAsia" w:ascii="宋体" w:hAnsi="宋体" w:cs="宋体"/>
          <w:color w:val="333333"/>
        </w:rPr>
        <w:t xml:space="preserve">1、甲方应将政策供养资金按照供养对象人数直接补贴给运营方，不足部分由运营方自行解决。 </w:t>
      </w:r>
    </w:p>
    <w:p>
      <w:pPr>
        <w:pStyle w:val="20"/>
        <w:widowControl/>
        <w:spacing w:before="225" w:line="360" w:lineRule="auto"/>
        <w:ind w:firstLine="420"/>
        <w:rPr>
          <w:rFonts w:ascii="宋体" w:hAnsi="宋体" w:cs="宋体"/>
          <w:color w:val="333333"/>
        </w:rPr>
      </w:pPr>
      <w:r>
        <w:rPr>
          <w:rFonts w:hint="eastAsia" w:ascii="宋体" w:hAnsi="宋体" w:cs="宋体"/>
          <w:color w:val="333333"/>
        </w:rPr>
        <w:t xml:space="preserve">2、甲方给予运营方提供30年的经营管理权，在合同期限内免租金和管理费，即运营方不用向政府交纳使用合同约定的公办养老服务机构的土地、房屋、设施设备等国有资产的租金和任何管理经费。30年经营期满后，养老机构的国有资产按双方签订合同的规定无偿移交政府，运营方投资的不动产和运营方在合同经营期内购置的可动产一并无偿移交给镇政府。 </w:t>
      </w:r>
    </w:p>
    <w:p>
      <w:pPr>
        <w:pStyle w:val="20"/>
        <w:widowControl/>
        <w:spacing w:before="225" w:line="360" w:lineRule="auto"/>
        <w:ind w:firstLine="420"/>
        <w:rPr>
          <w:rFonts w:ascii="宋体" w:hAnsi="宋体" w:cs="宋体"/>
          <w:color w:val="333333"/>
        </w:rPr>
      </w:pPr>
      <w:r>
        <w:rPr>
          <w:rFonts w:hint="eastAsia" w:ascii="宋体" w:hAnsi="宋体" w:cs="宋体"/>
          <w:color w:val="333333"/>
        </w:rPr>
        <w:t xml:space="preserve"> 3、解决公办敬老院存在的手续不全等历史遗留问题，确保不因历史遗留问题影响机构正常运行。 </w:t>
      </w:r>
    </w:p>
    <w:p>
      <w:pPr>
        <w:pStyle w:val="20"/>
        <w:widowControl/>
        <w:spacing w:before="225" w:line="360" w:lineRule="auto"/>
        <w:rPr>
          <w:rFonts w:ascii="宋体" w:hAnsi="宋体" w:cs="宋体"/>
          <w:color w:val="333333"/>
        </w:rPr>
      </w:pPr>
      <w:r>
        <w:rPr>
          <w:rFonts w:hint="eastAsia" w:ascii="宋体" w:hAnsi="宋体" w:cs="宋体"/>
          <w:color w:val="333333"/>
        </w:rPr>
        <w:t xml:space="preserve">4、协助运营方依法享受政策扶持。促进敬老院医养结合健康发展；推进敬老院责任保险购买工作，协助运营方依法享受政府购买服务、税费减免、财政补贴、投资等扶持政策。 </w:t>
      </w:r>
    </w:p>
    <w:p>
      <w:pPr>
        <w:pStyle w:val="20"/>
        <w:widowControl/>
        <w:spacing w:before="225" w:line="360" w:lineRule="auto"/>
        <w:ind w:firstLine="480" w:firstLineChars="200"/>
        <w:rPr>
          <w:rFonts w:ascii="宋体" w:hAnsi="宋体" w:cs="宋体"/>
          <w:color w:val="333333"/>
        </w:rPr>
      </w:pPr>
      <w:r>
        <w:rPr>
          <w:rFonts w:hint="eastAsia" w:ascii="宋体" w:hAnsi="宋体" w:cs="宋体"/>
          <w:color w:val="333333"/>
        </w:rPr>
        <w:t xml:space="preserve">5、甲方对运营方日常运营管理工作进行督促检查，发现问题及时督促其整改。每年组织开展考核评估，重点考核服务管理、履行合同、入住老人的满意度等情况，达不到考核要求时扣除相应比例业务经费或运营补贴， 情节严重的，对国有资产造成损失的，依法追究其赔偿责任，并终止运营合同，运营方投资的不动产和运营方在合同经营期内购置的可动产无偿归政府所有；构成犯罪的，移交司法部门依法追究其刑事责任。 </w:t>
      </w:r>
    </w:p>
    <w:p>
      <w:pPr>
        <w:pStyle w:val="20"/>
        <w:widowControl/>
        <w:spacing w:before="225" w:line="360" w:lineRule="auto"/>
        <w:rPr>
          <w:rFonts w:ascii="宋体" w:hAnsi="宋体" w:cs="宋体"/>
          <w:color w:val="333333"/>
        </w:rPr>
      </w:pPr>
      <w:r>
        <w:rPr>
          <w:rFonts w:hint="eastAsia" w:ascii="宋体" w:hAnsi="宋体" w:cs="宋体"/>
          <w:color w:val="333333"/>
        </w:rPr>
        <w:t>第六条 乙方的权利和义务</w:t>
      </w:r>
    </w:p>
    <w:p>
      <w:pPr>
        <w:pStyle w:val="20"/>
        <w:widowControl/>
        <w:spacing w:before="225" w:line="360" w:lineRule="auto"/>
        <w:ind w:firstLine="480" w:firstLineChars="200"/>
        <w:rPr>
          <w:rFonts w:ascii="宋体" w:hAnsi="宋体" w:cs="宋体"/>
        </w:rPr>
      </w:pPr>
      <w:r>
        <w:rPr>
          <w:rFonts w:hint="eastAsia" w:ascii="宋体" w:hAnsi="宋体" w:cs="宋体"/>
        </w:rPr>
        <w:t xml:space="preserve">1、乙方按照国家相关标准和政策规定全权负责敬老院的建设、运营管理工作，自主经营，自负盈亏。 </w:t>
      </w:r>
    </w:p>
    <w:p>
      <w:pPr>
        <w:pStyle w:val="20"/>
        <w:widowControl/>
        <w:spacing w:before="225" w:line="360" w:lineRule="auto"/>
        <w:ind w:firstLine="420"/>
        <w:rPr>
          <w:rFonts w:ascii="宋体" w:hAnsi="宋体" w:cs="宋体"/>
        </w:rPr>
      </w:pPr>
      <w:r>
        <w:rPr>
          <w:rFonts w:hint="eastAsia" w:ascii="宋体" w:hAnsi="宋体" w:cs="宋体"/>
        </w:rPr>
        <w:t xml:space="preserve"> 2、运营方原供养渠道不变，以特困供养人员为主要服务对象，并优先接收特困供养人员中失能、半失能、失智、高龄老人，政府将特困供养对象的供养资金及时足额拨付给运营方。在预留的特困供养对象床位数不能满足兜底保障时，其余床位优先满足政府供养人员需要；政府供养床位入住不满，空置超过一定期限的，可调整为本市有需求的社会老年人入住。 </w:t>
      </w:r>
    </w:p>
    <w:p>
      <w:pPr>
        <w:pStyle w:val="20"/>
        <w:widowControl/>
        <w:spacing w:before="225" w:line="360" w:lineRule="auto"/>
        <w:ind w:firstLine="420"/>
        <w:rPr>
          <w:rFonts w:ascii="宋体" w:hAnsi="宋体" w:cs="宋体"/>
        </w:rPr>
      </w:pPr>
      <w:r>
        <w:rPr>
          <w:rFonts w:hint="eastAsia" w:ascii="宋体" w:hAnsi="宋体" w:cs="宋体"/>
        </w:rPr>
        <w:t>3、运营方在2018年11月底完成敬老院适老化改造、室内外装修、设施设备升级改造、信息平台建设等工作，投入改造资金不少于万元，全面提升我市公办养老服务机构的硬件和服务水平，改善政府供养对象的生活环境及服务条件。改造投资资金必须存入甲方指定银行的乙方改造投资资金专用账户，乙方对改造投资资金的使用情况必须接受甲方的监管。</w:t>
      </w:r>
    </w:p>
    <w:p>
      <w:pPr>
        <w:pStyle w:val="20"/>
        <w:widowControl/>
        <w:spacing w:before="225" w:line="360" w:lineRule="auto"/>
        <w:ind w:firstLine="420"/>
        <w:rPr>
          <w:rFonts w:ascii="宋体" w:hAnsi="宋体" w:cs="宋体"/>
        </w:rPr>
      </w:pPr>
      <w:r>
        <w:rPr>
          <w:rFonts w:hint="eastAsia" w:ascii="宋体" w:hAnsi="宋体" w:cs="宋体"/>
        </w:rPr>
        <w:t>乙方改造投资资金专用账户：</w:t>
      </w:r>
    </w:p>
    <w:p>
      <w:pPr>
        <w:pStyle w:val="20"/>
        <w:widowControl/>
        <w:spacing w:before="225" w:line="360" w:lineRule="auto"/>
        <w:ind w:firstLine="420"/>
        <w:rPr>
          <w:rFonts w:ascii="宋体" w:hAnsi="宋体" w:cs="宋体"/>
          <w:color w:val="333333"/>
        </w:rPr>
      </w:pPr>
      <w:r>
        <w:rPr>
          <w:rFonts w:hint="eastAsia" w:ascii="宋体" w:hAnsi="宋体" w:cs="宋体"/>
          <w:color w:val="333333"/>
        </w:rPr>
        <w:t xml:space="preserve">开户银行: </w:t>
      </w:r>
    </w:p>
    <w:p>
      <w:pPr>
        <w:pStyle w:val="20"/>
        <w:widowControl/>
        <w:spacing w:before="225" w:line="360" w:lineRule="auto"/>
        <w:ind w:firstLine="420"/>
        <w:rPr>
          <w:rFonts w:ascii="宋体" w:hAnsi="宋体" w:cs="宋体"/>
          <w:color w:val="333333"/>
        </w:rPr>
      </w:pPr>
      <w:r>
        <w:rPr>
          <w:rFonts w:hint="eastAsia" w:ascii="宋体" w:hAnsi="宋体" w:cs="宋体"/>
          <w:color w:val="333333"/>
        </w:rPr>
        <w:t>户名：</w:t>
      </w:r>
    </w:p>
    <w:p>
      <w:pPr>
        <w:pStyle w:val="20"/>
        <w:widowControl/>
        <w:spacing w:before="225" w:line="360" w:lineRule="auto"/>
        <w:ind w:firstLine="420"/>
        <w:rPr>
          <w:rFonts w:ascii="宋体" w:hAnsi="宋体" w:cs="宋体"/>
          <w:color w:val="333333"/>
        </w:rPr>
      </w:pPr>
      <w:r>
        <w:rPr>
          <w:rFonts w:hint="eastAsia" w:ascii="宋体" w:hAnsi="宋体" w:cs="宋体"/>
          <w:color w:val="333333"/>
        </w:rPr>
        <w:t xml:space="preserve">银行帐号： </w:t>
      </w:r>
    </w:p>
    <w:p>
      <w:pPr>
        <w:spacing w:line="360" w:lineRule="auto"/>
        <w:rPr>
          <w:rFonts w:ascii="宋体" w:hAnsi="宋体" w:eastAsia="宋体" w:cs="宋体"/>
          <w:sz w:val="24"/>
          <w:szCs w:val="24"/>
        </w:rPr>
      </w:pPr>
    </w:p>
    <w:p>
      <w:pPr>
        <w:pStyle w:val="20"/>
        <w:widowControl/>
        <w:spacing w:before="225" w:line="360" w:lineRule="auto"/>
        <w:ind w:firstLine="480" w:firstLineChars="200"/>
        <w:rPr>
          <w:rFonts w:ascii="宋体" w:hAnsi="宋体" w:cs="宋体"/>
          <w:color w:val="333333"/>
        </w:rPr>
      </w:pPr>
      <w:r>
        <w:rPr>
          <w:rFonts w:hint="eastAsia" w:ascii="宋体" w:hAnsi="宋体" w:cs="宋体"/>
          <w:color w:val="333333"/>
        </w:rPr>
        <w:t xml:space="preserve">4、运营方的运营管理行为必须符合国家和省、市政府部门颁布的相关政策规定和标准要求。 </w:t>
      </w:r>
    </w:p>
    <w:p>
      <w:pPr>
        <w:pStyle w:val="20"/>
        <w:widowControl/>
        <w:spacing w:before="225" w:line="360" w:lineRule="auto"/>
        <w:ind w:firstLine="420"/>
        <w:rPr>
          <w:rFonts w:ascii="宋体" w:hAnsi="宋体" w:cs="宋体"/>
          <w:color w:val="333333"/>
        </w:rPr>
      </w:pPr>
      <w:r>
        <w:rPr>
          <w:rFonts w:hint="eastAsia" w:ascii="宋体" w:hAnsi="宋体" w:cs="宋体"/>
          <w:color w:val="333333"/>
        </w:rPr>
        <w:t>5、运营方对现有镇敬老院的工作人员优先聘用，凡经运营方考核合格，本人愿意的在岗人员，运营方都应聘用，重新签订《劳动合同》。</w:t>
      </w:r>
    </w:p>
    <w:p>
      <w:pPr>
        <w:pStyle w:val="20"/>
        <w:widowControl/>
        <w:spacing w:before="225" w:line="360" w:lineRule="auto"/>
        <w:ind w:firstLine="420"/>
        <w:rPr>
          <w:rFonts w:ascii="宋体" w:hAnsi="宋体" w:cs="宋体"/>
          <w:color w:val="333333"/>
        </w:rPr>
      </w:pPr>
      <w:r>
        <w:rPr>
          <w:rFonts w:hint="eastAsia" w:ascii="宋体" w:hAnsi="宋体" w:cs="宋体"/>
          <w:color w:val="333333"/>
        </w:rPr>
        <w:t xml:space="preserve"> 6、运营方负责按照国家相关标准和规定对敬老院进行建设、运营，并对固定资产进行日常管理维护，不得从事养老服务以外的经营活动，不得出租、出借、处置敬老院国有资产，不得以敬老院国有资产进行抵押、融资、贷款等活动。 </w:t>
      </w:r>
    </w:p>
    <w:p>
      <w:pPr>
        <w:pStyle w:val="20"/>
        <w:widowControl/>
        <w:spacing w:before="225" w:line="360" w:lineRule="auto"/>
        <w:ind w:firstLine="420"/>
        <w:rPr>
          <w:rFonts w:ascii="宋体" w:hAnsi="宋体" w:cs="宋体"/>
          <w:color w:val="333333"/>
        </w:rPr>
      </w:pPr>
      <w:r>
        <w:rPr>
          <w:rFonts w:hint="eastAsia" w:ascii="宋体" w:hAnsi="宋体" w:cs="宋体"/>
          <w:color w:val="333333"/>
        </w:rPr>
        <w:t xml:space="preserve"> 7、运营方接受政府监管，积极配合政府开展养老方面的有关工作。</w:t>
      </w:r>
    </w:p>
    <w:p>
      <w:pPr>
        <w:pStyle w:val="20"/>
        <w:widowControl/>
        <w:spacing w:before="225" w:line="360" w:lineRule="auto"/>
        <w:rPr>
          <w:rFonts w:ascii="宋体" w:hAnsi="宋体" w:cs="宋体"/>
          <w:color w:val="333333"/>
        </w:rPr>
      </w:pPr>
      <w:r>
        <w:rPr>
          <w:rFonts w:hint="eastAsia" w:ascii="宋体" w:hAnsi="宋体" w:cs="宋体"/>
          <w:color w:val="333333"/>
        </w:rPr>
        <w:t>第七条 合同期满</w:t>
      </w:r>
    </w:p>
    <w:p>
      <w:pPr>
        <w:pStyle w:val="20"/>
        <w:widowControl/>
        <w:spacing w:before="225" w:line="360" w:lineRule="auto"/>
        <w:ind w:firstLine="420"/>
        <w:rPr>
          <w:rFonts w:ascii="宋体" w:hAnsi="宋体" w:cs="宋体"/>
          <w:color w:val="333333"/>
        </w:rPr>
      </w:pPr>
      <w:r>
        <w:rPr>
          <w:rFonts w:hint="eastAsia" w:ascii="宋体" w:hAnsi="宋体" w:cs="宋体"/>
          <w:color w:val="333333"/>
        </w:rPr>
        <w:t>1、合同期届满后，乙方应将敬老院的国有资产、运营方投资的不动产和运营方在合同经营期内购置的可动产一并无偿移交给甲方，同时将在院人员和相关资料移交给甲方。</w:t>
      </w:r>
    </w:p>
    <w:p>
      <w:pPr>
        <w:pStyle w:val="20"/>
        <w:widowControl/>
        <w:spacing w:before="225" w:line="360" w:lineRule="auto"/>
        <w:ind w:firstLine="420"/>
        <w:rPr>
          <w:rFonts w:ascii="宋体" w:hAnsi="宋体" w:cs="宋体"/>
          <w:color w:val="333333"/>
        </w:rPr>
      </w:pPr>
      <w:r>
        <w:rPr>
          <w:rFonts w:hint="eastAsia" w:ascii="宋体" w:hAnsi="宋体" w:cs="宋体"/>
          <w:color w:val="333333"/>
        </w:rPr>
        <w:t>2、合同期届满后，乙方在同等条件下优先获得运营管理权。</w:t>
      </w:r>
    </w:p>
    <w:p>
      <w:pPr>
        <w:pStyle w:val="20"/>
        <w:widowControl/>
        <w:spacing w:before="225" w:line="360" w:lineRule="auto"/>
        <w:ind w:firstLine="420"/>
        <w:rPr>
          <w:rFonts w:ascii="宋体" w:hAnsi="宋体" w:cs="宋体"/>
          <w:color w:val="333333"/>
        </w:rPr>
      </w:pPr>
      <w:r>
        <w:rPr>
          <w:rFonts w:hint="eastAsia" w:ascii="宋体" w:hAnsi="宋体" w:cs="宋体"/>
          <w:color w:val="333333"/>
        </w:rPr>
        <w:t>第八条 违约责任</w:t>
      </w:r>
    </w:p>
    <w:p>
      <w:pPr>
        <w:pStyle w:val="20"/>
        <w:widowControl/>
        <w:spacing w:before="225" w:line="360" w:lineRule="auto"/>
        <w:ind w:firstLine="420"/>
        <w:rPr>
          <w:rFonts w:ascii="宋体" w:hAnsi="宋体" w:cs="宋体"/>
          <w:color w:val="333333"/>
        </w:rPr>
      </w:pPr>
      <w:r>
        <w:rPr>
          <w:rFonts w:hint="eastAsia" w:ascii="宋体" w:hAnsi="宋体" w:cs="宋体"/>
          <w:color w:val="333333"/>
        </w:rPr>
        <w:t>1、在本合同履行期间，除甲、乙双方另有约定外，任意一方均不得擅自解除本合同。擅自解除本合同、未履行或部分履行本合同、有阻碍本合同继续履行行为的，均视为违约。</w:t>
      </w:r>
    </w:p>
    <w:p>
      <w:pPr>
        <w:pStyle w:val="20"/>
        <w:widowControl/>
        <w:spacing w:before="225" w:line="360" w:lineRule="auto"/>
        <w:ind w:firstLine="420"/>
        <w:rPr>
          <w:rFonts w:ascii="宋体" w:hAnsi="宋体" w:cs="宋体"/>
          <w:color w:val="333333"/>
        </w:rPr>
      </w:pPr>
      <w:r>
        <w:rPr>
          <w:rFonts w:hint="eastAsia" w:ascii="宋体" w:hAnsi="宋体" w:cs="宋体"/>
          <w:color w:val="333333"/>
        </w:rPr>
        <w:t>2、一方违约时，赔偿另一方可能由此而导致的所有直接和间接经济损失。</w:t>
      </w:r>
    </w:p>
    <w:p>
      <w:pPr>
        <w:pStyle w:val="20"/>
        <w:widowControl/>
        <w:spacing w:before="225" w:line="360" w:lineRule="auto"/>
        <w:ind w:firstLine="420"/>
        <w:rPr>
          <w:rFonts w:ascii="宋体" w:hAnsi="宋体" w:cs="宋体"/>
          <w:color w:val="333333"/>
        </w:rPr>
      </w:pPr>
      <w:r>
        <w:rPr>
          <w:rFonts w:hint="eastAsia" w:ascii="宋体" w:hAnsi="宋体" w:cs="宋体"/>
          <w:color w:val="333333"/>
        </w:rPr>
        <w:t>第九条免责条件</w:t>
      </w:r>
    </w:p>
    <w:p>
      <w:pPr>
        <w:pStyle w:val="20"/>
        <w:widowControl/>
        <w:spacing w:before="225" w:line="360" w:lineRule="auto"/>
        <w:ind w:firstLine="420"/>
        <w:rPr>
          <w:rFonts w:ascii="宋体" w:hAnsi="宋体" w:cs="宋体"/>
          <w:color w:val="333333"/>
        </w:rPr>
      </w:pPr>
      <w:r>
        <w:rPr>
          <w:rFonts w:hint="eastAsia" w:ascii="宋体" w:hAnsi="宋体" w:cs="宋体"/>
          <w:color w:val="333333"/>
        </w:rPr>
        <w:t>因不可抗力原因导致本合同不能继续履行的，甲、乙双方根据实际情况可以协商变更或解除本合同。由此造成损失的，甲、乙双方互不承担责任。不可抗力系指不能预见、不能避免且不能克服的客观情况。</w:t>
      </w:r>
    </w:p>
    <w:p>
      <w:pPr>
        <w:pStyle w:val="20"/>
        <w:widowControl/>
        <w:spacing w:before="225" w:line="360" w:lineRule="auto"/>
        <w:ind w:firstLine="420"/>
        <w:rPr>
          <w:rFonts w:ascii="宋体" w:hAnsi="宋体" w:cs="宋体"/>
          <w:color w:val="333333"/>
        </w:rPr>
      </w:pPr>
      <w:r>
        <w:rPr>
          <w:rFonts w:hint="eastAsia" w:ascii="宋体" w:hAnsi="宋体" w:cs="宋体"/>
          <w:color w:val="333333"/>
        </w:rPr>
        <w:t>第十条  附则</w:t>
      </w:r>
    </w:p>
    <w:p>
      <w:pPr>
        <w:pStyle w:val="20"/>
        <w:widowControl/>
        <w:spacing w:before="225" w:line="360" w:lineRule="auto"/>
        <w:ind w:firstLine="420"/>
        <w:rPr>
          <w:rFonts w:ascii="宋体" w:hAnsi="宋体" w:cs="宋体"/>
          <w:color w:val="333333"/>
        </w:rPr>
      </w:pPr>
      <w:r>
        <w:rPr>
          <w:rFonts w:hint="eastAsia" w:ascii="宋体" w:hAnsi="宋体" w:cs="宋体"/>
          <w:color w:val="333333"/>
        </w:rPr>
        <w:t>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pStyle w:val="20"/>
        <w:widowControl/>
        <w:spacing w:before="225" w:line="360" w:lineRule="auto"/>
        <w:ind w:firstLine="420"/>
        <w:rPr>
          <w:rFonts w:ascii="宋体" w:hAnsi="宋体" w:cs="宋体"/>
          <w:color w:val="333333"/>
        </w:rPr>
      </w:pPr>
      <w:r>
        <w:rPr>
          <w:rFonts w:hint="eastAsia" w:ascii="宋体" w:hAnsi="宋体" w:cs="宋体"/>
          <w:color w:val="333333"/>
        </w:rPr>
        <w:t>2、本合同签订地点为，本合同自双方法定代表人或委托代理人签字、单位盖章之日起生效。</w:t>
      </w:r>
    </w:p>
    <w:p>
      <w:pPr>
        <w:pStyle w:val="20"/>
        <w:widowControl/>
        <w:spacing w:before="225" w:line="360" w:lineRule="auto"/>
        <w:ind w:firstLine="420"/>
        <w:rPr>
          <w:rFonts w:ascii="宋体" w:hAnsi="宋体" w:cs="宋体"/>
          <w:color w:val="333333"/>
        </w:rPr>
      </w:pPr>
      <w:r>
        <w:rPr>
          <w:rFonts w:hint="eastAsia" w:ascii="宋体" w:hAnsi="宋体" w:cs="宋体"/>
          <w:color w:val="333333"/>
        </w:rPr>
        <w:t>3、本合同正式文本壹式份，甲方执份、乙方执份，每份均具有同等的法律效力。</w:t>
      </w:r>
    </w:p>
    <w:p>
      <w:pPr>
        <w:pStyle w:val="20"/>
        <w:widowControl/>
        <w:spacing w:before="225" w:line="360" w:lineRule="auto"/>
        <w:ind w:firstLine="420"/>
        <w:rPr>
          <w:rFonts w:ascii="宋体" w:hAnsi="宋体" w:cs="宋体"/>
          <w:color w:val="333333"/>
        </w:rPr>
      </w:pPr>
    </w:p>
    <w:p>
      <w:pPr>
        <w:pStyle w:val="20"/>
        <w:widowControl/>
        <w:spacing w:before="225"/>
        <w:ind w:firstLine="420"/>
        <w:rPr>
          <w:rFonts w:ascii="宋体" w:hAnsi="宋体" w:cs="宋体"/>
          <w:color w:val="333333"/>
        </w:rPr>
      </w:pPr>
    </w:p>
    <w:p>
      <w:pPr>
        <w:pStyle w:val="20"/>
        <w:widowControl/>
        <w:spacing w:before="225"/>
        <w:ind w:firstLine="220" w:firstLineChars="100"/>
        <w:rPr>
          <w:rFonts w:ascii="宋体" w:hAnsi="宋体" w:cs="宋体"/>
          <w:color w:val="333333"/>
          <w:sz w:val="22"/>
          <w:szCs w:val="22"/>
        </w:rPr>
      </w:pPr>
      <w:r>
        <w:rPr>
          <w:rFonts w:hint="eastAsia" w:ascii="宋体" w:hAnsi="宋体" w:cs="宋体"/>
          <w:color w:val="333333"/>
          <w:sz w:val="22"/>
          <w:szCs w:val="22"/>
        </w:rPr>
        <w:t>甲方(公章)：</w:t>
      </w:r>
      <w:r>
        <w:rPr>
          <w:rFonts w:hint="eastAsia" w:ascii="宋体" w:hAnsi="宋体" w:cs="宋体"/>
          <w:color w:val="333333"/>
          <w:sz w:val="22"/>
          <w:szCs w:val="22"/>
          <w:u w:val="single"/>
        </w:rPr>
        <w:t xml:space="preserve">_________ </w:t>
      </w:r>
      <w:r>
        <w:rPr>
          <w:rFonts w:hint="eastAsia" w:ascii="宋体" w:hAnsi="宋体" w:cs="宋体"/>
          <w:color w:val="333333"/>
          <w:sz w:val="22"/>
          <w:szCs w:val="22"/>
        </w:rPr>
        <w:t>乙方(公章)：</w:t>
      </w:r>
      <w:r>
        <w:rPr>
          <w:rFonts w:hint="eastAsia" w:ascii="宋体" w:hAnsi="宋体" w:cs="宋体"/>
          <w:color w:val="333333"/>
          <w:sz w:val="22"/>
          <w:szCs w:val="22"/>
          <w:u w:val="single"/>
        </w:rPr>
        <w:t>_______</w:t>
      </w:r>
      <w:r>
        <w:rPr>
          <w:rFonts w:hint="eastAsia" w:ascii="宋体" w:hAnsi="宋体" w:cs="宋体"/>
          <w:color w:val="333333"/>
          <w:sz w:val="22"/>
          <w:szCs w:val="22"/>
        </w:rPr>
        <w:t>__</w:t>
      </w:r>
    </w:p>
    <w:p>
      <w:pPr>
        <w:pStyle w:val="20"/>
        <w:widowControl/>
        <w:spacing w:before="225"/>
        <w:ind w:firstLine="220" w:firstLineChars="100"/>
        <w:rPr>
          <w:rFonts w:ascii="宋体" w:hAnsi="宋体" w:cs="宋体"/>
          <w:color w:val="333333"/>
          <w:sz w:val="22"/>
          <w:szCs w:val="22"/>
        </w:rPr>
      </w:pPr>
      <w:r>
        <w:rPr>
          <w:rFonts w:hint="eastAsia" w:ascii="宋体" w:hAnsi="宋体" w:cs="宋体"/>
          <w:color w:val="333333"/>
          <w:sz w:val="22"/>
          <w:szCs w:val="22"/>
        </w:rPr>
        <w:t>法定代表人(签字)：_________ 法定代表人(签字)：________</w:t>
      </w:r>
    </w:p>
    <w:p>
      <w:pPr>
        <w:pStyle w:val="20"/>
        <w:widowControl/>
        <w:spacing w:before="225"/>
        <w:ind w:firstLine="220" w:firstLineChars="100"/>
        <w:rPr>
          <w:rFonts w:ascii="宋体" w:hAnsi="宋体" w:cs="宋体"/>
          <w:color w:val="333333"/>
          <w:sz w:val="22"/>
          <w:szCs w:val="22"/>
        </w:rPr>
      </w:pPr>
      <w:r>
        <w:rPr>
          <w:rFonts w:hint="eastAsia" w:ascii="宋体" w:hAnsi="宋体" w:cs="宋体"/>
          <w:color w:val="333333"/>
          <w:sz w:val="22"/>
          <w:szCs w:val="22"/>
        </w:rPr>
        <w:t>委托代理人(签字)：_________委托代理人(签字)：_________</w:t>
      </w:r>
    </w:p>
    <w:p>
      <w:pPr>
        <w:pStyle w:val="20"/>
        <w:widowControl/>
        <w:spacing w:before="225"/>
        <w:ind w:firstLine="420"/>
        <w:rPr>
          <w:rFonts w:ascii="宋体" w:hAnsi="宋体" w:cs="宋体"/>
          <w:color w:val="333333"/>
          <w:sz w:val="22"/>
          <w:szCs w:val="22"/>
        </w:rPr>
      </w:pPr>
      <w:r>
        <w:rPr>
          <w:rFonts w:hint="eastAsia" w:ascii="宋体" w:hAnsi="宋体" w:cs="宋体"/>
          <w:color w:val="333333"/>
          <w:sz w:val="22"/>
          <w:szCs w:val="22"/>
        </w:rPr>
        <w:t>_________年____月____日 _________年____月____日</w:t>
      </w:r>
    </w:p>
    <w:p>
      <w:pPr>
        <w:pStyle w:val="13"/>
        <w:spacing w:line="360" w:lineRule="auto"/>
        <w:contextualSpacing/>
        <w:jc w:val="center"/>
        <w:rPr>
          <w:rFonts w:cs="宋体" w:asciiTheme="majorEastAsia" w:hAnsiTheme="majorEastAsia" w:eastAsiaTheme="majorEastAsia"/>
          <w:b/>
          <w:kern w:val="0"/>
          <w:sz w:val="22"/>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bookmarkStart w:id="9" w:name="_GoBack"/>
      <w:bookmarkEnd w:id="9"/>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6"/>
          <w:szCs w:val="36"/>
        </w:rPr>
        <w:t>第八章 投标文件有关格式</w:t>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36"/>
          <w:szCs w:val="36"/>
          <w:lang w:val="zh-CN"/>
        </w:rPr>
        <w:t>一、供应商应答索引表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1483" w:type="dxa"/>
            <w:gridSpan w:val="2"/>
            <w:vMerge w:val="restart"/>
            <w:tcBorders>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w:t>
            </w:r>
            <w:r>
              <w:rPr>
                <w:rFonts w:hint="eastAsia" w:cs="宋体" w:asciiTheme="minorEastAsia" w:hAnsiTheme="minorEastAsia"/>
                <w:bCs/>
                <w:szCs w:val="24"/>
                <w:lang w:val="zh-CN"/>
              </w:rPr>
              <w:t>岗位证书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ascii="宋体" w:hAnsi="宋体" w:cs="微软雅黑"/>
                <w:szCs w:val="21"/>
              </w:rPr>
            </w:pPr>
          </w:p>
        </w:tc>
        <w:tc>
          <w:tcPr>
            <w:tcW w:w="1483" w:type="dxa"/>
            <w:gridSpan w:val="2"/>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供应商须具备的特殊资质证书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运营管理方案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1141"/>
        <w:gridCol w:w="3705"/>
        <w:gridCol w:w="2085"/>
        <w:gridCol w:w="2249"/>
      </w:tblGrid>
      <w:tr>
        <w:tblPrEx>
          <w:tblLayout w:type="fixed"/>
          <w:tblCellMar>
            <w:top w:w="0" w:type="dxa"/>
            <w:left w:w="108" w:type="dxa"/>
            <w:bottom w:w="0" w:type="dxa"/>
            <w:right w:w="108" w:type="dxa"/>
          </w:tblCellMar>
        </w:tblPrEx>
        <w:trPr>
          <w:trHeight w:val="851" w:hRule="atLeast"/>
        </w:trPr>
        <w:tc>
          <w:tcPr>
            <w:tcW w:w="114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370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b/>
                <w:bCs/>
                <w:lang w:val="zh-CN"/>
              </w:rPr>
            </w:pPr>
            <w:r>
              <w:rPr>
                <w:rFonts w:hint="eastAsia"/>
                <w:b/>
                <w:bCs/>
                <w:lang w:val="zh-CN"/>
              </w:rPr>
              <w:t>投标报价</w:t>
            </w:r>
          </w:p>
          <w:p>
            <w:pPr>
              <w:pStyle w:val="27"/>
              <w:ind w:firstLine="1265" w:firstLineChars="600"/>
              <w:rPr>
                <w:color w:val="auto"/>
                <w:lang w:val="zh-CN"/>
              </w:rPr>
            </w:pPr>
            <w:r>
              <w:rPr>
                <w:rFonts w:hint="eastAsia" w:asciiTheme="minorHAnsi" w:eastAsiaTheme="minorEastAsia" w:cstheme="minorBidi"/>
                <w:b/>
                <w:bCs/>
                <w:color w:val="auto"/>
                <w:kern w:val="2"/>
                <w:sz w:val="21"/>
                <w:szCs w:val="22"/>
                <w:lang w:val="zh-CN"/>
              </w:rPr>
              <w:t>（费率）</w:t>
            </w:r>
          </w:p>
        </w:tc>
        <w:tc>
          <w:tcPr>
            <w:tcW w:w="20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服务期限（年）</w:t>
            </w:r>
          </w:p>
        </w:tc>
        <w:tc>
          <w:tcPr>
            <w:tcW w:w="22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1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7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20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22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1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37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20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22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widowControl/>
        <w:wordWrap w:val="0"/>
        <w:spacing w:before="100" w:beforeAutospacing="1" w:after="100" w:afterAutospacing="1" w:line="360" w:lineRule="auto"/>
        <w:jc w:val="left"/>
        <w:rPr>
          <w:rFonts w:ascii="宋体" w:hAnsi="宋体" w:eastAsia="宋体" w:cs="宋体"/>
          <w:color w:val="000000"/>
          <w:kern w:val="0"/>
          <w:sz w:val="24"/>
          <w:szCs w:val="24"/>
        </w:rPr>
      </w:pPr>
      <w:r>
        <w:rPr>
          <w:rFonts w:hint="eastAsia" w:ascii="宋体" w:hAnsi="宋体" w:eastAsia="宋体" w:cs="宋体"/>
          <w:color w:val="333333"/>
          <w:kern w:val="0"/>
          <w:sz w:val="24"/>
          <w:szCs w:val="24"/>
        </w:rPr>
        <w:t>采购人：</w:t>
      </w:r>
    </w:p>
    <w:p>
      <w:pPr>
        <w:widowControl/>
        <w:wordWrap w:val="0"/>
        <w:spacing w:before="100" w:beforeAutospacing="1" w:after="100" w:afterAutospacing="1"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333333"/>
          <w:kern w:val="0"/>
          <w:sz w:val="24"/>
          <w:szCs w:val="24"/>
          <w:u w:val="single"/>
        </w:rPr>
        <w:t xml:space="preserve">供应商名称 </w:t>
      </w:r>
      <w:r>
        <w:rPr>
          <w:rFonts w:hint="eastAsia" w:ascii="宋体" w:hAnsi="宋体" w:eastAsia="宋体" w:cs="宋体"/>
          <w:color w:val="333333"/>
          <w:kern w:val="0"/>
          <w:sz w:val="24"/>
          <w:szCs w:val="24"/>
        </w:rPr>
        <w:t>授权</w:t>
      </w:r>
      <w:r>
        <w:rPr>
          <w:rFonts w:hint="eastAsia" w:ascii="宋体" w:hAnsi="宋体" w:eastAsia="宋体" w:cs="宋体"/>
          <w:color w:val="333333"/>
          <w:kern w:val="0"/>
          <w:sz w:val="24"/>
          <w:szCs w:val="24"/>
          <w:u w:val="single"/>
        </w:rPr>
        <w:t xml:space="preserve"> 供应商代表姓名、职务 </w:t>
      </w:r>
      <w:r>
        <w:rPr>
          <w:rFonts w:hint="eastAsia" w:ascii="宋体" w:hAnsi="宋体" w:eastAsia="宋体" w:cs="宋体"/>
          <w:color w:val="333333"/>
          <w:kern w:val="0"/>
          <w:sz w:val="24"/>
          <w:szCs w:val="24"/>
        </w:rPr>
        <w:t>为我方代表，参加你单位组织的招标项目</w:t>
      </w:r>
      <w:r>
        <w:rPr>
          <w:rFonts w:hint="eastAsia" w:ascii="宋体" w:hAnsi="宋体" w:eastAsia="宋体" w:cs="宋体"/>
          <w:color w:val="333333"/>
          <w:kern w:val="0"/>
          <w:sz w:val="24"/>
          <w:szCs w:val="24"/>
          <w:u w:val="single"/>
        </w:rPr>
        <w:t xml:space="preserve"> 招标项目名称（项目编号) </w:t>
      </w:r>
      <w:r>
        <w:rPr>
          <w:rFonts w:hint="eastAsia" w:ascii="宋体" w:hAnsi="宋体" w:eastAsia="宋体" w:cs="宋体"/>
          <w:color w:val="333333"/>
          <w:kern w:val="0"/>
          <w:sz w:val="24"/>
          <w:szCs w:val="24"/>
        </w:rPr>
        <w:t>的有关活动，并对此招标项目进行投标。</w:t>
      </w:r>
    </w:p>
    <w:p>
      <w:pPr>
        <w:widowControl/>
        <w:wordWrap w:val="0"/>
        <w:spacing w:beforeLines="100" w:after="100" w:afterAutospacing="1"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333333"/>
          <w:kern w:val="0"/>
          <w:sz w:val="24"/>
          <w:szCs w:val="24"/>
        </w:rPr>
        <w:t>一、我方承诺在采购文件规定的投标有效期内不修改、撤销投标文件。</w:t>
      </w:r>
    </w:p>
    <w:p>
      <w:pPr>
        <w:widowControl/>
        <w:wordWrap w:val="0"/>
        <w:spacing w:before="100" w:beforeAutospacing="1" w:after="100" w:afterAutospacing="1" w:line="360" w:lineRule="auto"/>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二、随同本投标函提交投标保证金一份，金额为人民币（大写</w:t>
      </w:r>
      <w:r>
        <w:rPr>
          <w:rFonts w:hint="eastAsia" w:ascii="宋体" w:hAnsi="宋体" w:eastAsia="宋体" w:cs="宋体"/>
          <w:sz w:val="24"/>
          <w:szCs w:val="24"/>
        </w:rPr>
        <w:t>）（¥）。</w:t>
      </w:r>
    </w:p>
    <w:p>
      <w:pPr>
        <w:widowControl/>
        <w:wordWrap w:val="0"/>
        <w:spacing w:before="100" w:beforeAutospacing="1" w:after="100" w:afterAutospacing="1"/>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三、如我方中标：</w:t>
      </w:r>
    </w:p>
    <w:p>
      <w:pPr>
        <w:widowControl/>
        <w:wordWrap w:val="0"/>
        <w:spacing w:before="100" w:beforeAutospacing="1" w:after="100" w:afterAutospacing="1"/>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（1）我方承诺在收到中标通知书后，在中标通知书规定的期限内与你方签订合同。</w:t>
      </w:r>
    </w:p>
    <w:p>
      <w:pPr>
        <w:widowControl/>
        <w:wordWrap w:val="0"/>
        <w:spacing w:before="100" w:beforeAutospacing="1" w:after="100" w:afterAutospacing="1"/>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（2）随同本投标函递交的投标函附录属于合同文件的组成部分。</w:t>
      </w:r>
    </w:p>
    <w:p>
      <w:pPr>
        <w:widowControl/>
        <w:wordWrap w:val="0"/>
        <w:spacing w:before="100" w:beforeAutospacing="1" w:after="100" w:afterAutospacing="1"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333333"/>
          <w:kern w:val="0"/>
          <w:sz w:val="24"/>
          <w:szCs w:val="24"/>
        </w:rPr>
        <w:t>四、我方承诺已经具备采购文件中规定的供应商应当具备的条件。我方愿意向你单位提供任何与本招标项目投标有关的数据、情况和技术资料，并根据需要提供一切承诺的证明材料，并保证其真实、合法、有效。</w:t>
      </w:r>
    </w:p>
    <w:p>
      <w:pPr>
        <w:widowControl/>
        <w:wordWrap w:val="0"/>
        <w:spacing w:before="100" w:beforeAutospacing="1" w:after="100" w:afterAutospacing="1"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333333"/>
          <w:kern w:val="0"/>
          <w:sz w:val="24"/>
          <w:szCs w:val="24"/>
        </w:rPr>
        <w:t>五、我方保证尊重评标委员会的评标结果，完全理解本招标项目不一定接受最低报价的投标。</w:t>
      </w:r>
    </w:p>
    <w:p>
      <w:pPr>
        <w:widowControl/>
        <w:wordWrap w:val="0"/>
        <w:spacing w:before="100" w:beforeAutospacing="1" w:after="100" w:afterAutospacing="1"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333333"/>
          <w:kern w:val="0"/>
          <w:sz w:val="24"/>
          <w:szCs w:val="24"/>
        </w:rPr>
        <w:t>六、如果我方中标，我们将按采购文件的规定，保证忠实地履行双方所签订的政府采购合同，承担合同规定的责任和义务，并按照规定要求足额缴纳招标代理费用。</w:t>
      </w:r>
    </w:p>
    <w:p>
      <w:pPr>
        <w:widowControl/>
        <w:wordWrap w:val="0"/>
        <w:spacing w:before="100" w:beforeAutospacing="1" w:after="100" w:afterAutospacing="1"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333333"/>
          <w:kern w:val="0"/>
          <w:sz w:val="24"/>
          <w:szCs w:val="24"/>
        </w:rPr>
        <w:t>六、我方承诺采购单位若需追加采购本项目采购文件所列货物及相关服务的，在不改变购合同其它实质性条款的前提下，按相同或更优惠的价格保证供货和服务。</w:t>
      </w:r>
    </w:p>
    <w:p>
      <w:pPr>
        <w:widowControl/>
        <w:wordWrap w:val="0"/>
        <w:spacing w:before="100" w:beforeAutospacing="1" w:after="100" w:afterAutospacing="1"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七、我方将严格遵守《中华人民共和国政府采购法》的有关规定。 </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供应商代表姓名：.  职    务：.</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供应商法定代表人（或法定代表人授权代表）签字或盖章：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供应商名称（盖章）：</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供应商</w:t>
      </w:r>
      <w:r>
        <w:rPr>
          <w:rFonts w:hint="eastAsia" w:asciiTheme="minorEastAsia" w:hAnsiTheme="minorEastAsia"/>
          <w:i/>
          <w:snapToGrid w:val="0"/>
          <w:szCs w:val="24"/>
          <w:u w:val="single"/>
        </w:rPr>
        <w:t>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署投</w:t>
      </w:r>
      <w:r>
        <w:rPr>
          <w:rFonts w:asciiTheme="minorEastAsia" w:hAnsiTheme="minorEastAsia"/>
          <w:color w:val="000000"/>
          <w:szCs w:val="24"/>
        </w:rPr>
        <w:t>标</w:t>
      </w:r>
      <w:r>
        <w:rPr>
          <w:rFonts w:hint="eastAsia" w:asciiTheme="minorEastAsia" w:hAnsiTheme="minorEastAsia"/>
          <w:color w:val="000000"/>
          <w:szCs w:val="24"/>
        </w:rPr>
        <w:t>文件及合同，并</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供应商名称（并加盖公章）：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pStyle w:val="27"/>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p>
    <w:p>
      <w:pPr>
        <w:spacing w:beforeLines="50" w:afterLines="50" w:line="360" w:lineRule="auto"/>
        <w:ind w:firstLine="240" w:firstLineChars="100"/>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726" w:firstLineChars="2386"/>
        <w:rPr>
          <w:rFonts w:cs="宋体" w:asciiTheme="minorEastAsia" w:hAnsiTheme="minorEastAsia"/>
          <w:sz w:val="24"/>
          <w:szCs w:val="24"/>
          <w:lang w:val="zh-CN"/>
        </w:rPr>
      </w:pPr>
    </w:p>
    <w:p>
      <w:pPr>
        <w:spacing w:beforeLines="50" w:afterLines="50" w:line="360" w:lineRule="auto"/>
        <w:ind w:right="420" w:firstLine="5726" w:firstLineChars="23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726" w:firstLineChars="23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pStyle w:val="27"/>
        <w:rPr>
          <w:rFonts w:hAnsi="宋体"/>
          <w:b/>
          <w:snapToGrid w:val="0"/>
          <w:sz w:val="36"/>
          <w:szCs w:val="36"/>
        </w:rPr>
      </w:pPr>
    </w:p>
    <w:p>
      <w:pPr>
        <w:pStyle w:val="27"/>
        <w:rPr>
          <w:rFonts w:hAnsi="宋体"/>
          <w:b/>
          <w:snapToGrid w:val="0"/>
          <w:sz w:val="36"/>
          <w:szCs w:val="36"/>
        </w:rPr>
      </w:pPr>
    </w:p>
    <w:p>
      <w:pPr>
        <w:pStyle w:val="27"/>
        <w:rPr>
          <w:rFonts w:hAnsi="宋体"/>
          <w:b/>
          <w:snapToGrid w:val="0"/>
          <w:sz w:val="36"/>
          <w:szCs w:val="36"/>
        </w:rPr>
      </w:pPr>
    </w:p>
    <w:p>
      <w:pPr>
        <w:autoSpaceDE w:val="0"/>
        <w:autoSpaceDN w:val="0"/>
        <w:adjustRightInd w:val="0"/>
        <w:spacing w:line="360" w:lineRule="auto"/>
        <w:outlineLvl w:val="0"/>
        <w:rPr>
          <w:rFonts w:ascii="宋体" w:hAnsi="宋体"/>
          <w:b/>
          <w:bCs/>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4.1  </w:t>
      </w:r>
      <w:r>
        <w:rPr>
          <w:rFonts w:hint="eastAsia" w:hAnsi="宋体" w:eastAsia="宋体"/>
          <w:b/>
          <w:snapToGrid w:val="0"/>
          <w:kern w:val="0"/>
          <w:sz w:val="36"/>
          <w:szCs w:val="36"/>
        </w:rPr>
        <w:t>运营管理方案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（供应商根据招标文件要求自行编制，内容包括但不限于“招标项目基本内容及要求”，“合同条款”等招标文件的所有内容）</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4.2</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4.3中小企业声明函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ind w:firstLine="480" w:firstLineChars="200"/>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ind w:firstLine="480" w:firstLineChars="200"/>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4"/>
      <w:bookmarkStart w:id="8" w:name="OLE_LINK13"/>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4.4残疾人福利性单位声明函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90C1C"/>
    <w:multiLevelType w:val="singleLevel"/>
    <w:tmpl w:val="DD190C1C"/>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F817C2"/>
    <w:multiLevelType w:val="singleLevel"/>
    <w:tmpl w:val="59F817C2"/>
    <w:lvl w:ilvl="0" w:tentative="0">
      <w:start w:val="2"/>
      <w:numFmt w:val="chineseCounting"/>
      <w:suff w:val="space"/>
      <w:lvlText w:val="第%1章"/>
      <w:lvlJc w:val="left"/>
    </w:lvl>
  </w:abstractNum>
  <w:abstractNum w:abstractNumId="5">
    <w:nsid w:val="59F817E8"/>
    <w:multiLevelType w:val="singleLevel"/>
    <w:tmpl w:val="59F817E8"/>
    <w:lvl w:ilvl="0" w:tentative="0">
      <w:start w:val="1"/>
      <w:numFmt w:val="chineseCounting"/>
      <w:pStyle w:val="49"/>
      <w:suff w:val="nothing"/>
      <w:lvlText w:val="%1、"/>
      <w:lvlJc w:val="left"/>
    </w:lvl>
  </w:abstractNum>
  <w:abstractNum w:abstractNumId="6">
    <w:nsid w:val="5B890BD3"/>
    <w:multiLevelType w:val="singleLevel"/>
    <w:tmpl w:val="5B890BD3"/>
    <w:lvl w:ilvl="0" w:tentative="0">
      <w:start w:val="1"/>
      <w:numFmt w:val="decimal"/>
      <w:suff w:val="nothing"/>
      <w:lvlText w:val="%1、"/>
      <w:lvlJc w:val="left"/>
    </w:lvl>
  </w:abstractNum>
  <w:abstractNum w:abstractNumId="7">
    <w:nsid w:val="7D79D87B"/>
    <w:multiLevelType w:val="singleLevel"/>
    <w:tmpl w:val="7D79D87B"/>
    <w:lvl w:ilvl="0" w:tentative="0">
      <w:start w:val="1"/>
      <w:numFmt w:val="chineseCounting"/>
      <w:suff w:val="nothing"/>
      <w:lvlText w:val="%1、"/>
      <w:lvlJc w:val="left"/>
      <w:rPr>
        <w:rFonts w:hint="eastAsia"/>
      </w:rPr>
    </w:lvl>
  </w:abstractNum>
  <w:num w:numId="1">
    <w:abstractNumId w:val="1"/>
  </w:num>
  <w:num w:numId="2">
    <w:abstractNumId w:val="2"/>
  </w:num>
  <w:num w:numId="3">
    <w:abstractNumId w:val="5"/>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166B9"/>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57993"/>
    <w:rsid w:val="00263C0C"/>
    <w:rsid w:val="00264FDB"/>
    <w:rsid w:val="00266A53"/>
    <w:rsid w:val="00266F38"/>
    <w:rsid w:val="002704F0"/>
    <w:rsid w:val="0027728C"/>
    <w:rsid w:val="00281155"/>
    <w:rsid w:val="00296074"/>
    <w:rsid w:val="002969B1"/>
    <w:rsid w:val="002A00B7"/>
    <w:rsid w:val="002A0347"/>
    <w:rsid w:val="002B2BE8"/>
    <w:rsid w:val="002C3326"/>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33B9"/>
    <w:rsid w:val="003C669F"/>
    <w:rsid w:val="003D2A39"/>
    <w:rsid w:val="003D6EA0"/>
    <w:rsid w:val="003E4CE5"/>
    <w:rsid w:val="003E7330"/>
    <w:rsid w:val="003F468C"/>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56798"/>
    <w:rsid w:val="005601D7"/>
    <w:rsid w:val="00570BD7"/>
    <w:rsid w:val="00572C46"/>
    <w:rsid w:val="005755F7"/>
    <w:rsid w:val="00576428"/>
    <w:rsid w:val="00581F4C"/>
    <w:rsid w:val="005939AD"/>
    <w:rsid w:val="00594467"/>
    <w:rsid w:val="0059516F"/>
    <w:rsid w:val="005A1C0C"/>
    <w:rsid w:val="005A73D5"/>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3E0F"/>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0F2"/>
    <w:rsid w:val="006D23F7"/>
    <w:rsid w:val="006D24FE"/>
    <w:rsid w:val="006D7995"/>
    <w:rsid w:val="006E1073"/>
    <w:rsid w:val="006E5294"/>
    <w:rsid w:val="006E69A9"/>
    <w:rsid w:val="006E7D75"/>
    <w:rsid w:val="006F42BD"/>
    <w:rsid w:val="006F6735"/>
    <w:rsid w:val="006F70F8"/>
    <w:rsid w:val="00703498"/>
    <w:rsid w:val="00714EA5"/>
    <w:rsid w:val="00723ED1"/>
    <w:rsid w:val="0072488A"/>
    <w:rsid w:val="00727688"/>
    <w:rsid w:val="00730668"/>
    <w:rsid w:val="00736570"/>
    <w:rsid w:val="0073735A"/>
    <w:rsid w:val="007373E3"/>
    <w:rsid w:val="00737B3F"/>
    <w:rsid w:val="00742F47"/>
    <w:rsid w:val="00743379"/>
    <w:rsid w:val="007530A0"/>
    <w:rsid w:val="00756268"/>
    <w:rsid w:val="00761164"/>
    <w:rsid w:val="007642BA"/>
    <w:rsid w:val="00771B80"/>
    <w:rsid w:val="00773878"/>
    <w:rsid w:val="00775A7C"/>
    <w:rsid w:val="00775C43"/>
    <w:rsid w:val="00784839"/>
    <w:rsid w:val="007942AC"/>
    <w:rsid w:val="007A05F2"/>
    <w:rsid w:val="007A0F7B"/>
    <w:rsid w:val="007A1777"/>
    <w:rsid w:val="007A3C5F"/>
    <w:rsid w:val="007B3355"/>
    <w:rsid w:val="007B487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E6A"/>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4E9B"/>
    <w:rsid w:val="009407DF"/>
    <w:rsid w:val="00944C89"/>
    <w:rsid w:val="009462A9"/>
    <w:rsid w:val="00951C8E"/>
    <w:rsid w:val="00964173"/>
    <w:rsid w:val="009652AA"/>
    <w:rsid w:val="00965D3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5050D"/>
    <w:rsid w:val="00A505BF"/>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15474"/>
    <w:rsid w:val="00B17370"/>
    <w:rsid w:val="00B2055A"/>
    <w:rsid w:val="00B2067D"/>
    <w:rsid w:val="00B24B86"/>
    <w:rsid w:val="00B30A6C"/>
    <w:rsid w:val="00B357E1"/>
    <w:rsid w:val="00B36FBB"/>
    <w:rsid w:val="00B40771"/>
    <w:rsid w:val="00B40C7E"/>
    <w:rsid w:val="00B4170E"/>
    <w:rsid w:val="00B47221"/>
    <w:rsid w:val="00B6457D"/>
    <w:rsid w:val="00B64EAB"/>
    <w:rsid w:val="00B65A0E"/>
    <w:rsid w:val="00B66E6E"/>
    <w:rsid w:val="00B75416"/>
    <w:rsid w:val="00B80C52"/>
    <w:rsid w:val="00B820A9"/>
    <w:rsid w:val="00B91885"/>
    <w:rsid w:val="00B95A20"/>
    <w:rsid w:val="00BB1EC0"/>
    <w:rsid w:val="00BB6CC2"/>
    <w:rsid w:val="00BC01E9"/>
    <w:rsid w:val="00BC05E7"/>
    <w:rsid w:val="00BD0FE7"/>
    <w:rsid w:val="00BD3AFF"/>
    <w:rsid w:val="00BE2BD2"/>
    <w:rsid w:val="00BF1DA5"/>
    <w:rsid w:val="00BF21E1"/>
    <w:rsid w:val="00C06F9E"/>
    <w:rsid w:val="00C1514A"/>
    <w:rsid w:val="00C23622"/>
    <w:rsid w:val="00C36189"/>
    <w:rsid w:val="00C414AD"/>
    <w:rsid w:val="00C430C9"/>
    <w:rsid w:val="00C45EEC"/>
    <w:rsid w:val="00C51319"/>
    <w:rsid w:val="00C638EC"/>
    <w:rsid w:val="00C7189B"/>
    <w:rsid w:val="00C72DCF"/>
    <w:rsid w:val="00C731CA"/>
    <w:rsid w:val="00C75A26"/>
    <w:rsid w:val="00C8587D"/>
    <w:rsid w:val="00C932A1"/>
    <w:rsid w:val="00C956D7"/>
    <w:rsid w:val="00CA0494"/>
    <w:rsid w:val="00CA2C12"/>
    <w:rsid w:val="00CB1DDD"/>
    <w:rsid w:val="00CB5066"/>
    <w:rsid w:val="00CB5576"/>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E6396"/>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505"/>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B2188"/>
    <w:rsid w:val="00FC0DEB"/>
    <w:rsid w:val="00FC4909"/>
    <w:rsid w:val="00FC4962"/>
    <w:rsid w:val="00FD12DE"/>
    <w:rsid w:val="00FD62FF"/>
    <w:rsid w:val="00FE2F78"/>
    <w:rsid w:val="00FE30BB"/>
    <w:rsid w:val="00FE61C6"/>
    <w:rsid w:val="00FF4EA4"/>
    <w:rsid w:val="011828C9"/>
    <w:rsid w:val="012C36C8"/>
    <w:rsid w:val="01793ADF"/>
    <w:rsid w:val="01884932"/>
    <w:rsid w:val="01D5131E"/>
    <w:rsid w:val="01EC0D83"/>
    <w:rsid w:val="01F94C0B"/>
    <w:rsid w:val="021D034F"/>
    <w:rsid w:val="023D272A"/>
    <w:rsid w:val="02A17F8D"/>
    <w:rsid w:val="02B03AA6"/>
    <w:rsid w:val="02C570B9"/>
    <w:rsid w:val="02C73949"/>
    <w:rsid w:val="031C1E47"/>
    <w:rsid w:val="03363DC0"/>
    <w:rsid w:val="036C5DD9"/>
    <w:rsid w:val="0392034A"/>
    <w:rsid w:val="03BA28EA"/>
    <w:rsid w:val="03EB353B"/>
    <w:rsid w:val="040552E1"/>
    <w:rsid w:val="041C7C63"/>
    <w:rsid w:val="04DE21E0"/>
    <w:rsid w:val="04DF47DE"/>
    <w:rsid w:val="05127143"/>
    <w:rsid w:val="055A4FC2"/>
    <w:rsid w:val="055E58B2"/>
    <w:rsid w:val="05ED5B88"/>
    <w:rsid w:val="05F02E3C"/>
    <w:rsid w:val="064845D9"/>
    <w:rsid w:val="066F47BC"/>
    <w:rsid w:val="07177166"/>
    <w:rsid w:val="071B490A"/>
    <w:rsid w:val="07AC57E2"/>
    <w:rsid w:val="07BA3EED"/>
    <w:rsid w:val="08062EFF"/>
    <w:rsid w:val="0808733A"/>
    <w:rsid w:val="080A1DB9"/>
    <w:rsid w:val="088A2D76"/>
    <w:rsid w:val="08961F2C"/>
    <w:rsid w:val="08E9117F"/>
    <w:rsid w:val="091A6B5F"/>
    <w:rsid w:val="092C3F78"/>
    <w:rsid w:val="093E649D"/>
    <w:rsid w:val="0945748C"/>
    <w:rsid w:val="094906E5"/>
    <w:rsid w:val="09DC71EB"/>
    <w:rsid w:val="0A086D4F"/>
    <w:rsid w:val="0A0C6DFD"/>
    <w:rsid w:val="0A767FBC"/>
    <w:rsid w:val="0AE14B83"/>
    <w:rsid w:val="0B431A17"/>
    <w:rsid w:val="0BF543C4"/>
    <w:rsid w:val="0BFC67AF"/>
    <w:rsid w:val="0C27281C"/>
    <w:rsid w:val="0CD95A44"/>
    <w:rsid w:val="0CEB7FA7"/>
    <w:rsid w:val="0D6A31F8"/>
    <w:rsid w:val="0DF678ED"/>
    <w:rsid w:val="0E03393E"/>
    <w:rsid w:val="0E6E152F"/>
    <w:rsid w:val="0E7E3521"/>
    <w:rsid w:val="0E8B40A1"/>
    <w:rsid w:val="0EF0189B"/>
    <w:rsid w:val="0F460756"/>
    <w:rsid w:val="0F4C6A7C"/>
    <w:rsid w:val="0F5A4F58"/>
    <w:rsid w:val="0F83331C"/>
    <w:rsid w:val="0F8A3B5D"/>
    <w:rsid w:val="0FA339C5"/>
    <w:rsid w:val="0FBD3935"/>
    <w:rsid w:val="0FC36588"/>
    <w:rsid w:val="105C2F0D"/>
    <w:rsid w:val="105D063A"/>
    <w:rsid w:val="106021F3"/>
    <w:rsid w:val="10606560"/>
    <w:rsid w:val="108E7258"/>
    <w:rsid w:val="109D63F1"/>
    <w:rsid w:val="10C8780E"/>
    <w:rsid w:val="10FF28BC"/>
    <w:rsid w:val="114C51B3"/>
    <w:rsid w:val="114E0715"/>
    <w:rsid w:val="115379C7"/>
    <w:rsid w:val="117E2953"/>
    <w:rsid w:val="119054CA"/>
    <w:rsid w:val="11BB463E"/>
    <w:rsid w:val="11D923DA"/>
    <w:rsid w:val="124B5877"/>
    <w:rsid w:val="12A544CE"/>
    <w:rsid w:val="130D75F2"/>
    <w:rsid w:val="13332A2C"/>
    <w:rsid w:val="138555E6"/>
    <w:rsid w:val="140106FB"/>
    <w:rsid w:val="1415642B"/>
    <w:rsid w:val="14642490"/>
    <w:rsid w:val="14C829D7"/>
    <w:rsid w:val="14CA63FE"/>
    <w:rsid w:val="14D71CB6"/>
    <w:rsid w:val="15382B2B"/>
    <w:rsid w:val="154E5233"/>
    <w:rsid w:val="15652867"/>
    <w:rsid w:val="156D25BE"/>
    <w:rsid w:val="15847F97"/>
    <w:rsid w:val="15A85EC8"/>
    <w:rsid w:val="15D83CDB"/>
    <w:rsid w:val="15EE1AA9"/>
    <w:rsid w:val="162E57C0"/>
    <w:rsid w:val="16562595"/>
    <w:rsid w:val="16E7458D"/>
    <w:rsid w:val="173921BD"/>
    <w:rsid w:val="17DF7ABC"/>
    <w:rsid w:val="182C19D7"/>
    <w:rsid w:val="187D62FE"/>
    <w:rsid w:val="18B40EEA"/>
    <w:rsid w:val="18F7199B"/>
    <w:rsid w:val="19244507"/>
    <w:rsid w:val="19F23616"/>
    <w:rsid w:val="1A1769FA"/>
    <w:rsid w:val="1A63085E"/>
    <w:rsid w:val="1A792F1D"/>
    <w:rsid w:val="1A8A44D3"/>
    <w:rsid w:val="1AA11DFD"/>
    <w:rsid w:val="1AB14BFA"/>
    <w:rsid w:val="1AEB0611"/>
    <w:rsid w:val="1B1B5E63"/>
    <w:rsid w:val="1B1E3E29"/>
    <w:rsid w:val="1B8D0F90"/>
    <w:rsid w:val="1B9E4F2B"/>
    <w:rsid w:val="1BD62FFB"/>
    <w:rsid w:val="1BE14575"/>
    <w:rsid w:val="1BFC38A3"/>
    <w:rsid w:val="1C0853EF"/>
    <w:rsid w:val="1C0916EA"/>
    <w:rsid w:val="1C14050B"/>
    <w:rsid w:val="1C456EB0"/>
    <w:rsid w:val="1C6A497D"/>
    <w:rsid w:val="1CC135EF"/>
    <w:rsid w:val="1CDA2194"/>
    <w:rsid w:val="1D5B61BE"/>
    <w:rsid w:val="1D6D4EAE"/>
    <w:rsid w:val="1D77503E"/>
    <w:rsid w:val="1DD43134"/>
    <w:rsid w:val="1E2159DA"/>
    <w:rsid w:val="1E26236C"/>
    <w:rsid w:val="1E816718"/>
    <w:rsid w:val="1EAC6846"/>
    <w:rsid w:val="1EC23055"/>
    <w:rsid w:val="1ECB47C6"/>
    <w:rsid w:val="1EE444A9"/>
    <w:rsid w:val="1EE7504F"/>
    <w:rsid w:val="1FB93382"/>
    <w:rsid w:val="201E72D8"/>
    <w:rsid w:val="2021074B"/>
    <w:rsid w:val="20415576"/>
    <w:rsid w:val="206A3B39"/>
    <w:rsid w:val="20993752"/>
    <w:rsid w:val="20BC2DAA"/>
    <w:rsid w:val="20DA242B"/>
    <w:rsid w:val="20FD1AAB"/>
    <w:rsid w:val="214A04C7"/>
    <w:rsid w:val="21746D62"/>
    <w:rsid w:val="21BE2FC3"/>
    <w:rsid w:val="21CE7700"/>
    <w:rsid w:val="222C2838"/>
    <w:rsid w:val="230C629A"/>
    <w:rsid w:val="2323332B"/>
    <w:rsid w:val="23645E50"/>
    <w:rsid w:val="236969B9"/>
    <w:rsid w:val="237E58F7"/>
    <w:rsid w:val="23E3352B"/>
    <w:rsid w:val="24113878"/>
    <w:rsid w:val="242D2A26"/>
    <w:rsid w:val="254C32C2"/>
    <w:rsid w:val="25DB1751"/>
    <w:rsid w:val="25EF1E20"/>
    <w:rsid w:val="26485075"/>
    <w:rsid w:val="26547138"/>
    <w:rsid w:val="268C16F8"/>
    <w:rsid w:val="27554E5C"/>
    <w:rsid w:val="278E1C8A"/>
    <w:rsid w:val="27B209FC"/>
    <w:rsid w:val="280D587C"/>
    <w:rsid w:val="28331013"/>
    <w:rsid w:val="29007C66"/>
    <w:rsid w:val="290D0967"/>
    <w:rsid w:val="297B0D67"/>
    <w:rsid w:val="29817D97"/>
    <w:rsid w:val="298409B7"/>
    <w:rsid w:val="29B70BE3"/>
    <w:rsid w:val="29C329C8"/>
    <w:rsid w:val="2A6B7073"/>
    <w:rsid w:val="2AAE6F11"/>
    <w:rsid w:val="2AAF293F"/>
    <w:rsid w:val="2B3F5C2A"/>
    <w:rsid w:val="2B5835D7"/>
    <w:rsid w:val="2B812313"/>
    <w:rsid w:val="2BC10537"/>
    <w:rsid w:val="2BC41F7A"/>
    <w:rsid w:val="2BF67431"/>
    <w:rsid w:val="2C88777E"/>
    <w:rsid w:val="2D2303A0"/>
    <w:rsid w:val="2D4F67FD"/>
    <w:rsid w:val="2D6143F6"/>
    <w:rsid w:val="2D87479C"/>
    <w:rsid w:val="2DD51BA5"/>
    <w:rsid w:val="2DE747F6"/>
    <w:rsid w:val="2E062A34"/>
    <w:rsid w:val="2E1C6D27"/>
    <w:rsid w:val="2E465798"/>
    <w:rsid w:val="2E850740"/>
    <w:rsid w:val="2F015E41"/>
    <w:rsid w:val="2F6D1BB4"/>
    <w:rsid w:val="2F73226A"/>
    <w:rsid w:val="30094E07"/>
    <w:rsid w:val="302D221C"/>
    <w:rsid w:val="305608CD"/>
    <w:rsid w:val="30C22754"/>
    <w:rsid w:val="30D33A6B"/>
    <w:rsid w:val="30F050D7"/>
    <w:rsid w:val="31626A12"/>
    <w:rsid w:val="31707C2A"/>
    <w:rsid w:val="31983BC8"/>
    <w:rsid w:val="319B0F35"/>
    <w:rsid w:val="32383EA1"/>
    <w:rsid w:val="32861DE0"/>
    <w:rsid w:val="32962B63"/>
    <w:rsid w:val="32B2254A"/>
    <w:rsid w:val="334A6EED"/>
    <w:rsid w:val="33745E26"/>
    <w:rsid w:val="33D8592A"/>
    <w:rsid w:val="33DE33AF"/>
    <w:rsid w:val="34144713"/>
    <w:rsid w:val="342C4F20"/>
    <w:rsid w:val="345166EF"/>
    <w:rsid w:val="34A67BBD"/>
    <w:rsid w:val="351F682C"/>
    <w:rsid w:val="354430A3"/>
    <w:rsid w:val="35992582"/>
    <w:rsid w:val="35BA251E"/>
    <w:rsid w:val="35BC1DAD"/>
    <w:rsid w:val="35F86006"/>
    <w:rsid w:val="360514E4"/>
    <w:rsid w:val="36191A62"/>
    <w:rsid w:val="363B126E"/>
    <w:rsid w:val="364362DF"/>
    <w:rsid w:val="364F2E98"/>
    <w:rsid w:val="365B7BA1"/>
    <w:rsid w:val="368E40AB"/>
    <w:rsid w:val="3746010D"/>
    <w:rsid w:val="37B440FB"/>
    <w:rsid w:val="37D23DA0"/>
    <w:rsid w:val="37F55A20"/>
    <w:rsid w:val="37FE3A3F"/>
    <w:rsid w:val="38175CF6"/>
    <w:rsid w:val="38182841"/>
    <w:rsid w:val="38673D29"/>
    <w:rsid w:val="38B46A81"/>
    <w:rsid w:val="38B83110"/>
    <w:rsid w:val="39001B47"/>
    <w:rsid w:val="392175F1"/>
    <w:rsid w:val="39A00FC8"/>
    <w:rsid w:val="39C534A6"/>
    <w:rsid w:val="39E67AB3"/>
    <w:rsid w:val="3A15557D"/>
    <w:rsid w:val="3A8C4985"/>
    <w:rsid w:val="3A9A6589"/>
    <w:rsid w:val="3AAC7D78"/>
    <w:rsid w:val="3AD14C52"/>
    <w:rsid w:val="3B2A25B2"/>
    <w:rsid w:val="3B596823"/>
    <w:rsid w:val="3BBB3F61"/>
    <w:rsid w:val="3BC57A00"/>
    <w:rsid w:val="3C9424F3"/>
    <w:rsid w:val="3E4158C8"/>
    <w:rsid w:val="3EA124A7"/>
    <w:rsid w:val="3EA67CF6"/>
    <w:rsid w:val="3F0068E2"/>
    <w:rsid w:val="3F0B6296"/>
    <w:rsid w:val="3F1F5CF2"/>
    <w:rsid w:val="3F6A2B0E"/>
    <w:rsid w:val="3F860F09"/>
    <w:rsid w:val="403137FE"/>
    <w:rsid w:val="40367C64"/>
    <w:rsid w:val="406E5A73"/>
    <w:rsid w:val="40CA4CC2"/>
    <w:rsid w:val="40F1298C"/>
    <w:rsid w:val="414C6F0F"/>
    <w:rsid w:val="4155548F"/>
    <w:rsid w:val="416675DB"/>
    <w:rsid w:val="41940297"/>
    <w:rsid w:val="41BE0264"/>
    <w:rsid w:val="41C90019"/>
    <w:rsid w:val="41F86F17"/>
    <w:rsid w:val="425B0CF4"/>
    <w:rsid w:val="42602FFA"/>
    <w:rsid w:val="426C0613"/>
    <w:rsid w:val="42A77164"/>
    <w:rsid w:val="42DC42CB"/>
    <w:rsid w:val="431D69E4"/>
    <w:rsid w:val="433B2ECE"/>
    <w:rsid w:val="43FF2791"/>
    <w:rsid w:val="448C6C5C"/>
    <w:rsid w:val="44C66AEE"/>
    <w:rsid w:val="44DB1ABF"/>
    <w:rsid w:val="45156C41"/>
    <w:rsid w:val="456779C6"/>
    <w:rsid w:val="45BC0B50"/>
    <w:rsid w:val="45E56CB4"/>
    <w:rsid w:val="45FB7871"/>
    <w:rsid w:val="46614B13"/>
    <w:rsid w:val="466F2D33"/>
    <w:rsid w:val="46AD25AC"/>
    <w:rsid w:val="46CB58C2"/>
    <w:rsid w:val="46D535B4"/>
    <w:rsid w:val="46E56C0E"/>
    <w:rsid w:val="471F061A"/>
    <w:rsid w:val="47275D77"/>
    <w:rsid w:val="47605DD5"/>
    <w:rsid w:val="4768730A"/>
    <w:rsid w:val="47731542"/>
    <w:rsid w:val="4779246A"/>
    <w:rsid w:val="47AA00B2"/>
    <w:rsid w:val="47C02262"/>
    <w:rsid w:val="47C43E48"/>
    <w:rsid w:val="48023BB8"/>
    <w:rsid w:val="48214758"/>
    <w:rsid w:val="485B2164"/>
    <w:rsid w:val="48A2768D"/>
    <w:rsid w:val="48DC15D7"/>
    <w:rsid w:val="48EE7060"/>
    <w:rsid w:val="490C5C3F"/>
    <w:rsid w:val="49432D0A"/>
    <w:rsid w:val="49473631"/>
    <w:rsid w:val="499E2F9C"/>
    <w:rsid w:val="49E708F1"/>
    <w:rsid w:val="4A2138EB"/>
    <w:rsid w:val="4A34672B"/>
    <w:rsid w:val="4A3513D3"/>
    <w:rsid w:val="4AD3492B"/>
    <w:rsid w:val="4ADF7B1F"/>
    <w:rsid w:val="4B0A558B"/>
    <w:rsid w:val="4B956673"/>
    <w:rsid w:val="4BED52C2"/>
    <w:rsid w:val="4C0B7E1D"/>
    <w:rsid w:val="4C162199"/>
    <w:rsid w:val="4C17290E"/>
    <w:rsid w:val="4C260169"/>
    <w:rsid w:val="4C641490"/>
    <w:rsid w:val="4CCD4367"/>
    <w:rsid w:val="4D09565B"/>
    <w:rsid w:val="4D3D2913"/>
    <w:rsid w:val="4D475B73"/>
    <w:rsid w:val="4D502395"/>
    <w:rsid w:val="4D8253FA"/>
    <w:rsid w:val="4DBD00CC"/>
    <w:rsid w:val="4DF91C3C"/>
    <w:rsid w:val="4E3A32D2"/>
    <w:rsid w:val="4E3D3AF2"/>
    <w:rsid w:val="4E670913"/>
    <w:rsid w:val="4F205FB2"/>
    <w:rsid w:val="4F9E595F"/>
    <w:rsid w:val="501A1CC6"/>
    <w:rsid w:val="502F7CCC"/>
    <w:rsid w:val="503335A5"/>
    <w:rsid w:val="50997BC4"/>
    <w:rsid w:val="50A01F6A"/>
    <w:rsid w:val="50CD4104"/>
    <w:rsid w:val="50F94A80"/>
    <w:rsid w:val="50FB731F"/>
    <w:rsid w:val="510264FD"/>
    <w:rsid w:val="510C1088"/>
    <w:rsid w:val="513D4232"/>
    <w:rsid w:val="515366FE"/>
    <w:rsid w:val="51C07CD4"/>
    <w:rsid w:val="51F42ED5"/>
    <w:rsid w:val="51FD197B"/>
    <w:rsid w:val="52765A6D"/>
    <w:rsid w:val="52863946"/>
    <w:rsid w:val="529C5544"/>
    <w:rsid w:val="534F0CCC"/>
    <w:rsid w:val="537A2BE1"/>
    <w:rsid w:val="53B75389"/>
    <w:rsid w:val="53BF0C8D"/>
    <w:rsid w:val="53DA62D7"/>
    <w:rsid w:val="540D6C46"/>
    <w:rsid w:val="54AE2C1A"/>
    <w:rsid w:val="54AE5975"/>
    <w:rsid w:val="54E130DC"/>
    <w:rsid w:val="550538C5"/>
    <w:rsid w:val="55B16FC8"/>
    <w:rsid w:val="562A304B"/>
    <w:rsid w:val="566968D1"/>
    <w:rsid w:val="573213EB"/>
    <w:rsid w:val="57A03682"/>
    <w:rsid w:val="585D7C88"/>
    <w:rsid w:val="586907FD"/>
    <w:rsid w:val="586B0EDF"/>
    <w:rsid w:val="58B20AD8"/>
    <w:rsid w:val="58BA5E52"/>
    <w:rsid w:val="58F45463"/>
    <w:rsid w:val="59353733"/>
    <w:rsid w:val="597815CE"/>
    <w:rsid w:val="59FE145B"/>
    <w:rsid w:val="5A3D58F4"/>
    <w:rsid w:val="5AB703ED"/>
    <w:rsid w:val="5AD20696"/>
    <w:rsid w:val="5B274C44"/>
    <w:rsid w:val="5B337F43"/>
    <w:rsid w:val="5BEB5D73"/>
    <w:rsid w:val="5C2B5668"/>
    <w:rsid w:val="5C410652"/>
    <w:rsid w:val="5C630FE3"/>
    <w:rsid w:val="5C7D3C51"/>
    <w:rsid w:val="5C9A2225"/>
    <w:rsid w:val="5CB541AB"/>
    <w:rsid w:val="5CB67519"/>
    <w:rsid w:val="5CFA7EE5"/>
    <w:rsid w:val="5D2E4C08"/>
    <w:rsid w:val="5D7211FE"/>
    <w:rsid w:val="5D811EFE"/>
    <w:rsid w:val="5DF67653"/>
    <w:rsid w:val="5E0472ED"/>
    <w:rsid w:val="5E4449FF"/>
    <w:rsid w:val="5E6E10AE"/>
    <w:rsid w:val="5ECF16C9"/>
    <w:rsid w:val="5F00279E"/>
    <w:rsid w:val="5F3E446D"/>
    <w:rsid w:val="5F597B6D"/>
    <w:rsid w:val="5F6E3FCC"/>
    <w:rsid w:val="5FBE4FAB"/>
    <w:rsid w:val="5FC845C6"/>
    <w:rsid w:val="600022F7"/>
    <w:rsid w:val="60010FE0"/>
    <w:rsid w:val="61192E86"/>
    <w:rsid w:val="617E63D7"/>
    <w:rsid w:val="61D442D7"/>
    <w:rsid w:val="62204021"/>
    <w:rsid w:val="62323CF7"/>
    <w:rsid w:val="62331021"/>
    <w:rsid w:val="62572286"/>
    <w:rsid w:val="626F702E"/>
    <w:rsid w:val="62781E60"/>
    <w:rsid w:val="6282332F"/>
    <w:rsid w:val="628B064F"/>
    <w:rsid w:val="629751AA"/>
    <w:rsid w:val="62995128"/>
    <w:rsid w:val="63984EC4"/>
    <w:rsid w:val="645D611E"/>
    <w:rsid w:val="646A28EF"/>
    <w:rsid w:val="6473623A"/>
    <w:rsid w:val="64A011F8"/>
    <w:rsid w:val="64ED6660"/>
    <w:rsid w:val="65231DFB"/>
    <w:rsid w:val="653906FB"/>
    <w:rsid w:val="65946AEF"/>
    <w:rsid w:val="65972882"/>
    <w:rsid w:val="659C12C6"/>
    <w:rsid w:val="665D0F34"/>
    <w:rsid w:val="66A20F23"/>
    <w:rsid w:val="67262240"/>
    <w:rsid w:val="675765B7"/>
    <w:rsid w:val="676341DA"/>
    <w:rsid w:val="67B668C6"/>
    <w:rsid w:val="68B12774"/>
    <w:rsid w:val="68B84D0C"/>
    <w:rsid w:val="68F26027"/>
    <w:rsid w:val="694D5BA9"/>
    <w:rsid w:val="69584064"/>
    <w:rsid w:val="69726FBE"/>
    <w:rsid w:val="69761558"/>
    <w:rsid w:val="69764BB0"/>
    <w:rsid w:val="69A36DD1"/>
    <w:rsid w:val="69E70521"/>
    <w:rsid w:val="6A4F759D"/>
    <w:rsid w:val="6A58772B"/>
    <w:rsid w:val="6A7D6B56"/>
    <w:rsid w:val="6A8252EA"/>
    <w:rsid w:val="6A886511"/>
    <w:rsid w:val="6AA528B8"/>
    <w:rsid w:val="6AF607D8"/>
    <w:rsid w:val="6B6D5573"/>
    <w:rsid w:val="6BC56CCE"/>
    <w:rsid w:val="6C4432BF"/>
    <w:rsid w:val="6CE122CB"/>
    <w:rsid w:val="6D2F06C1"/>
    <w:rsid w:val="6DDA46A6"/>
    <w:rsid w:val="6DE430FC"/>
    <w:rsid w:val="6E432C90"/>
    <w:rsid w:val="6F1E1FBB"/>
    <w:rsid w:val="6F3807A9"/>
    <w:rsid w:val="6FF70E8E"/>
    <w:rsid w:val="7036068A"/>
    <w:rsid w:val="703A7C0B"/>
    <w:rsid w:val="7056327A"/>
    <w:rsid w:val="70AC7D9B"/>
    <w:rsid w:val="70F93711"/>
    <w:rsid w:val="71242269"/>
    <w:rsid w:val="71491DCD"/>
    <w:rsid w:val="71530105"/>
    <w:rsid w:val="715F62DC"/>
    <w:rsid w:val="7171224B"/>
    <w:rsid w:val="71875A53"/>
    <w:rsid w:val="72873E57"/>
    <w:rsid w:val="728F3BD2"/>
    <w:rsid w:val="729C7370"/>
    <w:rsid w:val="72CC4D2F"/>
    <w:rsid w:val="72DD7718"/>
    <w:rsid w:val="73020EAD"/>
    <w:rsid w:val="7348153E"/>
    <w:rsid w:val="73625810"/>
    <w:rsid w:val="737818BB"/>
    <w:rsid w:val="738557A7"/>
    <w:rsid w:val="73A95B25"/>
    <w:rsid w:val="73AC1BDD"/>
    <w:rsid w:val="73CA436B"/>
    <w:rsid w:val="73D05A91"/>
    <w:rsid w:val="73DA52B6"/>
    <w:rsid w:val="73F83155"/>
    <w:rsid w:val="73FD66FC"/>
    <w:rsid w:val="74E16A07"/>
    <w:rsid w:val="74EF5F37"/>
    <w:rsid w:val="7519332F"/>
    <w:rsid w:val="753222E2"/>
    <w:rsid w:val="753B3E81"/>
    <w:rsid w:val="7578159C"/>
    <w:rsid w:val="75BB2E1C"/>
    <w:rsid w:val="75EC39E1"/>
    <w:rsid w:val="76A83DEA"/>
    <w:rsid w:val="76C41D5E"/>
    <w:rsid w:val="76CC7961"/>
    <w:rsid w:val="76D731CD"/>
    <w:rsid w:val="771F706E"/>
    <w:rsid w:val="777A5DA1"/>
    <w:rsid w:val="77DB420F"/>
    <w:rsid w:val="77EF3A45"/>
    <w:rsid w:val="7814412C"/>
    <w:rsid w:val="781D4313"/>
    <w:rsid w:val="78991EDF"/>
    <w:rsid w:val="78D74466"/>
    <w:rsid w:val="792554A4"/>
    <w:rsid w:val="792C62C5"/>
    <w:rsid w:val="79604385"/>
    <w:rsid w:val="79624B8D"/>
    <w:rsid w:val="79652A3C"/>
    <w:rsid w:val="79734F90"/>
    <w:rsid w:val="798B42F5"/>
    <w:rsid w:val="79D45D0F"/>
    <w:rsid w:val="79F426BB"/>
    <w:rsid w:val="7A335B47"/>
    <w:rsid w:val="7AB44727"/>
    <w:rsid w:val="7B213802"/>
    <w:rsid w:val="7B324D3D"/>
    <w:rsid w:val="7BD96422"/>
    <w:rsid w:val="7BF77647"/>
    <w:rsid w:val="7C172DF2"/>
    <w:rsid w:val="7CFD3963"/>
    <w:rsid w:val="7D167C7E"/>
    <w:rsid w:val="7D6F6EE4"/>
    <w:rsid w:val="7DDE244A"/>
    <w:rsid w:val="7DF87D18"/>
    <w:rsid w:val="7E282859"/>
    <w:rsid w:val="7E3238BC"/>
    <w:rsid w:val="7E6A1378"/>
    <w:rsid w:val="7F1E7926"/>
    <w:rsid w:val="7F514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9">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00"/>
      <w:u w:val="none"/>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8">
    <w:name w:val="标题 1 Char"/>
    <w:basedOn w:val="21"/>
    <w:link w:val="2"/>
    <w:qFormat/>
    <w:uiPriority w:val="0"/>
    <w:rPr>
      <w:rFonts w:ascii="Calibri" w:hAnsi="Calibri" w:eastAsia="宋体" w:cs="Times New Roman"/>
      <w:b/>
      <w:bCs/>
      <w:kern w:val="44"/>
      <w:sz w:val="44"/>
      <w:szCs w:val="44"/>
    </w:rPr>
  </w:style>
  <w:style w:type="character" w:customStyle="1" w:styleId="29">
    <w:name w:val="标题 2 Char"/>
    <w:basedOn w:val="21"/>
    <w:link w:val="3"/>
    <w:qFormat/>
    <w:uiPriority w:val="0"/>
    <w:rPr>
      <w:rFonts w:ascii="Arial" w:hAnsi="Arial" w:eastAsia="黑体" w:cs="Times New Roman"/>
      <w:b/>
      <w:bCs/>
      <w:kern w:val="0"/>
      <w:sz w:val="32"/>
      <w:szCs w:val="32"/>
    </w:rPr>
  </w:style>
  <w:style w:type="character" w:customStyle="1" w:styleId="30">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1"/>
    <w:link w:val="5"/>
    <w:qFormat/>
    <w:uiPriority w:val="0"/>
    <w:rPr>
      <w:rFonts w:ascii="Arial" w:hAnsi="Arial" w:eastAsia="黑体" w:cs="Times New Roman"/>
      <w:b/>
      <w:bCs/>
      <w:kern w:val="0"/>
      <w:sz w:val="28"/>
      <w:szCs w:val="28"/>
    </w:rPr>
  </w:style>
  <w:style w:type="character" w:customStyle="1" w:styleId="32">
    <w:name w:val="纯文本 Char"/>
    <w:basedOn w:val="21"/>
    <w:link w:val="13"/>
    <w:qFormat/>
    <w:uiPriority w:val="0"/>
    <w:rPr>
      <w:rFonts w:eastAsia="宋体"/>
      <w:sz w:val="24"/>
    </w:rPr>
  </w:style>
  <w:style w:type="character" w:customStyle="1" w:styleId="33">
    <w:name w:val="日期 Char"/>
    <w:basedOn w:val="21"/>
    <w:link w:val="14"/>
    <w:qFormat/>
    <w:uiPriority w:val="99"/>
  </w:style>
  <w:style w:type="character" w:customStyle="1" w:styleId="34">
    <w:name w:val="页脚 Char"/>
    <w:basedOn w:val="21"/>
    <w:link w:val="15"/>
    <w:qFormat/>
    <w:uiPriority w:val="99"/>
    <w:rPr>
      <w:sz w:val="18"/>
      <w:szCs w:val="18"/>
    </w:rPr>
  </w:style>
  <w:style w:type="character" w:customStyle="1" w:styleId="35">
    <w:name w:val="页眉 Char"/>
    <w:basedOn w:val="21"/>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列出段落1"/>
    <w:basedOn w:val="1"/>
    <w:qFormat/>
    <w:uiPriority w:val="34"/>
    <w:pPr>
      <w:ind w:firstLine="420" w:firstLineChars="200"/>
    </w:pPr>
  </w:style>
  <w:style w:type="paragraph" w:customStyle="1" w:styleId="38">
    <w:name w:val="列出段落2"/>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1"/>
    <w:link w:val="10"/>
    <w:qFormat/>
    <w:uiPriority w:val="0"/>
    <w:rPr>
      <w:rFonts w:ascii="Times New Roman" w:hAnsi="Times New Roman" w:eastAsia="宋体" w:cs="Times New Roman"/>
      <w:color w:val="FF0000"/>
      <w:sz w:val="24"/>
      <w:szCs w:val="24"/>
    </w:rPr>
  </w:style>
  <w:style w:type="character" w:customStyle="1" w:styleId="47">
    <w:name w:val="edittexttarea"/>
    <w:basedOn w:val="21"/>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1"/>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1"/>
    <w:link w:val="19"/>
    <w:semiHidden/>
    <w:qFormat/>
    <w:uiPriority w:val="99"/>
    <w:rPr>
      <w:rFonts w:ascii="宋体" w:hAnsi="宋体" w:eastAsia="宋体" w:cs="宋体"/>
      <w:kern w:val="0"/>
      <w:sz w:val="24"/>
      <w:szCs w:val="24"/>
    </w:rPr>
  </w:style>
  <w:style w:type="character" w:customStyle="1" w:styleId="53">
    <w:name w:val="blue"/>
    <w:basedOn w:val="21"/>
    <w:qFormat/>
    <w:uiPriority w:val="0"/>
    <w:rPr>
      <w:color w:val="0371C6"/>
      <w:sz w:val="21"/>
      <w:szCs w:val="21"/>
    </w:rPr>
  </w:style>
  <w:style w:type="character" w:customStyle="1" w:styleId="54">
    <w:name w:val="right"/>
    <w:basedOn w:val="21"/>
    <w:qFormat/>
    <w:uiPriority w:val="0"/>
    <w:rPr>
      <w:color w:val="999999"/>
      <w:sz w:val="18"/>
      <w:szCs w:val="18"/>
    </w:rPr>
  </w:style>
  <w:style w:type="character" w:customStyle="1" w:styleId="55">
    <w:name w:val="red"/>
    <w:basedOn w:val="21"/>
    <w:qFormat/>
    <w:uiPriority w:val="0"/>
    <w:rPr>
      <w:color w:val="FF0000"/>
      <w:sz w:val="18"/>
      <w:szCs w:val="18"/>
    </w:rPr>
  </w:style>
  <w:style w:type="character" w:customStyle="1" w:styleId="56">
    <w:name w:val="red1"/>
    <w:basedOn w:val="21"/>
    <w:qFormat/>
    <w:uiPriority w:val="0"/>
    <w:rPr>
      <w:color w:val="FF0000"/>
      <w:sz w:val="18"/>
      <w:szCs w:val="18"/>
    </w:rPr>
  </w:style>
  <w:style w:type="character" w:customStyle="1" w:styleId="57">
    <w:name w:val="red2"/>
    <w:basedOn w:val="21"/>
    <w:qFormat/>
    <w:uiPriority w:val="0"/>
    <w:rPr>
      <w:color w:val="FF0000"/>
    </w:rPr>
  </w:style>
  <w:style w:type="character" w:customStyle="1" w:styleId="58">
    <w:name w:val="green"/>
    <w:basedOn w:val="21"/>
    <w:qFormat/>
    <w:uiPriority w:val="0"/>
    <w:rPr>
      <w:color w:val="66AE00"/>
      <w:sz w:val="18"/>
      <w:szCs w:val="18"/>
    </w:rPr>
  </w:style>
  <w:style w:type="character" w:customStyle="1" w:styleId="59">
    <w:name w:val="green1"/>
    <w:basedOn w:val="21"/>
    <w:qFormat/>
    <w:uiPriority w:val="0"/>
    <w:rPr>
      <w:color w:val="66AE00"/>
      <w:sz w:val="18"/>
      <w:szCs w:val="18"/>
    </w:rPr>
  </w:style>
  <w:style w:type="character" w:customStyle="1" w:styleId="60">
    <w:name w:val="hover25"/>
    <w:basedOn w:val="21"/>
    <w:qFormat/>
    <w:uiPriority w:val="0"/>
  </w:style>
  <w:style w:type="character" w:customStyle="1" w:styleId="61">
    <w:name w:val="gb-jt"/>
    <w:basedOn w:val="21"/>
    <w:qFormat/>
    <w:uiPriority w:val="0"/>
  </w:style>
  <w:style w:type="character" w:customStyle="1" w:styleId="62">
    <w:name w:val="hover"/>
    <w:basedOn w:val="21"/>
    <w:qFormat/>
    <w:uiPriority w:val="0"/>
  </w:style>
  <w:style w:type="paragraph" w:customStyle="1" w:styleId="63">
    <w:name w:val="Table Paragraph"/>
    <w:basedOn w:val="1"/>
    <w:qFormat/>
    <w:uiPriority w:val="1"/>
    <w:pPr>
      <w:jc w:val="left"/>
    </w:pPr>
    <w:rPr>
      <w:rFonts w:ascii="宋体" w:hAnsi="宋体" w:cs="宋体"/>
      <w:kern w:val="0"/>
      <w:sz w:val="22"/>
      <w:lang w:eastAsia="en-US"/>
    </w:rPr>
  </w:style>
  <w:style w:type="paragraph" w:customStyle="1" w:styleId="6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2165C-1351-425B-8BFE-7AA0E558323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5808</Words>
  <Characters>33109</Characters>
  <Lines>275</Lines>
  <Paragraphs>77</Paragraphs>
  <ScaleCrop>false</ScaleCrop>
  <LinksUpToDate>false</LinksUpToDate>
  <CharactersWithSpaces>38840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2018-06-29T06:42:00Z</dcterms:created>
  <dc:creator>许昌市公共资源交易中心:孟莉</dc:creator>
  <cp:lastModifiedBy>Administrator</cp:lastModifiedBy>
  <cp:lastPrinted>2018-09-25T03:46:00Z</cp:lastPrinted>
  <dcterms:modified xsi:type="dcterms:W3CDTF">2018-09-25T08:29:08Z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