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cs="宋体"/>
          <w:b/>
          <w:bCs/>
          <w:color w:val="000000" w:themeColor="text1"/>
          <w:sz w:val="44"/>
          <w:szCs w:val="44"/>
        </w:rPr>
      </w:pPr>
    </w:p>
    <w:p>
      <w:pPr>
        <w:jc w:val="center"/>
        <w:rPr>
          <w:rFonts w:hint="eastAsia" w:ascii="黑体" w:hAnsi="黑体" w:eastAsia="黑体"/>
          <w:color w:val="auto"/>
          <w:sz w:val="44"/>
          <w:szCs w:val="44"/>
          <w:lang w:eastAsia="zh-CN"/>
        </w:rPr>
      </w:pPr>
      <w:r>
        <w:rPr>
          <w:rFonts w:hint="eastAsia" w:ascii="宋体" w:hAnsi="宋体" w:cs="宋体"/>
          <w:b/>
          <w:bCs/>
          <w:color w:val="000000" w:themeColor="text1"/>
          <w:sz w:val="44"/>
          <w:szCs w:val="44"/>
          <w:lang w:eastAsia="zh-CN"/>
        </w:rPr>
        <w:t>许昌市东城区规划建设局</w:t>
      </w:r>
      <w:r>
        <w:rPr>
          <w:rFonts w:hint="eastAsia" w:ascii="宋体" w:hAnsi="宋体" w:cs="宋体"/>
          <w:b/>
          <w:bCs/>
          <w:color w:val="000000" w:themeColor="text1"/>
          <w:sz w:val="44"/>
          <w:szCs w:val="44"/>
        </w:rPr>
        <w:t>“</w:t>
      </w:r>
      <w:r>
        <w:rPr>
          <w:rFonts w:hint="eastAsia" w:ascii="黑体" w:hAnsi="黑体" w:eastAsia="黑体"/>
          <w:color w:val="auto"/>
          <w:sz w:val="44"/>
          <w:szCs w:val="44"/>
          <w:lang w:eastAsia="zh-CN"/>
        </w:rPr>
        <w:t>许东生态城碳汇长廊控制性详细规划、修建性详细规划</w:t>
      </w:r>
    </w:p>
    <w:p>
      <w:pPr>
        <w:jc w:val="center"/>
        <w:rPr>
          <w:rFonts w:ascii="宋体" w:cs="宋体"/>
          <w:b/>
          <w:bCs/>
          <w:color w:val="000000" w:themeColor="text1"/>
          <w:sz w:val="44"/>
          <w:szCs w:val="44"/>
        </w:rPr>
      </w:pPr>
      <w:r>
        <w:rPr>
          <w:rFonts w:hint="eastAsia" w:ascii="黑体" w:hAnsi="黑体" w:eastAsia="黑体"/>
          <w:color w:val="auto"/>
          <w:sz w:val="44"/>
          <w:szCs w:val="44"/>
          <w:lang w:eastAsia="zh-CN"/>
        </w:rPr>
        <w:t>及景观设计</w:t>
      </w:r>
      <w:r>
        <w:rPr>
          <w:rFonts w:hint="eastAsia" w:ascii="宋体" w:hAnsi="宋体" w:cs="宋体"/>
          <w:b/>
          <w:bCs/>
          <w:color w:val="000000" w:themeColor="text1"/>
          <w:sz w:val="44"/>
          <w:szCs w:val="44"/>
        </w:rPr>
        <w:t>”</w:t>
      </w:r>
    </w:p>
    <w:p>
      <w:pPr>
        <w:rPr>
          <w:rFonts w:ascii="微软简隶书" w:eastAsia="微软简隶书"/>
          <w:color w:val="000000" w:themeColor="text1"/>
          <w:u w:val="single"/>
        </w:rPr>
      </w:pPr>
    </w:p>
    <w:p>
      <w:pPr>
        <w:pStyle w:val="2"/>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jc w:val="center"/>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spacing w:line="360" w:lineRule="auto"/>
        <w:rPr>
          <w:rFonts w:hint="eastAsia" w:ascii="宋体" w:eastAsia="宋体" w:cs="宋体"/>
          <w:b/>
          <w:bCs/>
          <w:color w:val="000000" w:themeColor="text1"/>
          <w:sz w:val="36"/>
          <w:szCs w:val="36"/>
          <w:lang w:eastAsia="zh-CN"/>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项目编号：</w:t>
      </w:r>
      <w:r>
        <w:rPr>
          <w:rFonts w:hint="eastAsia" w:ascii="宋体" w:hAnsi="宋体" w:cs="宋体"/>
          <w:b/>
          <w:bCs/>
          <w:color w:val="000000" w:themeColor="text1"/>
          <w:sz w:val="36"/>
          <w:szCs w:val="36"/>
          <w:lang w:eastAsia="zh-CN"/>
        </w:rPr>
        <w:t>JZFCG-G20180</w:t>
      </w:r>
      <w:r>
        <w:rPr>
          <w:rFonts w:hint="eastAsia" w:ascii="宋体" w:hAnsi="宋体" w:cs="宋体"/>
          <w:b/>
          <w:bCs/>
          <w:color w:val="000000" w:themeColor="text1"/>
          <w:sz w:val="36"/>
          <w:szCs w:val="36"/>
          <w:lang w:val="en-US" w:eastAsia="zh-CN"/>
        </w:rPr>
        <w:t>84</w:t>
      </w:r>
      <w:r>
        <w:rPr>
          <w:rFonts w:hint="eastAsia" w:ascii="宋体" w:hAnsi="宋体" w:cs="宋体"/>
          <w:b/>
          <w:bCs/>
          <w:color w:val="000000" w:themeColor="text1"/>
          <w:sz w:val="36"/>
          <w:szCs w:val="36"/>
          <w:lang w:eastAsia="zh-CN"/>
        </w:rPr>
        <w:t>号</w:t>
      </w:r>
    </w:p>
    <w:p>
      <w:pPr>
        <w:spacing w:line="360" w:lineRule="auto"/>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许昌市东城区规划建设局</w:t>
      </w:r>
    </w:p>
    <w:p>
      <w:pPr>
        <w:spacing w:line="360" w:lineRule="auto"/>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河南招标采购服务有限公司</w:t>
      </w:r>
    </w:p>
    <w:p>
      <w:pPr>
        <w:spacing w:line="360" w:lineRule="auto"/>
        <w:jc w:val="center"/>
        <w:rPr>
          <w:rFonts w:ascii="宋体" w:cs="宋体"/>
          <w:b/>
          <w:bCs/>
          <w:color w:val="000000" w:themeColor="text1"/>
          <w:sz w:val="36"/>
          <w:szCs w:val="36"/>
        </w:rPr>
      </w:pPr>
      <w:r>
        <w:rPr>
          <w:rFonts w:hint="eastAsia" w:ascii="宋体" w:hAnsi="宋体" w:cs="宋体"/>
          <w:b/>
          <w:bCs/>
          <w:color w:val="000000" w:themeColor="text1"/>
          <w:sz w:val="36"/>
          <w:szCs w:val="36"/>
        </w:rPr>
        <w:t>二〇一八年</w:t>
      </w:r>
      <w:r>
        <w:rPr>
          <w:rFonts w:hint="eastAsia" w:ascii="宋体" w:hAnsi="宋体" w:cs="宋体"/>
          <w:b/>
          <w:bCs/>
          <w:color w:val="000000" w:themeColor="text1"/>
          <w:sz w:val="36"/>
          <w:szCs w:val="36"/>
          <w:lang w:val="en-US" w:eastAsia="zh-CN"/>
        </w:rPr>
        <w:t>九</w:t>
      </w:r>
      <w:r>
        <w:rPr>
          <w:rFonts w:hint="eastAsia" w:ascii="宋体" w:hAnsi="宋体" w:cs="宋体"/>
          <w:b/>
          <w:bCs/>
          <w:color w:val="000000" w:themeColor="text1"/>
          <w:sz w:val="36"/>
          <w:szCs w:val="36"/>
        </w:rPr>
        <w:t>月</w:t>
      </w:r>
    </w:p>
    <w:p>
      <w:pPr>
        <w:autoSpaceDE w:val="0"/>
        <w:autoSpaceDN w:val="0"/>
        <w:adjustRightInd w:val="0"/>
        <w:spacing w:line="360" w:lineRule="auto"/>
        <w:ind w:firstLine="551"/>
        <w:jc w:val="center"/>
        <w:rPr>
          <w:rFonts w:hint="eastAsia" w:ascii="宋体" w:hAnsi="宋体" w:cs="宋体"/>
          <w:b/>
          <w:color w:val="000000" w:themeColor="text1"/>
          <w:kern w:val="0"/>
          <w:sz w:val="32"/>
          <w:szCs w:val="32"/>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仿宋_GB2312" w:hAnsi="仿宋_GB2312" w:eastAsia="仿宋_GB2312" w:cs="仿宋_GB2312"/>
          <w:color w:val="000000" w:themeColor="text1"/>
          <w:sz w:val="32"/>
          <w:szCs w:val="32"/>
          <w:shd w:val="clear" w:color="auto" w:fill="FFFFFF"/>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2"/>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（一）项目名称：许昌市东城区规划建设局“</w:t>
      </w:r>
      <w:r>
        <w:rPr>
          <w:rFonts w:hint="eastAsia" w:ascii="宋体" w:hAnsi="宋体" w:cs="仿宋_GB2312"/>
          <w:color w:val="000000" w:themeColor="text1"/>
          <w:sz w:val="21"/>
          <w:szCs w:val="21"/>
          <w:shd w:val="clear" w:color="auto" w:fill="FFFFFF"/>
          <w:lang w:val="zh-CN" w:eastAsia="zh-CN"/>
        </w:rPr>
        <w:t>许东生态城碳汇长廊控制性详细规划、修建性详细规划及景观设计</w:t>
      </w:r>
      <w:r>
        <w:rPr>
          <w:rFonts w:hint="eastAsia" w:ascii="宋体" w:hAnsi="宋体" w:cs="仿宋_GB2312"/>
          <w:color w:val="000000" w:themeColor="text1"/>
          <w:sz w:val="21"/>
          <w:szCs w:val="21"/>
          <w:shd w:val="clear" w:color="auto" w:fill="FFFFFF"/>
          <w:lang w:val="zh-CN"/>
        </w:rPr>
        <w:t xml:space="preserve"> ”项目</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 xml:space="preserve">（二）采购方式：公开招标 </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（三）项目主要内容、数量及要求：此次规划范围为《许东新城城市设计》中碳汇长廊的范围（不包括职教中心中部区域忠武路---松苑路段），总规划面积  223.83公顷； 景观设计范围为规划范围内扣除公共服务设施占地（如学校、社区图书馆等需要单独进行建筑设计的区域）后的区域，总面积为 169.40公顷。</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（四）预算金额：</w:t>
      </w:r>
      <w:r>
        <w:rPr>
          <w:rFonts w:hint="eastAsia" w:ascii="宋体" w:hAnsi="宋体" w:cs="仿宋_GB2312"/>
          <w:color w:val="000000" w:themeColor="text1"/>
          <w:sz w:val="21"/>
          <w:szCs w:val="21"/>
          <w:shd w:val="clear" w:color="auto" w:fill="FFFFFF"/>
        </w:rPr>
        <w:t>1418万元；</w:t>
      </w:r>
      <w:r>
        <w:rPr>
          <w:rFonts w:hint="eastAsia" w:ascii="宋体" w:hAnsi="宋体" w:cs="仿宋_GB2312"/>
          <w:color w:val="000000" w:themeColor="text1"/>
          <w:sz w:val="21"/>
          <w:szCs w:val="21"/>
          <w:shd w:val="clear" w:color="auto" w:fill="FFFFFF"/>
          <w:lang w:val="zh-CN"/>
        </w:rPr>
        <w:t>最高限价：</w:t>
      </w:r>
      <w:r>
        <w:rPr>
          <w:rFonts w:hint="eastAsia" w:ascii="宋体" w:hAnsi="宋体" w:cs="仿宋_GB2312"/>
          <w:color w:val="000000" w:themeColor="text1"/>
          <w:sz w:val="21"/>
          <w:szCs w:val="21"/>
          <w:shd w:val="clear" w:color="auto" w:fill="FFFFFF"/>
        </w:rPr>
        <w:t>1418万元</w:t>
      </w:r>
      <w:r>
        <w:rPr>
          <w:rFonts w:hint="eastAsia" w:ascii="宋体" w:hAnsi="宋体" w:cs="仿宋_GB2312"/>
          <w:color w:val="000000" w:themeColor="text1"/>
          <w:sz w:val="21"/>
          <w:szCs w:val="21"/>
          <w:shd w:val="clear" w:color="auto" w:fill="FFFFFF"/>
          <w:lang w:val="zh-CN"/>
        </w:rPr>
        <w:t>；</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（五）服务时间：签订合同后</w:t>
      </w:r>
      <w:r>
        <w:rPr>
          <w:rFonts w:hint="eastAsia" w:ascii="宋体" w:hAnsi="宋体" w:cs="仿宋_GB2312"/>
          <w:color w:val="000000" w:themeColor="text1"/>
          <w:sz w:val="21"/>
          <w:szCs w:val="21"/>
          <w:shd w:val="clear" w:color="auto" w:fill="FFFFFF"/>
          <w:lang w:val="en-US" w:eastAsia="zh-CN"/>
        </w:rPr>
        <w:t>100</w:t>
      </w:r>
      <w:r>
        <w:rPr>
          <w:rFonts w:hint="eastAsia" w:ascii="宋体" w:hAnsi="宋体" w:cs="仿宋_GB2312"/>
          <w:color w:val="000000" w:themeColor="text1"/>
          <w:sz w:val="21"/>
          <w:szCs w:val="21"/>
          <w:shd w:val="clear" w:color="auto" w:fill="FFFFFF"/>
          <w:lang w:val="zh-CN"/>
        </w:rPr>
        <w:t>日历天；</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（六）服务地点：许昌市东城区规划建设局（</w:t>
      </w:r>
      <w:r>
        <w:rPr>
          <w:rFonts w:hint="eastAsia" w:ascii="宋体" w:hAnsi="宋体" w:cs="仿宋_GB2312"/>
          <w:color w:val="000000" w:themeColor="text1"/>
          <w:sz w:val="21"/>
          <w:szCs w:val="21"/>
          <w:shd w:val="clear" w:color="auto" w:fill="FFFFFF"/>
        </w:rPr>
        <w:t>许昌市学院路与新兴路交叉口</w:t>
      </w:r>
      <w:r>
        <w:rPr>
          <w:rFonts w:hint="eastAsia" w:ascii="宋体" w:hAnsi="宋体" w:cs="仿宋_GB2312"/>
          <w:color w:val="000000" w:themeColor="text1"/>
          <w:sz w:val="21"/>
          <w:szCs w:val="21"/>
          <w:shd w:val="clear" w:color="auto" w:fill="FFFFFF"/>
          <w:lang w:val="zh-CN"/>
        </w:rPr>
        <w:t>）；</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lang w:val="zh-CN"/>
        </w:rPr>
      </w:pPr>
      <w:r>
        <w:rPr>
          <w:rFonts w:hint="eastAsia" w:ascii="宋体" w:hAnsi="宋体" w:cs="仿宋_GB2312"/>
          <w:color w:val="000000" w:themeColor="text1"/>
          <w:sz w:val="21"/>
          <w:szCs w:val="21"/>
          <w:shd w:val="clear" w:color="auto" w:fill="FFFFFF"/>
          <w:lang w:val="zh-CN"/>
        </w:rPr>
        <w:t>（七）分包：不允许。</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lang w:val="zh-CN"/>
        </w:rPr>
      </w:pPr>
      <w:r>
        <w:rPr>
          <w:rFonts w:hint="eastAsia" w:ascii="宋体" w:cs="仿宋_GB2312"/>
          <w:color w:val="000000" w:themeColor="text1"/>
          <w:sz w:val="21"/>
          <w:szCs w:val="21"/>
          <w:shd w:val="clear" w:color="auto" w:fill="FFFFFF"/>
          <w:lang w:val="zh-CN"/>
        </w:rPr>
        <w:t>（一）符合《中华人民共和国政府采购法》第二十二条之规定；</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lang w:val="zh-CN"/>
        </w:rPr>
      </w:pPr>
      <w:r>
        <w:rPr>
          <w:rFonts w:hint="eastAsia" w:ascii="宋体" w:cs="仿宋_GB2312"/>
          <w:color w:val="000000" w:themeColor="text1"/>
          <w:sz w:val="21"/>
          <w:szCs w:val="21"/>
          <w:shd w:val="clear" w:color="auto" w:fill="FFFFFF"/>
          <w:lang w:val="zh-CN"/>
        </w:rPr>
        <w:t>（二）投标人须具备城乡规划编制</w:t>
      </w:r>
      <w:r>
        <w:rPr>
          <w:rFonts w:hint="eastAsia" w:ascii="宋体" w:cs="仿宋_GB2312"/>
          <w:color w:val="000000" w:themeColor="text1"/>
          <w:sz w:val="21"/>
          <w:szCs w:val="21"/>
          <w:shd w:val="clear" w:color="auto" w:fill="FFFFFF"/>
        </w:rPr>
        <w:t>乙</w:t>
      </w:r>
      <w:r>
        <w:rPr>
          <w:rFonts w:hint="eastAsia" w:ascii="宋体" w:cs="仿宋_GB2312"/>
          <w:color w:val="000000" w:themeColor="text1"/>
          <w:sz w:val="21"/>
          <w:szCs w:val="21"/>
          <w:shd w:val="clear" w:color="auto" w:fill="FFFFFF"/>
          <w:lang w:val="zh-CN"/>
        </w:rPr>
        <w:t>级及以上资质；</w:t>
      </w:r>
      <w:r>
        <w:rPr>
          <w:rFonts w:hint="eastAsia" w:ascii="宋体" w:cs="仿宋_GB2312"/>
          <w:color w:val="000000" w:themeColor="text1"/>
          <w:sz w:val="21"/>
          <w:szCs w:val="21"/>
          <w:shd w:val="clear" w:color="auto" w:fill="FFFFFF"/>
        </w:rPr>
        <w:t>具备风景园林工程设计甲级及以上专项资质</w:t>
      </w:r>
      <w:r>
        <w:rPr>
          <w:rFonts w:hint="eastAsia" w:ascii="宋体" w:cs="仿宋_GB2312"/>
          <w:color w:val="000000" w:themeColor="text1"/>
          <w:sz w:val="21"/>
          <w:szCs w:val="21"/>
          <w:shd w:val="clear" w:color="auto" w:fill="FFFFFF"/>
          <w:lang w:val="zh-CN"/>
        </w:rPr>
        <w:t>；</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lang w:val="zh-CN"/>
        </w:rPr>
      </w:pPr>
      <w:r>
        <w:rPr>
          <w:rFonts w:hint="eastAsia" w:ascii="宋体" w:cs="仿宋_GB2312"/>
          <w:color w:val="000000" w:themeColor="text1"/>
          <w:sz w:val="21"/>
          <w:szCs w:val="21"/>
          <w:shd w:val="clear" w:color="auto" w:fill="FFFFFF"/>
          <w:lang w:val="zh-CN"/>
        </w:rPr>
        <w:t xml:space="preserve"> (三)未被列入“信用中国”网站(www.creditchina.gov.cn)信用记录失信被执行人、重大税收违法案件当事人名单、政府采购严重违法失信名单的投标人；中国政府采购网(www.ccgp.gov.cn)政府采购严重违法失信行为记录名单的投标人。</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lang w:val="zh-CN"/>
        </w:rPr>
      </w:pPr>
      <w:r>
        <w:rPr>
          <w:rFonts w:hint="eastAsia" w:ascii="宋体" w:cs="仿宋_GB2312"/>
          <w:color w:val="000000" w:themeColor="text1"/>
          <w:sz w:val="21"/>
          <w:szCs w:val="21"/>
          <w:shd w:val="clear" w:color="auto" w:fill="FFFFFF"/>
          <w:lang w:val="zh-CN"/>
        </w:rPr>
        <w:t>（四）本次招标接受联合体投标。</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2018</w:t>
      </w:r>
      <w:r>
        <w:rPr>
          <w:rFonts w:hint="eastAsia" w:ascii="宋体" w:hAnsi="宋体" w:cs="仿宋_GB2312"/>
          <w:color w:val="000000" w:themeColor="text1"/>
          <w:sz w:val="21"/>
          <w:szCs w:val="21"/>
        </w:rPr>
        <w:t>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10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18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9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一</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2"/>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2"/>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rPr>
      </w:pPr>
      <w:r>
        <w:rPr>
          <w:rFonts w:hint="eastAsia" w:ascii="宋体" w:hAnsi="宋体" w:cs="仿宋_GB2312"/>
          <w:color w:val="000000" w:themeColor="text1"/>
          <w:sz w:val="21"/>
          <w:szCs w:val="21"/>
        </w:rPr>
        <w:t>采 购 人：许昌市东城区规划建设局 </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rPr>
      </w:pPr>
      <w:r>
        <w:rPr>
          <w:rFonts w:hint="eastAsia" w:ascii="宋体" w:hAnsi="宋体" w:cs="仿宋_GB2312"/>
          <w:color w:val="000000" w:themeColor="text1"/>
          <w:sz w:val="21"/>
          <w:szCs w:val="21"/>
        </w:rPr>
        <w:t>地    址：许昌市学院路与新兴路交叉口</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rPr>
      </w:pPr>
      <w:r>
        <w:rPr>
          <w:rFonts w:hint="eastAsia" w:ascii="宋体" w:hAnsi="宋体" w:cs="仿宋_GB2312"/>
          <w:color w:val="000000" w:themeColor="text1"/>
          <w:sz w:val="21"/>
          <w:szCs w:val="21"/>
          <w:lang w:val="zh-CN"/>
        </w:rPr>
        <w:t>联系人：吴</w:t>
      </w:r>
      <w:r>
        <w:rPr>
          <w:rFonts w:hint="eastAsia" w:ascii="宋体" w:hAnsi="宋体" w:cs="仿宋_GB2312"/>
          <w:color w:val="000000" w:themeColor="text1"/>
          <w:sz w:val="21"/>
          <w:szCs w:val="21"/>
        </w:rPr>
        <w:t>女士</w:t>
      </w:r>
      <w:r>
        <w:rPr>
          <w:rFonts w:hint="eastAsia" w:ascii="宋体" w:hAnsi="宋体" w:cs="仿宋_GB2312"/>
          <w:color w:val="000000" w:themeColor="text1"/>
          <w:sz w:val="21"/>
          <w:szCs w:val="21"/>
          <w:lang w:val="zh-CN"/>
        </w:rPr>
        <w:t>    联系电话：</w:t>
      </w:r>
      <w:r>
        <w:rPr>
          <w:rFonts w:hint="eastAsia" w:ascii="宋体" w:hAnsi="宋体" w:cs="仿宋_GB2312"/>
          <w:color w:val="000000" w:themeColor="text1"/>
          <w:sz w:val="21"/>
          <w:szCs w:val="21"/>
        </w:rPr>
        <w:t>0374-2952270</w:t>
      </w:r>
      <w:r>
        <w:rPr>
          <w:rFonts w:hint="eastAsia" w:ascii="宋体" w:hAnsi="宋体" w:cs="仿宋_GB2312"/>
          <w:color w:val="000000" w:themeColor="text1"/>
          <w:sz w:val="21"/>
          <w:szCs w:val="21"/>
          <w:lang w:val="zh-CN"/>
        </w:rPr>
        <w:t> </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rPr>
      </w:pPr>
      <w:r>
        <w:rPr>
          <w:rFonts w:hint="eastAsia" w:ascii="宋体" w:hAnsi="宋体" w:cs="仿宋_GB2312"/>
          <w:color w:val="000000" w:themeColor="text1"/>
          <w:sz w:val="21"/>
          <w:szCs w:val="21"/>
        </w:rPr>
        <w:t>代理机构：河南招标采购服务有限公司</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rPr>
      </w:pPr>
      <w:r>
        <w:rPr>
          <w:rFonts w:hint="eastAsia" w:ascii="宋体" w:hAnsi="宋体" w:cs="仿宋_GB2312"/>
          <w:color w:val="000000" w:themeColor="text1"/>
          <w:sz w:val="21"/>
          <w:szCs w:val="21"/>
        </w:rPr>
        <w:t>地    址：许昌市城乡一体化芙蓉大道芙蓉商务</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 系 人：刘宝丰     联系电话：13937120256</w:t>
      </w:r>
    </w:p>
    <w:p>
      <w:pPr>
        <w:pStyle w:val="22"/>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ascii="宋体" w:hAnsi="宋体" w:cs="宋体"/>
          <w:color w:val="000000" w:themeColor="text1"/>
          <w:szCs w:val="21"/>
          <w:lang w:val="zh-CN"/>
        </w:rPr>
        <w:t xml:space="preserve">                              </w:t>
      </w:r>
      <w:r>
        <w:rPr>
          <w:rFonts w:hint="eastAsia" w:ascii="宋体" w:hAnsi="宋体" w:cs="宋体"/>
          <w:color w:val="000000" w:themeColor="text1"/>
          <w:szCs w:val="21"/>
          <w:lang w:val="en-US" w:eastAsia="zh-CN"/>
        </w:rPr>
        <w:t xml:space="preserve">   </w:t>
      </w:r>
      <w:r>
        <w:rPr>
          <w:rFonts w:hint="eastAsia" w:ascii="宋体" w:hAnsi="宋体" w:cs="仿宋_GB2312"/>
          <w:color w:val="000000" w:themeColor="text1"/>
          <w:sz w:val="21"/>
          <w:szCs w:val="21"/>
          <w:lang w:eastAsia="zh-CN"/>
        </w:rPr>
        <w:t>许昌市东城区规划建设局</w:t>
      </w:r>
    </w:p>
    <w:p>
      <w:pPr>
        <w:autoSpaceDE w:val="0"/>
        <w:autoSpaceDN w:val="0"/>
        <w:adjustRightInd w:val="0"/>
        <w:spacing w:line="360" w:lineRule="auto"/>
        <w:ind w:firstLine="560"/>
        <w:rPr>
          <w:rFonts w:hAnsi="宋体"/>
          <w:b/>
          <w:color w:val="000000" w:themeColor="text1"/>
          <w:sz w:val="28"/>
          <w:szCs w:val="28"/>
        </w:rPr>
      </w:pPr>
      <w:r>
        <w:rPr>
          <w:rFonts w:ascii="宋体" w:hAnsi="宋体" w:cs="仿宋_GB2312"/>
          <w:color w:val="000000" w:themeColor="text1"/>
          <w:szCs w:val="21"/>
        </w:rPr>
        <w:t xml:space="preserve">                                    </w:t>
      </w:r>
      <w:r>
        <w:rPr>
          <w:rFonts w:hint="eastAsia" w:ascii="宋体" w:hAnsi="宋体" w:eastAsia="宋体" w:cs="仿宋_GB2312"/>
          <w:color w:val="000000" w:themeColor="text1"/>
          <w:kern w:val="2"/>
          <w:sz w:val="21"/>
          <w:szCs w:val="21"/>
          <w:lang w:val="en-US" w:eastAsia="zh-CN" w:bidi="ar-SA"/>
        </w:rPr>
        <w:t>二〇一八年九月</w:t>
      </w:r>
      <w:r>
        <w:rPr>
          <w:rFonts w:hint="eastAsia" w:ascii="宋体" w:hAnsi="宋体" w:cs="仿宋_GB2312"/>
          <w:color w:val="000000" w:themeColor="text1"/>
          <w:kern w:val="2"/>
          <w:sz w:val="21"/>
          <w:szCs w:val="21"/>
          <w:lang w:val="en-US" w:eastAsia="zh-CN" w:bidi="ar-SA"/>
        </w:rPr>
        <w:t>二十七</w:t>
      </w:r>
      <w:r>
        <w:rPr>
          <w:rFonts w:hint="eastAsia" w:ascii="宋体" w:hAnsi="宋体" w:eastAsia="宋体" w:cs="仿宋_GB2312"/>
          <w:color w:val="000000" w:themeColor="text1"/>
          <w:kern w:val="2"/>
          <w:sz w:val="21"/>
          <w:szCs w:val="21"/>
          <w:lang w:val="en-US" w:eastAsia="zh-CN" w:bidi="ar-SA"/>
        </w:rPr>
        <w:t>日</w:t>
      </w: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ascii="仿宋_GB2312" w:eastAsia="仿宋_GB2312"/>
          <w:b/>
          <w:color w:val="000000" w:themeColor="text1"/>
          <w:sz w:val="32"/>
          <w:szCs w:val="32"/>
        </w:rPr>
      </w:pPr>
      <w:r>
        <w:rPr>
          <w:rFonts w:hint="eastAsia" w:hAnsi="宋体"/>
          <w:b/>
          <w:color w:val="000000" w:themeColor="text1"/>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Cs w:val="21"/>
        </w:rPr>
        <w:t>http://221.14.6.70:8088/ggzy/</w:t>
      </w:r>
      <w:r>
        <w:rPr>
          <w:rStyle w:val="26"/>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6"/>
          <w:rFonts w:hAnsi="宋体"/>
          <w:color w:val="000000" w:themeColor="text1"/>
          <w:szCs w:val="21"/>
        </w:rPr>
        <w:t>http://221.14.6.70:8088/ggzy/</w:t>
      </w:r>
      <w:r>
        <w:rPr>
          <w:rStyle w:val="26"/>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rPr>
          <w:rFonts w:ascii="宋体" w:cs="宋体"/>
          <w:b/>
          <w:color w:val="000000" w:themeColor="text1"/>
          <w:kern w:val="0"/>
          <w:sz w:val="32"/>
          <w:szCs w:val="32"/>
        </w:rPr>
      </w:pPr>
    </w:p>
    <w:p>
      <w:pPr>
        <w:numPr>
          <w:ilvl w:val="0"/>
          <w:numId w:val="4"/>
        </w:numPr>
        <w:jc w:val="center"/>
        <w:rPr>
          <w:rFonts w:ascii="宋体" w:cs="宋体"/>
          <w:b/>
          <w:color w:val="000000" w:themeColor="text1"/>
          <w:kern w:val="0"/>
          <w:sz w:val="32"/>
          <w:szCs w:val="32"/>
        </w:rPr>
        <w:sectPr>
          <w:footerReference r:id="rId3" w:type="default"/>
          <w:pgSz w:w="11906" w:h="16838"/>
          <w:pgMar w:top="2098" w:right="1474" w:bottom="1928" w:left="1588" w:header="851" w:footer="992" w:gutter="0"/>
          <w:pgNumType w:fmt="decimal" w:start="1"/>
          <w:cols w:space="425" w:num="1"/>
          <w:docGrid w:type="lines" w:linePitch="312" w:charSpace="0"/>
        </w:sect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pStyle w:val="45"/>
        <w:numPr>
          <w:ilvl w:val="0"/>
          <w:numId w:val="0"/>
        </w:numPr>
        <w:snapToGrid w:val="0"/>
        <w:spacing w:beforeLines="50" w:afterLines="50" w:line="360" w:lineRule="auto"/>
        <w:jc w:val="left"/>
        <w:rPr>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lang w:val="zh-CN"/>
        </w:rPr>
        <w:t>、本项目需实现的功能或者目标</w:t>
      </w:r>
    </w:p>
    <w:p>
      <w:pPr>
        <w:pStyle w:val="45"/>
        <w:numPr>
          <w:ilvl w:val="0"/>
          <w:numId w:val="5"/>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工作范围</w:t>
      </w:r>
    </w:p>
    <w:p>
      <w:pPr>
        <w:pStyle w:val="45"/>
        <w:snapToGrid w:val="0"/>
        <w:spacing w:beforeLines="50" w:afterLines="50" w:line="360" w:lineRule="auto"/>
        <w:ind w:left="360"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此次规划范围为《许东新城城市设计》中碳汇长廊的范围（不包括职教中心中部区域忠武路---松苑路段），总规划面积  223.83公顷； 景观设计范围为规划范围内扣除公共服务设施占地（如学校、社区图书馆等需要单独进行建筑设计的区域）后的区域，总面积为 169.40公顷。</w:t>
      </w:r>
    </w:p>
    <w:p>
      <w:pPr>
        <w:pStyle w:val="45"/>
        <w:numPr>
          <w:ilvl w:val="0"/>
          <w:numId w:val="5"/>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许东新城碳汇长廊控制性详细规划</w:t>
      </w:r>
    </w:p>
    <w:p>
      <w:pPr>
        <w:snapToGrid w:val="0"/>
        <w:spacing w:beforeLines="50" w:afterLines="50" w:line="360" w:lineRule="auto"/>
        <w:ind w:firstLine="843" w:firstLineChars="4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工作要求：</w:t>
      </w:r>
    </w:p>
    <w:p>
      <w:pPr>
        <w:snapToGrid w:val="0"/>
        <w:spacing w:beforeLines="50" w:afterLines="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编制控制性详细规划，达到《城市规划编制办法》要求，并通过许昌市规委会审定。</w:t>
      </w:r>
    </w:p>
    <w:p>
      <w:pPr>
        <w:snapToGrid w:val="0"/>
        <w:spacing w:beforeLines="50" w:afterLines="50" w:line="360" w:lineRule="auto"/>
        <w:ind w:firstLine="843" w:firstLineChars="4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工作内容：</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现场踏勘并进行现状地形图测绘（针对城市设计中对于碳汇长廊的选线方案进行现场踏勘，核对现状，确定其可行性）；</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根据许东新城的文化特色、景观分段和节点设置确定旅游服务设施的选址、等级和规模，同时确定设施的设计风格；</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拆改留分析（对碳汇长廊经过的村落，确定需要保留、新建、改建的建筑或景观点，并提出改造方案）；</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碳汇长廊选线方案总平面图和设施配置系统图。</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确定碳汇长廊绿线位置、断面、控制点坐标和标高，以及走向、宽度、与道路的主要交叉口、旅游巴士场站站点位置及用地范围、停车场位置和控制范围；</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确定旅游设施的分布、规模和用地边界（包括步道出入口、救护站、停车场、旅游巴士停靠站、餐饮设施、露营区、公共厕所、景区标识系统等）；</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确定碳汇长廊绿化用地的功能、主题分区及用地边界，以及重要拐点的坐标、高程，红线宽度和横纵断面图；</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分段确定碳汇长廊公共服务设施的选址、规模、用地边界线、选型方案库；</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经济技术指标计算；</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根据规划建设容量，确定市政工程设施规模和用地界线、工程管线走向及管线综合布置关系；</w:t>
      </w:r>
    </w:p>
    <w:p>
      <w:pPr>
        <w:pStyle w:val="45"/>
        <w:numPr>
          <w:ilvl w:val="0"/>
          <w:numId w:val="6"/>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控规图则和分图则。</w:t>
      </w:r>
    </w:p>
    <w:p>
      <w:pPr>
        <w:pStyle w:val="45"/>
        <w:numPr>
          <w:ilvl w:val="0"/>
          <w:numId w:val="5"/>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许东新城碳汇长廊修建性详细规划</w:t>
      </w:r>
    </w:p>
    <w:p>
      <w:pPr>
        <w:pStyle w:val="45"/>
        <w:snapToGrid w:val="0"/>
        <w:spacing w:beforeLines="50" w:afterLines="50" w:line="360" w:lineRule="auto"/>
        <w:ind w:left="360"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工作要求：</w:t>
      </w:r>
    </w:p>
    <w:p>
      <w:pPr>
        <w:pStyle w:val="45"/>
        <w:snapToGrid w:val="0"/>
        <w:spacing w:beforeLines="50" w:afterLines="50" w:line="360" w:lineRule="auto"/>
        <w:ind w:firstLine="840" w:firstLineChars="400"/>
        <w:jc w:val="left"/>
        <w:rPr>
          <w:rFonts w:hint="eastAsia" w:ascii="宋体" w:hAnsi="宋体" w:eastAsia="宋体" w:cs="宋体"/>
          <w:color w:val="auto"/>
          <w:sz w:val="21"/>
          <w:szCs w:val="21"/>
        </w:rPr>
      </w:pPr>
      <w:r>
        <w:rPr>
          <w:rFonts w:hint="eastAsia" w:ascii="宋体" w:hAnsi="宋体" w:eastAsia="宋体" w:cs="宋体"/>
          <w:color w:val="auto"/>
          <w:sz w:val="21"/>
          <w:szCs w:val="21"/>
        </w:rPr>
        <w:t>编制修建性详细规划，方案达到《城市规划编制办法》要求，并通过许昌市规委会审定。</w:t>
      </w:r>
    </w:p>
    <w:p>
      <w:pPr>
        <w:snapToGrid w:val="0"/>
        <w:spacing w:beforeLines="50" w:afterLines="50" w:line="360" w:lineRule="auto"/>
        <w:ind w:firstLine="843" w:firstLineChars="4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工作内容：</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规划说明书</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区域位置图</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现状分析图</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用地地形图</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规划总平面图：标明规划用地范围及建筑物、构筑物、绿地、道路、广场、停车场（停车泊位）、河、湖、水面的位置、范围及有关尺寸、数据，标识风玫瑰或指北针，建筑物统一编号并标明建筑层数、使用性质，标明建筑长度、宽度、间距、退让各类控制线、退让地界（均指最近处）尺寸。如规划范围内有不同用地性质、不同土地权属的宗地分别列出指标表；</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用地功能分区图：不同功能和特色的用地布局、空间形态和景观特色等等；</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道路交通规划图：现状交通分析、规划交通分析，道路断面；慢性系统分析，步道建设要求等。</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竖向及工程管网规划：应对各种工程管线的接口位置、方向、容量计算等；</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主要技术经济指标：包括用地面积、容积率、绿化覆盖率等等。</w:t>
      </w:r>
    </w:p>
    <w:p>
      <w:pPr>
        <w:pStyle w:val="45"/>
        <w:numPr>
          <w:ilvl w:val="0"/>
          <w:numId w:val="7"/>
        </w:numPr>
        <w:snapToGrid w:val="0"/>
        <w:spacing w:beforeLines="50" w:afterLines="50"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绿化景观规划图：标明景观建筑、小品、树木种植、植被、铺地的具体位置和范围，以及植物配置的基本方案；提供重要景观节点透视效果图。</w:t>
      </w:r>
    </w:p>
    <w:p>
      <w:pPr>
        <w:pStyle w:val="45"/>
        <w:numPr>
          <w:ilvl w:val="0"/>
          <w:numId w:val="5"/>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许东新城碳汇长廊景观设计</w:t>
      </w:r>
    </w:p>
    <w:p>
      <w:pPr>
        <w:pStyle w:val="45"/>
        <w:numPr>
          <w:ilvl w:val="0"/>
          <w:numId w:val="8"/>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方案设计</w:t>
      </w:r>
    </w:p>
    <w:p>
      <w:pPr>
        <w:snapToGrid w:val="0"/>
        <w:spacing w:beforeLines="50" w:afterLines="50" w:line="360" w:lineRule="auto"/>
        <w:ind w:firstLine="840" w:firstLineChars="400"/>
        <w:jc w:val="left"/>
        <w:rPr>
          <w:rFonts w:hint="eastAsia" w:ascii="宋体" w:hAnsi="宋体" w:eastAsia="宋体" w:cs="宋体"/>
          <w:color w:val="auto"/>
          <w:sz w:val="21"/>
          <w:szCs w:val="21"/>
        </w:rPr>
      </w:pPr>
      <w:r>
        <w:rPr>
          <w:rFonts w:hint="eastAsia" w:ascii="宋体" w:hAnsi="宋体" w:eastAsia="宋体" w:cs="宋体"/>
          <w:color w:val="auto"/>
          <w:sz w:val="21"/>
          <w:szCs w:val="21"/>
        </w:rPr>
        <w:t>在控规和修规基础上，确定碳汇长廊各系统的落地方案，明确各重要空间节点的文化主题定位、服务对象，并进行场地环境设计、空间营造，明确环卫设施、铺装设计、小品雕塑及公共设施的位置、道路线型、树种选择、竖向标高。</w:t>
      </w:r>
    </w:p>
    <w:p>
      <w:pPr>
        <w:pStyle w:val="45"/>
        <w:numPr>
          <w:ilvl w:val="0"/>
          <w:numId w:val="8"/>
        </w:numPr>
        <w:snapToGrid w:val="0"/>
        <w:spacing w:beforeLines="50" w:afterLines="50" w:line="360" w:lineRule="auto"/>
        <w:ind w:firstLine="482"/>
        <w:jc w:val="left"/>
        <w:rPr>
          <w:rFonts w:hint="eastAsia" w:ascii="宋体" w:hAnsi="宋体" w:eastAsia="宋体" w:cs="宋体"/>
          <w:b/>
          <w:color w:val="auto"/>
          <w:sz w:val="21"/>
          <w:szCs w:val="21"/>
        </w:rPr>
      </w:pPr>
      <w:r>
        <w:rPr>
          <w:rFonts w:hint="eastAsia" w:ascii="宋体" w:hAnsi="宋体" w:eastAsia="宋体" w:cs="宋体"/>
          <w:b/>
          <w:color w:val="auto"/>
          <w:sz w:val="21"/>
          <w:szCs w:val="21"/>
        </w:rPr>
        <w:t>扩初和施工设计</w:t>
      </w:r>
    </w:p>
    <w:p>
      <w:pPr>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1、各专业配合完成景观设计工作：</w:t>
      </w:r>
    </w:p>
    <w:p>
      <w:pPr>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1）景观专业：根据项目规划及甲方要求，提供地形、硬质铺装、景观构筑物及小品、园路、雕塑、叠石假山、水景、平台、台阶、活动场地、标识系统等设计。</w:t>
      </w:r>
    </w:p>
    <w:p>
      <w:pPr>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2）结构专业：根据项目具体情况及甲方要求，提供项目景观范畴内的所有景观设施及构筑物结构设计。</w:t>
      </w:r>
    </w:p>
    <w:p>
      <w:pPr>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3）水专业：按照项目整体规划及甲方的要求，提供景观所涉及的各类水专业设计方案至施工图阶段。</w:t>
      </w:r>
    </w:p>
    <w:p>
      <w:pPr>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4）植物专业：根据项目规划及甲方要求，提供乔木、灌木、地被、水生、草坪等多层次多方位植物景观种植设计，公建配套设施的绿化装饰设计以及基地内原有植物的保留与再利用设计等相关植物配置设计。</w:t>
      </w:r>
    </w:p>
    <w:p>
      <w:pPr>
        <w:tabs>
          <w:tab w:val="left" w:pos="1800"/>
        </w:tabs>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2、审核本项目景观工程实施过程中的各项设计及特殊现场施工技术资料，并提出审核意见报甲方，做好设计协调与配合工作。</w:t>
      </w:r>
    </w:p>
    <w:p>
      <w:pPr>
        <w:tabs>
          <w:tab w:val="left" w:pos="1800"/>
        </w:tabs>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3、材料选样：提供景观材料清单及选型。</w:t>
      </w:r>
    </w:p>
    <w:p>
      <w:pPr>
        <w:tabs>
          <w:tab w:val="left" w:pos="1800"/>
        </w:tabs>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4、配合施工：项目施工阶段甲方提出的各种设计中存在的问题，乙方应及时处理，并且满足施工和设计使用要求。</w:t>
      </w:r>
    </w:p>
    <w:p>
      <w:pPr>
        <w:tabs>
          <w:tab w:val="left" w:pos="1800"/>
        </w:tabs>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5、负责完成景观工程中有关结构、水、电、及与总体各专业间的竖向与管线综合设计及设计配合。</w:t>
      </w:r>
    </w:p>
    <w:p>
      <w:pPr>
        <w:tabs>
          <w:tab w:val="left" w:pos="1800"/>
        </w:tabs>
        <w:snapToGrid w:val="0"/>
        <w:spacing w:line="360" w:lineRule="auto"/>
        <w:ind w:left="284"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6、提供景观部分工程造价估算、概算。</w:t>
      </w:r>
    </w:p>
    <w:p>
      <w:pPr>
        <w:tabs>
          <w:tab w:val="left" w:pos="1800"/>
        </w:tabs>
        <w:snapToGrid w:val="0"/>
        <w:spacing w:line="360" w:lineRule="auto"/>
        <w:ind w:left="284"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7、参加景观施工图交底、现场服务及景观竣工验收。</w:t>
      </w:r>
    </w:p>
    <w:p>
      <w:pPr>
        <w:pStyle w:val="45"/>
        <w:numPr>
          <w:ilvl w:val="0"/>
          <w:numId w:val="0"/>
        </w:numPr>
        <w:snapToGrid w:val="0"/>
        <w:spacing w:beforeLines="50" w:afterLines="50" w:line="360" w:lineRule="auto"/>
        <w:jc w:val="left"/>
        <w:rPr>
          <w:rFonts w:hint="eastAsia" w:ascii="宋体" w:hAnsi="宋体" w:cs="宋体"/>
          <w:b/>
          <w:color w:val="auto"/>
          <w:sz w:val="24"/>
          <w:szCs w:val="24"/>
          <w:lang w:val="zh-CN" w:eastAsia="zh-CN"/>
        </w:rPr>
      </w:pPr>
      <w:r>
        <w:rPr>
          <w:rFonts w:hint="eastAsia" w:ascii="宋体" w:hAnsi="宋体" w:cs="宋体"/>
          <w:b/>
          <w:color w:val="auto"/>
          <w:sz w:val="24"/>
          <w:szCs w:val="24"/>
          <w:lang w:val="en-US" w:eastAsia="zh-CN"/>
        </w:rPr>
        <w:t>二</w:t>
      </w:r>
      <w:r>
        <w:rPr>
          <w:rFonts w:hint="eastAsia" w:ascii="宋体" w:hAnsi="宋体" w:cs="宋体"/>
          <w:b/>
          <w:color w:val="auto"/>
          <w:sz w:val="24"/>
          <w:szCs w:val="24"/>
          <w:lang w:val="zh-CN" w:eastAsia="zh-CN"/>
        </w:rPr>
        <w:t>、采购标的成果</w:t>
      </w:r>
    </w:p>
    <w:p>
      <w:pPr>
        <w:pStyle w:val="45"/>
        <w:tabs>
          <w:tab w:val="left" w:pos="1800"/>
        </w:tabs>
        <w:snapToGrid w:val="0"/>
        <w:spacing w:beforeLines="50" w:afterLines="50" w:line="36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分阶段设计成果明细</w:t>
      </w:r>
    </w:p>
    <w:tbl>
      <w:tblPr>
        <w:tblStyle w:val="27"/>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76" w:type="dxa"/>
          </w:tcPr>
          <w:p>
            <w:pPr>
              <w:adjustRightInd w:val="0"/>
              <w:snapToGrid w:val="0"/>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设计阶段</w:t>
            </w:r>
          </w:p>
        </w:tc>
        <w:tc>
          <w:tcPr>
            <w:tcW w:w="7088" w:type="dxa"/>
            <w:gridSpan w:val="2"/>
          </w:tcPr>
          <w:p>
            <w:pPr>
              <w:adjustRightInd w:val="0"/>
              <w:snapToGrid w:val="0"/>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图纸目录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方案设计阶段</w:t>
            </w:r>
          </w:p>
        </w:tc>
        <w:tc>
          <w:tcPr>
            <w:tcW w:w="7088" w:type="dxa"/>
            <w:gridSpan w:val="2"/>
          </w:tcPr>
          <w:p>
            <w:pPr>
              <w:pStyle w:val="2"/>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总体彩色平面图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现状位置图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功能分区图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道路系统图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景观建筑、雕塑、小品布置总图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景观各分区平面图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种植概念设计图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室外景观家具设施概念布置图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景观各类分析图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区内主要用地比例</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各主要景观轴线及区域横、纵剖/立面图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总体鸟瞰效果图、分区及各主要景点效果图</w:t>
            </w:r>
          </w:p>
          <w:p>
            <w:pPr>
              <w:pStyle w:val="2"/>
              <w:adjustRightInd w:val="0"/>
              <w:snapToGrid w:val="0"/>
              <w:spacing w:line="240" w:lineRule="auto"/>
              <w:ind w:firstLine="29" w:firstLineChars="14"/>
              <w:rPr>
                <w:rFonts w:hint="eastAsia" w:ascii="宋体" w:hAnsi="宋体" w:eastAsia="宋体" w:cs="宋体"/>
                <w:color w:val="auto"/>
                <w:sz w:val="21"/>
                <w:szCs w:val="21"/>
              </w:rPr>
            </w:pPr>
            <w:r>
              <w:rPr>
                <w:rFonts w:hint="eastAsia" w:ascii="宋体" w:hAnsi="宋体" w:eastAsia="宋体" w:cs="宋体"/>
                <w:color w:val="auto"/>
                <w:sz w:val="21"/>
                <w:szCs w:val="21"/>
              </w:rPr>
              <w:t>设计说明和工程估算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扩大初步设计阶段</w:t>
            </w:r>
          </w:p>
        </w:tc>
        <w:tc>
          <w:tcPr>
            <w:tcW w:w="7088" w:type="dxa"/>
            <w:gridSpan w:val="2"/>
          </w:tcPr>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设计说明、总平面图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景观建筑、雕塑、小品布置图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分区各景观平面图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道路系统、大样设计图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地形设计总图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场地标高及排水总图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户外景观家具设施选择及布置图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植物配置设计大样图 </w:t>
            </w:r>
          </w:p>
          <w:p>
            <w:pPr>
              <w:adjustRightInd w:val="0"/>
              <w:snapToGrid w:val="0"/>
              <w:spacing w:line="240" w:lineRule="auto"/>
              <w:ind w:left="34"/>
              <w:jc w:val="left"/>
              <w:rPr>
                <w:rFonts w:hint="eastAsia" w:ascii="宋体" w:hAnsi="宋体" w:eastAsia="宋体" w:cs="宋体"/>
                <w:color w:val="auto"/>
                <w:sz w:val="21"/>
                <w:szCs w:val="21"/>
              </w:rPr>
            </w:pPr>
            <w:r>
              <w:rPr>
                <w:rFonts w:hint="eastAsia" w:ascii="宋体" w:hAnsi="宋体" w:eastAsia="宋体" w:cs="宋体"/>
                <w:color w:val="auto"/>
                <w:sz w:val="21"/>
                <w:szCs w:val="21"/>
              </w:rPr>
              <w:t>给排水系统图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各类景观建筑、小品和构筑物平、立、剖设计大样</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雕塑提案</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各类道路、地坪铺装设计大样图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景观物料汇总表和设计概算书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1276" w:type="dxa"/>
            <w:vMerge w:val="restart"/>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施工图设计阶段</w:t>
            </w:r>
          </w:p>
        </w:tc>
        <w:tc>
          <w:tcPr>
            <w:tcW w:w="1134" w:type="dxa"/>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总体设计</w:t>
            </w:r>
          </w:p>
        </w:tc>
        <w:tc>
          <w:tcPr>
            <w:tcW w:w="5954" w:type="dxa"/>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设计及施工说明</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总平面图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分区各景观平面图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定位放线图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场地标高及排水图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景观物料图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室外景观家具、雕塑、小品设施布置图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exact"/>
          <w:jc w:val="center"/>
        </w:trPr>
        <w:tc>
          <w:tcPr>
            <w:tcW w:w="1276" w:type="dxa"/>
            <w:vMerge w:val="continue"/>
          </w:tcPr>
          <w:p>
            <w:pPr>
              <w:adjustRightInd w:val="0"/>
              <w:snapToGrid w:val="0"/>
              <w:spacing w:line="240" w:lineRule="auto"/>
              <w:rPr>
                <w:rFonts w:hint="eastAsia" w:ascii="宋体" w:hAnsi="宋体" w:eastAsia="宋体" w:cs="宋体"/>
                <w:color w:val="auto"/>
                <w:sz w:val="21"/>
                <w:szCs w:val="21"/>
              </w:rPr>
            </w:pPr>
          </w:p>
        </w:tc>
        <w:tc>
          <w:tcPr>
            <w:tcW w:w="1134" w:type="dxa"/>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绿化设计</w:t>
            </w:r>
          </w:p>
        </w:tc>
        <w:tc>
          <w:tcPr>
            <w:tcW w:w="5954" w:type="dxa"/>
          </w:tcPr>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绿化配置总图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竖向设计图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植物配置详图（乔、灌、地被、草坪、水生植物等）</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种植设计说明与详图</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苗木表（品名、规格、数量、种植方式、密度、形态要求等）</w:t>
            </w:r>
          </w:p>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给排水设计</w:t>
            </w:r>
          </w:p>
          <w:p>
            <w:pPr>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给排水总图及节点详图</w:t>
            </w:r>
          </w:p>
          <w:p>
            <w:pPr>
              <w:tabs>
                <w:tab w:val="left" w:pos="126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水系统图及详图</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绿化灌溉设计系统图及详图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exact"/>
          <w:jc w:val="center"/>
        </w:trPr>
        <w:tc>
          <w:tcPr>
            <w:tcW w:w="1276" w:type="dxa"/>
            <w:vMerge w:val="continue"/>
          </w:tcPr>
          <w:p>
            <w:pPr>
              <w:adjustRightInd w:val="0"/>
              <w:snapToGrid w:val="0"/>
              <w:spacing w:line="240" w:lineRule="auto"/>
              <w:rPr>
                <w:rFonts w:hint="eastAsia" w:ascii="宋体" w:hAnsi="宋体" w:eastAsia="宋体" w:cs="宋体"/>
                <w:color w:val="auto"/>
                <w:sz w:val="21"/>
                <w:szCs w:val="21"/>
              </w:rPr>
            </w:pPr>
          </w:p>
        </w:tc>
        <w:tc>
          <w:tcPr>
            <w:tcW w:w="1134" w:type="dxa"/>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道路、地坪设计</w:t>
            </w:r>
          </w:p>
        </w:tc>
        <w:tc>
          <w:tcPr>
            <w:tcW w:w="5954" w:type="dxa"/>
          </w:tcPr>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铺装平面索引图</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高程排水总图及详图说明</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铺地详图</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室外铺装材料汇总表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jc w:val="center"/>
        </w:trPr>
        <w:tc>
          <w:tcPr>
            <w:tcW w:w="1276" w:type="dxa"/>
            <w:vMerge w:val="continue"/>
          </w:tcPr>
          <w:p>
            <w:pPr>
              <w:adjustRightInd w:val="0"/>
              <w:snapToGrid w:val="0"/>
              <w:spacing w:line="240" w:lineRule="auto"/>
              <w:rPr>
                <w:rFonts w:hint="eastAsia" w:ascii="宋体" w:hAnsi="宋体" w:eastAsia="宋体" w:cs="宋体"/>
                <w:color w:val="auto"/>
                <w:sz w:val="21"/>
                <w:szCs w:val="21"/>
              </w:rPr>
            </w:pPr>
          </w:p>
        </w:tc>
        <w:tc>
          <w:tcPr>
            <w:tcW w:w="1134" w:type="dxa"/>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景观建筑及小品</w:t>
            </w:r>
          </w:p>
        </w:tc>
        <w:tc>
          <w:tcPr>
            <w:tcW w:w="5954" w:type="dxa"/>
          </w:tcPr>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平面索引图</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各处景观建筑及小品平、立、剖及详图</w:t>
            </w:r>
          </w:p>
          <w:p>
            <w:pPr>
              <w:tabs>
                <w:tab w:val="left" w:pos="1440"/>
              </w:tabs>
              <w:adjustRightInd w:val="0"/>
              <w:snapToGrid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各处景观建筑及小品结构施工图及说明</w:t>
            </w:r>
          </w:p>
          <w:p>
            <w:pPr>
              <w:tabs>
                <w:tab w:val="left" w:pos="1440"/>
              </w:tabs>
              <w:adjustRightInd w:val="0"/>
              <w:snapToGrid w:val="0"/>
              <w:spacing w:line="240" w:lineRule="auto"/>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jc w:val="center"/>
        </w:trPr>
        <w:tc>
          <w:tcPr>
            <w:tcW w:w="1276" w:type="dxa"/>
            <w:vMerge w:val="continue"/>
          </w:tcPr>
          <w:p>
            <w:pPr>
              <w:adjustRightInd w:val="0"/>
              <w:snapToGrid w:val="0"/>
              <w:spacing w:line="240" w:lineRule="auto"/>
              <w:rPr>
                <w:rFonts w:hint="eastAsia" w:ascii="宋体" w:hAnsi="宋体" w:eastAsia="宋体" w:cs="宋体"/>
                <w:color w:val="auto"/>
                <w:sz w:val="21"/>
                <w:szCs w:val="21"/>
              </w:rPr>
            </w:pPr>
          </w:p>
        </w:tc>
        <w:tc>
          <w:tcPr>
            <w:tcW w:w="1134" w:type="dxa"/>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景观物料及设施</w:t>
            </w:r>
          </w:p>
        </w:tc>
        <w:tc>
          <w:tcPr>
            <w:tcW w:w="5954" w:type="dxa"/>
          </w:tcPr>
          <w:p>
            <w:pPr>
              <w:tabs>
                <w:tab w:val="left" w:pos="1440"/>
              </w:tabs>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景观物料及户外景观设施汇总表</w:t>
            </w:r>
          </w:p>
          <w:p>
            <w:pPr>
              <w:tabs>
                <w:tab w:val="left" w:pos="1440"/>
              </w:tabs>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景观物料施工说明明细</w:t>
            </w:r>
          </w:p>
          <w:p>
            <w:pPr>
              <w:tabs>
                <w:tab w:val="left" w:pos="1440"/>
              </w:tabs>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各类户外家具、运动、健身、游戏等设施器材选型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276" w:type="dxa"/>
          </w:tcPr>
          <w:p>
            <w:pPr>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8" w:type="dxa"/>
            <w:gridSpan w:val="2"/>
          </w:tcPr>
          <w:p>
            <w:pPr>
              <w:pStyle w:val="44"/>
              <w:widowControl/>
              <w:adjustRightInd w:val="0"/>
              <w:snapToGrid w:val="0"/>
              <w:spacing w:line="240" w:lineRule="auto"/>
              <w:ind w:firstLine="0" w:firstLineChars="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各阶段提供设计文本或图纸及电子版文件</w:t>
            </w:r>
          </w:p>
        </w:tc>
      </w:tr>
    </w:tbl>
    <w:p>
      <w:pPr>
        <w:pStyle w:val="2"/>
        <w:spacing w:line="360" w:lineRule="auto"/>
        <w:rPr>
          <w:rFonts w:hint="eastAsia" w:ascii="宋体" w:hAnsi="宋体" w:eastAsia="宋体" w:cs="宋体"/>
          <w:color w:val="auto"/>
          <w:sz w:val="21"/>
          <w:szCs w:val="21"/>
          <w:lang w:val="zh-CN"/>
        </w:rPr>
      </w:pPr>
    </w:p>
    <w:p>
      <w:pPr>
        <w:pStyle w:val="45"/>
        <w:numPr>
          <w:ilvl w:val="0"/>
          <w:numId w:val="0"/>
        </w:numPr>
        <w:snapToGrid w:val="0"/>
        <w:spacing w:beforeLines="50" w:afterLines="50" w:line="360" w:lineRule="auto"/>
        <w:jc w:val="left"/>
        <w:rPr>
          <w:rFonts w:hint="eastAsia" w:ascii="宋体" w:hAnsi="宋体" w:cs="宋体"/>
          <w:b/>
          <w:color w:val="auto"/>
          <w:sz w:val="24"/>
          <w:szCs w:val="24"/>
          <w:lang w:val="zh-CN" w:eastAsia="zh-CN"/>
        </w:rPr>
      </w:pPr>
      <w:r>
        <w:rPr>
          <w:rFonts w:hint="eastAsia" w:ascii="宋体" w:hAnsi="宋体" w:cs="微软雅黑"/>
          <w:b/>
          <w:color w:val="000000" w:themeColor="text1"/>
          <w:szCs w:val="21"/>
        </w:rPr>
        <w:t>★</w:t>
      </w:r>
      <w:r>
        <w:rPr>
          <w:rFonts w:hint="eastAsia" w:ascii="宋体" w:hAnsi="宋体" w:cs="宋体"/>
          <w:b/>
          <w:color w:val="auto"/>
          <w:sz w:val="24"/>
          <w:szCs w:val="24"/>
          <w:lang w:val="en-US" w:eastAsia="zh-CN"/>
        </w:rPr>
        <w:t>三</w:t>
      </w:r>
      <w:r>
        <w:rPr>
          <w:rFonts w:hint="eastAsia" w:ascii="宋体" w:hAnsi="宋体" w:cs="宋体"/>
          <w:b/>
          <w:color w:val="auto"/>
          <w:sz w:val="24"/>
          <w:szCs w:val="24"/>
          <w:lang w:val="zh-CN" w:eastAsia="zh-CN"/>
        </w:rPr>
        <w:t>、采购标的执行标准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规划设计依据及技术标准：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1、现行相关规范；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2、采购人提供的技术要求及相关规划、地形图等；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3、在规划编制过程中，如果国家或有关部门颁布了新的技术标准或规范，则规划编制人员应采用新的标准或规范进行规划编制。</w:t>
      </w:r>
    </w:p>
    <w:p>
      <w:pPr>
        <w:pStyle w:val="45"/>
        <w:numPr>
          <w:ilvl w:val="0"/>
          <w:numId w:val="0"/>
        </w:numPr>
        <w:snapToGrid w:val="0"/>
        <w:spacing w:beforeLines="50" w:afterLines="50" w:line="360" w:lineRule="auto"/>
        <w:jc w:val="left"/>
        <w:rPr>
          <w:rFonts w:hint="eastAsia" w:ascii="宋体" w:hAnsi="宋体" w:cs="宋体"/>
          <w:b/>
          <w:color w:val="auto"/>
          <w:sz w:val="24"/>
          <w:szCs w:val="24"/>
          <w:lang w:val="zh-CN" w:eastAsia="zh-CN"/>
        </w:rPr>
      </w:pPr>
      <w:r>
        <w:rPr>
          <w:rFonts w:hint="eastAsia" w:ascii="宋体" w:hAnsi="宋体" w:cs="微软雅黑"/>
          <w:b/>
          <w:color w:val="000000" w:themeColor="text1"/>
          <w:szCs w:val="21"/>
        </w:rPr>
        <w:t>★</w:t>
      </w:r>
      <w:r>
        <w:rPr>
          <w:rFonts w:hint="eastAsia" w:ascii="宋体" w:hAnsi="宋体" w:cs="宋体"/>
          <w:b/>
          <w:color w:val="auto"/>
          <w:sz w:val="24"/>
          <w:szCs w:val="24"/>
          <w:lang w:val="en-US" w:eastAsia="zh-CN"/>
        </w:rPr>
        <w:t>四</w:t>
      </w:r>
      <w:r>
        <w:rPr>
          <w:rFonts w:hint="eastAsia" w:ascii="宋体" w:hAnsi="宋体" w:cs="宋体"/>
          <w:b/>
          <w:color w:val="auto"/>
          <w:sz w:val="24"/>
          <w:szCs w:val="24"/>
          <w:lang w:val="zh-CN" w:eastAsia="zh-CN"/>
        </w:rPr>
        <w:t>、采购标的的其他技术、服务等要求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1、本招标文件所列的技术要求为最低要求，对招标文件中没有列出的而对本项目必不可少的其它要求，供应商必须给予实现，否则为无效投标。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2、投标人应就该项目完整投标，否则为无效投标。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3、投标报价为总包价，包含现场调研、检查、资料汇总报告、管理费、税金等一切与之相关的费用。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4、实质性要求：项目需求均为实质性要求。</w:t>
      </w:r>
    </w:p>
    <w:p>
      <w:pPr>
        <w:pStyle w:val="45"/>
        <w:numPr>
          <w:ilvl w:val="0"/>
          <w:numId w:val="0"/>
        </w:numPr>
        <w:snapToGrid w:val="0"/>
        <w:spacing w:beforeLines="50" w:afterLines="50" w:line="360" w:lineRule="auto"/>
        <w:jc w:val="left"/>
        <w:rPr>
          <w:rFonts w:hint="eastAsia" w:ascii="宋体" w:hAnsi="宋体" w:cs="宋体"/>
          <w:b/>
          <w:color w:val="auto"/>
          <w:sz w:val="24"/>
          <w:szCs w:val="24"/>
          <w:lang w:val="zh-CN" w:eastAsia="zh-CN"/>
        </w:rPr>
      </w:pPr>
      <w:r>
        <w:rPr>
          <w:rFonts w:hint="eastAsia" w:ascii="宋体" w:hAnsi="宋体" w:cs="微软雅黑"/>
          <w:b/>
          <w:color w:val="000000" w:themeColor="text1"/>
          <w:szCs w:val="21"/>
        </w:rPr>
        <w:t>★</w:t>
      </w:r>
      <w:r>
        <w:rPr>
          <w:rFonts w:hint="eastAsia" w:ascii="宋体" w:hAnsi="宋体" w:cs="宋体"/>
          <w:b/>
          <w:color w:val="auto"/>
          <w:sz w:val="24"/>
          <w:szCs w:val="24"/>
          <w:lang w:val="en-US" w:eastAsia="zh-CN"/>
        </w:rPr>
        <w:t>五</w:t>
      </w:r>
      <w:r>
        <w:rPr>
          <w:rFonts w:hint="eastAsia" w:ascii="宋体" w:hAnsi="宋体" w:cs="宋体"/>
          <w:b/>
          <w:color w:val="auto"/>
          <w:sz w:val="24"/>
          <w:szCs w:val="24"/>
          <w:lang w:val="zh-CN" w:eastAsia="zh-CN"/>
        </w:rPr>
        <w:t>、验收标准</w:t>
      </w:r>
    </w:p>
    <w:p>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由采购人成立验收小组,按照采购合同的约定对中标人履约情况进行验收。验收时,按照采购合同的约定对</w:t>
      </w:r>
      <w:r>
        <w:rPr>
          <w:rFonts w:hint="eastAsia" w:ascii="宋体" w:hAnsi="宋体" w:eastAsia="宋体" w:cs="宋体"/>
          <w:color w:val="auto"/>
          <w:sz w:val="21"/>
          <w:szCs w:val="21"/>
        </w:rPr>
        <w:t>本项目</w:t>
      </w:r>
      <w:r>
        <w:rPr>
          <w:rFonts w:hint="eastAsia" w:ascii="宋体" w:hAnsi="宋体" w:eastAsia="宋体" w:cs="宋体"/>
          <w:color w:val="auto"/>
          <w:sz w:val="21"/>
          <w:szCs w:val="21"/>
          <w:lang w:val="zh-CN"/>
        </w:rPr>
        <w:t>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hint="eastAsia" w:ascii="宋体" w:hAnsi="宋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eastAsia="宋体" w:cs="宋体"/>
          <w:b/>
          <w:color w:val="auto"/>
          <w:kern w:val="2"/>
          <w:sz w:val="24"/>
          <w:szCs w:val="24"/>
          <w:lang w:val="zh-CN" w:eastAsia="zh-CN" w:bidi="ar-SA"/>
        </w:rPr>
        <w:t>六、资金支付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2、支付时间及条件：签订合同后三个工作日内，支付项目款的30%作为定金；规划和景观设计方案文件确认后，支付项目款的40%；全部设计成果文件通过采购人审批并提交后，结清全部项目款。</w:t>
      </w:r>
    </w:p>
    <w:p>
      <w:pPr>
        <w:autoSpaceDE w:val="0"/>
        <w:autoSpaceDN w:val="0"/>
        <w:adjustRightInd w:val="0"/>
        <w:jc w:val="center"/>
        <w:rPr>
          <w:rFonts w:hint="eastAsia" w:ascii="宋体" w:hAnsi="宋体" w:eastAsia="宋体" w:cs="宋体"/>
          <w:b/>
          <w:color w:val="000000" w:themeColor="text1"/>
          <w:kern w:val="0"/>
          <w:sz w:val="32"/>
          <w:szCs w:val="32"/>
          <w:lang w:eastAsia="zh-CN"/>
        </w:rPr>
      </w:pPr>
      <w:r>
        <w:rPr>
          <w:rFonts w:hint="eastAsia" w:ascii="宋体" w:hAnsi="宋体" w:cs="微软雅黑"/>
          <w:b/>
          <w:color w:val="000000" w:themeColor="text1"/>
          <w:szCs w:val="21"/>
          <w:lang w:val="en-US" w:eastAsia="zh-CN"/>
        </w:rPr>
        <w:t xml:space="preserve"> </w:t>
      </w: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pStyle w:val="7"/>
        <w:rPr>
          <w:rFonts w:hint="eastAsia" w:ascii="宋体" w:hAnsi="宋体" w:cs="宋体"/>
          <w:b/>
          <w:color w:val="000000" w:themeColor="text1"/>
          <w:kern w:val="0"/>
          <w:sz w:val="32"/>
          <w:szCs w:val="32"/>
        </w:rPr>
      </w:pPr>
    </w:p>
    <w:p>
      <w:pPr>
        <w:autoSpaceDE w:val="0"/>
        <w:autoSpaceDN w:val="0"/>
        <w:adjustRightInd w:val="0"/>
        <w:jc w:val="center"/>
        <w:rPr>
          <w:rFonts w:hint="eastAsia" w:ascii="宋体" w:hAnsi="宋体" w:cs="宋体"/>
          <w:b/>
          <w:color w:val="000000" w:themeColor="text1"/>
          <w:kern w:val="0"/>
          <w:sz w:val="32"/>
          <w:szCs w:val="32"/>
        </w:rPr>
        <w:sectPr>
          <w:pgSz w:w="11906" w:h="16838"/>
          <w:pgMar w:top="2098" w:right="1474" w:bottom="1928" w:left="1588" w:header="851" w:footer="992" w:gutter="0"/>
          <w:pgNumType w:fmt="decimal"/>
          <w:cols w:space="425" w:num="1"/>
          <w:docGrid w:type="lines" w:linePitch="312" w:charSpace="0"/>
        </w:sect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项目名称：</w:t>
            </w:r>
            <w:r>
              <w:rPr>
                <w:rFonts w:hint="eastAsia" w:ascii="宋体" w:hAnsi="宋体" w:eastAsia="宋体" w:cs="宋体"/>
                <w:color w:val="000000" w:themeColor="text1"/>
                <w:szCs w:val="21"/>
                <w:lang w:eastAsia="zh-CN"/>
              </w:rPr>
              <w:t>许东生态城碳汇长廊控制性详细规划、修建性详细规划及景观设计</w:t>
            </w:r>
            <w:r>
              <w:rPr>
                <w:rFonts w:hint="eastAsia" w:ascii="宋体" w:hAnsi="宋体" w:cs="宋体"/>
                <w:color w:val="000000" w:themeColor="text1"/>
                <w:szCs w:val="21"/>
                <w:lang w:val="en-US" w:eastAsia="zh-CN"/>
              </w:rPr>
              <w:t>项目</w:t>
            </w:r>
            <w:r>
              <w:rPr>
                <w:rFonts w:hint="eastAsia" w:ascii="宋体" w:hAnsi="宋体" w:eastAsia="宋体" w:cs="宋体"/>
                <w:color w:val="000000" w:themeColor="text1"/>
                <w:szCs w:val="21"/>
              </w:rPr>
              <w:t xml:space="preserve"> </w:t>
            </w:r>
          </w:p>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项目编号：</w:t>
            </w:r>
            <w:r>
              <w:rPr>
                <w:rFonts w:hint="eastAsia" w:ascii="宋体" w:hAnsi="宋体" w:cs="宋体"/>
                <w:color w:val="000000" w:themeColor="text1"/>
                <w:sz w:val="24"/>
                <w:szCs w:val="24"/>
                <w:lang w:eastAsia="zh-CN"/>
              </w:rPr>
              <w:t>JZFCG-G2018084号</w:t>
            </w:r>
          </w:p>
          <w:p>
            <w:pPr>
              <w:autoSpaceDE w:val="0"/>
              <w:autoSpaceDN w:val="0"/>
              <w:adjustRightInd w:val="0"/>
              <w:spacing w:line="360" w:lineRule="auto"/>
              <w:jc w:val="left"/>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rPr>
              <w:t>项目内容：</w:t>
            </w:r>
            <w:r>
              <w:rPr>
                <w:rFonts w:hint="eastAsia" w:ascii="宋体" w:hAnsi="宋体" w:eastAsia="宋体" w:cs="宋体"/>
                <w:color w:val="000000" w:themeColor="text1"/>
                <w:szCs w:val="21"/>
                <w:lang w:val="zh-CN"/>
              </w:rPr>
              <w:t>此次规划范围为《许东新城城市设计》中碳汇长廊的范围（不包括职教中心中部区域忠武路---松苑路段），总规划面积  223.83公顷； 景观设计范围为规划范围内扣除公共服务设施占地（如学校、社区图书馆等需要单独进行建筑设计的区域）后的区域，总面积为 169.40公顷。</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服务地点：许昌市东城区规划建设局（</w:t>
            </w:r>
            <w:r>
              <w:rPr>
                <w:rFonts w:hint="eastAsia" w:ascii="宋体" w:hAnsi="宋体" w:eastAsia="宋体" w:cs="宋体"/>
                <w:color w:val="000000" w:themeColor="text1"/>
                <w:szCs w:val="21"/>
              </w:rPr>
              <w:t>许昌市学院路与新兴路交叉口</w:t>
            </w:r>
            <w:r>
              <w:rPr>
                <w:rFonts w:hint="eastAsia" w:ascii="宋体" w:hAnsi="宋体" w:eastAsia="宋体" w:cs="宋体"/>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许昌市东城区规划建设局</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地址：许昌市东城区新兴路东段</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联系人：</w:t>
            </w:r>
            <w:r>
              <w:rPr>
                <w:rFonts w:hint="eastAsia" w:ascii="宋体" w:hAnsi="宋体" w:eastAsia="宋体" w:cs="宋体"/>
                <w:color w:val="000000" w:themeColor="text1"/>
                <w:szCs w:val="21"/>
                <w:lang w:val="zh-CN"/>
              </w:rPr>
              <w:t>吴</w:t>
            </w:r>
            <w:r>
              <w:rPr>
                <w:rFonts w:hint="eastAsia" w:ascii="宋体" w:hAnsi="宋体" w:eastAsia="宋体" w:cs="宋体"/>
                <w:color w:val="000000" w:themeColor="text1"/>
                <w:szCs w:val="21"/>
              </w:rPr>
              <w:t>女士</w:t>
            </w:r>
            <w:r>
              <w:rPr>
                <w:rFonts w:hint="eastAsia" w:ascii="宋体" w:hAnsi="宋体" w:eastAsia="宋体" w:cs="宋体"/>
                <w:color w:val="000000" w:themeColor="text1"/>
                <w:szCs w:val="21"/>
                <w:lang w:val="zh-CN"/>
              </w:rPr>
              <w:t>      联系电话：</w:t>
            </w:r>
            <w:r>
              <w:rPr>
                <w:rFonts w:hint="eastAsia" w:ascii="宋体" w:hAnsi="宋体" w:eastAsia="宋体" w:cs="宋体"/>
                <w:color w:val="000000" w:themeColor="text1"/>
                <w:szCs w:val="21"/>
              </w:rPr>
              <w:t>0374-2952270</w:t>
            </w:r>
            <w:r>
              <w:rPr>
                <w:rFonts w:hint="eastAsia" w:ascii="宋体" w:hAnsi="宋体" w:eastAsia="宋体" w:cs="宋体"/>
                <w:color w:val="000000" w:themeColor="text1"/>
                <w:szCs w:val="21"/>
                <w:lang w:val="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河南招标采购服务有限公司</w:t>
            </w:r>
          </w:p>
          <w:p>
            <w:pPr>
              <w:autoSpaceDE w:val="0"/>
              <w:autoSpaceDN w:val="0"/>
              <w:adjustRightInd w:val="0"/>
              <w:spacing w:line="360" w:lineRule="auto"/>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地    址：许昌市城乡一体化芙蓉大道芙蓉商务</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cs="宋体"/>
                <w:color w:val="000000" w:themeColor="text1"/>
                <w:szCs w:val="21"/>
                <w:lang w:eastAsia="zh-CN"/>
              </w:rPr>
              <w:t xml:space="preserve"> 联 系 人：刘</w:t>
            </w:r>
            <w:r>
              <w:rPr>
                <w:rFonts w:hint="eastAsia" w:ascii="宋体" w:hAnsi="宋体" w:cs="宋体"/>
                <w:color w:val="000000" w:themeColor="text1"/>
                <w:szCs w:val="21"/>
                <w:lang w:val="en-US" w:eastAsia="zh-CN"/>
              </w:rPr>
              <w:t>女士</w:t>
            </w:r>
            <w:r>
              <w:rPr>
                <w:rFonts w:hint="eastAsia" w:ascii="宋体" w:hAnsi="宋体" w:cs="宋体"/>
                <w:color w:val="000000" w:themeColor="text1"/>
                <w:szCs w:val="21"/>
                <w:lang w:eastAsia="zh-CN"/>
              </w:rPr>
              <w:t xml:space="preserve">     联系电话：</w:t>
            </w:r>
            <w:r>
              <w:rPr>
                <w:rFonts w:hint="eastAsia" w:ascii="宋体" w:hAnsi="宋体" w:cs="宋体"/>
                <w:color w:val="000000" w:themeColor="text1"/>
                <w:szCs w:val="21"/>
                <w:lang w:val="en-US" w:eastAsia="zh-CN"/>
              </w:rPr>
              <w:t xml:space="preserve">0374-2219766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hint="eastAsia"/>
                <w:lang w:val="zh-CN"/>
              </w:rPr>
            </w:pPr>
            <w:r>
              <w:rPr>
                <w:rFonts w:hint="eastAsia"/>
                <w:lang w:val="zh-CN"/>
              </w:rPr>
              <w:t>一、法人或者其他组织的营业执照等证明文件，自然人的身份证明</w:t>
            </w:r>
          </w:p>
          <w:p>
            <w:pPr>
              <w:autoSpaceDE w:val="0"/>
              <w:autoSpaceDN w:val="0"/>
              <w:adjustRightInd w:val="0"/>
              <w:spacing w:line="360" w:lineRule="auto"/>
              <w:ind w:right="-11"/>
              <w:rPr>
                <w:rFonts w:hint="eastAsia"/>
                <w:lang w:val="zh-CN"/>
              </w:rPr>
            </w:pPr>
            <w:r>
              <w:rPr>
                <w:rFonts w:hint="eastAsia"/>
                <w:lang w:val="zh-CN"/>
              </w:rPr>
              <w:t>1、企业法人营业执照或营业执照。（企业投标提供）</w:t>
            </w:r>
          </w:p>
          <w:p>
            <w:pPr>
              <w:autoSpaceDE w:val="0"/>
              <w:autoSpaceDN w:val="0"/>
              <w:adjustRightInd w:val="0"/>
              <w:spacing w:line="360" w:lineRule="auto"/>
              <w:ind w:right="-11"/>
              <w:rPr>
                <w:rFonts w:hint="eastAsia"/>
                <w:lang w:val="zh-CN"/>
              </w:rPr>
            </w:pPr>
            <w:r>
              <w:rPr>
                <w:rFonts w:hint="eastAsia"/>
                <w:lang w:val="zh-CN"/>
              </w:rPr>
              <w:t>2、事业单位法人证书。（事业单位投标提供）</w:t>
            </w:r>
          </w:p>
          <w:p>
            <w:pPr>
              <w:autoSpaceDE w:val="0"/>
              <w:autoSpaceDN w:val="0"/>
              <w:adjustRightInd w:val="0"/>
              <w:spacing w:line="360" w:lineRule="auto"/>
              <w:ind w:right="-11"/>
              <w:rPr>
                <w:rFonts w:hint="eastAsia"/>
                <w:lang w:val="zh-CN"/>
              </w:rPr>
            </w:pPr>
            <w:r>
              <w:rPr>
                <w:rFonts w:hint="eastAsia"/>
                <w:lang w:val="zh-CN"/>
              </w:rPr>
              <w:t>3、执业许可证。（非专业服务机构投标提供）</w:t>
            </w:r>
          </w:p>
          <w:p>
            <w:pPr>
              <w:autoSpaceDE w:val="0"/>
              <w:autoSpaceDN w:val="0"/>
              <w:adjustRightInd w:val="0"/>
              <w:spacing w:line="360" w:lineRule="auto"/>
              <w:ind w:right="-11"/>
              <w:rPr>
                <w:rFonts w:hint="eastAsia"/>
                <w:lang w:val="zh-CN"/>
              </w:rPr>
            </w:pPr>
            <w:r>
              <w:rPr>
                <w:rFonts w:hint="eastAsia"/>
                <w:lang w:val="zh-CN"/>
              </w:rPr>
              <w:t>4、个体工商户营业执照。（个体工商户投标提供）</w:t>
            </w:r>
          </w:p>
          <w:p>
            <w:pPr>
              <w:autoSpaceDE w:val="0"/>
              <w:autoSpaceDN w:val="0"/>
              <w:adjustRightInd w:val="0"/>
              <w:spacing w:line="360" w:lineRule="auto"/>
              <w:jc w:val="left"/>
              <w:rPr>
                <w:rFonts w:hint="eastAsia"/>
              </w:rPr>
            </w:pPr>
            <w:r>
              <w:rPr>
                <w:rFonts w:hint="eastAsia"/>
                <w:lang w:val="zh-CN"/>
              </w:rPr>
              <w:t>5、自然人身份证明。（自然人投标提供）</w:t>
            </w:r>
          </w:p>
          <w:p>
            <w:pPr>
              <w:autoSpaceDE w:val="0"/>
              <w:autoSpaceDN w:val="0"/>
              <w:adjustRightInd w:val="0"/>
              <w:spacing w:line="360" w:lineRule="auto"/>
              <w:jc w:val="left"/>
              <w:rPr>
                <w:rFonts w:hint="eastAsia"/>
              </w:rPr>
            </w:pPr>
            <w:r>
              <w:rPr>
                <w:rFonts w:hint="eastAsia"/>
              </w:rPr>
              <w:t>二、财务状况报告相关材料</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000000" w:themeColor="text1"/>
                <w:szCs w:val="21"/>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bCs/>
                <w:color w:val="000000" w:themeColor="text1"/>
                <w:szCs w:val="21"/>
              </w:rPr>
            </w:pPr>
            <w:r>
              <w:rPr>
                <w:rFonts w:hint="eastAsia"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p>
            <w:pPr>
              <w:spacing w:line="360" w:lineRule="auto"/>
              <w:rPr>
                <w:rFonts w:hint="eastAsia" w:ascii="宋体" w:hAnsi="宋体"/>
                <w:bCs/>
                <w:color w:val="000000" w:themeColor="text1"/>
                <w:szCs w:val="21"/>
                <w:lang w:val="zh-CN"/>
              </w:rPr>
            </w:pPr>
            <w:r>
              <w:rPr>
                <w:rFonts w:hint="eastAsia" w:ascii="宋体" w:hAnsi="宋体"/>
                <w:bCs/>
                <w:color w:val="000000" w:themeColor="text1"/>
                <w:szCs w:val="21"/>
                <w:lang w:val="en-US" w:eastAsia="zh-CN"/>
              </w:rPr>
              <w:t>三</w:t>
            </w:r>
            <w:r>
              <w:rPr>
                <w:rFonts w:hint="eastAsia" w:ascii="宋体" w:hAnsi="宋体"/>
                <w:bCs/>
                <w:color w:val="000000" w:themeColor="text1"/>
                <w:szCs w:val="21"/>
                <w:lang w:val="zh-CN"/>
              </w:rPr>
              <w:t>、依法缴纳税收相关材料</w:t>
            </w:r>
          </w:p>
          <w:p>
            <w:pPr>
              <w:autoSpaceDE w:val="0"/>
              <w:autoSpaceDN w:val="0"/>
              <w:adjustRightInd w:val="0"/>
              <w:spacing w:line="360" w:lineRule="auto"/>
              <w:ind w:right="-11"/>
              <w:rPr>
                <w:rFonts w:hint="eastAsia"/>
                <w:lang w:val="zh-CN"/>
              </w:rPr>
            </w:pPr>
            <w:r>
              <w:rPr>
                <w:rFonts w:hint="eastAsia"/>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lang w:val="zh-CN"/>
              </w:rPr>
            </w:pPr>
            <w:r>
              <w:rPr>
                <w:rFonts w:hint="eastAsia"/>
                <w:lang w:val="en-US" w:eastAsia="zh-CN"/>
              </w:rPr>
              <w:t>四</w:t>
            </w:r>
            <w:r>
              <w:rPr>
                <w:rFonts w:hint="eastAsia"/>
                <w:lang w:val="zh-CN"/>
              </w:rPr>
              <w:t>、依法缴纳社会保障资金的证明材料</w:t>
            </w:r>
          </w:p>
          <w:p>
            <w:pPr>
              <w:autoSpaceDE w:val="0"/>
              <w:autoSpaceDN w:val="0"/>
              <w:adjustRightInd w:val="0"/>
              <w:spacing w:line="360" w:lineRule="auto"/>
              <w:ind w:right="-11"/>
              <w:rPr>
                <w:rFonts w:hint="eastAsia"/>
                <w:lang w:val="zh-CN"/>
              </w:rPr>
            </w:pPr>
            <w:r>
              <w:rPr>
                <w:rFonts w:hint="eastAsia"/>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lang w:val="zh-CN"/>
              </w:rPr>
            </w:pPr>
            <w:r>
              <w:rPr>
                <w:rFonts w:hint="eastAsia"/>
                <w:lang w:val="en-US" w:eastAsia="zh-CN"/>
              </w:rPr>
              <w:t>五</w:t>
            </w:r>
            <w:r>
              <w:rPr>
                <w:rFonts w:hint="eastAsia"/>
                <w:lang w:val="zh-CN"/>
              </w:rPr>
              <w:t>、履行合同所必须的设备和专业技术能力的证明材料</w:t>
            </w:r>
          </w:p>
          <w:p>
            <w:pPr>
              <w:autoSpaceDE w:val="0"/>
              <w:autoSpaceDN w:val="0"/>
              <w:adjustRightInd w:val="0"/>
              <w:spacing w:line="360" w:lineRule="auto"/>
              <w:ind w:right="-11"/>
              <w:rPr>
                <w:rFonts w:hint="eastAsia"/>
                <w:lang w:val="zh-CN"/>
              </w:rPr>
            </w:pPr>
            <w:r>
              <w:rPr>
                <w:rFonts w:hint="eastAsia"/>
                <w:lang w:val="zh-CN"/>
              </w:rPr>
              <w:t>相关设备的购置发票、专业技术人员职称证书、用工合同等或者投标人相关承诺函或声明。</w:t>
            </w:r>
          </w:p>
          <w:p>
            <w:pPr>
              <w:autoSpaceDE w:val="0"/>
              <w:autoSpaceDN w:val="0"/>
              <w:adjustRightInd w:val="0"/>
              <w:spacing w:line="360" w:lineRule="auto"/>
              <w:ind w:right="-11"/>
              <w:rPr>
                <w:rFonts w:hint="eastAsia"/>
                <w:lang w:val="zh-CN"/>
              </w:rPr>
            </w:pPr>
            <w:r>
              <w:rPr>
                <w:rFonts w:hint="eastAsia"/>
                <w:lang w:val="en-US" w:eastAsia="zh-CN"/>
              </w:rPr>
              <w:t>六</w:t>
            </w:r>
            <w:r>
              <w:rPr>
                <w:rFonts w:hint="eastAsia"/>
                <w:lang w:val="zh-CN"/>
              </w:rPr>
              <w:t>、参加政府采购活动前3年内在经营活动中没有重大违法记录的声明</w:t>
            </w:r>
          </w:p>
          <w:p>
            <w:pPr>
              <w:autoSpaceDE w:val="0"/>
              <w:autoSpaceDN w:val="0"/>
              <w:adjustRightInd w:val="0"/>
              <w:spacing w:line="360" w:lineRule="auto"/>
              <w:ind w:right="-11"/>
              <w:rPr>
                <w:rFonts w:hint="eastAsia"/>
                <w:lang w:val="zh-CN"/>
              </w:rPr>
            </w:pPr>
            <w:r>
              <w:rPr>
                <w:rFonts w:hint="eastAsia"/>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lang w:val="zh-CN"/>
              </w:rPr>
            </w:pPr>
            <w:r>
              <w:rPr>
                <w:rFonts w:hint="eastAsia"/>
                <w:lang w:val="en-US" w:eastAsia="zh-CN"/>
              </w:rPr>
              <w:t>七</w:t>
            </w:r>
            <w:r>
              <w:rPr>
                <w:rFonts w:hint="eastAsia"/>
                <w:lang w:val="zh-CN"/>
              </w:rPr>
              <w:t>、未被列入“信用中国”网站(www.creditchina.gov.cn)失信被执行人、重大税收违法案件当事人名单、政府采购严重违法失信名单的投标人；“中国政府采购网” (www.ccgp.gov.cn)政府采购严重违法失信行为记录名单的投标人。</w:t>
            </w:r>
          </w:p>
          <w:p>
            <w:pPr>
              <w:autoSpaceDE w:val="0"/>
              <w:autoSpaceDN w:val="0"/>
              <w:adjustRightInd w:val="0"/>
              <w:spacing w:line="360" w:lineRule="auto"/>
              <w:ind w:right="-11"/>
              <w:rPr>
                <w:rFonts w:hint="eastAsia"/>
                <w:lang w:val="zh-CN"/>
              </w:rPr>
            </w:pPr>
            <w:r>
              <w:rPr>
                <w:rFonts w:hint="eastAsia"/>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rFonts w:hint="eastAsia"/>
                <w:lang w:val="zh-CN"/>
              </w:rPr>
            </w:pPr>
            <w:r>
              <w:rPr>
                <w:rFonts w:hint="eastAsia"/>
                <w:lang w:val="zh-CN"/>
              </w:rPr>
              <w:t>（1）查询渠道：“信用中国”网站（www.creditchina.gov.cn）和“中国政府采购网”（www.ccgp.gov.cn）；</w:t>
            </w:r>
          </w:p>
          <w:p>
            <w:pPr>
              <w:autoSpaceDE w:val="0"/>
              <w:autoSpaceDN w:val="0"/>
              <w:adjustRightInd w:val="0"/>
              <w:spacing w:line="360" w:lineRule="auto"/>
              <w:ind w:right="-11"/>
              <w:rPr>
                <w:rFonts w:hint="eastAsia"/>
                <w:lang w:val="zh-CN"/>
              </w:rPr>
            </w:pPr>
            <w:r>
              <w:rPr>
                <w:rFonts w:hint="eastAsia"/>
                <w:lang w:val="zh-CN"/>
              </w:rPr>
              <w:t>（2）截止时间：同投标截止时间；</w:t>
            </w:r>
          </w:p>
          <w:p>
            <w:pPr>
              <w:autoSpaceDE w:val="0"/>
              <w:autoSpaceDN w:val="0"/>
              <w:adjustRightInd w:val="0"/>
              <w:spacing w:line="360" w:lineRule="auto"/>
              <w:ind w:right="-11"/>
              <w:rPr>
                <w:rFonts w:hint="eastAsia"/>
                <w:lang w:val="zh-CN"/>
              </w:rPr>
            </w:pPr>
            <w:r>
              <w:rPr>
                <w:rFonts w:hint="eastAsia"/>
                <w:lang w:val="zh-CN"/>
              </w:rPr>
              <w:t>（3）信用信息查询记录和证据留存具体方式：经采购人确认的查询结果网页截图作为查询记录和证据，与其他采购文件一并保存；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lang w:val="zh-CN"/>
              </w:rPr>
            </w:pPr>
            <w:r>
              <w:rPr>
                <w:rFonts w:hint="eastAsia"/>
                <w:lang w:val="zh-CN"/>
              </w:rPr>
              <w:t>（4）信用信息的使用原则：经采购人认定的被列入失信被执行人、重大税收违法案件当事人名单、政府采购严重违法失信行为记录名单的投标人，将拒绝其参与政府采购活动。</w:t>
            </w:r>
          </w:p>
          <w:p>
            <w:pPr>
              <w:autoSpaceDE w:val="0"/>
              <w:autoSpaceDN w:val="0"/>
              <w:adjustRightInd w:val="0"/>
              <w:spacing w:line="360" w:lineRule="auto"/>
              <w:ind w:right="-11"/>
              <w:rPr>
                <w:rFonts w:hint="eastAsia"/>
                <w:lang w:val="zh-CN"/>
              </w:rPr>
            </w:pPr>
            <w:r>
              <w:rPr>
                <w:rFonts w:hint="eastAsia"/>
                <w:lang w:val="en-US" w:eastAsia="zh-CN"/>
              </w:rPr>
              <w:t>八</w:t>
            </w:r>
            <w:r>
              <w:rPr>
                <w:rFonts w:hint="eastAsia"/>
                <w:lang w:val="zh-CN"/>
              </w:rPr>
              <w:t>、报价</w:t>
            </w:r>
          </w:p>
          <w:p>
            <w:pPr>
              <w:autoSpaceDE w:val="0"/>
              <w:autoSpaceDN w:val="0"/>
              <w:adjustRightInd w:val="0"/>
              <w:spacing w:line="360" w:lineRule="auto"/>
              <w:ind w:right="-11"/>
              <w:rPr>
                <w:rFonts w:hint="eastAsia"/>
                <w:lang w:val="zh-CN"/>
              </w:rPr>
            </w:pPr>
            <w:r>
              <w:rPr>
                <w:rFonts w:hint="eastAsia"/>
                <w:lang w:val="zh-CN"/>
              </w:rPr>
              <w:t>是否超出招标文件中规定的预算金额，超出预算金额的投标无效。如投标人须知前附表规定最高限价，则超出预算金额和最高限价的投标无效。</w:t>
            </w:r>
          </w:p>
          <w:p>
            <w:pPr>
              <w:autoSpaceDE w:val="0"/>
              <w:autoSpaceDN w:val="0"/>
              <w:adjustRightInd w:val="0"/>
              <w:spacing w:line="360" w:lineRule="auto"/>
              <w:ind w:right="-11"/>
              <w:rPr>
                <w:rFonts w:hint="eastAsia"/>
                <w:lang w:val="zh-CN"/>
              </w:rPr>
            </w:pPr>
            <w:r>
              <w:rPr>
                <w:rFonts w:hint="eastAsia"/>
                <w:lang w:val="en-US" w:eastAsia="zh-CN"/>
              </w:rPr>
              <w:t>九</w:t>
            </w:r>
            <w:r>
              <w:rPr>
                <w:rFonts w:hint="eastAsia"/>
                <w:lang w:val="zh-CN"/>
              </w:rPr>
              <w:t>、联合体协议</w:t>
            </w:r>
          </w:p>
          <w:p>
            <w:pPr>
              <w:autoSpaceDE w:val="0"/>
              <w:autoSpaceDN w:val="0"/>
              <w:adjustRightInd w:val="0"/>
              <w:spacing w:line="360" w:lineRule="auto"/>
              <w:ind w:right="-11"/>
              <w:rPr>
                <w:rFonts w:hint="eastAsia"/>
                <w:lang w:val="zh-CN"/>
              </w:rPr>
            </w:pPr>
            <w:r>
              <w:rPr>
                <w:rFonts w:hint="eastAsia"/>
                <w:lang w:val="zh-CN"/>
              </w:rPr>
              <w:t>招标文件接受联合体投标且投标人为联合体的，投标人应提供本协议；否则无须提供。</w:t>
            </w:r>
          </w:p>
          <w:p>
            <w:pPr>
              <w:autoSpaceDE w:val="0"/>
              <w:autoSpaceDN w:val="0"/>
              <w:adjustRightInd w:val="0"/>
              <w:spacing w:line="360" w:lineRule="auto"/>
              <w:ind w:right="-11"/>
              <w:rPr>
                <w:rFonts w:hint="eastAsia"/>
                <w:lang w:val="zh-CN"/>
              </w:rPr>
            </w:pPr>
            <w:r>
              <w:rPr>
                <w:rFonts w:hint="eastAsia"/>
                <w:lang w:val="en-US" w:eastAsia="zh-CN"/>
              </w:rPr>
              <w:t>十</w:t>
            </w:r>
            <w:r>
              <w:rPr>
                <w:rFonts w:hint="eastAsia"/>
                <w:lang w:val="zh-CN"/>
              </w:rPr>
              <w:t>、投标保证金</w:t>
            </w:r>
          </w:p>
          <w:p>
            <w:pPr>
              <w:autoSpaceDE w:val="0"/>
              <w:autoSpaceDN w:val="0"/>
              <w:adjustRightInd w:val="0"/>
              <w:spacing w:line="360" w:lineRule="auto"/>
              <w:ind w:right="-11"/>
              <w:rPr>
                <w:rFonts w:hint="eastAsia"/>
                <w:lang w:val="zh-CN"/>
              </w:rPr>
            </w:pPr>
            <w:r>
              <w:rPr>
                <w:rFonts w:hint="eastAsia"/>
                <w:lang w:val="zh-CN"/>
              </w:rPr>
              <w:t>是否按投标人须知前附表规定成功交纳。</w:t>
            </w:r>
          </w:p>
          <w:p>
            <w:pPr>
              <w:autoSpaceDE w:val="0"/>
              <w:autoSpaceDN w:val="0"/>
              <w:adjustRightInd w:val="0"/>
              <w:spacing w:line="360" w:lineRule="auto"/>
              <w:ind w:right="-11"/>
              <w:rPr>
                <w:rFonts w:hint="eastAsia"/>
                <w:lang w:val="zh-CN"/>
              </w:rPr>
            </w:pPr>
            <w:r>
              <w:rPr>
                <w:rFonts w:hint="eastAsia"/>
                <w:lang w:val="en-US" w:eastAsia="zh-CN"/>
              </w:rPr>
              <w:t>十一</w:t>
            </w:r>
            <w:r>
              <w:rPr>
                <w:rFonts w:hint="eastAsia"/>
                <w:lang w:val="zh-CN"/>
              </w:rPr>
              <w:t>、法定代表人身份证明或提供法定代表人授权委托书及被授权人身份证明。</w:t>
            </w:r>
          </w:p>
          <w:p>
            <w:pPr>
              <w:autoSpaceDE w:val="0"/>
              <w:autoSpaceDN w:val="0"/>
              <w:adjustRightInd w:val="0"/>
              <w:spacing w:line="360" w:lineRule="auto"/>
              <w:ind w:right="-11"/>
              <w:rPr>
                <w:rFonts w:hint="eastAsia"/>
              </w:rPr>
            </w:pPr>
            <w:r>
              <w:rPr>
                <w:rFonts w:hint="eastAsia"/>
                <w:lang w:val="en-US" w:eastAsia="zh-CN"/>
              </w:rPr>
              <w:t>十二、投标人须具备城乡规划编制乙级及以上资质；具备风景园林工程设计甲级及以上专项资</w:t>
            </w:r>
            <w:bookmarkStart w:id="13" w:name="_GoBack"/>
            <w:bookmarkEnd w:id="13"/>
            <w:r>
              <w:rPr>
                <w:rFonts w:hint="eastAsia"/>
                <w:lang w:val="en-US" w:eastAsia="zh-CN"/>
              </w:rPr>
              <w:t>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本项目</w:t>
            </w: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color w:val="000000" w:themeColor="text1"/>
                <w:kern w:val="0"/>
                <w:szCs w:val="21"/>
              </w:rPr>
              <w:t>不接受</w:t>
            </w:r>
            <w:r>
              <w:rPr>
                <w:rFonts w:hint="eastAsia" w:ascii="宋体" w:hAnsi="宋体" w:eastAsia="宋体" w:cs="宋体"/>
                <w:b/>
                <w:bCs w:val="0"/>
                <w:i w:val="0"/>
                <w:iCs w:val="0"/>
                <w:color w:val="000000" w:themeColor="text1"/>
                <w:szCs w:val="21"/>
                <w:lang w:val="zh-CN"/>
              </w:rPr>
              <w:sym w:font="Wingdings 2" w:char="0052"/>
            </w:r>
            <w:r>
              <w:rPr>
                <w:rFonts w:hint="eastAsia" w:ascii="宋体" w:hAnsi="宋体" w:eastAsia="宋体" w:cs="宋体"/>
                <w:bCs/>
                <w:color w:val="000000" w:themeColor="text1"/>
                <w:szCs w:val="21"/>
                <w:lang w:val="zh-CN"/>
              </w:rPr>
              <w:t>接受</w:t>
            </w:r>
            <w:r>
              <w:rPr>
                <w:rFonts w:hint="eastAsia" w:ascii="宋体" w:hAnsi="宋体" w:eastAsia="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最高限价</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1418万元，超出最高限价的投标无效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不组织</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不召开</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60天（自</w:t>
            </w:r>
            <w:r>
              <w:rPr>
                <w:rFonts w:hint="eastAsia" w:ascii="宋体" w:hAnsi="宋体" w:eastAsia="宋体" w:cs="宋体"/>
                <w:color w:val="000000" w:themeColor="text1"/>
                <w:kern w:val="0"/>
                <w:szCs w:val="21"/>
              </w:rPr>
              <w:t>提交投标文件的截止之日起算</w:t>
            </w:r>
            <w:r>
              <w:rPr>
                <w:rFonts w:hint="eastAsia" w:ascii="宋体" w:hAnsi="宋体" w:eastAsia="宋体" w:cs="宋体"/>
                <w:color w:val="000000" w:themeColor="text1"/>
                <w:szCs w:val="21"/>
              </w:rPr>
              <w:t>）</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中标人投标有效期延至合同验收之日，</w:t>
            </w:r>
            <w:r>
              <w:rPr>
                <w:rFonts w:hint="eastAsia" w:ascii="宋体" w:hAnsi="宋体" w:eastAsia="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2018年</w:t>
            </w:r>
            <w:r>
              <w:rPr>
                <w:rFonts w:hint="eastAsia" w:ascii="宋体" w:hAnsi="宋体" w:cs="宋体"/>
                <w:bCs/>
                <w:color w:val="000000" w:themeColor="text1"/>
                <w:szCs w:val="21"/>
                <w:lang w:val="en-US" w:eastAsia="zh-CN"/>
              </w:rPr>
              <w:t>10</w:t>
            </w:r>
            <w:r>
              <w:rPr>
                <w:rFonts w:hint="eastAsia" w:ascii="宋体" w:hAnsi="宋体" w:eastAsia="宋体" w:cs="宋体"/>
                <w:bCs/>
                <w:color w:val="000000" w:themeColor="text1"/>
                <w:szCs w:val="21"/>
                <w:lang w:val="zh-CN"/>
              </w:rPr>
              <w:t>月</w:t>
            </w:r>
            <w:r>
              <w:rPr>
                <w:rFonts w:hint="eastAsia" w:ascii="宋体" w:hAnsi="宋体" w:cs="宋体"/>
                <w:bCs/>
                <w:color w:val="000000" w:themeColor="text1"/>
                <w:szCs w:val="21"/>
                <w:lang w:val="en-US" w:eastAsia="zh-CN"/>
              </w:rPr>
              <w:t>18</w:t>
            </w:r>
            <w:r>
              <w:rPr>
                <w:rFonts w:hint="eastAsia" w:ascii="宋体" w:hAnsi="宋体" w:eastAsia="宋体" w:cs="宋体"/>
                <w:bCs/>
                <w:color w:val="000000" w:themeColor="text1"/>
                <w:szCs w:val="21"/>
                <w:lang w:val="zh-CN"/>
              </w:rPr>
              <w:t>日</w:t>
            </w:r>
            <w:r>
              <w:rPr>
                <w:rFonts w:hint="eastAsia" w:ascii="宋体" w:hAnsi="宋体" w:cs="宋体"/>
                <w:bCs/>
                <w:color w:val="000000" w:themeColor="text1"/>
                <w:szCs w:val="21"/>
                <w:lang w:val="en-US" w:eastAsia="zh-CN"/>
              </w:rPr>
              <w:t>9</w:t>
            </w:r>
            <w:r>
              <w:rPr>
                <w:rFonts w:hint="eastAsia" w:ascii="宋体" w:hAnsi="宋体" w:eastAsia="宋体" w:cs="宋体"/>
                <w:bCs/>
                <w:color w:val="000000" w:themeColor="text1"/>
                <w:szCs w:val="21"/>
                <w:lang w:val="zh-CN"/>
              </w:rPr>
              <w:t>时</w:t>
            </w:r>
            <w:r>
              <w:rPr>
                <w:rFonts w:hint="eastAsia" w:ascii="宋体" w:hAnsi="宋体" w:cs="宋体"/>
                <w:bCs/>
                <w:color w:val="000000" w:themeColor="text1"/>
                <w:szCs w:val="21"/>
                <w:lang w:val="en-US" w:eastAsia="zh-CN"/>
              </w:rPr>
              <w:t>30</w:t>
            </w:r>
            <w:r>
              <w:rPr>
                <w:rFonts w:hint="eastAsia" w:ascii="宋体" w:hAnsi="宋体" w:eastAsia="宋体" w:cs="宋体"/>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递交投标文件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许昌市公共资源交易中心三楼开标</w:t>
            </w:r>
            <w:r>
              <w:rPr>
                <w:rFonts w:hint="eastAsia" w:ascii="宋体" w:hAnsi="宋体" w:eastAsia="宋体" w:cs="宋体"/>
                <w:bCs/>
                <w:color w:val="000000" w:themeColor="text1"/>
                <w:szCs w:val="21"/>
                <w:u w:val="single"/>
                <w:lang w:val="zh-CN"/>
              </w:rPr>
              <w:t xml:space="preserve"> </w:t>
            </w:r>
            <w:r>
              <w:rPr>
                <w:rFonts w:hint="eastAsia" w:ascii="宋体" w:hAnsi="宋体" w:cs="宋体"/>
                <w:bCs/>
                <w:color w:val="000000" w:themeColor="text1"/>
                <w:szCs w:val="21"/>
                <w:u w:val="single"/>
                <w:lang w:val="en-US" w:eastAsia="zh-CN"/>
              </w:rPr>
              <w:t>一</w:t>
            </w:r>
            <w:r>
              <w:rPr>
                <w:rFonts w:hint="eastAsia" w:ascii="宋体" w:hAnsi="宋体" w:eastAsia="宋体" w:cs="宋体"/>
                <w:bCs/>
                <w:color w:val="000000" w:themeColor="text1"/>
                <w:szCs w:val="21"/>
                <w:u w:val="single"/>
                <w:lang w:val="zh-CN"/>
              </w:rPr>
              <w:t xml:space="preserve"> </w:t>
            </w:r>
            <w:r>
              <w:rPr>
                <w:rFonts w:hint="eastAsia" w:ascii="宋体" w:hAnsi="宋体" w:eastAsia="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金额：</w:t>
            </w:r>
            <w:r>
              <w:rPr>
                <w:rFonts w:hint="eastAsia" w:ascii="宋体" w:hAnsi="宋体" w:cs="宋体"/>
                <w:color w:val="000000" w:themeColor="text1"/>
                <w:szCs w:val="21"/>
                <w:lang w:val="en-US" w:eastAsia="zh-CN"/>
              </w:rPr>
              <w:t>拾万</w:t>
            </w:r>
            <w:r>
              <w:rPr>
                <w:rFonts w:hint="eastAsia" w:ascii="宋体" w:hAnsi="宋体" w:eastAsia="宋体" w:cs="宋体"/>
                <w:color w:val="000000" w:themeColor="text1"/>
                <w:szCs w:val="21"/>
                <w:lang w:val="zh-CN"/>
              </w:rPr>
              <w:t>元整（¥</w:t>
            </w:r>
            <w:r>
              <w:rPr>
                <w:rFonts w:hint="eastAsia" w:ascii="宋体" w:hAnsi="宋体" w:cs="宋体"/>
                <w:color w:val="000000" w:themeColor="text1"/>
                <w:szCs w:val="21"/>
                <w:lang w:val="en-US" w:eastAsia="zh-CN"/>
              </w:rPr>
              <w:t>100</w:t>
            </w:r>
            <w:r>
              <w:rPr>
                <w:rFonts w:hint="eastAsia" w:ascii="宋体" w:hAnsi="宋体" w:eastAsia="宋体" w:cs="宋体"/>
                <w:color w:val="000000" w:themeColor="text1"/>
                <w:szCs w:val="21"/>
              </w:rPr>
              <w:t>000.00</w:t>
            </w:r>
            <w:r>
              <w:rPr>
                <w:rFonts w:hint="eastAsia" w:ascii="宋体" w:hAnsi="宋体" w:eastAsia="宋体" w:cs="宋体"/>
                <w:color w:val="000000" w:themeColor="text1"/>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1、投标人网上下载招标文件后，登录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Cs w:val="21"/>
                <w:lang w:val="zh-CN"/>
              </w:rPr>
              <w:t>http://221.14.6.70:8088/ggzy</w:t>
            </w:r>
            <w:r>
              <w:rPr>
                <w:rFonts w:hint="eastAsia" w:ascii="宋体" w:hAnsi="宋体" w:eastAsia="宋体" w:cs="宋体"/>
                <w:color w:val="000000" w:themeColor="text1"/>
                <w:szCs w:val="21"/>
                <w:lang w:val="zh-CN"/>
              </w:rPr>
              <w:fldChar w:fldCharType="end"/>
            </w:r>
            <w:r>
              <w:rPr>
                <w:rFonts w:hint="eastAsia" w:ascii="宋体" w:hAnsi="宋体" w:eastAsia="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采购人澄清或修改</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投标截止时间15日前（</w:t>
            </w:r>
            <w:r>
              <w:rPr>
                <w:rFonts w:hint="eastAsia" w:ascii="宋体" w:hAnsi="宋体" w:eastAsia="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投标人对采购文件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电子投标文件：成功上传至《全国公共资源交易平台（河南省·许昌市）》公共资源交易系统加密电子投标文件1份</w:t>
            </w:r>
            <w:r>
              <w:rPr>
                <w:rFonts w:hint="eastAsia" w:ascii="宋体" w:hAnsi="宋体" w:eastAsia="宋体" w:cs="宋体"/>
                <w:color w:val="000000" w:themeColor="text1"/>
                <w:szCs w:val="21"/>
                <w:lang w:val="zh-CN"/>
              </w:rPr>
              <w:t>（文件格式为： XXX公司XXX项目编号.file）。</w:t>
            </w:r>
            <w:r>
              <w:rPr>
                <w:rFonts w:hint="eastAsia" w:ascii="宋体" w:hAnsi="宋体" w:eastAsia="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纸质投标文件：正本</w:t>
            </w:r>
            <w:r>
              <w:rPr>
                <w:rFonts w:hint="eastAsia" w:ascii="宋体" w:hAnsi="宋体" w:eastAsia="宋体" w:cs="宋体"/>
                <w:b/>
                <w:color w:val="000000" w:themeColor="text1"/>
                <w:szCs w:val="21"/>
              </w:rPr>
              <w:t>一</w:t>
            </w:r>
            <w:r>
              <w:rPr>
                <w:rFonts w:hint="eastAsia" w:ascii="宋体" w:hAnsi="宋体" w:eastAsia="宋体" w:cs="宋体"/>
                <w:color w:val="000000" w:themeColor="text1"/>
                <w:szCs w:val="21"/>
              </w:rPr>
              <w:t>份，副本</w:t>
            </w:r>
            <w:r>
              <w:rPr>
                <w:rFonts w:hint="eastAsia" w:ascii="宋体" w:hAnsi="宋体" w:cs="宋体"/>
                <w:color w:val="000000" w:themeColor="text1"/>
                <w:szCs w:val="21"/>
                <w:u w:val="single"/>
                <w:lang w:val="en-US" w:eastAsia="zh-CN"/>
              </w:rPr>
              <w:t xml:space="preserve"> </w:t>
            </w:r>
            <w:r>
              <w:rPr>
                <w:rFonts w:hint="eastAsia" w:ascii="宋体" w:hAnsi="宋体" w:eastAsia="宋体" w:cs="宋体"/>
                <w:color w:val="000000" w:themeColor="text1"/>
                <w:szCs w:val="21"/>
                <w:u w:val="single"/>
              </w:rPr>
              <w:t xml:space="preserve">1 </w:t>
            </w:r>
            <w:r>
              <w:rPr>
                <w:rFonts w:hint="eastAsia" w:ascii="宋体" w:hAnsi="宋体" w:eastAsia="宋体" w:cs="宋体"/>
                <w:color w:val="000000" w:themeColor="text1"/>
                <w:szCs w:val="21"/>
              </w:rPr>
              <w:t>份。使用格式为“投标文件（供打印）.PDF”的文件</w:t>
            </w:r>
          </w:p>
          <w:p>
            <w:pPr>
              <w:autoSpaceDE w:val="0"/>
              <w:autoSpaceDN w:val="0"/>
              <w:adjustRightInd w:val="0"/>
              <w:spacing w:line="360" w:lineRule="auto"/>
              <w:rPr>
                <w:rFonts w:hint="eastAsia" w:ascii="宋体" w:hAnsi="宋体" w:eastAsia="宋体" w:cs="宋体"/>
                <w:bCs/>
                <w:color w:val="000000" w:themeColor="text1"/>
                <w:szCs w:val="21"/>
                <w:highlight w:val="lightGray"/>
                <w:lang w:val="zh-CN"/>
              </w:rPr>
            </w:pPr>
            <w:r>
              <w:rPr>
                <w:rFonts w:hint="eastAsia" w:ascii="宋体" w:hAnsi="宋体" w:eastAsia="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投标文件的</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000000" w:themeColor="text1"/>
                <w:szCs w:val="21"/>
                <w:highlight w:val="lightGray"/>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由采购人代表和评审专家</w:t>
            </w:r>
            <w:r>
              <w:rPr>
                <w:rFonts w:hint="eastAsia" w:ascii="宋体" w:hAnsi="宋体" w:cs="宋体"/>
                <w:color w:val="000000" w:themeColor="text1"/>
                <w:szCs w:val="21"/>
                <w:lang w:val="en-US" w:eastAsia="zh-CN"/>
              </w:rPr>
              <w:t>共7人</w:t>
            </w:r>
            <w:r>
              <w:rPr>
                <w:rFonts w:hint="eastAsia" w:ascii="宋体" w:hAnsi="宋体" w:eastAsia="宋体" w:cs="宋体"/>
                <w:color w:val="000000" w:themeColor="text1"/>
                <w:szCs w:val="21"/>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综合评分法</w:t>
            </w:r>
            <w:r>
              <w:rPr>
                <w:rFonts w:hint="eastAsia" w:ascii="宋体" w:hAnsi="宋体" w:eastAsia="宋体" w:cs="宋体"/>
                <w:color w:val="000000" w:themeColor="text1"/>
                <w:kern w:val="0"/>
                <w:szCs w:val="21"/>
                <w:lang w:val="zh-CN"/>
              </w:rPr>
              <w:t xml:space="preserve">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无要求</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要求提交。履约保证金的数额为合同金额的</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不收取</w:t>
            </w:r>
          </w:p>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收取中标人。</w:t>
            </w: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收取采购人。</w:t>
            </w:r>
            <w:r>
              <w:rPr>
                <w:rFonts w:hint="eastAsia" w:ascii="宋体" w:hAnsi="宋体" w:eastAsia="宋体" w:cs="宋体"/>
                <w:color w:val="000000" w:themeColor="text1"/>
                <w:szCs w:val="21"/>
              </w:rPr>
              <w:t>收取标准:国家计委计价格[2002]1980号文件及发改办价格[2003]857号文件。一次性以银行划账、电汇、汇票或支票的形式支付。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cs="宋体"/>
                <w:bCs/>
                <w:sz w:val="24"/>
              </w:rPr>
              <w:t>xiaofeng20051115@126.com</w:t>
            </w:r>
            <w:r>
              <w:rPr>
                <w:rFonts w:hint="eastAsia" w:ascii="宋体" w:hAnsi="宋体" w:eastAsia="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是。</w:t>
            </w:r>
            <w:r>
              <w:rPr>
                <w:rFonts w:hint="eastAsia" w:ascii="宋体" w:hAnsi="宋体" w:eastAsia="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br w:type="page"/>
      </w: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5"/>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5"/>
        <w:autoSpaceDE w:val="0"/>
        <w:autoSpaceDN w:val="0"/>
        <w:spacing w:line="360" w:lineRule="auto"/>
        <w:ind w:left="780"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5"/>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5"/>
        <w:numPr>
          <w:ilvl w:val="1"/>
          <w:numId w:val="11"/>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5"/>
        <w:numPr>
          <w:ilvl w:val="1"/>
          <w:numId w:val="12"/>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5"/>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5"/>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5"/>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5"/>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5"/>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5"/>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5"/>
        <w:numPr>
          <w:ilvl w:val="0"/>
          <w:numId w:val="1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5"/>
        <w:numPr>
          <w:ilvl w:val="1"/>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5"/>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5"/>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5"/>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5"/>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5"/>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5"/>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5"/>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5"/>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5"/>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5"/>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5"/>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5"/>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5"/>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5"/>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5"/>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5"/>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br w:type="page"/>
      </w: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000000" w:themeColor="text1"/>
                <w:szCs w:val="21"/>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宋体" w:hAnsi="宋体" w:eastAsia="宋体"/>
                <w:b/>
                <w:color w:val="000000" w:themeColor="text1"/>
                <w:szCs w:val="21"/>
                <w:lang w:val="en-US" w:eastAsia="zh-CN"/>
              </w:rPr>
            </w:pPr>
            <w:r>
              <w:rPr>
                <w:rFonts w:hint="eastAsia" w:ascii="宋体" w:hAnsi="宋体"/>
                <w:b/>
                <w:color w:val="000000" w:themeColor="text1"/>
                <w:szCs w:val="21"/>
                <w:lang w:val="en-US" w:eastAsia="zh-CN"/>
              </w:rPr>
              <w:t>13、投标人须具备城乡规划编制乙级及以上资质；具备风景园林工程设计甲级及以上专项资质。</w:t>
            </w:r>
          </w:p>
        </w:tc>
      </w:tr>
    </w:tbl>
    <w:p>
      <w:pPr>
        <w:pStyle w:val="14"/>
        <w:spacing w:line="360" w:lineRule="auto"/>
        <w:ind w:firstLine="482" w:firstLineChars="200"/>
        <w:contextualSpacing/>
        <w:rPr>
          <w:rFonts w:ascii="宋体" w:cs="仿宋_GB2312"/>
          <w:b/>
          <w:color w:val="000000" w:themeColor="text1"/>
          <w:szCs w:val="24"/>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14"/>
        <w:spacing w:line="360" w:lineRule="auto"/>
        <w:ind w:firstLine="562" w:firstLineChars="200"/>
        <w:contextualSpacing/>
        <w:rPr>
          <w:rFonts w:ascii="仿宋" w:hAnsi="仿宋" w:eastAsia="仿宋" w:cs="仿宋"/>
          <w:color w:val="auto"/>
          <w:sz w:val="32"/>
          <w:szCs w:val="32"/>
          <w:lang w:val="zh-CN"/>
        </w:rPr>
      </w:pPr>
      <w:r>
        <w:rPr>
          <w:rFonts w:hint="eastAsia" w:ascii="仿宋" w:hAnsi="仿宋" w:eastAsia="仿宋" w:cs="仿宋"/>
          <w:b/>
          <w:bCs/>
          <w:color w:val="000000" w:themeColor="text1"/>
          <w:sz w:val="28"/>
          <w:szCs w:val="28"/>
          <w:lang w:val="zh-CN"/>
        </w:rPr>
        <w:t>五、评标方法和评标标准</w:t>
      </w:r>
    </w:p>
    <w:tbl>
      <w:tblPr>
        <w:tblStyle w:val="27"/>
        <w:tblW w:w="10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34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8815" w:type="dxa"/>
            <w:gridSpan w:val="2"/>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价格分值：</w:t>
            </w:r>
            <w:r>
              <w:rPr>
                <w:rFonts w:hint="eastAsia" w:ascii="宋体" w:hAnsi="宋体" w:eastAsia="宋体" w:cs="宋体"/>
                <w:color w:val="auto"/>
                <w:sz w:val="21"/>
                <w:szCs w:val="21"/>
                <w:u w:val="single"/>
              </w:rPr>
              <w:t>20</w:t>
            </w:r>
            <w:r>
              <w:rPr>
                <w:rFonts w:hint="eastAsia" w:ascii="宋体" w:hAnsi="宋体" w:eastAsia="宋体" w:cs="宋体"/>
                <w:color w:val="auto"/>
                <w:sz w:val="21"/>
                <w:szCs w:val="21"/>
              </w:rPr>
              <w:t>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u w:val="single"/>
              </w:rPr>
              <w:t>55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0" w:type="dxa"/>
            <w:gridSpan w:val="3"/>
            <w:tcBorders>
              <w:bottom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价格部分（满分</w:t>
            </w:r>
            <w:r>
              <w:rPr>
                <w:rFonts w:hint="eastAsia" w:ascii="宋体" w:hAnsi="宋体" w:eastAsia="宋体" w:cs="宋体"/>
                <w:b/>
                <w:color w:val="auto"/>
                <w:sz w:val="21"/>
                <w:szCs w:val="21"/>
                <w:u w:val="single"/>
              </w:rPr>
              <w:t>20</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7346"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1469" w:type="dxa"/>
            <w:tcBorders>
              <w:top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1495" w:type="dxa"/>
            <w:tcBorders>
              <w:top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c>
          <w:tcPr>
            <w:tcW w:w="7346" w:type="dxa"/>
            <w:tcBorders>
              <w:top w:val="single" w:color="auto" w:sz="4" w:space="0"/>
            </w:tcBorders>
            <w:vAlign w:val="center"/>
          </w:tcPr>
          <w:p>
            <w:pPr>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评标基准价：满足招标文件要求的有效投标报价中，最低的投标报价为评标基准价。</w:t>
            </w:r>
          </w:p>
          <w:p>
            <w:pPr>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u w:val="single"/>
              </w:rPr>
              <w:t>20</w:t>
            </w:r>
          </w:p>
        </w:tc>
        <w:tc>
          <w:tcPr>
            <w:tcW w:w="1469" w:type="dxa"/>
            <w:tcBorders>
              <w:top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20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10" w:type="dxa"/>
            <w:gridSpan w:val="3"/>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商务部分（满分</w:t>
            </w:r>
            <w:r>
              <w:rPr>
                <w:rFonts w:hint="eastAsia" w:ascii="宋体" w:hAnsi="宋体" w:eastAsia="宋体" w:cs="宋体"/>
                <w:b/>
                <w:color w:val="auto"/>
                <w:sz w:val="21"/>
                <w:szCs w:val="21"/>
                <w:u w:val="single"/>
              </w:rPr>
              <w:t>25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tcBorders>
              <w:bottom w:val="single" w:color="auto" w:sz="4" w:space="0"/>
            </w:tcBorders>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7346" w:type="dxa"/>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1469"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其他专业人员证书情况</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7346" w:type="dxa"/>
            <w:vAlign w:val="center"/>
          </w:tcPr>
          <w:p>
            <w:pPr>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iCs/>
                <w:color w:val="auto"/>
                <w:sz w:val="21"/>
                <w:szCs w:val="21"/>
              </w:rPr>
              <w:t xml:space="preserve">拟投入本项目的其他专业人员中设计人员配备齐全，每具有一个城市规划或建筑设计专业高级及以上技术职称得2.5分，最多不超过5分；拟派班子中每具有国家一级注册建筑师、一级注册结构师者，每项得2.5分，最多不超过5分，没有不得分   </w:t>
            </w:r>
          </w:p>
        </w:tc>
        <w:tc>
          <w:tcPr>
            <w:tcW w:w="1469" w:type="dxa"/>
            <w:vAlign w:val="center"/>
          </w:tcPr>
          <w:p>
            <w:pPr>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adjustRightInd w:val="0"/>
              <w:jc w:val="center"/>
              <w:textAlignment w:val="baseline"/>
              <w:rPr>
                <w:rFonts w:hint="eastAsia" w:ascii="宋体" w:hAnsi="宋体" w:eastAsia="宋体" w:cs="宋体"/>
                <w:iCs/>
                <w:color w:val="auto"/>
                <w:sz w:val="21"/>
                <w:szCs w:val="21"/>
              </w:rPr>
            </w:pPr>
            <w:r>
              <w:rPr>
                <w:rFonts w:hint="eastAsia" w:ascii="宋体" w:hAnsi="宋体" w:eastAsia="宋体" w:cs="宋体"/>
                <w:iCs/>
                <w:color w:val="auto"/>
                <w:sz w:val="21"/>
                <w:szCs w:val="21"/>
              </w:rPr>
              <w:t>类似业绩情况</w:t>
            </w:r>
          </w:p>
          <w:p>
            <w:pPr>
              <w:adjustRightInd w:val="0"/>
              <w:jc w:val="center"/>
              <w:textAlignment w:val="baseline"/>
              <w:rPr>
                <w:rFonts w:hint="eastAsia" w:ascii="宋体" w:hAnsi="宋体" w:eastAsia="宋体" w:cs="宋体"/>
                <w:color w:val="auto"/>
                <w:sz w:val="21"/>
                <w:szCs w:val="21"/>
              </w:rPr>
            </w:pPr>
            <w:r>
              <w:rPr>
                <w:rFonts w:hint="eastAsia" w:ascii="宋体" w:hAnsi="宋体" w:eastAsia="宋体" w:cs="宋体"/>
                <w:iCs/>
                <w:color w:val="auto"/>
                <w:sz w:val="21"/>
                <w:szCs w:val="21"/>
              </w:rPr>
              <w:t>（10分）</w:t>
            </w:r>
          </w:p>
        </w:tc>
        <w:tc>
          <w:tcPr>
            <w:tcW w:w="7346" w:type="dxa"/>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baseline"/>
              <w:outlineLvl w:val="9"/>
              <w:rPr>
                <w:rFonts w:hint="eastAsia" w:ascii="宋体" w:hAnsi="宋体" w:eastAsia="宋体" w:cs="宋体"/>
                <w:b/>
                <w:bCs/>
                <w:color w:val="auto"/>
                <w:sz w:val="21"/>
                <w:szCs w:val="21"/>
              </w:rPr>
            </w:pPr>
            <w:r>
              <w:rPr>
                <w:rFonts w:hint="eastAsia" w:ascii="宋体" w:hAnsi="宋体" w:eastAsia="宋体" w:cs="宋体"/>
                <w:iCs/>
                <w:color w:val="auto"/>
                <w:sz w:val="21"/>
                <w:szCs w:val="21"/>
              </w:rPr>
              <w:t>2015年1月1日以来（以合同签订日期为准），每提供一份合同金额不少于1400万元的类似项目业绩得2分，满分10分。</w:t>
            </w:r>
          </w:p>
        </w:tc>
        <w:tc>
          <w:tcPr>
            <w:tcW w:w="1469" w:type="dxa"/>
            <w:vAlign w:val="center"/>
          </w:tcPr>
          <w:p>
            <w:pPr>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投标文件的规范程度</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7346" w:type="dxa"/>
            <w:vAlign w:val="center"/>
          </w:tcPr>
          <w:p>
            <w:pPr>
              <w:pStyle w:val="10"/>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1、装订规范、文字清晰、无差错</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pStyle w:val="10"/>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2、所提供资料准确完整1分。</w:t>
            </w:r>
          </w:p>
          <w:p>
            <w:pPr>
              <w:pStyle w:val="10"/>
              <w:keepNext w:val="0"/>
              <w:keepLines w:val="0"/>
              <w:pageBreakBefore w:val="0"/>
              <w:widowControl/>
              <w:kinsoku/>
              <w:wordWrap/>
              <w:overflowPunct/>
              <w:topLinePunct w:val="0"/>
              <w:autoSpaceDE/>
              <w:autoSpaceDN/>
              <w:bidi w:val="0"/>
              <w:snapToGrid/>
              <w:spacing w:line="3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3、招标文件编制水平</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1469" w:type="dxa"/>
            <w:vAlign w:val="center"/>
          </w:tcPr>
          <w:p>
            <w:pPr>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310" w:type="dxa"/>
            <w:gridSpan w:val="3"/>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技术部分（满分</w:t>
            </w:r>
            <w:r>
              <w:rPr>
                <w:rFonts w:hint="eastAsia" w:ascii="宋体" w:hAnsi="宋体" w:eastAsia="宋体" w:cs="宋体"/>
                <w:b/>
                <w:color w:val="auto"/>
                <w:sz w:val="21"/>
                <w:szCs w:val="21"/>
                <w:u w:val="single"/>
              </w:rPr>
              <w:t>55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95"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7346" w:type="dxa"/>
            <w:vAlign w:val="center"/>
          </w:tcPr>
          <w:p>
            <w:pPr>
              <w:keepNext w:val="0"/>
              <w:keepLines w:val="0"/>
              <w:pageBreakBefore w:val="0"/>
              <w:kinsoku/>
              <w:wordWrap/>
              <w:overflowPunct/>
              <w:topLinePunct w:val="0"/>
              <w:autoSpaceDE/>
              <w:autoSpaceDN/>
              <w:bidi w:val="0"/>
              <w:snapToGrid/>
              <w:spacing w:line="360" w:lineRule="exact"/>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1469"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495"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iCs/>
                <w:color w:val="auto"/>
                <w:sz w:val="21"/>
                <w:szCs w:val="21"/>
              </w:rPr>
              <w:t>规划思路的完整性和编制水平10分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宋体" w:hAnsi="宋体" w:eastAsia="宋体" w:cs="宋体"/>
                <w:color w:val="auto"/>
                <w:sz w:val="21"/>
                <w:szCs w:val="21"/>
                <w:lang w:val="en-GB" w:eastAsia="zh-CN"/>
              </w:rPr>
            </w:pPr>
            <w:r>
              <w:rPr>
                <w:rFonts w:hint="eastAsia" w:ascii="宋体" w:hAnsi="宋体" w:eastAsia="宋体" w:cs="宋体"/>
                <w:iCs/>
                <w:color w:val="auto"/>
                <w:sz w:val="21"/>
                <w:szCs w:val="21"/>
              </w:rPr>
              <w:t>对项目整体有深刻认识，设计方案内容针对项目特点完整规范、具体可行和整体编制水平。科学，方案合理10分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较好可行5分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adjustRightInd w:val="0"/>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495"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对现状的分析</w:t>
            </w:r>
          </w:p>
          <w:p>
            <w:pPr>
              <w:spacing w:line="40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12分</w:t>
            </w:r>
          </w:p>
        </w:tc>
        <w:tc>
          <w:tcPr>
            <w:tcW w:w="7346" w:type="dxa"/>
            <w:vAlign w:val="center"/>
          </w:tcPr>
          <w:p>
            <w:pPr>
              <w:keepNext w:val="0"/>
              <w:keepLines w:val="0"/>
              <w:pageBreakBefore w:val="0"/>
              <w:kinsoku/>
              <w:wordWrap/>
              <w:overflowPunct/>
              <w:topLinePunct w:val="0"/>
              <w:autoSpaceDE/>
              <w:autoSpaceDN/>
              <w:bidi w:val="0"/>
              <w:snapToGrid/>
              <w:spacing w:line="360" w:lineRule="exact"/>
              <w:outlineLvl w:val="9"/>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编制投标文件前现场调研，有翔实的调研记录，对整治范围自然情况和现状建设情况了解清楚、分析透彻，</w:t>
            </w:r>
            <w:r>
              <w:rPr>
                <w:rFonts w:hint="eastAsia" w:ascii="宋体" w:hAnsi="宋体" w:eastAsia="宋体" w:cs="宋体"/>
                <w:iCs/>
                <w:color w:val="auto"/>
                <w:sz w:val="21"/>
                <w:szCs w:val="21"/>
              </w:rPr>
              <w:t>调研深入12分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较好可行</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5分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adjustRightInd w:val="0"/>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12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495" w:type="dxa"/>
            <w:vAlign w:val="center"/>
          </w:tcPr>
          <w:p>
            <w:pPr>
              <w:spacing w:line="440" w:lineRule="exact"/>
              <w:jc w:val="center"/>
              <w:rPr>
                <w:rFonts w:hint="eastAsia" w:ascii="宋体" w:hAnsi="宋体" w:eastAsia="宋体" w:cs="宋体"/>
                <w:iCs/>
                <w:color w:val="auto"/>
                <w:sz w:val="21"/>
                <w:szCs w:val="21"/>
              </w:rPr>
            </w:pPr>
            <w:r>
              <w:rPr>
                <w:rFonts w:hint="eastAsia" w:ascii="宋体" w:hAnsi="宋体" w:eastAsia="宋体" w:cs="宋体"/>
                <w:iCs/>
                <w:color w:val="auto"/>
                <w:sz w:val="21"/>
                <w:szCs w:val="21"/>
              </w:rPr>
              <w:t>规划方案</w:t>
            </w:r>
          </w:p>
          <w:p>
            <w:pPr>
              <w:spacing w:line="440" w:lineRule="exact"/>
              <w:jc w:val="center"/>
              <w:rPr>
                <w:rFonts w:hint="eastAsia" w:ascii="宋体" w:hAnsi="宋体" w:eastAsia="宋体" w:cs="宋体"/>
                <w:color w:val="auto"/>
                <w:sz w:val="21"/>
                <w:szCs w:val="21"/>
              </w:rPr>
            </w:pPr>
            <w:r>
              <w:rPr>
                <w:rFonts w:hint="eastAsia" w:ascii="宋体" w:hAnsi="宋体" w:eastAsia="宋体" w:cs="宋体"/>
                <w:iCs/>
                <w:color w:val="auto"/>
                <w:sz w:val="21"/>
                <w:szCs w:val="21"/>
              </w:rPr>
              <w:t>15分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宋体" w:hAnsi="宋体" w:eastAsia="宋体" w:cs="宋体"/>
                <w:bCs/>
                <w:color w:val="auto"/>
                <w:sz w:val="21"/>
                <w:szCs w:val="21"/>
                <w:lang w:eastAsia="zh-CN"/>
              </w:rPr>
            </w:pPr>
            <w:r>
              <w:rPr>
                <w:rFonts w:hint="eastAsia" w:ascii="宋体" w:hAnsi="宋体" w:eastAsia="宋体" w:cs="宋体"/>
                <w:iCs/>
                <w:color w:val="auto"/>
                <w:sz w:val="21"/>
                <w:szCs w:val="21"/>
              </w:rPr>
              <w:t>规划方法得当，表现方法清晰，新颖；规划边界条件分析周密，满足技术要求的相关规定，方案科学合理。很好可行</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15分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5分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adjustRightInd w:val="0"/>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495" w:type="dxa"/>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主要工作方案技术内容</w:t>
            </w:r>
          </w:p>
          <w:p>
            <w:pPr>
              <w:spacing w:line="40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7分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项目编制思路及理念，总体分析，技术路线，总体定位，总体思路清晰</w:t>
            </w:r>
            <w:r>
              <w:rPr>
                <w:rFonts w:hint="eastAsia" w:ascii="宋体" w:hAnsi="宋体" w:cs="宋体"/>
                <w:color w:val="auto"/>
                <w:sz w:val="21"/>
                <w:szCs w:val="21"/>
                <w:lang w:eastAsia="zh-CN"/>
              </w:rPr>
              <w:t>。</w:t>
            </w:r>
            <w:r>
              <w:rPr>
                <w:rFonts w:hint="eastAsia" w:ascii="宋体" w:hAnsi="宋体" w:eastAsia="宋体" w:cs="宋体"/>
                <w:iCs/>
                <w:color w:val="auto"/>
                <w:sz w:val="21"/>
                <w:szCs w:val="21"/>
              </w:rPr>
              <w:t>很好得7分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较好得3分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一般得1分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adjustRightInd w:val="0"/>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7</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495"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iCs/>
                <w:color w:val="auto"/>
                <w:sz w:val="21"/>
                <w:szCs w:val="21"/>
              </w:rPr>
              <w:t>进度计划及保障措施3分</w:t>
            </w:r>
          </w:p>
        </w:tc>
        <w:tc>
          <w:tcPr>
            <w:tcW w:w="7346" w:type="dxa"/>
            <w:vAlign w:val="center"/>
          </w:tcPr>
          <w:p>
            <w:pPr>
              <w:keepNext w:val="0"/>
              <w:keepLines w:val="0"/>
              <w:pageBreakBefore w:val="0"/>
              <w:kinsoku/>
              <w:wordWrap/>
              <w:overflowPunct/>
              <w:topLinePunct w:val="0"/>
              <w:autoSpaceDE/>
              <w:autoSpaceDN/>
              <w:bidi w:val="0"/>
              <w:snapToGrid/>
              <w:spacing w:line="360" w:lineRule="exact"/>
              <w:jc w:val="left"/>
              <w:outlineLvl w:val="9"/>
              <w:rPr>
                <w:rFonts w:hint="eastAsia" w:ascii="宋体" w:hAnsi="宋体" w:eastAsia="宋体" w:cs="宋体"/>
                <w:bCs/>
                <w:color w:val="auto"/>
                <w:sz w:val="21"/>
                <w:szCs w:val="21"/>
                <w:lang w:eastAsia="zh-CN"/>
              </w:rPr>
            </w:pPr>
            <w:r>
              <w:rPr>
                <w:rFonts w:hint="eastAsia" w:ascii="宋体" w:hAnsi="宋体" w:eastAsia="宋体" w:cs="宋体"/>
                <w:bCs/>
                <w:iCs/>
                <w:color w:val="auto"/>
                <w:sz w:val="21"/>
                <w:szCs w:val="21"/>
              </w:rPr>
              <w:t>承诺项目按时完成，根据项目计划编排合理、可行，技术路线清晰、任务量分配合理、全面系统，切实可行。</w:t>
            </w:r>
            <w:r>
              <w:rPr>
                <w:rFonts w:hint="eastAsia" w:ascii="宋体" w:hAnsi="宋体" w:eastAsia="宋体" w:cs="宋体"/>
                <w:iCs/>
                <w:color w:val="auto"/>
                <w:sz w:val="21"/>
                <w:szCs w:val="21"/>
              </w:rPr>
              <w:t>计划合理，保障措施得当</w:t>
            </w:r>
            <w:r>
              <w:rPr>
                <w:rFonts w:hint="eastAsia" w:ascii="宋体" w:hAnsi="宋体" w:cs="宋体"/>
                <w:iCs/>
                <w:color w:val="auto"/>
                <w:sz w:val="21"/>
                <w:szCs w:val="21"/>
                <w:lang w:val="en-US" w:eastAsia="zh-CN"/>
              </w:rPr>
              <w:t>的得</w:t>
            </w:r>
            <w:r>
              <w:rPr>
                <w:rFonts w:hint="eastAsia" w:ascii="宋体" w:hAnsi="宋体" w:eastAsia="宋体" w:cs="宋体"/>
                <w:iCs/>
                <w:color w:val="auto"/>
                <w:sz w:val="21"/>
                <w:szCs w:val="21"/>
              </w:rPr>
              <w:t>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较好可行</w:t>
            </w:r>
            <w:r>
              <w:rPr>
                <w:rFonts w:hint="eastAsia" w:ascii="宋体" w:hAnsi="宋体" w:cs="宋体"/>
                <w:iCs/>
                <w:color w:val="auto"/>
                <w:sz w:val="21"/>
                <w:szCs w:val="21"/>
                <w:lang w:val="en-US" w:eastAsia="zh-CN"/>
              </w:rPr>
              <w:t>的得</w:t>
            </w:r>
            <w:r>
              <w:rPr>
                <w:rFonts w:hint="eastAsia" w:ascii="宋体" w:hAnsi="宋体" w:eastAsia="宋体" w:cs="宋体"/>
                <w:iCs/>
                <w:color w:val="auto"/>
                <w:sz w:val="21"/>
                <w:szCs w:val="21"/>
              </w:rPr>
              <w:t>2分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1分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jc w:val="center"/>
              <w:rPr>
                <w:rFonts w:hint="eastAsia" w:ascii="宋体" w:hAnsi="宋体" w:eastAsia="宋体" w:cs="宋体"/>
                <w:color w:val="auto"/>
                <w:sz w:val="21"/>
                <w:szCs w:val="21"/>
                <w:lang w:eastAsia="zh-CN"/>
              </w:rPr>
            </w:pP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u w:val="single"/>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495" w:type="dxa"/>
            <w:vAlign w:val="center"/>
          </w:tcPr>
          <w:p>
            <w:pPr>
              <w:spacing w:line="440" w:lineRule="exact"/>
              <w:jc w:val="center"/>
              <w:rPr>
                <w:rFonts w:hint="eastAsia" w:ascii="宋体" w:hAnsi="宋体" w:eastAsia="宋体" w:cs="宋体"/>
                <w:iCs/>
                <w:color w:val="auto"/>
                <w:sz w:val="21"/>
                <w:szCs w:val="21"/>
              </w:rPr>
            </w:pPr>
            <w:r>
              <w:rPr>
                <w:rFonts w:hint="eastAsia" w:ascii="宋体" w:hAnsi="宋体" w:eastAsia="宋体" w:cs="宋体"/>
                <w:iCs/>
                <w:color w:val="auto"/>
                <w:sz w:val="21"/>
                <w:szCs w:val="21"/>
              </w:rPr>
              <w:t>拟投入本项目的设备情况</w:t>
            </w:r>
          </w:p>
          <w:p>
            <w:pPr>
              <w:spacing w:line="440" w:lineRule="exact"/>
              <w:jc w:val="center"/>
              <w:rPr>
                <w:rFonts w:hint="eastAsia" w:ascii="宋体" w:hAnsi="宋体" w:eastAsia="宋体" w:cs="宋体"/>
                <w:color w:val="auto"/>
                <w:sz w:val="21"/>
                <w:szCs w:val="21"/>
              </w:rPr>
            </w:pPr>
            <w:r>
              <w:rPr>
                <w:rFonts w:hint="eastAsia" w:ascii="宋体" w:hAnsi="宋体" w:eastAsia="宋体" w:cs="宋体"/>
                <w:iCs/>
                <w:color w:val="auto"/>
                <w:sz w:val="21"/>
                <w:szCs w:val="21"/>
              </w:rPr>
              <w:t>3分</w:t>
            </w:r>
          </w:p>
        </w:tc>
        <w:tc>
          <w:tcPr>
            <w:tcW w:w="7346" w:type="dxa"/>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baseline"/>
              <w:outlineLvl w:val="9"/>
              <w:rPr>
                <w:rFonts w:hint="eastAsia" w:ascii="宋体" w:hAnsi="宋体" w:eastAsia="宋体" w:cs="宋体"/>
                <w:iCs/>
                <w:color w:val="auto"/>
                <w:sz w:val="21"/>
                <w:szCs w:val="21"/>
                <w:lang w:val="en-US" w:eastAsia="zh-CN"/>
              </w:rPr>
            </w:pPr>
            <w:r>
              <w:rPr>
                <w:rFonts w:hint="eastAsia" w:ascii="宋体" w:hAnsi="宋体" w:eastAsia="宋体" w:cs="宋体"/>
                <w:iCs/>
                <w:color w:val="auto"/>
                <w:sz w:val="21"/>
                <w:szCs w:val="21"/>
              </w:rPr>
              <w:t>拟投入本项目设备先进性、投入计划与进度计划相呼应。配置齐全、优秀</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齐全，满足本项目工作需要</w:t>
            </w:r>
            <w:r>
              <w:rPr>
                <w:rFonts w:hint="eastAsia" w:ascii="宋体" w:hAnsi="宋体" w:cs="宋体"/>
                <w:iCs/>
                <w:color w:val="auto"/>
                <w:sz w:val="21"/>
                <w:szCs w:val="21"/>
                <w:lang w:val="en-US" w:eastAsia="zh-CN"/>
              </w:rPr>
              <w:t>得</w:t>
            </w:r>
          </w:p>
          <w:p>
            <w:pPr>
              <w:keepNext w:val="0"/>
              <w:keepLines w:val="0"/>
              <w:pageBreakBefore w:val="0"/>
              <w:kinsoku/>
              <w:wordWrap/>
              <w:overflowPunct/>
              <w:topLinePunct w:val="0"/>
              <w:autoSpaceDE/>
              <w:autoSpaceDN/>
              <w:bidi w:val="0"/>
              <w:snapToGrid/>
              <w:spacing w:line="360" w:lineRule="exact"/>
              <w:jc w:val="left"/>
              <w:outlineLvl w:val="9"/>
              <w:rPr>
                <w:rFonts w:hint="eastAsia" w:ascii="宋体" w:hAnsi="宋体" w:eastAsia="宋体" w:cs="宋体"/>
                <w:bCs/>
                <w:color w:val="auto"/>
                <w:sz w:val="21"/>
                <w:szCs w:val="21"/>
                <w:lang w:eastAsia="zh-CN"/>
              </w:rPr>
            </w:pPr>
            <w:r>
              <w:rPr>
                <w:rFonts w:hint="eastAsia" w:ascii="宋体" w:hAnsi="宋体" w:eastAsia="宋体" w:cs="宋体"/>
                <w:iCs/>
                <w:color w:val="auto"/>
                <w:sz w:val="21"/>
                <w:szCs w:val="21"/>
              </w:rPr>
              <w:t>2分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w:t>
            </w:r>
            <w:r>
              <w:rPr>
                <w:rFonts w:hint="eastAsia" w:ascii="宋体" w:hAnsi="宋体" w:cs="宋体"/>
                <w:iCs/>
                <w:color w:val="auto"/>
                <w:sz w:val="21"/>
                <w:szCs w:val="21"/>
                <w:lang w:val="en-US" w:eastAsia="zh-CN"/>
              </w:rPr>
              <w:t>得</w:t>
            </w:r>
            <w:r>
              <w:rPr>
                <w:rFonts w:hint="eastAsia" w:ascii="宋体" w:hAnsi="宋体" w:eastAsia="宋体" w:cs="宋体"/>
                <w:iCs/>
                <w:color w:val="auto"/>
                <w:sz w:val="21"/>
                <w:szCs w:val="21"/>
              </w:rPr>
              <w:t>1分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adjustRightInd w:val="0"/>
              <w:jc w:val="center"/>
              <w:textAlignment w:val="baseline"/>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1495" w:type="dxa"/>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质量保证体系</w:t>
            </w:r>
          </w:p>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3分</w:t>
            </w:r>
          </w:p>
        </w:tc>
        <w:tc>
          <w:tcPr>
            <w:tcW w:w="7346" w:type="dxa"/>
            <w:vAlign w:val="center"/>
          </w:tcPr>
          <w:p>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zh-CN"/>
              </w:rPr>
              <w:t>质量保证体系完整、内容齐全、安排合理、针对本项目特点措施先进可行、措施具体可靠，有严格的作业和质检制度，能够完成招标文件规定的调查任务。</w:t>
            </w:r>
            <w:r>
              <w:rPr>
                <w:rFonts w:hint="eastAsia" w:ascii="宋体" w:hAnsi="宋体" w:eastAsia="宋体" w:cs="宋体"/>
                <w:iCs/>
                <w:color w:val="auto"/>
                <w:sz w:val="21"/>
                <w:szCs w:val="21"/>
              </w:rPr>
              <w:t>保障措施得当得3分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较好可行得2分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一般得1分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95"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服务措施及承诺</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w:t>
            </w:r>
          </w:p>
        </w:tc>
        <w:tc>
          <w:tcPr>
            <w:tcW w:w="7346" w:type="dxa"/>
            <w:vAlign w:val="center"/>
          </w:tcPr>
          <w:p>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zh-CN"/>
              </w:rPr>
              <w:t>投标人向招标人承诺服务保障措施是否制定、承诺服务标准是否完善合理</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能够为本项目提供完善服务得</w:t>
            </w:r>
            <w:r>
              <w:rPr>
                <w:rFonts w:hint="eastAsia" w:ascii="宋体" w:hAnsi="宋体" w:eastAsia="宋体" w:cs="宋体"/>
                <w:iCs/>
                <w:color w:val="auto"/>
                <w:sz w:val="21"/>
                <w:szCs w:val="21"/>
              </w:rPr>
              <w:t>2分</w:t>
            </w:r>
            <w:r>
              <w:rPr>
                <w:rFonts w:hint="eastAsia" w:ascii="宋体" w:hAnsi="宋体" w:cs="宋体"/>
                <w:iCs/>
                <w:color w:val="auto"/>
                <w:sz w:val="21"/>
                <w:szCs w:val="21"/>
                <w:lang w:eastAsia="zh-CN"/>
              </w:rPr>
              <w:t>；</w:t>
            </w:r>
            <w:r>
              <w:rPr>
                <w:rFonts w:hint="eastAsia" w:ascii="宋体" w:hAnsi="宋体" w:eastAsia="宋体" w:cs="宋体"/>
                <w:iCs/>
                <w:color w:val="auto"/>
                <w:sz w:val="21"/>
                <w:szCs w:val="21"/>
              </w:rPr>
              <w:t>没有得0分</w:t>
            </w:r>
            <w:r>
              <w:rPr>
                <w:rFonts w:hint="eastAsia" w:ascii="宋体" w:hAnsi="宋体" w:cs="宋体"/>
                <w:iCs/>
                <w:color w:val="auto"/>
                <w:sz w:val="21"/>
                <w:szCs w:val="21"/>
                <w:lang w:eastAsia="zh-CN"/>
              </w:rPr>
              <w:t>。</w:t>
            </w:r>
          </w:p>
        </w:tc>
        <w:tc>
          <w:tcPr>
            <w:tcW w:w="1469" w:type="dxa"/>
            <w:vAlign w:val="center"/>
          </w:tcPr>
          <w:p>
            <w:pPr>
              <w:spacing w:line="440" w:lineRule="exact"/>
              <w:jc w:val="center"/>
              <w:rPr>
                <w:rFonts w:hint="eastAsia" w:ascii="宋体" w:hAnsi="宋体" w:eastAsia="宋体" w:cs="宋体"/>
                <w:color w:val="auto"/>
                <w:sz w:val="21"/>
                <w:szCs w:val="21"/>
              </w:rPr>
            </w:pP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rPr>
              <w:t>分</w:t>
            </w:r>
          </w:p>
        </w:tc>
      </w:tr>
    </w:tbl>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9"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3"/>
        </w:numPr>
        <w:spacing w:line="360" w:lineRule="auto"/>
        <w:ind w:firstLine="422" w:firstLineChars="200"/>
        <w:contextualSpacing/>
        <w:rPr>
          <w:rFonts w:hint="eastAsia"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adjustRightInd w:val="0"/>
        <w:snapToGrid w:val="0"/>
        <w:spacing w:line="360" w:lineRule="auto"/>
        <w:ind w:firstLine="420" w:firstLineChars="200"/>
        <w:rPr>
          <w:rFonts w:ascii="宋体" w:cs="Courier New"/>
          <w:color w:val="000000" w:themeColor="text1"/>
          <w:szCs w:val="21"/>
        </w:rPr>
      </w:pPr>
    </w:p>
    <w:p>
      <w:pPr>
        <w:adjustRightInd w:val="0"/>
        <w:snapToGrid w:val="0"/>
        <w:spacing w:line="360" w:lineRule="auto"/>
        <w:ind w:firstLine="420" w:firstLineChars="200"/>
        <w:rPr>
          <w:rFonts w:ascii="宋体" w:cs="Courier New"/>
          <w:color w:val="000000" w:themeColor="text1"/>
          <w:szCs w:val="21"/>
        </w:rPr>
      </w:pPr>
    </w:p>
    <w:p>
      <w:pPr>
        <w:tabs>
          <w:tab w:val="left" w:pos="1260"/>
        </w:tabs>
        <w:autoSpaceDE w:val="0"/>
        <w:autoSpaceDN w:val="0"/>
        <w:adjustRightInd w:val="0"/>
        <w:spacing w:line="360" w:lineRule="auto"/>
        <w:contextualSpacing/>
        <w:jc w:val="both"/>
        <w:rPr>
          <w:rFonts w:hint="eastAsia" w:ascii="宋体" w:hAnsi="宋体" w:cs="宋体"/>
          <w:b/>
          <w:color w:val="000000" w:themeColor="text1"/>
          <w:kern w:val="0"/>
          <w:sz w:val="32"/>
          <w:szCs w:val="32"/>
        </w:rPr>
        <w:sectPr>
          <w:pgSz w:w="11906" w:h="16838"/>
          <w:pgMar w:top="2098" w:right="1474" w:bottom="1928" w:left="1588" w:header="851" w:footer="992" w:gutter="0"/>
          <w:pgNumType w:fmt="decimal"/>
          <w:cols w:space="425" w:num="1"/>
          <w:docGrid w:type="lines" w:linePitch="312" w:charSpace="0"/>
        </w:sect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hint="eastAsia"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hint="eastAsia" w:ascii="宋体" w:hAnsi="宋体" w:cs="微软雅黑"/>
          <w:b/>
          <w:bCs/>
          <w:color w:val="000000" w:themeColor="text1"/>
          <w:szCs w:val="21"/>
          <w:lang w:val="en-US" w:eastAsia="zh-CN"/>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定义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1.3“甲方”系指通过招标方式，接受合同服务的采购人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1.4“乙方”系指中标后提供合同服务的</w:t>
      </w:r>
      <w:r>
        <w:rPr>
          <w:rFonts w:hint="eastAsia" w:ascii="宋体" w:hAnsi="宋体"/>
          <w:bCs/>
          <w:color w:val="000000" w:themeColor="text1"/>
          <w:sz w:val="24"/>
        </w:rPr>
        <w:t>中标方</w:t>
      </w:r>
      <w:r>
        <w:rPr>
          <w:rFonts w:hint="eastAsia" w:ascii="宋体" w:hAnsi="宋体"/>
          <w:color w:val="000000" w:themeColor="text1"/>
          <w:sz w:val="24"/>
        </w:rPr>
        <w:t>或供应商。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2.适用范围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本合同条款仅适用于本次招标活动。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3.技术规格和标准</w:t>
      </w:r>
    </w:p>
    <w:p>
      <w:pPr>
        <w:pStyle w:val="16"/>
        <w:spacing w:line="360" w:lineRule="auto"/>
        <w:ind w:firstLine="480"/>
        <w:rPr>
          <w:rFonts w:ascii="宋体" w:hAnsi="宋体" w:eastAsia="宋体"/>
          <w:color w:val="000000" w:themeColor="text1"/>
          <w:sz w:val="24"/>
        </w:rPr>
      </w:pPr>
      <w:r>
        <w:rPr>
          <w:rFonts w:hint="eastAsia" w:ascii="宋体" w:hAnsi="宋体" w:eastAsia="宋体"/>
          <w:color w:val="000000" w:themeColor="text1"/>
          <w:sz w:val="24"/>
        </w:rPr>
        <w:t>本合同项下所提供服务的技术规格标准应与本招标文件技术规格规定的标准相一致。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4.合同期限</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即自</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日起至</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5.价格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6.索赔</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6.1.1乙方同意甲方取消其不符合要求的服务项目，退还已经收取的款项。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7.不可抗力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 w:val="24"/>
          <w:u w:val="single"/>
        </w:rPr>
        <w:t>一旦不可抗力事故的影响持续 60天以上</w:t>
      </w:r>
      <w:r>
        <w:rPr>
          <w:rFonts w:hint="eastAsia" w:ascii="宋体" w:hAnsi="宋体"/>
          <w:color w:val="000000" w:themeColor="text1"/>
          <w:sz w:val="24"/>
        </w:rPr>
        <w:t>，双方应通过友好协商，在合理的时间内达成进一步履行合同的协议。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8.履约保证金</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8.1履约保证金的有效期至供货完毕且验收合格。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8.3如果乙方未能按合同规定履行其义务，甲方有权从履约保证金取得补偿。</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9.争议的解决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2</w:t>
      </w:r>
      <w:r>
        <w:rPr>
          <w:rFonts w:hint="eastAsia" w:ascii="宋体" w:hAnsi="宋体"/>
          <w:color w:val="000000" w:themeColor="text1"/>
          <w:sz w:val="24"/>
        </w:rPr>
        <w:t>合同双方均为国内法人的，其争端的仲裁应由合同发生地许昌市仲裁委员会根据其仲裁程序进行。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9.3 仲裁裁决应为最终决定，并对双方具有约束力。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9.4 除另有裁决外，仲裁费应由败诉方负担。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9.5 在仲裁期间，除正在进行的仲裁部分外，合同其他部分继续执行。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10.合同终止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10.1本合同期限为</w:t>
      </w:r>
      <w:r>
        <w:rPr>
          <w:rFonts w:hint="eastAsia" w:ascii="宋体" w:hAnsi="宋体"/>
          <w:b/>
          <w:color w:val="000000" w:themeColor="text1"/>
          <w:sz w:val="24"/>
          <w:u w:val="single"/>
        </w:rPr>
        <w:t xml:space="preserve">     </w:t>
      </w:r>
      <w:r>
        <w:rPr>
          <w:rFonts w:hint="eastAsia" w:ascii="宋体" w:hAnsi="宋体"/>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 出现下列情况时合同自动终止：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10.2.1发生不可抗力时。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11.合同修改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12.适用法律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本合同应按中华人民共和国的法律解释。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13.主导语言与计量单位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13.2 除技术规格另有规定外，计量单位均使用中华人民共和国法定计量单位。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14.合同生效</w:t>
      </w:r>
    </w:p>
    <w:p>
      <w:pPr>
        <w:spacing w:line="360" w:lineRule="auto"/>
        <w:rPr>
          <w:rFonts w:ascii="宋体" w:hAnsi="宋体" w:cs="微软雅黑"/>
          <w:b/>
          <w:bCs/>
          <w:color w:val="000000" w:themeColor="text1"/>
          <w:sz w:val="24"/>
          <w:szCs w:val="24"/>
        </w:rPr>
      </w:pPr>
      <w:r>
        <w:rPr>
          <w:rFonts w:hint="eastAsia" w:ascii="宋体" w:hAnsi="宋体"/>
          <w:color w:val="000000" w:themeColor="text1"/>
          <w:sz w:val="24"/>
        </w:rPr>
        <w:t>除非合同中另有说明，本合同经双方签字盖章，并在招标人收到乙方的履约保证金后，即开始生效。</w:t>
      </w: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both"/>
        <w:rPr>
          <w:rFonts w:hint="eastAsia" w:ascii="宋体" w:hAnsi="宋体" w:cs="宋体"/>
          <w:b/>
          <w:color w:val="000000" w:themeColor="text1"/>
          <w:kern w:val="0"/>
          <w:sz w:val="32"/>
          <w:szCs w:val="32"/>
        </w:rPr>
      </w:pPr>
    </w:p>
    <w:p>
      <w:pPr>
        <w:jc w:val="center"/>
        <w:rPr>
          <w:rStyle w:val="57"/>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7"/>
          <w:rFonts w:hint="eastAsia" w:ascii="宋体" w:hAnsi="宋体" w:eastAsia="宋体"/>
        </w:rPr>
        <w:t>投标文件封皮格式</w:t>
      </w:r>
      <w:bookmarkStart w:id="1" w:name="_Toc14398"/>
      <w:bookmarkStart w:id="2" w:name="_Toc5131"/>
      <w:bookmarkStart w:id="3" w:name="_Toc16238"/>
      <w:bookmarkStart w:id="4" w:name="_Toc12595"/>
    </w:p>
    <w:p>
      <w:pPr>
        <w:pStyle w:val="7"/>
        <w:ind w:firstLine="340"/>
      </w:pPr>
    </w:p>
    <w:p>
      <w:pPr>
        <w:jc w:val="right"/>
        <w:rPr>
          <w:rStyle w:val="57"/>
          <w:rFonts w:ascii="宋体" w:hAnsi="宋体" w:eastAsia="宋体"/>
        </w:rPr>
      </w:pPr>
      <w:r>
        <w:rPr>
          <w:rStyle w:val="57"/>
          <w:rFonts w:hint="eastAsia" w:ascii="宋体" w:hAnsi="宋体" w:eastAsia="宋体"/>
        </w:rPr>
        <w:t>正本/副本</w:t>
      </w:r>
    </w:p>
    <w:bookmarkEnd w:id="1"/>
    <w:bookmarkEnd w:id="2"/>
    <w:bookmarkEnd w:id="3"/>
    <w:bookmarkEnd w:id="4"/>
    <w:p>
      <w:pPr>
        <w:jc w:val="left"/>
        <w:rPr>
          <w:rStyle w:val="5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0" w:firstLineChars="0"/>
      </w:pPr>
    </w:p>
    <w:p>
      <w:pPr>
        <w:rPr>
          <w:rFonts w:ascii="宋体" w:hAnsi="宋体" w:eastAsia="宋体" w:cs="微软雅黑"/>
          <w:sz w:val="28"/>
          <w:szCs w:val="28"/>
        </w:rPr>
      </w:pPr>
    </w:p>
    <w:p>
      <w:pPr>
        <w:pStyle w:val="7"/>
        <w:rPr>
          <w:rFonts w:ascii="宋体" w:hAnsi="宋体" w:eastAsia="宋体" w:cs="微软雅黑"/>
          <w:sz w:val="28"/>
          <w:szCs w:val="28"/>
        </w:rPr>
      </w:pPr>
    </w:p>
    <w:p>
      <w:pPr>
        <w:pStyle w:val="7"/>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5"/>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4023138"/>
      <w:bookmarkStart w:id="6" w:name="_Toc186274126"/>
      <w:bookmarkStart w:id="7" w:name="_Toc174185203"/>
      <w:r>
        <w:rPr>
          <w:rFonts w:hint="eastAsia" w:cs="黑体"/>
          <w:color w:val="000000" w:themeColor="text1"/>
          <w:kern w:val="2"/>
          <w:sz w:val="28"/>
          <w:szCs w:val="28"/>
          <w:lang w:val="zh-CN"/>
        </w:rPr>
        <w:t>一、投标人应答索引表</w:t>
      </w:r>
      <w:bookmarkEnd w:id="5"/>
      <w:bookmarkEnd w:id="6"/>
      <w:bookmarkEnd w:id="7"/>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jc w:val="both"/>
        <w:rPr>
          <w:rFonts w:ascii="宋体"/>
          <w:b/>
          <w:snapToGrid w:val="0"/>
          <w:color w:val="000000" w:themeColor="text1"/>
          <w:kern w:val="0"/>
          <w:sz w:val="36"/>
          <w:szCs w:val="36"/>
        </w:rPr>
      </w:pPr>
    </w:p>
    <w:p>
      <w:pPr>
        <w:pStyle w:val="14"/>
        <w:spacing w:line="360" w:lineRule="auto"/>
        <w:jc w:val="both"/>
        <w:rPr>
          <w:rFonts w:ascii="宋体"/>
          <w:b/>
          <w:snapToGrid w:val="0"/>
          <w:color w:val="000000" w:themeColor="text1"/>
          <w:kern w:val="0"/>
          <w:sz w:val="36"/>
          <w:szCs w:val="36"/>
        </w:rPr>
      </w:pPr>
    </w:p>
    <w:p>
      <w:pPr>
        <w:pStyle w:val="14"/>
        <w:spacing w:line="360" w:lineRule="auto"/>
        <w:jc w:val="center"/>
        <w:rPr>
          <w:rFonts w:ascii="宋体"/>
          <w:b/>
          <w:snapToGrid w:val="0"/>
          <w:color w:val="auto"/>
          <w:kern w:val="0"/>
          <w:sz w:val="28"/>
          <w:szCs w:val="28"/>
        </w:rPr>
      </w:pPr>
      <w:r>
        <w:rPr>
          <w:rFonts w:hint="eastAsia" w:ascii="宋体" w:hAnsi="宋体"/>
          <w:b/>
          <w:snapToGrid w:val="0"/>
          <w:color w:val="auto"/>
          <w:kern w:val="0"/>
          <w:sz w:val="28"/>
          <w:szCs w:val="28"/>
        </w:rPr>
        <w:t>二、开标一览表</w:t>
      </w:r>
    </w:p>
    <w:p>
      <w:pPr>
        <w:pStyle w:val="14"/>
        <w:spacing w:line="360" w:lineRule="auto"/>
        <w:jc w:val="center"/>
        <w:rPr>
          <w:rFonts w:ascii="宋体"/>
          <w:b/>
          <w:snapToGrid w:val="0"/>
          <w:color w:val="auto"/>
          <w:kern w:val="0"/>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autoSpaceDE w:val="0"/>
        <w:autoSpaceDN w:val="0"/>
        <w:adjustRightInd w:val="0"/>
        <w:spacing w:line="480" w:lineRule="auto"/>
        <w:rPr>
          <w:rFonts w:hint="eastAsia" w:ascii="宋体" w:hAnsi="宋体" w:cs="宋体"/>
          <w:color w:val="000000" w:themeColor="text1"/>
          <w:szCs w:val="21"/>
          <w:lang w:val="zh-CN"/>
        </w:rPr>
      </w:pPr>
      <w:r>
        <w:rPr>
          <w:rFonts w:hint="eastAsia" w:ascii="宋体" w:hAnsi="宋体"/>
          <w:color w:val="auto"/>
          <w:szCs w:val="21"/>
        </w:rPr>
        <w:t>项目名称：</w:t>
      </w:r>
      <w:r>
        <w:rPr>
          <w:rFonts w:ascii="宋体" w:hAnsi="宋体"/>
          <w:color w:val="auto"/>
          <w:szCs w:val="21"/>
        </w:rPr>
        <w:t xml:space="preserve">                                                      </w:t>
      </w:r>
      <w:r>
        <w:rPr>
          <w:rFonts w:hint="eastAsia" w:ascii="宋体" w:hAnsi="宋体" w:cs="Arial"/>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en-US" w:eastAsia="zh-CN"/>
              </w:rPr>
              <w:t>服务时间</w:t>
            </w: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hint="eastAsia" w:ascii="宋体" w:hAnsi="宋体" w:cs="宋体"/>
          <w:color w:val="000000" w:themeColor="text1"/>
          <w:szCs w:val="21"/>
          <w:lang w:val="zh-CN"/>
        </w:rPr>
      </w:pP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投标人名称：</w:t>
      </w:r>
      <w:r>
        <w:rPr>
          <w:rFonts w:ascii="宋体" w:hAnsi="宋体" w:cs="宋体"/>
          <w:color w:val="000000" w:themeColor="text1"/>
          <w:szCs w:val="21"/>
          <w:u w:val="single"/>
          <w:lang w:val="zh-CN"/>
        </w:rPr>
        <w:t xml:space="preserve">     </w:t>
      </w:r>
      <w:r>
        <w:rPr>
          <w:rFonts w:hint="eastAsia" w:ascii="宋体" w:hAnsi="宋体" w:cs="宋体"/>
          <w:color w:val="000000" w:themeColor="text1"/>
          <w:szCs w:val="21"/>
          <w:u w:val="single"/>
          <w:lang w:val="zh-CN"/>
        </w:rPr>
        <w:t>（全称）</w:t>
      </w:r>
      <w:r>
        <w:rPr>
          <w:rFonts w:ascii="宋体" w:hAnsi="宋体" w:cs="宋体"/>
          <w:color w:val="000000" w:themeColor="text1"/>
          <w:szCs w:val="21"/>
          <w:u w:val="single"/>
          <w:lang w:val="zh-CN"/>
        </w:rPr>
        <w:t xml:space="preserve">   </w:t>
      </w:r>
      <w:r>
        <w:rPr>
          <w:rFonts w:hint="eastAsia" w:ascii="宋体" w:hAnsi="宋体" w:cs="宋体"/>
          <w:color w:val="000000" w:themeColor="text1"/>
          <w:szCs w:val="21"/>
          <w:lang w:val="zh-CN"/>
        </w:rPr>
        <w:t>（公章）</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投标人法定代表人（或授权代表）签字：</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日期：</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年</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月</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日</w:t>
      </w:r>
    </w:p>
    <w:p>
      <w:pPr>
        <w:autoSpaceDE w:val="0"/>
        <w:autoSpaceDN w:val="0"/>
        <w:adjustRightInd w:val="0"/>
        <w:spacing w:line="480" w:lineRule="auto"/>
        <w:rPr>
          <w:rFonts w:ascii="宋体" w:cs="宋体"/>
          <w:color w:val="000000" w:themeColor="text1"/>
          <w:szCs w:val="21"/>
          <w:lang w:val="zh-CN"/>
        </w:rPr>
      </w:pPr>
      <w:r>
        <w:rPr>
          <w:rFonts w:hint="eastAsia" w:ascii="宋体" w:hAnsi="宋体" w:cs="宋体"/>
          <w:color w:val="000000" w:themeColor="text1"/>
          <w:szCs w:val="21"/>
          <w:lang w:val="zh-CN"/>
        </w:rPr>
        <w:t>注：</w:t>
      </w:r>
      <w:r>
        <w:rPr>
          <w:rFonts w:hint="eastAsia" w:ascii="宋体" w:hAnsi="宋体" w:cs="宋体"/>
          <w:color w:val="000000" w:themeColor="text1"/>
          <w:szCs w:val="21"/>
          <w:lang w:val="en-US" w:eastAsia="zh-CN"/>
        </w:rPr>
        <w:t>服务时间</w:t>
      </w:r>
      <w:r>
        <w:rPr>
          <w:rFonts w:hint="eastAsia" w:ascii="宋体" w:hAnsi="宋体" w:cs="宋体"/>
          <w:color w:val="000000" w:themeColor="text1"/>
          <w:szCs w:val="21"/>
          <w:lang w:val="zh-CN"/>
        </w:rPr>
        <w:t>指完成该项目的最终时间（日历天）。</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b/>
          <w:snapToGrid w:val="0"/>
          <w:color w:val="000000" w:themeColor="text1"/>
          <w:kern w:val="0"/>
          <w:sz w:val="36"/>
          <w:szCs w:val="36"/>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lang w:val="en-US" w:eastAsia="zh-CN"/>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7"/>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7"/>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7"/>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7"/>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7"/>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7"/>
        <w:spacing w:line="480" w:lineRule="auto"/>
        <w:ind w:firstLine="472" w:firstLineChars="225"/>
        <w:jc w:val="left"/>
        <w:rPr>
          <w:color w:val="000000" w:themeColor="text1"/>
          <w:sz w:val="21"/>
          <w:szCs w:val="21"/>
        </w:rPr>
      </w:pPr>
    </w:p>
    <w:p>
      <w:pPr>
        <w:pStyle w:val="47"/>
        <w:spacing w:line="480" w:lineRule="auto"/>
        <w:ind w:firstLine="472" w:firstLineChars="225"/>
        <w:jc w:val="left"/>
        <w:rPr>
          <w:color w:val="000000" w:themeColor="text1"/>
          <w:sz w:val="21"/>
          <w:szCs w:val="21"/>
        </w:rPr>
      </w:pPr>
    </w:p>
    <w:p>
      <w:pPr>
        <w:pStyle w:val="47"/>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w:t>
      </w:r>
      <w:r>
        <w:rPr>
          <w:rFonts w:hint="eastAsia" w:hAnsi="宋体"/>
          <w:bCs/>
          <w:color w:val="000000" w:themeColor="text1"/>
          <w:sz w:val="21"/>
          <w:szCs w:val="21"/>
          <w:lang w:eastAsia="zh-CN"/>
        </w:rPr>
        <w:t>原件扫描件或图片</w:t>
      </w:r>
      <w:r>
        <w:rPr>
          <w:rFonts w:hint="eastAsia" w:hAnsi="宋体"/>
          <w:bCs/>
          <w:color w:val="000000" w:themeColor="text1"/>
          <w:sz w:val="21"/>
          <w:szCs w:val="21"/>
        </w:rPr>
        <w:t>，需清晰反映身份证有效期限】</w:t>
      </w:r>
    </w:p>
    <w:p>
      <w:pPr>
        <w:pStyle w:val="47"/>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50"/>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9"/>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tabs>
          <w:tab w:val="left" w:pos="3008"/>
        </w:tabs>
        <w:autoSpaceDE w:val="0"/>
        <w:autoSpaceDN w:val="0"/>
        <w:adjustRightInd w:val="0"/>
        <w:spacing w:line="360" w:lineRule="auto"/>
        <w:ind w:right="-11"/>
        <w:rPr>
          <w:rFonts w:ascii="宋体" w:cs="宋体"/>
          <w:color w:val="000000" w:themeColor="text1"/>
          <w:szCs w:val="21"/>
          <w:lang w:val="zh-CN"/>
        </w:rPr>
      </w:pPr>
      <w:r>
        <w:rPr>
          <w:rFonts w:hint="eastAsia" w:ascii="宋体" w:cs="宋体"/>
          <w:color w:val="000000" w:themeColor="text1"/>
          <w:szCs w:val="21"/>
          <w:lang w:val="zh-CN"/>
        </w:rPr>
        <w:tab/>
      </w: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7"/>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int="eastAsia" w:ascii="宋体" w:hAnsi="宋体"/>
          <w:b/>
          <w:bCs/>
          <w:color w:val="000000" w:themeColor="text1"/>
          <w:sz w:val="24"/>
          <w:szCs w:val="24"/>
          <w:lang w:val="en-US" w:eastAsia="zh-CN"/>
        </w:rPr>
      </w:pPr>
      <w:r>
        <w:rPr>
          <w:rFonts w:hint="eastAsia" w:ascii="宋体" w:hAnsi="宋体"/>
          <w:b/>
          <w:bCs/>
          <w:color w:val="000000" w:themeColor="text1"/>
          <w:sz w:val="24"/>
          <w:szCs w:val="24"/>
        </w:rPr>
        <w:t>4.1 技术方案（或设计方案）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（投标人根据招标文件要求自行编制，需提供项目配备人员情况表）</w:t>
      </w: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w:t>
      </w:r>
      <w:r>
        <w:rPr>
          <w:rFonts w:hint="eastAsia" w:ascii="宋体" w:hAnsi="宋体"/>
          <w:b/>
          <w:bCs/>
          <w:color w:val="000000" w:themeColor="text1"/>
          <w:sz w:val="24"/>
          <w:szCs w:val="24"/>
          <w:lang w:val="en-US" w:eastAsia="zh-CN"/>
        </w:rPr>
        <w:t xml:space="preserve"> </w:t>
      </w:r>
      <w:r>
        <w:rPr>
          <w:rFonts w:hint="eastAsia" w:ascii="宋体" w:hAnsi="宋体"/>
          <w:b/>
          <w:bCs/>
          <w:color w:val="000000" w:themeColor="text1"/>
          <w:sz w:val="24"/>
          <w:szCs w:val="24"/>
        </w:rPr>
        <w:t>业绩情况表</w:t>
      </w:r>
    </w:p>
    <w:p>
      <w:pPr>
        <w:spacing w:before="50" w:after="156"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3</w:t>
      </w:r>
      <w:r>
        <w:rPr>
          <w:rFonts w:hint="eastAsia" w:ascii="宋体" w:hAnsi="宋体"/>
          <w:b/>
          <w:bCs/>
          <w:color w:val="000000" w:themeColor="text1"/>
          <w:sz w:val="24"/>
          <w:szCs w:val="24"/>
        </w:rPr>
        <w:t>售后服务方案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4</w:t>
      </w:r>
      <w:r>
        <w:rPr>
          <w:rFonts w:hint="eastAsia" w:ascii="宋体" w:hAnsi="宋体"/>
          <w:b/>
          <w:bCs/>
          <w:color w:val="000000" w:themeColor="text1"/>
          <w:sz w:val="24"/>
          <w:szCs w:val="24"/>
        </w:rPr>
        <w:t>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jc w:val="both"/>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3"/>
      <w:bookmarkStart w:id="12" w:name="OLE_LINK14"/>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rFonts w:hint="eastAsia" w:ascii="宋体" w:hAnsi="宋体"/>
          <w:b/>
          <w:bCs/>
          <w:color w:val="000000" w:themeColor="text1"/>
          <w:sz w:val="28"/>
          <w:szCs w:val="28"/>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rPr>
          <w:rFonts w:hint="eastAsia" w:ascii="宋体" w:hAnsi="宋体" w:eastAsia="宋体" w:cs="Times New Roman"/>
          <w:b/>
          <w:bCs/>
          <w:color w:val="000000" w:themeColor="text1"/>
          <w:kern w:val="2"/>
          <w:sz w:val="28"/>
          <w:szCs w:val="28"/>
          <w:lang w:val="en-US" w:eastAsia="zh-CN" w:bidi="ar-SA"/>
        </w:rPr>
      </w:pPr>
    </w:p>
    <w:p>
      <w:pPr>
        <w:ind w:firstLine="420" w:firstLineChars="0"/>
        <w:jc w:val="left"/>
        <w:rPr>
          <w:rFonts w:hint="eastAsia"/>
          <w:lang w:val="en-US" w:eastAsia="zh-CN"/>
        </w:rPr>
      </w:pPr>
    </w:p>
    <w:sectPr>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A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E8231BB"/>
    <w:multiLevelType w:val="multilevel"/>
    <w:tmpl w:val="0E8231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802200"/>
    <w:multiLevelType w:val="multilevel"/>
    <w:tmpl w:val="1C8022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2CFC7769"/>
    <w:multiLevelType w:val="multilevel"/>
    <w:tmpl w:val="2CFC7769"/>
    <w:lvl w:ilvl="0" w:tentative="0">
      <w:start w:val="1"/>
      <w:numFmt w:val="decimal"/>
      <w:lvlText w:val="（%1）"/>
      <w:lvlJc w:val="left"/>
      <w:pPr>
        <w:ind w:left="838" w:hanging="4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49A1AA8C"/>
    <w:multiLevelType w:val="singleLevel"/>
    <w:tmpl w:val="49A1AA8C"/>
    <w:lvl w:ilvl="0" w:tentative="0">
      <w:start w:val="4"/>
      <w:numFmt w:val="decimal"/>
      <w:suff w:val="nothing"/>
      <w:lvlText w:val="%1、"/>
      <w:lvlJc w:val="left"/>
    </w:lvl>
  </w:abstractNum>
  <w:abstractNum w:abstractNumId="16">
    <w:nsid w:val="4A364DEB"/>
    <w:multiLevelType w:val="multilevel"/>
    <w:tmpl w:val="4A364DE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59F817C2"/>
    <w:multiLevelType w:val="singleLevel"/>
    <w:tmpl w:val="59F817C2"/>
    <w:lvl w:ilvl="0" w:tentative="0">
      <w:start w:val="2"/>
      <w:numFmt w:val="chineseCounting"/>
      <w:suff w:val="space"/>
      <w:lvlText w:val="第%1章"/>
      <w:lvlJc w:val="left"/>
      <w:rPr>
        <w:rFonts w:cs="Times New Roman"/>
      </w:rPr>
    </w:lvl>
  </w:abstractNum>
  <w:abstractNum w:abstractNumId="19">
    <w:nsid w:val="59F817E8"/>
    <w:multiLevelType w:val="singleLevel"/>
    <w:tmpl w:val="59F817E8"/>
    <w:lvl w:ilvl="0" w:tentative="0">
      <w:start w:val="1"/>
      <w:numFmt w:val="chineseCounting"/>
      <w:pStyle w:val="55"/>
      <w:suff w:val="nothing"/>
      <w:lvlText w:val="%1、"/>
      <w:lvlJc w:val="left"/>
      <w:rPr>
        <w:rFonts w:cs="Times New Roman"/>
      </w:rPr>
    </w:lvl>
  </w:abstractNum>
  <w:abstractNum w:abstractNumId="2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1">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2">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19"/>
  </w:num>
  <w:num w:numId="4">
    <w:abstractNumId w:val="18"/>
  </w:num>
  <w:num w:numId="5">
    <w:abstractNumId w:val="7"/>
  </w:num>
  <w:num w:numId="6">
    <w:abstractNumId w:val="2"/>
  </w:num>
  <w:num w:numId="7">
    <w:abstractNumId w:val="10"/>
  </w:num>
  <w:num w:numId="8">
    <w:abstractNumId w:val="16"/>
  </w:num>
  <w:num w:numId="9">
    <w:abstractNumId w:val="9"/>
  </w:num>
  <w:num w:numId="10">
    <w:abstractNumId w:val="20"/>
  </w:num>
  <w:num w:numId="11">
    <w:abstractNumId w:val="21"/>
  </w:num>
  <w:num w:numId="12">
    <w:abstractNumId w:val="14"/>
  </w:num>
  <w:num w:numId="13">
    <w:abstractNumId w:val="11"/>
  </w:num>
  <w:num w:numId="14">
    <w:abstractNumId w:val="5"/>
  </w:num>
  <w:num w:numId="15">
    <w:abstractNumId w:val="6"/>
  </w:num>
  <w:num w:numId="16">
    <w:abstractNumId w:val="23"/>
  </w:num>
  <w:num w:numId="17">
    <w:abstractNumId w:val="13"/>
  </w:num>
  <w:num w:numId="18">
    <w:abstractNumId w:val="22"/>
  </w:num>
  <w:num w:numId="19">
    <w:abstractNumId w:val="4"/>
  </w:num>
  <w:num w:numId="20">
    <w:abstractNumId w:val="8"/>
  </w:num>
  <w:num w:numId="21">
    <w:abstractNumId w:val="17"/>
  </w:num>
  <w:num w:numId="22">
    <w:abstractNumId w:val="12"/>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671B3D"/>
    <w:rsid w:val="02F000B5"/>
    <w:rsid w:val="05A9031A"/>
    <w:rsid w:val="09796E7C"/>
    <w:rsid w:val="0BF76B3F"/>
    <w:rsid w:val="0D415F34"/>
    <w:rsid w:val="0F7D4050"/>
    <w:rsid w:val="11D20F49"/>
    <w:rsid w:val="11F9161B"/>
    <w:rsid w:val="1300493A"/>
    <w:rsid w:val="13E92876"/>
    <w:rsid w:val="17CD1643"/>
    <w:rsid w:val="1C2740E4"/>
    <w:rsid w:val="1FEF46F5"/>
    <w:rsid w:val="21843E4D"/>
    <w:rsid w:val="22862C6D"/>
    <w:rsid w:val="22CA5371"/>
    <w:rsid w:val="244C2A41"/>
    <w:rsid w:val="24ED7E58"/>
    <w:rsid w:val="250F3E9D"/>
    <w:rsid w:val="25642AF2"/>
    <w:rsid w:val="25C333B0"/>
    <w:rsid w:val="278C0FFF"/>
    <w:rsid w:val="2BB134FB"/>
    <w:rsid w:val="2EB274DA"/>
    <w:rsid w:val="2F883F2C"/>
    <w:rsid w:val="301B76A8"/>
    <w:rsid w:val="32507878"/>
    <w:rsid w:val="328868A0"/>
    <w:rsid w:val="33B74D42"/>
    <w:rsid w:val="33B90A17"/>
    <w:rsid w:val="34F965B4"/>
    <w:rsid w:val="366F1053"/>
    <w:rsid w:val="37C41F88"/>
    <w:rsid w:val="38534C67"/>
    <w:rsid w:val="3ADB495C"/>
    <w:rsid w:val="3AF902DE"/>
    <w:rsid w:val="3B5A17CE"/>
    <w:rsid w:val="3BE57091"/>
    <w:rsid w:val="3C7E41E5"/>
    <w:rsid w:val="3EC80C70"/>
    <w:rsid w:val="3F0B3FB6"/>
    <w:rsid w:val="3F453F62"/>
    <w:rsid w:val="4061577A"/>
    <w:rsid w:val="42C747AF"/>
    <w:rsid w:val="43262A07"/>
    <w:rsid w:val="43CB7B08"/>
    <w:rsid w:val="45F23D2D"/>
    <w:rsid w:val="45F52C04"/>
    <w:rsid w:val="48D40D01"/>
    <w:rsid w:val="49861BE1"/>
    <w:rsid w:val="4D8044C9"/>
    <w:rsid w:val="4F0D4A52"/>
    <w:rsid w:val="4FB37C1C"/>
    <w:rsid w:val="5015505D"/>
    <w:rsid w:val="52991931"/>
    <w:rsid w:val="52AF00D0"/>
    <w:rsid w:val="55C468E5"/>
    <w:rsid w:val="56B13548"/>
    <w:rsid w:val="58EE0B1F"/>
    <w:rsid w:val="59504ED3"/>
    <w:rsid w:val="59A4253F"/>
    <w:rsid w:val="5AB93157"/>
    <w:rsid w:val="5F6745D6"/>
    <w:rsid w:val="602F0496"/>
    <w:rsid w:val="60C87A1A"/>
    <w:rsid w:val="61BD3EB7"/>
    <w:rsid w:val="63B32953"/>
    <w:rsid w:val="64CC41B3"/>
    <w:rsid w:val="65E33A23"/>
    <w:rsid w:val="671F5F03"/>
    <w:rsid w:val="67782E04"/>
    <w:rsid w:val="681D1918"/>
    <w:rsid w:val="68E90F08"/>
    <w:rsid w:val="6932074C"/>
    <w:rsid w:val="6B250787"/>
    <w:rsid w:val="6CED2EE7"/>
    <w:rsid w:val="6FCB4AD0"/>
    <w:rsid w:val="709B25D3"/>
    <w:rsid w:val="72480C85"/>
    <w:rsid w:val="73E41841"/>
    <w:rsid w:val="741135A5"/>
    <w:rsid w:val="75C4127B"/>
    <w:rsid w:val="76004FD1"/>
    <w:rsid w:val="771857C3"/>
    <w:rsid w:val="775A36A9"/>
    <w:rsid w:val="78BD656B"/>
    <w:rsid w:val="7A1A5F01"/>
    <w:rsid w:val="7B0E494E"/>
    <w:rsid w:val="7BF8768E"/>
    <w:rsid w:val="7CDF6871"/>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7"/>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3">
    <w:name w:val="Default Paragraph Font"/>
    <w:semiHidden/>
    <w:qFormat/>
    <w:uiPriority w:val="99"/>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4"/>
    <w:semiHidden/>
    <w:qFormat/>
    <w:uiPriority w:val="99"/>
    <w:pPr>
      <w:spacing w:after="120"/>
    </w:pPr>
  </w:style>
  <w:style w:type="paragraph" w:styleId="7">
    <w:name w:val="Body Text First Indent"/>
    <w:basedOn w:val="2"/>
    <w:link w:val="35"/>
    <w:qFormat/>
    <w:uiPriority w:val="99"/>
    <w:pPr>
      <w:ind w:firstLine="420" w:firstLineChars="100"/>
    </w:pPr>
    <w:rPr>
      <w:rFonts w:ascii="宋体" w:hAnsi="Times New Roman"/>
      <w:kern w:val="0"/>
      <w:sz w:val="34"/>
      <w:szCs w:val="20"/>
    </w:r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locked/>
    <w:uiPriority w:val="0"/>
    <w:pPr>
      <w:jc w:val="left"/>
    </w:pPr>
  </w:style>
  <w:style w:type="paragraph" w:styleId="11">
    <w:name w:val="Body Text 3"/>
    <w:basedOn w:val="1"/>
    <w:link w:val="36"/>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7"/>
    <w:qFormat/>
    <w:uiPriority w:val="99"/>
    <w:rPr>
      <w:sz w:val="24"/>
    </w:rPr>
  </w:style>
  <w:style w:type="paragraph" w:styleId="15">
    <w:name w:val="Date"/>
    <w:basedOn w:val="1"/>
    <w:next w:val="1"/>
    <w:link w:val="38"/>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Message Header"/>
    <w:basedOn w:val="1"/>
    <w:link w:val="3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qFormat/>
    <w:uiPriority w:val="99"/>
    <w:rPr>
      <w:sz w:val="24"/>
      <w:szCs w:val="24"/>
    </w:rPr>
  </w:style>
  <w:style w:type="character" w:styleId="24">
    <w:name w:val="Strong"/>
    <w:basedOn w:val="23"/>
    <w:qFormat/>
    <w:uiPriority w:val="99"/>
    <w:rPr>
      <w:rFonts w:cs="Times New Roman"/>
      <w:b/>
      <w:bCs/>
    </w:rPr>
  </w:style>
  <w:style w:type="character" w:styleId="25">
    <w:name w:val="FollowedHyperlink"/>
    <w:basedOn w:val="23"/>
    <w:semiHidden/>
    <w:qFormat/>
    <w:uiPriority w:val="99"/>
    <w:rPr>
      <w:rFonts w:cs="Times New Roman"/>
      <w:color w:val="800080"/>
      <w:u w:val="single"/>
    </w:rPr>
  </w:style>
  <w:style w:type="character" w:styleId="26">
    <w:name w:val="Hyperlink"/>
    <w:basedOn w:val="23"/>
    <w:qFormat/>
    <w:uiPriority w:val="99"/>
    <w:rPr>
      <w:rFonts w:cs="Times New Roman"/>
      <w:color w:val="0000FF"/>
      <w:u w:val="single"/>
    </w:rPr>
  </w:style>
  <w:style w:type="table" w:styleId="28">
    <w:name w:val="Table Grid"/>
    <w:basedOn w:val="27"/>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Heading 1 Char"/>
    <w:basedOn w:val="23"/>
    <w:link w:val="3"/>
    <w:qFormat/>
    <w:locked/>
    <w:uiPriority w:val="99"/>
    <w:rPr>
      <w:rFonts w:ascii="Calibri" w:hAnsi="Calibri" w:eastAsia="宋体" w:cs="Times New Roman"/>
      <w:b/>
      <w:bCs/>
      <w:kern w:val="44"/>
      <w:sz w:val="44"/>
      <w:szCs w:val="44"/>
    </w:rPr>
  </w:style>
  <w:style w:type="character" w:customStyle="1" w:styleId="30">
    <w:name w:val="Heading 2 Char"/>
    <w:basedOn w:val="23"/>
    <w:link w:val="4"/>
    <w:qFormat/>
    <w:locked/>
    <w:uiPriority w:val="99"/>
    <w:rPr>
      <w:rFonts w:ascii="Arial" w:hAnsi="Arial" w:eastAsia="黑体" w:cs="Times New Roman"/>
      <w:b/>
      <w:bCs/>
      <w:kern w:val="0"/>
      <w:sz w:val="32"/>
      <w:szCs w:val="32"/>
    </w:rPr>
  </w:style>
  <w:style w:type="character" w:customStyle="1" w:styleId="31">
    <w:name w:val="Heading 3 Char"/>
    <w:basedOn w:val="23"/>
    <w:link w:val="5"/>
    <w:qFormat/>
    <w:locked/>
    <w:uiPriority w:val="99"/>
    <w:rPr>
      <w:rFonts w:ascii="宋体" w:hAnsi="宋体" w:eastAsia="宋体" w:cs="Times New Roman"/>
      <w:b/>
      <w:color w:val="000000"/>
      <w:kern w:val="0"/>
      <w:sz w:val="20"/>
      <w:szCs w:val="20"/>
      <w:lang w:val="en-GB"/>
    </w:rPr>
  </w:style>
  <w:style w:type="character" w:customStyle="1" w:styleId="32">
    <w:name w:val="Heading 4 Char"/>
    <w:basedOn w:val="23"/>
    <w:link w:val="6"/>
    <w:qFormat/>
    <w:locked/>
    <w:uiPriority w:val="99"/>
    <w:rPr>
      <w:rFonts w:ascii="Arial" w:hAnsi="Arial" w:eastAsia="黑体" w:cs="Times New Roman"/>
      <w:b/>
      <w:bCs/>
      <w:kern w:val="0"/>
      <w:sz w:val="28"/>
      <w:szCs w:val="28"/>
    </w:rPr>
  </w:style>
  <w:style w:type="character" w:customStyle="1" w:styleId="33">
    <w:name w:val="Message Header Char"/>
    <w:basedOn w:val="23"/>
    <w:link w:val="20"/>
    <w:semiHidden/>
    <w:qFormat/>
    <w:locked/>
    <w:uiPriority w:val="99"/>
    <w:rPr>
      <w:rFonts w:ascii="Cambria" w:hAnsi="Cambria" w:eastAsia="宋体" w:cs="Times New Roman"/>
      <w:sz w:val="24"/>
      <w:szCs w:val="24"/>
      <w:shd w:val="pct20" w:color="auto" w:fill="auto"/>
    </w:rPr>
  </w:style>
  <w:style w:type="character" w:customStyle="1" w:styleId="34">
    <w:name w:val="Body Text Char"/>
    <w:basedOn w:val="23"/>
    <w:link w:val="2"/>
    <w:semiHidden/>
    <w:qFormat/>
    <w:locked/>
    <w:uiPriority w:val="99"/>
    <w:rPr>
      <w:rFonts w:cs="Times New Roman"/>
    </w:rPr>
  </w:style>
  <w:style w:type="character" w:customStyle="1" w:styleId="35">
    <w:name w:val="Body Text First Indent Char"/>
    <w:basedOn w:val="34"/>
    <w:link w:val="7"/>
    <w:qFormat/>
    <w:locked/>
    <w:uiPriority w:val="99"/>
    <w:rPr>
      <w:rFonts w:ascii="宋体" w:hAnsi="Times New Roman" w:eastAsia="宋体"/>
      <w:kern w:val="0"/>
      <w:sz w:val="20"/>
      <w:szCs w:val="20"/>
    </w:rPr>
  </w:style>
  <w:style w:type="character" w:customStyle="1" w:styleId="36">
    <w:name w:val="Body Text 3 Char"/>
    <w:basedOn w:val="23"/>
    <w:link w:val="11"/>
    <w:qFormat/>
    <w:locked/>
    <w:uiPriority w:val="99"/>
    <w:rPr>
      <w:rFonts w:ascii="Times New Roman" w:hAnsi="Times New Roman" w:eastAsia="宋体" w:cs="Times New Roman"/>
      <w:color w:val="FF0000"/>
      <w:sz w:val="24"/>
      <w:szCs w:val="24"/>
    </w:rPr>
  </w:style>
  <w:style w:type="character" w:customStyle="1" w:styleId="37">
    <w:name w:val="Plain Text Char"/>
    <w:basedOn w:val="23"/>
    <w:link w:val="14"/>
    <w:qFormat/>
    <w:locked/>
    <w:uiPriority w:val="99"/>
    <w:rPr>
      <w:rFonts w:eastAsia="宋体" w:cs="Times New Roman"/>
      <w:sz w:val="24"/>
    </w:rPr>
  </w:style>
  <w:style w:type="character" w:customStyle="1" w:styleId="38">
    <w:name w:val="Date Char"/>
    <w:basedOn w:val="23"/>
    <w:link w:val="15"/>
    <w:qFormat/>
    <w:locked/>
    <w:uiPriority w:val="99"/>
    <w:rPr>
      <w:rFonts w:cs="Times New Roman"/>
    </w:rPr>
  </w:style>
  <w:style w:type="character" w:customStyle="1" w:styleId="39">
    <w:name w:val="Footer Char"/>
    <w:basedOn w:val="23"/>
    <w:link w:val="17"/>
    <w:qFormat/>
    <w:locked/>
    <w:uiPriority w:val="99"/>
    <w:rPr>
      <w:rFonts w:cs="Times New Roman"/>
      <w:sz w:val="18"/>
      <w:szCs w:val="18"/>
    </w:rPr>
  </w:style>
  <w:style w:type="character" w:customStyle="1" w:styleId="40">
    <w:name w:val="Header Char"/>
    <w:basedOn w:val="23"/>
    <w:link w:val="18"/>
    <w:qFormat/>
    <w:locked/>
    <w:uiPriority w:val="99"/>
    <w:rPr>
      <w:rFonts w:cs="Times New Roman"/>
      <w:sz w:val="18"/>
      <w:szCs w:val="18"/>
    </w:rPr>
  </w:style>
  <w:style w:type="character" w:customStyle="1" w:styleId="41">
    <w:name w:val="HTML Preformatted Char"/>
    <w:basedOn w:val="23"/>
    <w:link w:val="21"/>
    <w:semiHidden/>
    <w:qFormat/>
    <w:locked/>
    <w:uiPriority w:val="99"/>
    <w:rPr>
      <w:rFonts w:ascii="宋体" w:hAnsi="宋体" w:eastAsia="宋体" w:cs="宋体"/>
      <w:kern w:val="0"/>
      <w:sz w:val="24"/>
      <w:szCs w:val="24"/>
    </w:rPr>
  </w:style>
  <w:style w:type="character" w:customStyle="1" w:styleId="42">
    <w:name w:val="纯文本 Char1"/>
    <w:qFormat/>
    <w:uiPriority w:val="99"/>
    <w:rPr>
      <w:rFonts w:eastAsia="宋体"/>
      <w:sz w:val="24"/>
    </w:rPr>
  </w:style>
  <w:style w:type="paragraph" w:customStyle="1" w:styleId="4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4">
    <w:name w:val="列出段落1"/>
    <w:basedOn w:val="1"/>
    <w:qFormat/>
    <w:uiPriority w:val="99"/>
    <w:pPr>
      <w:ind w:firstLine="420" w:firstLineChars="200"/>
    </w:pPr>
  </w:style>
  <w:style w:type="paragraph" w:styleId="45">
    <w:name w:val="List Paragraph"/>
    <w:basedOn w:val="1"/>
    <w:qFormat/>
    <w:uiPriority w:val="99"/>
    <w:pPr>
      <w:ind w:firstLine="420" w:firstLineChars="200"/>
    </w:pPr>
  </w:style>
  <w:style w:type="character" w:customStyle="1" w:styleId="46">
    <w:name w:val="正文文本缩进 Char Char"/>
    <w:link w:val="47"/>
    <w:qFormat/>
    <w:locked/>
    <w:uiPriority w:val="99"/>
    <w:rPr>
      <w:rFonts w:ascii="宋体"/>
      <w:sz w:val="24"/>
    </w:rPr>
  </w:style>
  <w:style w:type="paragraph" w:customStyle="1" w:styleId="47">
    <w:name w:val="正文文本缩进1"/>
    <w:basedOn w:val="1"/>
    <w:link w:val="46"/>
    <w:qFormat/>
    <w:uiPriority w:val="99"/>
    <w:pPr>
      <w:spacing w:line="360" w:lineRule="auto"/>
      <w:ind w:firstLine="480" w:firstLineChars="200"/>
    </w:pPr>
    <w:rPr>
      <w:rFonts w:ascii="宋体" w:hAnsi="Times New Roman"/>
      <w:kern w:val="0"/>
      <w:sz w:val="24"/>
      <w:szCs w:val="20"/>
    </w:rPr>
  </w:style>
  <w:style w:type="character" w:customStyle="1" w:styleId="48">
    <w:name w:val="日期 Char Char"/>
    <w:link w:val="49"/>
    <w:qFormat/>
    <w:locked/>
    <w:uiPriority w:val="99"/>
    <w:rPr>
      <w:sz w:val="24"/>
    </w:rPr>
  </w:style>
  <w:style w:type="paragraph" w:customStyle="1" w:styleId="49">
    <w:name w:val="日期1"/>
    <w:basedOn w:val="1"/>
    <w:next w:val="1"/>
    <w:link w:val="48"/>
    <w:qFormat/>
    <w:uiPriority w:val="99"/>
    <w:rPr>
      <w:rFonts w:ascii="Times New Roman" w:hAnsi="Times New Roman"/>
      <w:kern w:val="0"/>
      <w:sz w:val="24"/>
      <w:szCs w:val="20"/>
    </w:rPr>
  </w:style>
  <w:style w:type="paragraph" w:customStyle="1" w:styleId="50">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1">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2">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3">
    <w:name w:val="edittexttarea"/>
    <w:basedOn w:val="23"/>
    <w:qFormat/>
    <w:uiPriority w:val="99"/>
    <w:rPr>
      <w:rFonts w:cs="Times New Roman"/>
    </w:rPr>
  </w:style>
  <w:style w:type="paragraph" w:customStyle="1" w:styleId="54">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6">
    <w:name w:val="纯文本 Char"/>
    <w:basedOn w:val="23"/>
    <w:qFormat/>
    <w:uiPriority w:val="99"/>
    <w:rPr>
      <w:rFonts w:ascii="Calibri" w:hAnsi="Calibri" w:cs="Times New Roman"/>
      <w:kern w:val="2"/>
      <w:sz w:val="22"/>
      <w:szCs w:val="22"/>
    </w:rPr>
  </w:style>
  <w:style w:type="character" w:customStyle="1" w:styleId="57">
    <w:name w:val="标题 2 字符"/>
    <w:basedOn w:val="23"/>
    <w:link w:val="4"/>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河南招标采购服务有限公司:河南招标采购服务有限公司</cp:lastModifiedBy>
  <cp:lastPrinted>2018-09-19T05:43:00Z</cp:lastPrinted>
  <dcterms:modified xsi:type="dcterms:W3CDTF">2018-09-09T07:20:34Z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