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30" w:line="600" w:lineRule="exact"/>
        <w:ind w:left="262" w:hanging="260" w:hangingChars="80"/>
        <w:jc w:val="center"/>
        <w:rPr>
          <w:rFonts w:ascii="仿宋_GB2312" w:hAnsi="仿宋_GB2312" w:eastAsia="仿宋_GB2312" w:cs="仿宋_GB2312"/>
          <w:b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建安建工公字〔2018〕144号</w:t>
      </w:r>
    </w:p>
    <w:p>
      <w:pPr>
        <w:spacing w:beforeLines="50" w:afterLines="30" w:line="600" w:lineRule="exact"/>
        <w:ind w:left="289" w:hanging="289" w:hangingChars="80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许昌市建安区蒋李集镇人民政府</w:t>
      </w:r>
    </w:p>
    <w:p>
      <w:pPr>
        <w:spacing w:beforeLines="50" w:afterLines="30" w:line="600" w:lineRule="exact"/>
        <w:ind w:left="262" w:hanging="260" w:hangingChars="80"/>
        <w:jc w:val="center"/>
        <w:rPr>
          <w:rFonts w:ascii="仿宋_GB2312" w:hAnsi="仿宋_GB2312" w:eastAsia="仿宋_GB2312" w:cs="仿宋_GB2312"/>
          <w:b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蒋李集镇2018年度高标准农田建设沟渠开挖支道整修桥涵工程</w:t>
      </w:r>
    </w:p>
    <w:p>
      <w:pPr>
        <w:spacing w:beforeLines="50" w:afterLines="30" w:line="600" w:lineRule="exact"/>
        <w:ind w:left="262" w:hanging="260" w:hangingChars="80"/>
        <w:jc w:val="center"/>
        <w:rPr>
          <w:rFonts w:ascii="仿宋_GB2312" w:hAnsi="仿宋_GB2312" w:eastAsia="仿宋_GB2312" w:cs="仿宋_GB2312"/>
          <w:b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评标结果公示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一、基本情况和数据表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</w:rPr>
        <w:t>一</w:t>
      </w:r>
      <w:r>
        <w:rPr>
          <w:rFonts w:ascii="仿宋_GB2312" w:eastAsia="仿宋_GB2312"/>
          <w:sz w:val="28"/>
          <w:szCs w:val="28"/>
        </w:rPr>
        <w:t xml:space="preserve">) </w:t>
      </w:r>
      <w:r>
        <w:rPr>
          <w:rFonts w:hint="eastAsia" w:ascii="仿宋_GB2312" w:eastAsia="仿宋_GB2312"/>
          <w:sz w:val="28"/>
          <w:szCs w:val="28"/>
        </w:rPr>
        <w:t>项目概况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1、建设地点：许昌市建安区蒋李集镇；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2、建设规模：2018年建安区蒋李集镇1万亩高标准农田建设项目包括：新打机井、维修井、开挖整修沟渠、地埋管埋设安装、渠系建筑物、田间道路、机电设备安装、科技推广等；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3、招标控制价：1361041.03元（其中开挖整修沟渠招标控制价为231479.50元，支道招标控制价为83200.00元，渠系建筑物招标控制价为1046361.53元）；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4、质量要求：合格（符合国家现行的验收规范和标准）；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5、计划工期： 60 日历天；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6、评标办法：综合评估法；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7、资格审查方式：资格后审。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（二）招标过程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本工程招标采用公开招标方式进行，按照法定公开招标程序和要求，于 2018 年 8 月24 日至 2018 年 8 月 30日在《全国公共资源交易平台(河南省▪许昌市)》和《河南省电子招标投标公共服务平台》上公开发布招标信息，于投标截止时间递交投标文件及投标保证金的投标单位有3家。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（三）项目开标数据表</w:t>
      </w:r>
    </w:p>
    <w:tbl>
      <w:tblPr>
        <w:tblStyle w:val="12"/>
        <w:tblW w:w="9525" w:type="dxa"/>
        <w:jc w:val="center"/>
        <w:tblInd w:w="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1812"/>
        <w:gridCol w:w="1245"/>
        <w:gridCol w:w="37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招标人名称</w:t>
            </w:r>
          </w:p>
        </w:tc>
        <w:tc>
          <w:tcPr>
            <w:tcW w:w="6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许昌市建安区蒋李集镇人民政府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招标代理机构名称</w:t>
            </w:r>
          </w:p>
        </w:tc>
        <w:tc>
          <w:tcPr>
            <w:tcW w:w="6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河南智博工程咨询有限公司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工程名称</w:t>
            </w:r>
          </w:p>
        </w:tc>
        <w:tc>
          <w:tcPr>
            <w:tcW w:w="6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蒋李集镇2018年度高标准农田建设沟渠开挖支道整修桥涵工程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开标时间</w:t>
            </w:r>
          </w:p>
        </w:tc>
        <w:tc>
          <w:tcPr>
            <w:tcW w:w="18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2018年9月19日10时30分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开标地点</w:t>
            </w:r>
          </w:p>
        </w:tc>
        <w:tc>
          <w:tcPr>
            <w:tcW w:w="3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许昌市建安区新元大道兴业大厦4167室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评标时间</w:t>
            </w:r>
          </w:p>
        </w:tc>
        <w:tc>
          <w:tcPr>
            <w:tcW w:w="18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2018年9月19日11 时 50 分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评标地点</w:t>
            </w:r>
          </w:p>
        </w:tc>
        <w:tc>
          <w:tcPr>
            <w:tcW w:w="3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许昌市建安区新元大道兴业大厦评标三室</w:t>
            </w:r>
          </w:p>
        </w:tc>
      </w:tr>
    </w:tbl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二、开标记录（分标段填写）</w:t>
      </w:r>
    </w:p>
    <w:tbl>
      <w:tblPr>
        <w:tblStyle w:val="12"/>
        <w:tblW w:w="10081" w:type="dxa"/>
        <w:jc w:val="center"/>
        <w:tblInd w:w="-1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454"/>
        <w:gridCol w:w="1008"/>
        <w:gridCol w:w="499"/>
        <w:gridCol w:w="1239"/>
        <w:gridCol w:w="1523"/>
        <w:gridCol w:w="1088"/>
        <w:gridCol w:w="14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投标单位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投标报价（元）</w:t>
            </w:r>
          </w:p>
        </w:tc>
        <w:tc>
          <w:tcPr>
            <w:tcW w:w="10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工期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（日历天）</w:t>
            </w:r>
          </w:p>
        </w:tc>
        <w:tc>
          <w:tcPr>
            <w:tcW w:w="173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项目经理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（含证书编号）</w:t>
            </w:r>
          </w:p>
        </w:tc>
        <w:tc>
          <w:tcPr>
            <w:tcW w:w="15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质量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标准</w:t>
            </w:r>
          </w:p>
        </w:tc>
        <w:tc>
          <w:tcPr>
            <w:tcW w:w="10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密封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情况</w:t>
            </w:r>
          </w:p>
        </w:tc>
        <w:tc>
          <w:tcPr>
            <w:tcW w:w="14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河南安鑫建筑工程有限公司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1351513.96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60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崔花玲（证书编号：豫241161692027）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完好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河南中博建筑有限公司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 xml:space="preserve">1333801.80 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60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赵慧丽（证书编号：豫241161688550）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完好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河南裕鑫建筑安装有限公司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1340628.74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60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郭阳涛（证书编号：豫241111120666）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完好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招标控制价</w:t>
            </w:r>
          </w:p>
        </w:tc>
        <w:tc>
          <w:tcPr>
            <w:tcW w:w="823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1361041.03元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目标工期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60日历天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质量要求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合格（符合国家现行的验收规范和标准）</w:t>
            </w:r>
          </w:p>
        </w:tc>
      </w:tr>
    </w:tbl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三、评标标准、评标办法或者评标因素一览表</w:t>
      </w:r>
    </w:p>
    <w:tbl>
      <w:tblPr>
        <w:tblStyle w:val="12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7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68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项目名称</w:t>
            </w:r>
          </w:p>
        </w:tc>
        <w:tc>
          <w:tcPr>
            <w:tcW w:w="703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蒋李集镇2018年度高标准农田建设沟渠开挖支道整修桥涵工程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68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评标标准</w:t>
            </w:r>
          </w:p>
        </w:tc>
        <w:tc>
          <w:tcPr>
            <w:tcW w:w="703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评标应遵循公正、公平、择优的原则严格按照招标文件进行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68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评标办法</w:t>
            </w:r>
          </w:p>
        </w:tc>
        <w:tc>
          <w:tcPr>
            <w:tcW w:w="703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综合评标法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468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评分因素</w:t>
            </w:r>
          </w:p>
        </w:tc>
        <w:tc>
          <w:tcPr>
            <w:tcW w:w="703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详见招标文件</w:t>
            </w:r>
          </w:p>
        </w:tc>
      </w:tr>
    </w:tbl>
    <w:p>
      <w:pPr>
        <w:pStyle w:val="2"/>
        <w:ind w:firstLine="442"/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四、评审情况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（一）初步评审</w:t>
      </w:r>
    </w:p>
    <w:tbl>
      <w:tblPr>
        <w:tblStyle w:val="12"/>
        <w:tblW w:w="9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河南安鑫建筑工程有限公司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河南中博建筑有限公司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3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河南裕鑫建筑安装有限公司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未通过初步评审的投标人名称及原因：无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（二）详细评审（后附：评标委员会成员技术标、商务标评分底稿）</w:t>
      </w:r>
    </w:p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五、根据招标文件的规定，评标委员会将经评审的投标人按综合得分由高到低排序如下：</w:t>
      </w:r>
    </w:p>
    <w:tbl>
      <w:tblPr>
        <w:tblStyle w:val="12"/>
        <w:tblW w:w="92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8"/>
        <w:gridCol w:w="1925"/>
        <w:gridCol w:w="16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投标人名称</w:t>
            </w:r>
          </w:p>
        </w:tc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最终得分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投标人排序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河南中博建筑有限公司</w:t>
            </w:r>
          </w:p>
        </w:tc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77.61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河南安鑫建筑工程有限公司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72.2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河南裕鑫建筑安装有限公司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71.11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</w:tbl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六、推荐的中标候选人详细评审得分</w:t>
      </w:r>
    </w:p>
    <w:tbl>
      <w:tblPr>
        <w:tblStyle w:val="12"/>
        <w:tblW w:w="96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984"/>
        <w:gridCol w:w="1070"/>
        <w:gridCol w:w="1209"/>
        <w:gridCol w:w="1207"/>
        <w:gridCol w:w="1209"/>
        <w:gridCol w:w="1208"/>
      </w:tblGrid>
      <w:tr>
        <w:tblPrEx>
          <w:tblLayout w:type="fixed"/>
        </w:tblPrEx>
        <w:trPr>
          <w:trHeight w:val="794" w:hRule="atLeast"/>
        </w:trPr>
        <w:tc>
          <w:tcPr>
            <w:tcW w:w="37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第一中标候选人</w:t>
            </w:r>
          </w:p>
        </w:tc>
        <w:tc>
          <w:tcPr>
            <w:tcW w:w="590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  <w:szCs w:val="24"/>
              </w:rPr>
              <w:t>河南中博建筑有限公司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7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评标委员会成员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技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标</w:t>
            </w: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 xml:space="preserve">内容完整性和编制水平  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1.6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1.6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1.8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施工方案与技术措施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质量管理体系与措施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3.4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安全管理体系与措施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工程进度计划与措施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3.4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资源配备计划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3.4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环境保护管理体系与措施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2.5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2.6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施工进度表或施工网络图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0.7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0.8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0.8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施工总平面布置图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br w:type="textWrapping"/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0.6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0.8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0.7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 xml:space="preserve">节能减排、绿色施工（含扬尘治理）措施、工艺创新方面针对本工程有具体措施或企业自有创新技术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ab/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3.4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2.5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 xml:space="preserve">新工艺、新技术、新设备、新材料的采用程度，其在确保质量、降低成本、缩短工期、减轻劳动强度、提高工效等方面的作用 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3.4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2.4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商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务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标</w:t>
            </w: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投标报价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33.69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33.69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33.69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33.69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33.69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企业综合实力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企业综合信用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企业业绩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项目经理业绩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项目管理机构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服务承诺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1.6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1.7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1.5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1.8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7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小计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75.19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81.09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79.19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78.29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74.29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7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最终得分（平均得分）</w:t>
            </w:r>
          </w:p>
        </w:tc>
        <w:tc>
          <w:tcPr>
            <w:tcW w:w="590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77.61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964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备注：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ind w:firstLine="42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white"/>
                <w:lang w:val="zh-CN"/>
              </w:rPr>
              <w:t>投标人最终得分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white"/>
                <w:lang w:val="zh-CN"/>
              </w:rPr>
              <w:t>平均得分。计算分值均四舍五入保留两位小数。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ind w:firstLine="42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评委人数为7人（含7人）时，将各位评标专家对某一投标人评分中的最高分和最低分去掉后，剩余分数的算术平均值作为该投标人的最终得分。评委人数为7人以下时，将所有评委打分取算术平均值作为该投标人的最终得分。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12"/>
        <w:tblW w:w="96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983"/>
        <w:gridCol w:w="1063"/>
        <w:gridCol w:w="6"/>
        <w:gridCol w:w="1208"/>
        <w:gridCol w:w="1206"/>
        <w:gridCol w:w="1202"/>
        <w:gridCol w:w="6"/>
        <w:gridCol w:w="12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第二中标候选人</w:t>
            </w:r>
          </w:p>
        </w:tc>
        <w:tc>
          <w:tcPr>
            <w:tcW w:w="590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河南安鑫建筑工程有限公司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7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评标委员会成员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0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技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标</w:t>
            </w: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 xml:space="preserve">内容完整性和编制水平  </w:t>
            </w:r>
          </w:p>
        </w:tc>
        <w:tc>
          <w:tcPr>
            <w:tcW w:w="10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1.6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1.4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1.8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施工方案与技术措施</w:t>
            </w:r>
          </w:p>
        </w:tc>
        <w:tc>
          <w:tcPr>
            <w:tcW w:w="10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质量管理体系与措施</w:t>
            </w:r>
          </w:p>
        </w:tc>
        <w:tc>
          <w:tcPr>
            <w:tcW w:w="10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3.1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安全管理体系与措施</w:t>
            </w:r>
          </w:p>
        </w:tc>
        <w:tc>
          <w:tcPr>
            <w:tcW w:w="10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3.4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工程进度计划与措施</w:t>
            </w:r>
          </w:p>
        </w:tc>
        <w:tc>
          <w:tcPr>
            <w:tcW w:w="10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3.2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3.2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资源配备计划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环境保护管理体系与措施</w:t>
            </w:r>
          </w:p>
        </w:tc>
        <w:tc>
          <w:tcPr>
            <w:tcW w:w="10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2.4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2.5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施工进度表或施工网络图</w:t>
            </w:r>
          </w:p>
        </w:tc>
        <w:tc>
          <w:tcPr>
            <w:tcW w:w="10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0.6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0.7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0.8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施工总平面布置图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br w:type="textWrapping"/>
            </w:r>
          </w:p>
        </w:tc>
        <w:tc>
          <w:tcPr>
            <w:tcW w:w="10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0.6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0.8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0.6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7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 xml:space="preserve">节能减排、绿色施工（含扬尘治理）措施、工艺创新方面针对本工程有具体措施或企业自有创新技术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ab/>
            </w:r>
          </w:p>
        </w:tc>
        <w:tc>
          <w:tcPr>
            <w:tcW w:w="10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3.2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2.5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7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 xml:space="preserve">新工艺、新技术、新设备、新材料的采用程度，其在确保质量、降低成本、缩短工期、减轻劳动强度、提高工效等方面的作用 </w:t>
            </w:r>
          </w:p>
        </w:tc>
        <w:tc>
          <w:tcPr>
            <w:tcW w:w="10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3.3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2.2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4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商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务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标</w:t>
            </w: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投标报价</w:t>
            </w:r>
          </w:p>
        </w:tc>
        <w:tc>
          <w:tcPr>
            <w:tcW w:w="10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35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35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35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企业综合实力</w:t>
            </w:r>
          </w:p>
        </w:tc>
        <w:tc>
          <w:tcPr>
            <w:tcW w:w="10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企业综合信用</w:t>
            </w:r>
          </w:p>
        </w:tc>
        <w:tc>
          <w:tcPr>
            <w:tcW w:w="10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企业业绩</w:t>
            </w:r>
          </w:p>
        </w:tc>
        <w:tc>
          <w:tcPr>
            <w:tcW w:w="10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项目经理业绩</w:t>
            </w:r>
          </w:p>
        </w:tc>
        <w:tc>
          <w:tcPr>
            <w:tcW w:w="10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项目管理机构</w:t>
            </w:r>
          </w:p>
        </w:tc>
        <w:tc>
          <w:tcPr>
            <w:tcW w:w="10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4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服务承诺</w:t>
            </w:r>
          </w:p>
        </w:tc>
        <w:tc>
          <w:tcPr>
            <w:tcW w:w="10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1.6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1.5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1.5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1.9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7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68.4</w:t>
            </w:r>
          </w:p>
        </w:tc>
        <w:tc>
          <w:tcPr>
            <w:tcW w:w="12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75.5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74.5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73.5</w:t>
            </w:r>
          </w:p>
        </w:tc>
        <w:tc>
          <w:tcPr>
            <w:tcW w:w="121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69.1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7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最终得分（平均得分）</w:t>
            </w:r>
          </w:p>
        </w:tc>
        <w:tc>
          <w:tcPr>
            <w:tcW w:w="590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964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备注：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ind w:firstLine="42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white"/>
                <w:lang w:val="zh-CN"/>
              </w:rPr>
              <w:t>投标人最终得分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white"/>
                <w:lang w:val="zh-CN"/>
              </w:rPr>
              <w:t>平均得分。计算分值均四舍五入保留两位小数。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ind w:firstLine="42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评委人数为7人（含7人）时，将各位评标专家对某一投标人评分中的最高分和最低分去掉后，剩余分数的算术平均值作为该投标人的最终得分。评委人数为7人以下时，将所有评委打分取算术平均值作为该投标人的最终得分。</w:t>
            </w:r>
          </w:p>
        </w:tc>
      </w:tr>
    </w:tbl>
    <w:p>
      <w:pPr>
        <w:pStyle w:val="2"/>
        <w:ind w:firstLine="442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12"/>
        <w:tblW w:w="96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984"/>
        <w:gridCol w:w="1070"/>
        <w:gridCol w:w="1209"/>
        <w:gridCol w:w="1207"/>
        <w:gridCol w:w="1209"/>
        <w:gridCol w:w="1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第三中标候选人</w:t>
            </w:r>
          </w:p>
        </w:tc>
        <w:tc>
          <w:tcPr>
            <w:tcW w:w="590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河南裕鑫建筑安装有限公司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7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评标委员会成员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技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标</w:t>
            </w: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 xml:space="preserve">内容完整性和编制水平  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1.6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1.5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1.7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施工方案与技术措施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3.2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质量管理体系与措施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2.6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3.3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安全管理体系与措施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3.3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工程进度计划与措施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3.1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资源配备计划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3.3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环境保护管理体系与措施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2.6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2.6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施工进度表或施工网络图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施工总平面布置图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br w:type="textWrapping"/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0.6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0.8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0.8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 xml:space="preserve">节能减排、绿色施工（含扬尘治理）措施、工艺创新方面针对本工程有具体措施或企业自有创新技术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ab/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3.3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2.5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 xml:space="preserve">新工艺、新技术、新设备、新材料的采用程度，其在确保质量、降低成本、缩短工期、减轻劳动强度、提高工效等方面的作用 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3.2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商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务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标</w:t>
            </w: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投标报价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34.19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34.19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34.19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34.19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34.19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企业综合实力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企业综合信用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企业业绩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项目经理业绩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项目管理机构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服务承诺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1.5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1.6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1.6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1.8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小计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68.49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73.79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71.79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71.99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7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最终得分（平均得分）</w:t>
            </w:r>
          </w:p>
        </w:tc>
        <w:tc>
          <w:tcPr>
            <w:tcW w:w="590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964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备注：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ind w:firstLine="42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white"/>
                <w:lang w:val="zh-CN"/>
              </w:rPr>
              <w:t>投标人最终得分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white"/>
                <w:lang w:val="zh-CN"/>
              </w:rPr>
              <w:t>平均得分。计算分值均四舍五入保留两位小数。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ind w:firstLine="42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评委人数为7人（含7人）时，将各位评标专家对某一投标人评分中的最高分和最低分去掉后，剩余分数的算术平均值作为该投标人的最终得分。评委人数为7人以下时，将所有评委打分取算术平均值作为该投标人的最终得分。</w:t>
            </w:r>
          </w:p>
        </w:tc>
      </w:tr>
    </w:tbl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七、推荐的中标候选人情况与签订合同前要处理的事宜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（一）推荐的中标候选人名单：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第一中标候选人：河南中博建筑有限公司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投标报价：1333801.80 元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大写：壹佰叁拾叁万叁仟捌佰零壹元捌角整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工期：60日历天</w:t>
      </w:r>
      <w:r>
        <w:rPr>
          <w:rFonts w:ascii="仿宋_GB2312" w:eastAsia="仿宋_GB2312"/>
          <w:sz w:val="28"/>
          <w:szCs w:val="28"/>
        </w:rPr>
        <w:t>    </w:t>
      </w:r>
      <w:r>
        <w:rPr>
          <w:rFonts w:hint="eastAsia" w:ascii="仿宋_GB2312" w:eastAsia="仿宋_GB2312"/>
          <w:sz w:val="28"/>
          <w:szCs w:val="28"/>
        </w:rPr>
        <w:t>质量标准：合格（符合国家现行的验收规范和标准）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项目经理：赵慧丽  注册编号：豫241161688550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投标文件中填报的单位项目业绩名称：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业绩一：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工程名称：襄城县迎宾路升级改造工程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工程地点：K0-00</w:t>
      </w:r>
      <w:r>
        <w:rPr>
          <w:rFonts w:ascii="仿宋_GB2312" w:eastAsia="仿宋_GB2312"/>
          <w:b w:val="0"/>
          <w:bCs w:val="0"/>
          <w:sz w:val="28"/>
          <w:szCs w:val="28"/>
        </w:rPr>
        <w:t>—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K0-750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开竣工日期：2017.2.5</w:t>
      </w:r>
      <w:r>
        <w:rPr>
          <w:rFonts w:ascii="仿宋_GB2312" w:eastAsia="仿宋_GB2312"/>
          <w:b w:val="0"/>
          <w:bCs w:val="0"/>
          <w:sz w:val="28"/>
          <w:szCs w:val="28"/>
        </w:rPr>
        <w:t>—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2017.11.11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业绩二: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工程名称：许昌县河街乡美丽乡村建设试点项目施工一标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工程地点：许昌县河街乡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开竣工日期：2016.3.29</w:t>
      </w:r>
      <w:r>
        <w:rPr>
          <w:rFonts w:ascii="仿宋_GB2312" w:eastAsia="仿宋_GB2312"/>
          <w:b w:val="0"/>
          <w:bCs w:val="0"/>
          <w:sz w:val="28"/>
          <w:szCs w:val="28"/>
        </w:rPr>
        <w:t>—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2016.6.29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业绩三: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工程名称：许昌县桂村乡美丽乡村建设试点项目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工程地点：许昌县桂村乡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开竣工日期：2016.2.16</w:t>
      </w:r>
      <w:r>
        <w:rPr>
          <w:rFonts w:ascii="仿宋_GB2312" w:eastAsia="仿宋_GB2312"/>
          <w:b w:val="0"/>
          <w:bCs w:val="0"/>
          <w:sz w:val="28"/>
          <w:szCs w:val="28"/>
        </w:rPr>
        <w:t>—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2016.8.26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投标文件中填报的项目经理业绩名称：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业绩一：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工程名称：濮阳市栖山路（龙塔路-沙河北路）道路改造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工程地点：濮阳市栖山路（龙塔路-沙河北路）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开竣工日期：2016.11.11</w:t>
      </w:r>
      <w:r>
        <w:rPr>
          <w:rFonts w:ascii="仿宋_GB2312" w:eastAsia="仿宋_GB2312"/>
          <w:b w:val="0"/>
          <w:bCs w:val="0"/>
          <w:sz w:val="28"/>
          <w:szCs w:val="28"/>
        </w:rPr>
        <w:t>—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2017.01.11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业绩二: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企业资质：市政公用工程施工总承包贰级，符合招标文件要求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第二中标候选人：河南安鑫建筑工程有限公司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投标报价：1351513.96元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大写：壹佰叁拾伍万壹仟伍佰壹拾叁元玖角陆分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工期：60日历天</w:t>
      </w:r>
      <w:r>
        <w:rPr>
          <w:rFonts w:ascii="仿宋_GB2312" w:eastAsia="仿宋_GB2312"/>
          <w:sz w:val="28"/>
          <w:szCs w:val="28"/>
        </w:rPr>
        <w:t>     </w:t>
      </w:r>
      <w:r>
        <w:rPr>
          <w:rFonts w:hint="eastAsia" w:ascii="仿宋_GB2312" w:eastAsia="仿宋_GB2312"/>
          <w:sz w:val="28"/>
          <w:szCs w:val="28"/>
        </w:rPr>
        <w:t>质量标准：合格（符合国家现行的验收规范和标准）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项目经理：崔花玲 注册编号：：豫241161692027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投标文件中填报的单位项目业绩名称：无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投标文件中填报的项目经理业绩名称：无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企业资质：市政公用工程施工总承包贰级，符合招标文件要求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第三中标候选人：河南裕鑫建筑安装有限公司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投标报价：1340628.74元</w:t>
      </w:r>
      <w:r>
        <w:rPr>
          <w:rFonts w:ascii="仿宋_GB2312" w:eastAsia="仿宋_GB2312"/>
          <w:sz w:val="28"/>
          <w:szCs w:val="28"/>
        </w:rPr>
        <w:tab/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大写：壹佰叁拾肆万零陆佰贰拾捌元柒角肆分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工期：60日历天</w:t>
      </w:r>
      <w:r>
        <w:rPr>
          <w:rFonts w:ascii="仿宋_GB2312" w:eastAsia="仿宋_GB2312"/>
          <w:sz w:val="28"/>
          <w:szCs w:val="28"/>
        </w:rPr>
        <w:t>  </w:t>
      </w:r>
      <w:r>
        <w:rPr>
          <w:rFonts w:hint="eastAsia" w:ascii="仿宋_GB2312" w:eastAsia="仿宋_GB2312"/>
          <w:sz w:val="28"/>
          <w:szCs w:val="28"/>
        </w:rPr>
        <w:t>质量标准：合格（符合国家现行的验收规范和标准）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项目经理：郭阳涛 注册编号：豫241111120666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投标文件中填报的单位项目业绩名称：无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投标文件中填报的项目经理业绩名称：无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企业资质：市政公用工程施工总承包贰级，符合招标文件要求</w:t>
      </w:r>
    </w:p>
    <w:p>
      <w:pPr>
        <w:numPr>
          <w:ilvl w:val="0"/>
          <w:numId w:val="1"/>
        </w:numPr>
        <w:rPr>
          <w:rFonts w:ascii="黑体" w:hAnsi="黑体" w:eastAsia="黑体"/>
          <w:sz w:val="32"/>
          <w:szCs w:val="28"/>
        </w:rPr>
      </w:pPr>
      <w:r>
        <w:rPr>
          <w:rFonts w:hint="eastAsia" w:ascii="仿宋_GB2312" w:eastAsia="仿宋_GB2312"/>
          <w:sz w:val="28"/>
          <w:szCs w:val="28"/>
        </w:rPr>
        <w:t>签订合同前要处理的事宜：无。</w:t>
      </w:r>
    </w:p>
    <w:p>
      <w:pPr>
        <w:widowControl/>
        <w:jc w:val="left"/>
        <w:rPr>
          <w:rFonts w:eastAsia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八、公示期：</w:t>
      </w:r>
      <w:r>
        <w:rPr>
          <w:rFonts w:hint="eastAsia" w:ascii="仿宋" w:hAnsi="仿宋" w:eastAsia="仿宋" w:cs="仿宋"/>
          <w:sz w:val="28"/>
          <w:szCs w:val="28"/>
        </w:rPr>
        <w:t>2018年9月20日至2018年9月25日，若公示期无异议，期满将向第一中标候选人签发中标通知书。</w:t>
      </w:r>
    </w:p>
    <w:p>
      <w:pPr>
        <w:widowControl/>
        <w:jc w:val="left"/>
        <w:rPr>
          <w:rFonts w:eastAsia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八、公示地点：</w:t>
      </w:r>
      <w:r>
        <w:rPr>
          <w:rFonts w:hint="eastAsia" w:eastAsia="仿宋_GB2312"/>
          <w:sz w:val="28"/>
          <w:szCs w:val="28"/>
        </w:rPr>
        <w:t>《全国公共资源交易平台(河南省▪许昌市)》和《河南省电子招标投标公共服务平台》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>。</w:t>
      </w:r>
    </w:p>
    <w:p>
      <w:pPr>
        <w:widowControl/>
        <w:numPr>
          <w:ilvl w:val="0"/>
          <w:numId w:val="2"/>
        </w:num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联系方式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招 标 人：许昌市建安区蒋李集镇人民政府 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项目负责人：马登科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电    话：18567317111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联系地址：许昌市建安区蒋李集镇 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招标代理机构：河南智博工程咨询有限公司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项目负责人：李志强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电  话：13523079311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联系地址：郑州西三环与北三环交叉口大学科技园（东区）18号楼D座11层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邮 箱: </w:t>
      </w:r>
      <w:r>
        <w:fldChar w:fldCharType="begin"/>
      </w:r>
      <w:r>
        <w:instrText xml:space="preserve"> HYPERLINK "mailto:hnzbzb@163.com"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hnzbzb@163.com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fldChar w:fldCharType="end"/>
      </w:r>
    </w:p>
    <w:p>
      <w:pPr>
        <w:widowControl/>
        <w:numPr>
          <w:ilvl w:val="0"/>
          <w:numId w:val="2"/>
        </w:num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备注：</w:t>
      </w:r>
    </w:p>
    <w:p>
      <w:pPr>
        <w:widowControl/>
        <w:ind w:left="141" w:leftChars="67" w:firstLine="560" w:firstLineChars="200"/>
        <w:jc w:val="left"/>
        <w:rPr>
          <w:sz w:val="32"/>
          <w:szCs w:val="32"/>
        </w:rPr>
      </w:pPr>
      <w:r>
        <w:rPr>
          <w:rFonts w:hint="eastAsia" w:eastAsia="仿宋_GB2312"/>
          <w:sz w:val="28"/>
          <w:szCs w:val="28"/>
        </w:rPr>
        <w:t>各有关当事人对结果公示有异议的，可以在结果公示发布之日起三个工作日内，以书面形式向招标人或者招标代理机构提出质疑，质疑书需加盖单位公章且法定代表人签字，由法定代表人或其授权代表携带合法有效的营业执照副本复印件（加盖公章）及本人身份证原件及复印件（加盖公章）一并提交，逾期将不再受理。</w:t>
      </w:r>
    </w:p>
    <w:p>
      <w:pPr>
        <w:rPr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许昌市建安区蒋李集镇人民政府</w:t>
      </w:r>
    </w:p>
    <w:p>
      <w:pPr>
        <w:pStyle w:val="2"/>
        <w:wordWrap w:val="0"/>
        <w:ind w:firstLine="280"/>
        <w:jc w:val="right"/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2018年9月20日      </w:t>
      </w:r>
    </w:p>
    <w:sectPr>
      <w:pgSz w:w="11906" w:h="16838"/>
      <w:pgMar w:top="1417" w:right="1077" w:bottom="107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46AE"/>
    <w:multiLevelType w:val="singleLevel"/>
    <w:tmpl w:val="59C346AE"/>
    <w:lvl w:ilvl="0" w:tentative="0">
      <w:start w:val="2"/>
      <w:numFmt w:val="chineseCounting"/>
      <w:suff w:val="nothing"/>
      <w:lvlText w:val="（%1）"/>
      <w:lvlJc w:val="left"/>
      <w:rPr>
        <w:rFonts w:cs="Times New Roman"/>
        <w:lang w:val="en-US"/>
      </w:rPr>
    </w:lvl>
  </w:abstractNum>
  <w:abstractNum w:abstractNumId="1">
    <w:nsid w:val="7FDA3501"/>
    <w:multiLevelType w:val="multilevel"/>
    <w:tmpl w:val="7FDA3501"/>
    <w:lvl w:ilvl="0" w:tentative="0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B1674D8"/>
    <w:rsid w:val="00015C97"/>
    <w:rsid w:val="00084CFC"/>
    <w:rsid w:val="000C4766"/>
    <w:rsid w:val="00152C97"/>
    <w:rsid w:val="00161E9C"/>
    <w:rsid w:val="00232E10"/>
    <w:rsid w:val="003C1138"/>
    <w:rsid w:val="003D411F"/>
    <w:rsid w:val="004331F2"/>
    <w:rsid w:val="00472D12"/>
    <w:rsid w:val="004802B4"/>
    <w:rsid w:val="004A2235"/>
    <w:rsid w:val="004D7FF4"/>
    <w:rsid w:val="004E4D84"/>
    <w:rsid w:val="00522A46"/>
    <w:rsid w:val="00565DDC"/>
    <w:rsid w:val="005956A5"/>
    <w:rsid w:val="005A66AD"/>
    <w:rsid w:val="006F193B"/>
    <w:rsid w:val="00706B7B"/>
    <w:rsid w:val="00742C2A"/>
    <w:rsid w:val="007D67FB"/>
    <w:rsid w:val="00885DC3"/>
    <w:rsid w:val="008E4FBD"/>
    <w:rsid w:val="008E5938"/>
    <w:rsid w:val="0091433A"/>
    <w:rsid w:val="00945658"/>
    <w:rsid w:val="009761CA"/>
    <w:rsid w:val="0099577B"/>
    <w:rsid w:val="009D2418"/>
    <w:rsid w:val="009F6A2B"/>
    <w:rsid w:val="00A44282"/>
    <w:rsid w:val="00B74ED7"/>
    <w:rsid w:val="00B76D8E"/>
    <w:rsid w:val="00C465F7"/>
    <w:rsid w:val="00CA4A28"/>
    <w:rsid w:val="00D023AC"/>
    <w:rsid w:val="00D20654"/>
    <w:rsid w:val="00D52FDA"/>
    <w:rsid w:val="00DB52DB"/>
    <w:rsid w:val="00DD7E48"/>
    <w:rsid w:val="00EA5DBD"/>
    <w:rsid w:val="00EE7FCF"/>
    <w:rsid w:val="00F71E7F"/>
    <w:rsid w:val="00F96C5B"/>
    <w:rsid w:val="00FA1268"/>
    <w:rsid w:val="00FC52DB"/>
    <w:rsid w:val="059471C3"/>
    <w:rsid w:val="0B1674D8"/>
    <w:rsid w:val="0D043423"/>
    <w:rsid w:val="0D1D0364"/>
    <w:rsid w:val="0D552F60"/>
    <w:rsid w:val="0E7F1031"/>
    <w:rsid w:val="0EB33685"/>
    <w:rsid w:val="11512967"/>
    <w:rsid w:val="14F24083"/>
    <w:rsid w:val="157376CD"/>
    <w:rsid w:val="1C4D4CEF"/>
    <w:rsid w:val="1C7D4DA7"/>
    <w:rsid w:val="1CE72264"/>
    <w:rsid w:val="1F6142FD"/>
    <w:rsid w:val="1F705A35"/>
    <w:rsid w:val="1FF55C13"/>
    <w:rsid w:val="202644D3"/>
    <w:rsid w:val="2293761C"/>
    <w:rsid w:val="237B53B7"/>
    <w:rsid w:val="23E02B5C"/>
    <w:rsid w:val="2A3607AC"/>
    <w:rsid w:val="2B8A0414"/>
    <w:rsid w:val="2C2519A1"/>
    <w:rsid w:val="2C303F84"/>
    <w:rsid w:val="2DBE1488"/>
    <w:rsid w:val="2E8E0666"/>
    <w:rsid w:val="2F8261B0"/>
    <w:rsid w:val="31217EAF"/>
    <w:rsid w:val="31E5184E"/>
    <w:rsid w:val="32CB438B"/>
    <w:rsid w:val="3354449C"/>
    <w:rsid w:val="346A5E43"/>
    <w:rsid w:val="361C76CE"/>
    <w:rsid w:val="371A0ED4"/>
    <w:rsid w:val="39296007"/>
    <w:rsid w:val="39686287"/>
    <w:rsid w:val="3AC83DFF"/>
    <w:rsid w:val="3B4F5EE2"/>
    <w:rsid w:val="3F15598C"/>
    <w:rsid w:val="436A368E"/>
    <w:rsid w:val="462911FA"/>
    <w:rsid w:val="476142E7"/>
    <w:rsid w:val="490C0FCE"/>
    <w:rsid w:val="496A35C1"/>
    <w:rsid w:val="49CB4193"/>
    <w:rsid w:val="50540760"/>
    <w:rsid w:val="5256457B"/>
    <w:rsid w:val="589D41B4"/>
    <w:rsid w:val="58B36CD7"/>
    <w:rsid w:val="5B5862D4"/>
    <w:rsid w:val="5D910B55"/>
    <w:rsid w:val="62BE3E00"/>
    <w:rsid w:val="63231DCC"/>
    <w:rsid w:val="63F22D40"/>
    <w:rsid w:val="64964BE8"/>
    <w:rsid w:val="66FA4CC8"/>
    <w:rsid w:val="67EE77D3"/>
    <w:rsid w:val="6880723C"/>
    <w:rsid w:val="6C4F06D5"/>
    <w:rsid w:val="6D8D08AF"/>
    <w:rsid w:val="6DB30CEC"/>
    <w:rsid w:val="70332FDA"/>
    <w:rsid w:val="70EC164F"/>
    <w:rsid w:val="72413AE8"/>
    <w:rsid w:val="7363001C"/>
    <w:rsid w:val="73D0777C"/>
    <w:rsid w:val="73E4242E"/>
    <w:rsid w:val="78092778"/>
    <w:rsid w:val="78F81A6F"/>
    <w:rsid w:val="79491075"/>
    <w:rsid w:val="79E71B23"/>
    <w:rsid w:val="79FE02A1"/>
    <w:rsid w:val="7B272337"/>
    <w:rsid w:val="7F331E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5"/>
    <w:qFormat/>
    <w:uiPriority w:val="99"/>
    <w:pPr>
      <w:ind w:firstLine="420" w:firstLineChars="100"/>
    </w:pPr>
  </w:style>
  <w:style w:type="paragraph" w:styleId="3">
    <w:name w:val="Body Text"/>
    <w:basedOn w:val="1"/>
    <w:link w:val="14"/>
    <w:qFormat/>
    <w:uiPriority w:val="99"/>
    <w:pPr>
      <w:jc w:val="center"/>
    </w:pPr>
    <w:rPr>
      <w:b/>
      <w:bCs/>
      <w:sz w:val="44"/>
      <w:szCs w:val="20"/>
    </w:rPr>
  </w:style>
  <w:style w:type="paragraph" w:styleId="4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5">
    <w:name w:val="footer"/>
    <w:basedOn w:val="1"/>
    <w:link w:val="2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9">
    <w:name w:val="FollowedHyperlink"/>
    <w:basedOn w:val="8"/>
    <w:qFormat/>
    <w:uiPriority w:val="99"/>
    <w:rPr>
      <w:rFonts w:cs="Times New Roman"/>
      <w:color w:val="000000"/>
      <w:u w:val="none"/>
    </w:rPr>
  </w:style>
  <w:style w:type="character" w:styleId="10">
    <w:name w:val="Emphasis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99"/>
    <w:rPr>
      <w:rFonts w:cs="Times New Roman"/>
      <w:color w:val="000000"/>
      <w:u w:val="none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正文文本 Char"/>
    <w:basedOn w:val="8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5">
    <w:name w:val="正文首行缩进 Char"/>
    <w:basedOn w:val="14"/>
    <w:link w:val="2"/>
    <w:semiHidden/>
    <w:qFormat/>
    <w:locked/>
    <w:uiPriority w:val="99"/>
  </w:style>
  <w:style w:type="character" w:customStyle="1" w:styleId="16">
    <w:name w:val="red"/>
    <w:basedOn w:val="8"/>
    <w:qFormat/>
    <w:uiPriority w:val="99"/>
    <w:rPr>
      <w:rFonts w:cs="Times New Roman"/>
      <w:color w:val="FF0000"/>
      <w:sz w:val="18"/>
      <w:szCs w:val="18"/>
    </w:rPr>
  </w:style>
  <w:style w:type="character" w:customStyle="1" w:styleId="17">
    <w:name w:val="red1"/>
    <w:basedOn w:val="8"/>
    <w:qFormat/>
    <w:uiPriority w:val="99"/>
    <w:rPr>
      <w:rFonts w:cs="Times New Roman"/>
      <w:color w:val="FF0000"/>
      <w:sz w:val="18"/>
      <w:szCs w:val="18"/>
    </w:rPr>
  </w:style>
  <w:style w:type="character" w:customStyle="1" w:styleId="18">
    <w:name w:val="hover24"/>
    <w:basedOn w:val="8"/>
    <w:qFormat/>
    <w:uiPriority w:val="99"/>
    <w:rPr>
      <w:rFonts w:cs="Times New Roman"/>
    </w:rPr>
  </w:style>
  <w:style w:type="character" w:customStyle="1" w:styleId="19">
    <w:name w:val="gb-jt"/>
    <w:basedOn w:val="8"/>
    <w:qFormat/>
    <w:uiPriority w:val="99"/>
    <w:rPr>
      <w:rFonts w:cs="Times New Roman"/>
    </w:rPr>
  </w:style>
  <w:style w:type="character" w:customStyle="1" w:styleId="20">
    <w:name w:val="green"/>
    <w:basedOn w:val="8"/>
    <w:qFormat/>
    <w:uiPriority w:val="99"/>
    <w:rPr>
      <w:rFonts w:cs="Times New Roman"/>
      <w:color w:val="66AE00"/>
      <w:sz w:val="18"/>
      <w:szCs w:val="18"/>
    </w:rPr>
  </w:style>
  <w:style w:type="character" w:customStyle="1" w:styleId="21">
    <w:name w:val="green1"/>
    <w:basedOn w:val="8"/>
    <w:qFormat/>
    <w:uiPriority w:val="99"/>
    <w:rPr>
      <w:rFonts w:cs="Times New Roman"/>
      <w:color w:val="66AE00"/>
      <w:sz w:val="18"/>
      <w:szCs w:val="18"/>
    </w:rPr>
  </w:style>
  <w:style w:type="character" w:customStyle="1" w:styleId="22">
    <w:name w:val="blue"/>
    <w:basedOn w:val="8"/>
    <w:qFormat/>
    <w:uiPriority w:val="99"/>
    <w:rPr>
      <w:rFonts w:cs="Times New Roman"/>
      <w:color w:val="0371C6"/>
      <w:sz w:val="21"/>
      <w:szCs w:val="21"/>
    </w:rPr>
  </w:style>
  <w:style w:type="character" w:customStyle="1" w:styleId="23">
    <w:name w:val="right"/>
    <w:basedOn w:val="8"/>
    <w:qFormat/>
    <w:uiPriority w:val="99"/>
    <w:rPr>
      <w:rFonts w:cs="Times New Roman"/>
      <w:color w:val="999999"/>
      <w:sz w:val="18"/>
      <w:szCs w:val="18"/>
    </w:rPr>
  </w:style>
  <w:style w:type="character" w:customStyle="1" w:styleId="24">
    <w:name w:val="Plain Text Char1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25">
    <w:name w:val="纯文本 Char"/>
    <w:basedOn w:val="8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6">
    <w:name w:val="页眉 Char"/>
    <w:basedOn w:val="8"/>
    <w:link w:val="6"/>
    <w:semiHidden/>
    <w:qFormat/>
    <w:uiPriority w:val="99"/>
    <w:rPr>
      <w:rFonts w:ascii="Calibri" w:hAnsi="Calibri"/>
      <w:sz w:val="18"/>
      <w:szCs w:val="18"/>
    </w:rPr>
  </w:style>
  <w:style w:type="character" w:customStyle="1" w:styleId="27">
    <w:name w:val="页脚 Char"/>
    <w:basedOn w:val="8"/>
    <w:link w:val="5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3736</Words>
  <Characters>1520</Characters>
  <Lines>12</Lines>
  <Paragraphs>10</Paragraphs>
  <TotalTime>7</TotalTime>
  <ScaleCrop>false</ScaleCrop>
  <LinksUpToDate>false</LinksUpToDate>
  <CharactersWithSpaces>5246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2017-09-20T08:47:00Z</dcterms:created>
  <dc:creator>NN</dc:creator>
  <cp:lastModifiedBy>Spring 。初心</cp:lastModifiedBy>
  <cp:lastPrinted>2017-09-21T04:52:00Z</cp:lastPrinted>
  <dcterms:modified xsi:type="dcterms:W3CDTF">2018-09-19T09:31:46Z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