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许昌市东城区管理委员会办公室“许都大剧院保安服务”项目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项目编号：JZFCG-G201</w:t>
      </w:r>
      <w:r>
        <w:rPr>
          <w:rFonts w:hint="eastAsia" w:asciiTheme="majorEastAsia" w:hAnsiTheme="majorEastAsia" w:eastAsiaTheme="majorEastAsia" w:cstheme="majorEastAsia"/>
          <w:b/>
          <w:bCs/>
          <w:color w:val="auto"/>
          <w:sz w:val="36"/>
          <w:szCs w:val="36"/>
          <w:lang w:val="en-US" w:eastAsia="zh-CN"/>
        </w:rPr>
        <w:t>8074</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采购单位：许昌市东城区管理委员会办公室</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河南鼎华招标代理有限公司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（一）项目名称：许昌市东城区管理委员会办公室“许都大剧院保安服务”项目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（二）项目编号：JZFCG-G2018</w:t>
      </w:r>
      <w:r>
        <w:rPr>
          <w:rFonts w:hint="eastAsia" w:cs="仿宋_GB2312" w:asciiTheme="minorEastAsia" w:hAnsiTheme="minorEastAsia" w:eastAsiaTheme="minorEastAsia"/>
          <w:color w:val="auto"/>
          <w:sz w:val="21"/>
          <w:szCs w:val="21"/>
          <w:shd w:val="clear" w:color="auto" w:fill="FFFFFF"/>
          <w:lang w:val="en-US" w:eastAsia="zh-CN"/>
        </w:rPr>
        <w:t>074</w:t>
      </w:r>
      <w:r>
        <w:rPr>
          <w:rFonts w:hint="eastAsia" w:cs="仿宋_GB2312" w:asciiTheme="minorEastAsia" w:hAnsiTheme="minorEastAsia" w:eastAsiaTheme="minorEastAsia"/>
          <w:color w:val="auto"/>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eastAsia="zh-CN"/>
        </w:rPr>
        <w:t>公开招标</w:t>
      </w:r>
      <w:r>
        <w:rPr>
          <w:rFonts w:hint="eastAsia" w:cs="仿宋_GB2312" w:asciiTheme="minorEastAsia" w:hAnsiTheme="minorEastAsia" w:eastAsiaTheme="minorEastAsia"/>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（四）项目主要内容、数量及要求：保证许都大剧院的整体安全</w:t>
      </w:r>
      <w:r>
        <w:rPr>
          <w:rFonts w:hint="eastAsia" w:cs="仿宋_GB2312" w:asciiTheme="minorEastAsia" w:hAnsiTheme="minorEastAsia" w:eastAsiaTheme="minorEastAsia"/>
          <w:color w:val="auto"/>
          <w:sz w:val="21"/>
          <w:szCs w:val="21"/>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lang w:val="en-US" w:eastAsia="zh-CN"/>
        </w:rPr>
        <w:t>188.496万元</w:t>
      </w:r>
      <w:r>
        <w:rPr>
          <w:rFonts w:hint="eastAsia" w:cs="仿宋_GB2312" w:asciiTheme="minorEastAsia" w:hAnsiTheme="minorEastAsia" w:eastAsiaTheme="minorEastAsia"/>
          <w:color w:val="auto"/>
          <w:sz w:val="21"/>
          <w:szCs w:val="21"/>
          <w:shd w:val="clear" w:color="auto" w:fill="FFFFFF"/>
        </w:rPr>
        <w:t>。最高限价：</w:t>
      </w:r>
      <w:r>
        <w:rPr>
          <w:rFonts w:hint="eastAsia" w:cs="仿宋_GB2312" w:asciiTheme="minorEastAsia" w:hAnsiTheme="minorEastAsia" w:eastAsiaTheme="minorEastAsia"/>
          <w:color w:val="auto"/>
          <w:sz w:val="21"/>
          <w:szCs w:val="21"/>
          <w:u w:val="single"/>
          <w:shd w:val="clear" w:color="auto" w:fill="FFFFFF"/>
          <w:lang w:val="en-US" w:eastAsia="zh-CN"/>
        </w:rPr>
        <w:t>188.496万元</w:t>
      </w:r>
      <w:r>
        <w:rPr>
          <w:rFonts w:hint="eastAsia" w:cs="仿宋_GB2312" w:asciiTheme="minorEastAsia" w:hAnsiTheme="minorEastAsia" w:eastAsiaTheme="minorEastAsia"/>
          <w:color w:val="auto"/>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（七）交付（服务、完工）地点：许都大剧院</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（二）须具有公安机关颁发的《保安服务许可证》；</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eastAsia="zh-CN"/>
        </w:rPr>
        <w:t>三</w:t>
      </w:r>
      <w:r>
        <w:rPr>
          <w:rFonts w:hint="eastAsia" w:cs="仿宋_GB2312" w:asciiTheme="minorEastAsia" w:hAnsiTheme="minorEastAsia" w:eastAsiaTheme="minorEastAsia"/>
          <w:color w:val="auto"/>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采购人：许昌市东城区管理委员会办公室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址：许昌市东城区管理委员会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邢国锋</w:t>
      </w:r>
      <w:r>
        <w:rPr>
          <w:rFonts w:hint="eastAsia" w:cs="仿宋_GB2312" w:asciiTheme="minorEastAsia" w:hAnsiTheme="minorEastAsia" w:eastAsiaTheme="minorEastAsia"/>
          <w:color w:val="auto"/>
          <w:sz w:val="21"/>
          <w:szCs w:val="21"/>
        </w:rPr>
        <w:t>    联系电话：</w:t>
      </w:r>
      <w:r>
        <w:rPr>
          <w:rFonts w:hint="eastAsia" w:cs="仿宋_GB2312" w:asciiTheme="minorEastAsia" w:hAnsiTheme="minorEastAsia" w:eastAsiaTheme="minorEastAsia"/>
          <w:color w:val="auto"/>
          <w:sz w:val="21"/>
          <w:szCs w:val="21"/>
          <w:lang w:val="en-US" w:eastAsia="zh-CN"/>
        </w:rPr>
        <w:t xml:space="preserve">0374-2960796  </w:t>
      </w:r>
      <w:r>
        <w:rPr>
          <w:rFonts w:hint="eastAsia" w:cs="仿宋_GB2312" w:asciiTheme="minorEastAsia" w:hAnsiTheme="minorEastAsia" w:eastAsiaTheme="minorEastAsia"/>
          <w:color w:val="auto"/>
          <w:sz w:val="21"/>
          <w:szCs w:val="21"/>
        </w:rPr>
        <w:t>13569968859</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址：许昌市新许路中段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 系 人：冯建伟           联系电话：0374-5219779</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color w:val="auto"/>
          <w:szCs w:val="21"/>
        </w:rPr>
        <w:t>许昌市东城区管理委员会办公室</w:t>
      </w: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                              二〇一八年</w:t>
      </w:r>
      <w:r>
        <w:rPr>
          <w:rFonts w:hint="eastAsia" w:cs="仿宋_GB2312" w:asciiTheme="minorEastAsia" w:hAnsiTheme="minorEastAsia"/>
          <w:color w:val="auto"/>
          <w:szCs w:val="21"/>
          <w:lang w:eastAsia="zh-CN"/>
        </w:rPr>
        <w:t>九</w:t>
      </w:r>
      <w:r>
        <w:rPr>
          <w:rFonts w:hint="eastAsia" w:cs="仿宋_GB2312" w:asciiTheme="minorEastAsia" w:hAnsiTheme="minorEastAsia"/>
          <w:color w:val="auto"/>
          <w:szCs w:val="21"/>
        </w:rPr>
        <w:t>月</w:t>
      </w:r>
      <w:r>
        <w:rPr>
          <w:rFonts w:hint="eastAsia" w:cs="仿宋_GB2312" w:asciiTheme="minorEastAsia" w:hAnsiTheme="minorEastAsia"/>
          <w:color w:val="auto"/>
          <w:szCs w:val="21"/>
          <w:lang w:eastAsia="zh-CN"/>
        </w:rPr>
        <w:t>十七</w:t>
      </w:r>
      <w:r>
        <w:rPr>
          <w:rFonts w:hint="eastAsia" w:cs="仿宋_GB2312" w:asciiTheme="minorEastAsia" w:hAnsiTheme="minorEastAsia"/>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4"/>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4"/>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保证许都大剧院的整体安全。</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lang w:val="zh-CN"/>
        </w:rPr>
      </w:pPr>
      <w:r>
        <w:rPr>
          <w:rFonts w:hint="eastAsia" w:cs="黑体" w:asciiTheme="minorEastAsia" w:hAnsiTheme="minorEastAsia"/>
          <w:b/>
          <w:bCs/>
          <w:color w:val="auto"/>
          <w:szCs w:val="21"/>
          <w:shd w:val="clear" w:color="auto" w:fill="FFFFFF"/>
          <w:lang w:val="zh-CN"/>
        </w:rPr>
        <w:t>工作内容及岗位责任</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、人数设置及岗位责任</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共需要22名保安人员（含一名保安队长）。人员分配：东南门6人，正南门6人，西区6人，带班3人，保安队长1名，三班轮流值班。值班时间：早上8:00—12:00,12：00—20:00,20:00—8:00。保安队长负责保安队伍的管理、教育以及与单位相关部门的沟通并协调处置相关事宜。</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保安公司与采购人以合同形式明确双方的责任、权利和义务。保安队员的管理因与保安公司建立了劳动关系，所以以保安公司管理为主；而采购人对保安服务质量进行监督和指导。</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大剧院保安巡视区域内任何时间发生的一切盗抢事件，均由保安公司承担全部责任和后果。</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、基本要求和工作职责</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每一名保安人员，均应至少符合下列各项基本要求：</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政治素质合格、热爱祖国、热爱社会主义</w:t>
      </w:r>
      <w:r>
        <w:rPr>
          <w:rFonts w:ascii="宋体" w:cs="宋体"/>
          <w:color w:val="auto"/>
          <w:kern w:val="0"/>
          <w:sz w:val="24"/>
          <w:szCs w:val="24"/>
        </w:rPr>
        <w:t>,</w:t>
      </w:r>
      <w:r>
        <w:rPr>
          <w:rFonts w:hint="eastAsia" w:ascii="宋体" w:hAnsi="宋体" w:cs="宋体"/>
          <w:color w:val="auto"/>
          <w:kern w:val="0"/>
          <w:sz w:val="24"/>
          <w:szCs w:val="24"/>
        </w:rPr>
        <w:t>拥护中国共产党的领导。</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严格遵守单位的各项规章制度，特别是安全保卫制度。</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爱岗敬业、责任心强、恪尽职守、遵纪守法、严于律己。</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(4). </w:t>
      </w:r>
      <w:r>
        <w:rPr>
          <w:rFonts w:hint="eastAsia" w:ascii="宋体" w:hAnsi="宋体" w:cs="宋体"/>
          <w:color w:val="auto"/>
          <w:kern w:val="0"/>
          <w:sz w:val="24"/>
          <w:szCs w:val="24"/>
        </w:rPr>
        <w:t>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(5). </w:t>
      </w:r>
      <w:r>
        <w:rPr>
          <w:rFonts w:hint="eastAsia" w:ascii="宋体" w:hAnsi="宋体" w:cs="宋体"/>
          <w:color w:val="auto"/>
          <w:kern w:val="0"/>
          <w:sz w:val="24"/>
          <w:szCs w:val="24"/>
        </w:rPr>
        <w:t>品行良好，无违法犯罪记录，不存在犯罪前科。</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(6). </w:t>
      </w:r>
      <w:r>
        <w:rPr>
          <w:rFonts w:hint="eastAsia" w:ascii="宋体" w:hAnsi="宋体" w:cs="宋体"/>
          <w:color w:val="auto"/>
          <w:kern w:val="0"/>
          <w:sz w:val="24"/>
          <w:szCs w:val="24"/>
        </w:rPr>
        <w:t>年满</w:t>
      </w:r>
      <w:r>
        <w:rPr>
          <w:rFonts w:ascii="宋体" w:hAnsi="宋体" w:cs="宋体"/>
          <w:color w:val="auto"/>
          <w:kern w:val="0"/>
          <w:sz w:val="24"/>
          <w:szCs w:val="24"/>
        </w:rPr>
        <w:t>24</w:t>
      </w:r>
      <w:r>
        <w:rPr>
          <w:rFonts w:hint="eastAsia" w:ascii="宋体" w:hAnsi="宋体" w:cs="宋体"/>
          <w:color w:val="auto"/>
          <w:kern w:val="0"/>
          <w:sz w:val="24"/>
          <w:szCs w:val="24"/>
        </w:rPr>
        <w:t>周岁，不超过</w:t>
      </w:r>
      <w:r>
        <w:rPr>
          <w:rFonts w:ascii="宋体" w:hAnsi="宋体" w:cs="宋体"/>
          <w:color w:val="auto"/>
          <w:kern w:val="0"/>
          <w:sz w:val="24"/>
          <w:szCs w:val="24"/>
        </w:rPr>
        <w:t>50</w:t>
      </w:r>
      <w:r>
        <w:rPr>
          <w:rFonts w:hint="eastAsia" w:ascii="宋体" w:hAnsi="宋体" w:cs="宋体"/>
          <w:color w:val="auto"/>
          <w:kern w:val="0"/>
          <w:sz w:val="24"/>
          <w:szCs w:val="24"/>
        </w:rPr>
        <w:t>周岁。</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(7). </w:t>
      </w:r>
      <w:r>
        <w:rPr>
          <w:rFonts w:hint="eastAsia" w:ascii="宋体" w:hAnsi="宋体" w:cs="宋体"/>
          <w:color w:val="auto"/>
          <w:kern w:val="0"/>
          <w:sz w:val="24"/>
          <w:szCs w:val="24"/>
        </w:rPr>
        <w:t>身高不低于</w:t>
      </w:r>
      <w:r>
        <w:rPr>
          <w:rFonts w:ascii="宋体" w:hAnsi="宋体" w:cs="宋体"/>
          <w:color w:val="auto"/>
          <w:kern w:val="0"/>
          <w:sz w:val="24"/>
          <w:szCs w:val="24"/>
        </w:rPr>
        <w:t>1.70</w:t>
      </w:r>
      <w:r>
        <w:rPr>
          <w:rFonts w:hint="eastAsia" w:ascii="宋体" w:hAnsi="宋体" w:cs="宋体"/>
          <w:color w:val="auto"/>
          <w:kern w:val="0"/>
          <w:sz w:val="24"/>
          <w:szCs w:val="24"/>
        </w:rPr>
        <w:t>米。</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(8). </w:t>
      </w:r>
      <w:r>
        <w:rPr>
          <w:rFonts w:hint="eastAsia" w:ascii="宋体" w:hAnsi="宋体" w:cs="宋体"/>
          <w:color w:val="auto"/>
          <w:kern w:val="0"/>
          <w:sz w:val="24"/>
          <w:szCs w:val="24"/>
        </w:rPr>
        <w:t>双眼视力</w:t>
      </w:r>
      <w:r>
        <w:rPr>
          <w:rFonts w:ascii="宋体" w:hAnsi="宋体" w:cs="宋体"/>
          <w:color w:val="auto"/>
          <w:kern w:val="0"/>
          <w:sz w:val="24"/>
          <w:szCs w:val="24"/>
        </w:rPr>
        <w:t>0.8</w:t>
      </w:r>
      <w:r>
        <w:rPr>
          <w:rFonts w:hint="eastAsia" w:ascii="宋体" w:hAnsi="宋体" w:cs="宋体"/>
          <w:color w:val="auto"/>
          <w:kern w:val="0"/>
          <w:sz w:val="24"/>
          <w:szCs w:val="24"/>
        </w:rPr>
        <w:t>以上、无色盲、无纹身。</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(9). </w:t>
      </w:r>
      <w:r>
        <w:rPr>
          <w:rFonts w:hint="eastAsia" w:ascii="宋体" w:hAnsi="宋体" w:cs="宋体"/>
          <w:color w:val="auto"/>
          <w:kern w:val="0"/>
          <w:sz w:val="24"/>
          <w:szCs w:val="24"/>
        </w:rPr>
        <w:t>五官端正、身体健康，无生理缺陷、无精神病史、无传染病</w:t>
      </w:r>
      <w:r>
        <w:rPr>
          <w:rFonts w:ascii="宋体" w:hAnsi="宋体" w:cs="宋体"/>
          <w:color w:val="auto"/>
          <w:kern w:val="0"/>
          <w:sz w:val="24"/>
          <w:szCs w:val="24"/>
        </w:rPr>
        <w:t xml:space="preserve">, </w:t>
      </w:r>
      <w:r>
        <w:rPr>
          <w:rFonts w:hint="eastAsia" w:ascii="宋体" w:hAnsi="宋体" w:cs="宋体"/>
          <w:color w:val="auto"/>
          <w:kern w:val="0"/>
          <w:sz w:val="24"/>
          <w:szCs w:val="24"/>
        </w:rPr>
        <w:t>无不良嗜好，不存在酗酒、吸毒等恶劣习惯。</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(10). </w:t>
      </w:r>
      <w:r>
        <w:rPr>
          <w:rFonts w:hint="eastAsia" w:ascii="宋体" w:hAnsi="宋体" w:cs="宋体"/>
          <w:color w:val="auto"/>
          <w:kern w:val="0"/>
          <w:sz w:val="24"/>
          <w:szCs w:val="24"/>
        </w:rPr>
        <w:t>具备与岗位职责相应的观察、发现、处置问题的能力</w:t>
      </w:r>
      <w:r>
        <w:rPr>
          <w:rFonts w:ascii="宋体" w:cs="宋体"/>
          <w:color w:val="auto"/>
          <w:kern w:val="0"/>
          <w:sz w:val="24"/>
          <w:szCs w:val="24"/>
        </w:rPr>
        <w:t>,</w:t>
      </w:r>
      <w:r>
        <w:rPr>
          <w:rFonts w:hint="eastAsia" w:ascii="宋体" w:hAnsi="宋体" w:cs="宋体"/>
          <w:color w:val="auto"/>
          <w:kern w:val="0"/>
          <w:sz w:val="24"/>
          <w:szCs w:val="24"/>
        </w:rPr>
        <w:t>具备良好的沟通、理解和应变能力。对于工作中发现的安全隐患，要及时报告，不得拖延或隐瞒。</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(11). </w:t>
      </w:r>
      <w:r>
        <w:rPr>
          <w:rFonts w:hint="eastAsia" w:ascii="宋体" w:hAnsi="宋体" w:cs="宋体"/>
          <w:color w:val="auto"/>
          <w:kern w:val="0"/>
          <w:sz w:val="24"/>
          <w:szCs w:val="24"/>
        </w:rPr>
        <w:t>具备使用基本消防设施、通讯器材、技术防范设施和相关防卫器械技能。</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(12). </w:t>
      </w:r>
      <w:r>
        <w:rPr>
          <w:rFonts w:hint="eastAsia" w:ascii="宋体" w:hAnsi="宋体" w:cs="宋体"/>
          <w:color w:val="auto"/>
          <w:kern w:val="0"/>
          <w:sz w:val="24"/>
          <w:szCs w:val="24"/>
        </w:rPr>
        <w:t>掌握一定的防卫和擒敌技能。同时熟悉警卫区域情况，掌握各类突发事件的处置办法，并能够在接到突发事件的信息后，快速及时地赶到现场。</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(13). </w:t>
      </w:r>
      <w:r>
        <w:rPr>
          <w:rFonts w:hint="eastAsia" w:ascii="宋体" w:hAnsi="宋体" w:cs="宋体"/>
          <w:color w:val="auto"/>
          <w:kern w:val="0"/>
          <w:sz w:val="24"/>
          <w:szCs w:val="24"/>
        </w:rPr>
        <w:t>上岗执勤时，必须着装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(14). </w:t>
      </w:r>
      <w:r>
        <w:rPr>
          <w:rFonts w:hint="eastAsia" w:ascii="宋体" w:hAnsi="宋体" w:cs="宋体"/>
          <w:color w:val="auto"/>
          <w:kern w:val="0"/>
          <w:sz w:val="24"/>
          <w:szCs w:val="24"/>
        </w:rPr>
        <w:t>上班期间保持手机开机，确保通讯畅通；同时还应熟悉保安队长、同事、火警、盗警及驻地派出所的电话。</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(15). </w:t>
      </w:r>
      <w:r>
        <w:rPr>
          <w:rFonts w:hint="eastAsia" w:ascii="宋体" w:hAnsi="宋体" w:cs="宋体"/>
          <w:color w:val="auto"/>
          <w:kern w:val="0"/>
          <w:sz w:val="24"/>
          <w:szCs w:val="24"/>
        </w:rPr>
        <w:t>不准在值班期间睡觉、喝酒、赌博、吹口哨、嬉笑、打闹、闲聊、串岗、大声喧哗以及其他与岗位无关的活动，严禁酒后上岗。</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(16). </w:t>
      </w:r>
      <w:r>
        <w:rPr>
          <w:rFonts w:hint="eastAsia" w:ascii="宋体" w:hAnsi="宋体" w:cs="宋体"/>
          <w:color w:val="auto"/>
          <w:kern w:val="0"/>
          <w:sz w:val="24"/>
          <w:szCs w:val="24"/>
        </w:rPr>
        <w:t>坚守工作岗位，换班时做好交接班，不得随意无故离岗、脱岗、空岗、串岗或漏岗。</w:t>
      </w:r>
    </w:p>
    <w:p>
      <w:pPr>
        <w:spacing w:line="360" w:lineRule="auto"/>
        <w:ind w:firstLine="480" w:firstLineChars="200"/>
        <w:rPr>
          <w:rFonts w:hint="eastAsia" w:ascii="宋体" w:hAnsi="宋体" w:cs="宋体"/>
          <w:color w:val="auto"/>
          <w:kern w:val="0"/>
          <w:sz w:val="24"/>
          <w:szCs w:val="24"/>
        </w:rPr>
      </w:pPr>
      <w:r>
        <w:rPr>
          <w:rFonts w:ascii="宋体" w:hAnsi="宋体" w:cs="宋体"/>
          <w:color w:val="auto"/>
          <w:kern w:val="0"/>
          <w:sz w:val="24"/>
          <w:szCs w:val="24"/>
        </w:rPr>
        <w:t xml:space="preserve">(17). </w:t>
      </w:r>
      <w:r>
        <w:rPr>
          <w:rFonts w:hint="eastAsia" w:ascii="宋体" w:hAnsi="宋体" w:cs="宋体"/>
          <w:color w:val="auto"/>
          <w:kern w:val="0"/>
          <w:sz w:val="24"/>
          <w:szCs w:val="24"/>
        </w:rPr>
        <w:t>保障和维护单位公共财物安全，爱护院内车辆及公共财物。保安人员私用或盗取单位财物的，由保安公司按</w:t>
      </w:r>
      <w:r>
        <w:rPr>
          <w:rFonts w:ascii="宋体" w:hAnsi="宋体" w:cs="宋体"/>
          <w:color w:val="auto"/>
          <w:kern w:val="0"/>
          <w:sz w:val="24"/>
          <w:szCs w:val="24"/>
        </w:rPr>
        <w:t>3</w:t>
      </w:r>
      <w:r>
        <w:rPr>
          <w:rFonts w:hint="eastAsia" w:ascii="宋体" w:hAnsi="宋体" w:cs="宋体"/>
          <w:color w:val="auto"/>
          <w:kern w:val="0"/>
          <w:sz w:val="24"/>
          <w:szCs w:val="24"/>
        </w:rPr>
        <w:t>倍价值赔偿。确保院内公共设施、花草等无人为损坏现象，院内外墙壁无乱贴、乱画现象。</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18</w:t>
      </w:r>
      <w:r>
        <w:rPr>
          <w:rFonts w:ascii="宋体" w:hAnsi="宋体" w:cs="宋体"/>
          <w:color w:val="auto"/>
          <w:kern w:val="0"/>
          <w:sz w:val="24"/>
          <w:szCs w:val="24"/>
        </w:rPr>
        <w:t xml:space="preserve">). </w:t>
      </w:r>
      <w:r>
        <w:rPr>
          <w:rFonts w:hint="eastAsia" w:ascii="宋体" w:hAnsi="宋体" w:cs="宋体"/>
          <w:color w:val="auto"/>
          <w:kern w:val="0"/>
          <w:sz w:val="24"/>
          <w:szCs w:val="24"/>
        </w:rPr>
        <w:t>负责对进入剧院内的外部人员办理登记手续，做到记录详细、字迹工整。协助单位做好来访人员的接待工作；禁止无关人员进入，严禁各类推销人员、小商小贩及闲杂人员进入院内。</w:t>
      </w:r>
    </w:p>
    <w:p>
      <w:pPr>
        <w:spacing w:line="360" w:lineRule="auto"/>
        <w:ind w:firstLine="480" w:firstLineChars="200"/>
        <w:rPr>
          <w:rFonts w:hint="eastAsia"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19</w:t>
      </w:r>
      <w:r>
        <w:rPr>
          <w:rFonts w:ascii="宋体" w:hAnsi="宋体" w:cs="宋体"/>
          <w:color w:val="auto"/>
          <w:kern w:val="0"/>
          <w:sz w:val="24"/>
          <w:szCs w:val="24"/>
        </w:rPr>
        <w:t>).</w:t>
      </w:r>
      <w:r>
        <w:rPr>
          <w:rFonts w:hint="eastAsia" w:ascii="宋体" w:hAnsi="宋体" w:cs="宋体"/>
          <w:color w:val="auto"/>
          <w:kern w:val="0"/>
          <w:sz w:val="24"/>
          <w:szCs w:val="24"/>
        </w:rPr>
        <w:t xml:space="preserve"> 大门口不得停靠任何车辆，严密注意单位大门内外的突发事件，一经发现及时报告相关领导。</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20</w:t>
      </w:r>
      <w:r>
        <w:rPr>
          <w:rFonts w:ascii="宋体" w:hAnsi="宋体" w:cs="宋体"/>
          <w:color w:val="auto"/>
          <w:kern w:val="0"/>
          <w:sz w:val="24"/>
          <w:szCs w:val="24"/>
        </w:rPr>
        <w:t xml:space="preserve">). </w:t>
      </w:r>
      <w:r>
        <w:rPr>
          <w:rFonts w:hint="eastAsia" w:ascii="宋体" w:hAnsi="宋体" w:cs="宋体"/>
          <w:color w:val="auto"/>
          <w:kern w:val="0"/>
          <w:sz w:val="24"/>
          <w:szCs w:val="24"/>
        </w:rPr>
        <w:t>与保安工作相关的其它基本要求。</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、保安队长的岗位要求和工作职责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以身作则、恪守职责，如有事离岗或不在单位，须告知单位管理者，同时须事先安排好保安队员的工作，保证各保安岗位正常运转。</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对各保安岗位实行保安队长负责制，由保安队长负责所属人员的安排、值勤、检查、工作考核及日常生活中各项制度的管与行，负责全体保安的管理考评及上报。</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(4). </w:t>
      </w:r>
      <w:r>
        <w:rPr>
          <w:rFonts w:hint="eastAsia" w:ascii="宋体" w:hAnsi="宋体" w:cs="宋体"/>
          <w:color w:val="auto"/>
          <w:kern w:val="0"/>
          <w:sz w:val="24"/>
          <w:szCs w:val="24"/>
        </w:rPr>
        <w:t>负责保安人员的岗位安排，带领全体保安完成院内的安防任务，在工作中起到模范带头作用。</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(5). </w:t>
      </w:r>
      <w:r>
        <w:rPr>
          <w:rFonts w:hint="eastAsia" w:ascii="宋体" w:hAnsi="宋体" w:cs="宋体"/>
          <w:color w:val="auto"/>
          <w:kern w:val="0"/>
          <w:sz w:val="24"/>
          <w:szCs w:val="24"/>
        </w:rPr>
        <w:t>每天安排好保安队员的交接班工作，遇到有特殊情况及时上报。</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(6). </w:t>
      </w:r>
      <w:r>
        <w:rPr>
          <w:rFonts w:hint="eastAsia" w:ascii="宋体" w:hAnsi="宋体" w:cs="宋体"/>
          <w:color w:val="auto"/>
          <w:kern w:val="0"/>
          <w:sz w:val="24"/>
          <w:szCs w:val="24"/>
        </w:rPr>
        <w:t>认真处理治安保卫方面存在的问题，并将处理结果及时上报，对经过努力仍无法处理的情况应及时请示，重要情况需写出情况报告。</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(7). </w:t>
      </w:r>
      <w:r>
        <w:rPr>
          <w:rFonts w:hint="eastAsia" w:ascii="宋体" w:hAnsi="宋体" w:cs="宋体"/>
          <w:color w:val="auto"/>
          <w:kern w:val="0"/>
          <w:sz w:val="24"/>
          <w:szCs w:val="24"/>
        </w:rPr>
        <w:t>遇到紧急事件时能够带领保安队员赶到现场，根据具体情况做好组织指挥工作，并妥善处理。</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(8). </w:t>
      </w:r>
      <w:r>
        <w:rPr>
          <w:rFonts w:hint="eastAsia" w:ascii="宋体" w:hAnsi="宋体" w:cs="宋体"/>
          <w:color w:val="auto"/>
          <w:kern w:val="0"/>
          <w:sz w:val="24"/>
          <w:szCs w:val="24"/>
        </w:rPr>
        <w:t>具有一定的协调和沟通能力，能够带领保安队员完成每日的工作任务。每日上岗前要检查保安队员的仪容仪表。</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(9). </w:t>
      </w:r>
      <w:r>
        <w:rPr>
          <w:rFonts w:hint="eastAsia" w:ascii="宋体" w:hAnsi="宋体" w:cs="宋体"/>
          <w:color w:val="auto"/>
          <w:kern w:val="0"/>
          <w:sz w:val="24"/>
          <w:szCs w:val="24"/>
        </w:rPr>
        <w:t>按照规定对保安队员定期进行了培训，训练并做好记录。</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(10). </w:t>
      </w:r>
      <w:r>
        <w:rPr>
          <w:rFonts w:hint="eastAsia" w:ascii="宋体" w:hAnsi="宋体" w:cs="宋体"/>
          <w:color w:val="auto"/>
          <w:kern w:val="0"/>
          <w:sz w:val="24"/>
          <w:szCs w:val="24"/>
        </w:rPr>
        <w:t>完成单位领导交办的其他工作。</w:t>
      </w:r>
    </w:p>
    <w:p>
      <w:pPr>
        <w:spacing w:line="360" w:lineRule="auto"/>
        <w:ind w:firstLine="480" w:firstLineChars="200"/>
        <w:rPr>
          <w:rFonts w:ascii="宋体" w:cs="宋体"/>
          <w:color w:val="auto"/>
          <w:kern w:val="0"/>
          <w:sz w:val="24"/>
          <w:szCs w:val="24"/>
        </w:rPr>
      </w:pPr>
      <w:r>
        <w:rPr>
          <w:rFonts w:hint="eastAsia" w:ascii="宋体" w:hAnsi="宋体" w:cs="宋体"/>
          <w:color w:val="auto"/>
          <w:kern w:val="0"/>
          <w:sz w:val="24"/>
          <w:szCs w:val="24"/>
        </w:rPr>
        <w:t>4、巡逻保安的岗位要求和工作职责</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熟悉巡逻区域周围的地形、重点目标、地物及设施，熟悉应急设备的位置、性能和使用方法。</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熟练掌握处置一般问题和紧急情况的方法，妥善处理突发事件，自身解决不了的能够及时准确报告。</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通过巡逻，对可疑人员进行询问、盘查并视情况通知其他岗位人员，重点监视对象；对有违法犯罪嫌疑的，依法扭送有关部门处理。</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检查、发现并报告单位内存在的安全隐患。防止火灾、爆炸等事故或抢劫、盗窃等不法侵害发生。遇火灾、爆炸等公共安全突发事件，应及时疏导人流，控制事态发展并做好现场保护。</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(5). </w:t>
      </w:r>
      <w:r>
        <w:rPr>
          <w:rFonts w:hint="eastAsia" w:ascii="宋体" w:hAnsi="宋体" w:cs="宋体"/>
          <w:color w:val="auto"/>
          <w:kern w:val="0"/>
          <w:sz w:val="24"/>
          <w:szCs w:val="24"/>
        </w:rPr>
        <w:t>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可采取正当防卫，同时应及时报告有关部门或公安机关。</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(6). </w:t>
      </w:r>
      <w:r>
        <w:rPr>
          <w:rFonts w:hint="eastAsia" w:ascii="宋体" w:hAnsi="宋体" w:cs="宋体"/>
          <w:color w:val="auto"/>
          <w:kern w:val="0"/>
          <w:sz w:val="24"/>
          <w:szCs w:val="24"/>
        </w:rPr>
        <w:t>检查并适时开关公共区域的电源、水源、节约能源。定期检查消防设施，确保消防器材性能良好，可随时投入使用。节假日期间，需加强对水、电、暖及安全方面的巡视，发现问题及时汇报。</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7</w:t>
      </w:r>
      <w:r>
        <w:rPr>
          <w:rFonts w:ascii="宋体" w:hAnsi="宋体" w:cs="宋体"/>
          <w:color w:val="auto"/>
          <w:kern w:val="0"/>
          <w:sz w:val="24"/>
          <w:szCs w:val="24"/>
        </w:rPr>
        <w:t xml:space="preserve">). </w:t>
      </w:r>
      <w:r>
        <w:rPr>
          <w:rFonts w:hint="eastAsia" w:ascii="宋体" w:hAnsi="宋体" w:cs="宋体"/>
          <w:color w:val="auto"/>
          <w:kern w:val="0"/>
          <w:sz w:val="24"/>
          <w:szCs w:val="24"/>
        </w:rPr>
        <w:t>禁止无关人员或可疑人员在剧院门口逗留、玩耍。</w:t>
      </w:r>
    </w:p>
    <w:p>
      <w:pPr>
        <w:spacing w:line="360" w:lineRule="auto"/>
        <w:ind w:firstLine="480" w:firstLineChars="200"/>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8</w:t>
      </w:r>
      <w:r>
        <w:rPr>
          <w:rFonts w:ascii="宋体" w:hAnsi="宋体" w:cs="宋体"/>
          <w:color w:val="auto"/>
          <w:kern w:val="0"/>
          <w:sz w:val="24"/>
          <w:szCs w:val="24"/>
        </w:rPr>
        <w:t xml:space="preserve">). </w:t>
      </w:r>
      <w:r>
        <w:rPr>
          <w:rFonts w:hint="eastAsia" w:ascii="宋体" w:hAnsi="宋体" w:cs="宋体"/>
          <w:color w:val="auto"/>
          <w:kern w:val="0"/>
          <w:sz w:val="24"/>
          <w:szCs w:val="24"/>
        </w:rPr>
        <w:t>巡逻保安应流动巡视检查、警戒，发现可疑情况应注意认真观察，严密监视。视情况采取守候、跟随等方法，将其控制在视线之内，必要时对可疑人员进行询问。</w:t>
      </w:r>
    </w:p>
    <w:p>
      <w:pPr>
        <w:spacing w:line="360" w:lineRule="auto"/>
        <w:ind w:firstLine="720" w:firstLineChars="300"/>
        <w:rPr>
          <w:rFonts w:asci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9</w:t>
      </w:r>
      <w:r>
        <w:rPr>
          <w:rFonts w:ascii="宋体" w:hAnsi="宋体" w:cs="宋体"/>
          <w:color w:val="auto"/>
          <w:kern w:val="0"/>
          <w:sz w:val="24"/>
          <w:szCs w:val="24"/>
        </w:rPr>
        <w:t xml:space="preserve">). </w:t>
      </w:r>
      <w:r>
        <w:rPr>
          <w:rFonts w:hint="eastAsia" w:ascii="宋体" w:hAnsi="宋体" w:cs="宋体"/>
          <w:color w:val="auto"/>
          <w:kern w:val="0"/>
          <w:sz w:val="24"/>
          <w:szCs w:val="24"/>
        </w:rPr>
        <w:t>在夜间巡逻时，要提高警惕</w:t>
      </w:r>
      <w:r>
        <w:rPr>
          <w:rFonts w:ascii="宋体" w:cs="宋体"/>
          <w:color w:val="auto"/>
          <w:kern w:val="0"/>
          <w:sz w:val="24"/>
          <w:szCs w:val="24"/>
        </w:rPr>
        <w:t>,</w:t>
      </w:r>
      <w:r>
        <w:rPr>
          <w:rFonts w:hint="eastAsia" w:ascii="宋体" w:hAnsi="宋体" w:cs="宋体"/>
          <w:color w:val="auto"/>
          <w:kern w:val="0"/>
          <w:sz w:val="24"/>
          <w:szCs w:val="24"/>
        </w:rPr>
        <w:t>认真检查重要地带和死角，同时需要注意保护自身安全。</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10</w:t>
      </w:r>
      <w:r>
        <w:rPr>
          <w:rFonts w:ascii="宋体" w:hAnsi="宋体" w:cs="宋体"/>
          <w:color w:val="auto"/>
          <w:kern w:val="0"/>
          <w:sz w:val="24"/>
          <w:szCs w:val="24"/>
        </w:rPr>
        <w:t xml:space="preserve">). </w:t>
      </w:r>
      <w:r>
        <w:rPr>
          <w:rFonts w:hint="eastAsia" w:ascii="宋体" w:hAnsi="宋体" w:cs="宋体"/>
          <w:color w:val="auto"/>
          <w:kern w:val="0"/>
          <w:sz w:val="24"/>
          <w:szCs w:val="24"/>
        </w:rPr>
        <w:t>完成单位领导交办的其他工作。</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三、验收标准</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lang w:eastAsia="zh-CN"/>
        </w:rPr>
        <w:t>四</w:t>
      </w:r>
      <w:r>
        <w:rPr>
          <w:rFonts w:hint="eastAsia" w:cs="黑体" w:asciiTheme="minorEastAsia" w:hAnsiTheme="minorEastAsia" w:eastAsiaTheme="minorEastAsia"/>
          <w:b/>
          <w:bCs/>
          <w:color w:val="auto"/>
          <w:sz w:val="21"/>
          <w:szCs w:val="21"/>
          <w:shd w:val="clear" w:color="auto" w:fill="FFFFFF"/>
        </w:rPr>
        <w:t>、本项目预算金额</w:t>
      </w:r>
      <w:r>
        <w:rPr>
          <w:rFonts w:hint="eastAsia" w:cs="黑体" w:asciiTheme="minorEastAsia" w:hAnsiTheme="minorEastAsia" w:eastAsiaTheme="minorEastAsia"/>
          <w:b/>
          <w:bCs/>
          <w:color w:val="auto"/>
          <w:sz w:val="21"/>
          <w:szCs w:val="21"/>
          <w:shd w:val="clear" w:color="auto" w:fill="FFFFFF"/>
          <w:lang w:eastAsia="zh-CN"/>
        </w:rPr>
        <w:t>188.496万元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eastAsia="zh-CN"/>
        </w:rPr>
        <w:t>188.496万元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八、资金支付</w:t>
      </w:r>
    </w:p>
    <w:p>
      <w:pPr>
        <w:pStyle w:val="20"/>
        <w:widowControl/>
        <w:shd w:val="clear" w:color="auto" w:fill="FFFFFF"/>
        <w:spacing w:line="360" w:lineRule="auto"/>
        <w:ind w:firstLine="42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1、支付方式：银行转账。</w:t>
      </w:r>
    </w:p>
    <w:p>
      <w:pPr>
        <w:pStyle w:val="20"/>
        <w:widowControl/>
        <w:shd w:val="clear" w:color="auto" w:fill="FFFFFF"/>
        <w:spacing w:line="360" w:lineRule="auto"/>
        <w:ind w:firstLine="420"/>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lang w:val="zh-CN"/>
        </w:rPr>
        <w:t>2、支付时间及条件：按季支付，即合同签订后服务期满三个月后10日内支付每年合同总价款的25%，合同签订后服务期满六个月后10日内支付每年合同总价款的25%，合同签订后服务期满九个月后10日内支付每年合同总价款的25%，合同签订后服务期满十二个月后10日内支付每年合同总价款的25%。</w:t>
      </w:r>
    </w:p>
    <w:p>
      <w:pPr>
        <w:autoSpaceDE w:val="0"/>
        <w:autoSpaceDN w:val="0"/>
        <w:adjustRightInd w:val="0"/>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项目名称：许昌市东城区管理委员会办公室“许都大剧院保安服务”项目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项目编号：JZFCG-G2018</w:t>
            </w:r>
            <w:r>
              <w:rPr>
                <w:rFonts w:hint="eastAsia" w:cs="仿宋_GB2312" w:asciiTheme="minorEastAsia" w:hAnsiTheme="minorEastAsia"/>
                <w:color w:val="auto"/>
                <w:szCs w:val="21"/>
                <w:lang w:val="en-US" w:eastAsia="zh-CN"/>
              </w:rPr>
              <w:t>074</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项目内容：许都大剧院保安服务</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项目地址：许都大剧院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名称：许昌市东城区管理委员会办公室</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地址：许昌市东城区管理委员会</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邢国锋</w:t>
            </w:r>
            <w:r>
              <w:rPr>
                <w:rFonts w:hint="eastAsia" w:cs="仿宋_GB2312" w:asciiTheme="minorEastAsia" w:hAnsiTheme="minorEastAsia"/>
                <w:color w:val="auto"/>
                <w:szCs w:val="21"/>
              </w:rPr>
              <w:t>    联系电话：</w:t>
            </w:r>
            <w:r>
              <w:rPr>
                <w:rFonts w:hint="eastAsia" w:cs="仿宋_GB2312" w:asciiTheme="minorEastAsia" w:hAnsiTheme="minorEastAsia" w:eastAsiaTheme="minorEastAsia"/>
                <w:color w:val="auto"/>
                <w:sz w:val="21"/>
                <w:szCs w:val="21"/>
                <w:lang w:val="en-US" w:eastAsia="zh-CN"/>
              </w:rPr>
              <w:t>0374-2960796</w:t>
            </w:r>
            <w:r>
              <w:rPr>
                <w:rFonts w:hint="eastAsia" w:cs="仿宋_GB2312" w:asciiTheme="minorEastAsia" w:hAnsiTheme="minorEastAsia"/>
                <w:color w:val="auto"/>
                <w:sz w:val="21"/>
                <w:szCs w:val="21"/>
                <w:lang w:val="en-US" w:eastAsia="zh-CN"/>
              </w:rPr>
              <w:t xml:space="preserve">  </w:t>
            </w:r>
            <w:r>
              <w:rPr>
                <w:rFonts w:hint="eastAsia" w:cs="仿宋_GB2312" w:asciiTheme="minorEastAsia" w:hAnsiTheme="minorEastAsia"/>
                <w:color w:val="auto"/>
                <w:szCs w:val="21"/>
              </w:rPr>
              <w:t>13569968859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名称：河南鼎华招标代理有限公司</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地址：许昌市新许路中段</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七、须具有公安机关颁发的《保安服务许可证》</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188.496万元，超出最高限价的投标无效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16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zh-CN"/>
              </w:rPr>
              <w:t>三</w:t>
            </w:r>
            <w:bookmarkStart w:id="9" w:name="_GoBack"/>
            <w:bookmarkEnd w:id="9"/>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金额：叁万陆仟元整（¥</w:t>
            </w:r>
            <w:r>
              <w:rPr>
                <w:rFonts w:hint="eastAsia" w:cs="仿宋_GB2312" w:asciiTheme="minorEastAsia" w:hAnsiTheme="minorEastAsia"/>
                <w:color w:val="auto"/>
                <w:szCs w:val="21"/>
                <w:lang w:val="en-US" w:eastAsia="zh-CN"/>
              </w:rPr>
              <w:t>36000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13、须具有公安机关颁发的《保安服务许可证》</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分值构成</w:t>
            </w:r>
          </w:p>
          <w:p>
            <w:pPr>
              <w:spacing w:line="360" w:lineRule="auto"/>
              <w:jc w:val="center"/>
              <w:rPr>
                <w:rFonts w:ascii="宋体" w:hAnsi="宋体"/>
                <w:color w:val="auto"/>
                <w:sz w:val="24"/>
                <w:szCs w:val="24"/>
              </w:rPr>
            </w:pPr>
            <w:r>
              <w:rPr>
                <w:rFonts w:hint="eastAsia" w:ascii="宋体" w:hAnsi="宋体"/>
                <w:color w:val="auto"/>
                <w:sz w:val="24"/>
                <w:szCs w:val="24"/>
              </w:rPr>
              <w:t>(总分100分)</w:t>
            </w:r>
          </w:p>
        </w:tc>
        <w:tc>
          <w:tcPr>
            <w:tcW w:w="7204" w:type="dxa"/>
            <w:gridSpan w:val="2"/>
            <w:vAlign w:val="center"/>
          </w:tcPr>
          <w:p>
            <w:pPr>
              <w:spacing w:line="360" w:lineRule="auto"/>
              <w:ind w:firstLine="480" w:firstLineChars="200"/>
              <w:rPr>
                <w:rFonts w:ascii="宋体" w:hAnsi="宋体"/>
                <w:color w:val="auto"/>
                <w:sz w:val="24"/>
                <w:szCs w:val="24"/>
              </w:rPr>
            </w:pPr>
            <w:r>
              <w:rPr>
                <w:rFonts w:hint="eastAsia" w:ascii="宋体" w:hAnsi="宋体"/>
                <w:color w:val="auto"/>
                <w:sz w:val="24"/>
                <w:szCs w:val="24"/>
              </w:rPr>
              <w:t>价格分值：</w:t>
            </w:r>
            <w:r>
              <w:rPr>
                <w:rFonts w:hint="eastAsia" w:ascii="宋体" w:hAnsi="宋体"/>
                <w:color w:val="auto"/>
                <w:sz w:val="24"/>
                <w:szCs w:val="24"/>
                <w:u w:val="single"/>
              </w:rPr>
              <w:t xml:space="preserve"> 1</w:t>
            </w:r>
            <w:r>
              <w:rPr>
                <w:rFonts w:ascii="宋体" w:hAnsi="宋体"/>
                <w:color w:val="auto"/>
                <w:sz w:val="24"/>
                <w:szCs w:val="24"/>
                <w:u w:val="single"/>
              </w:rPr>
              <w:t>5</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商务部分：</w:t>
            </w:r>
            <w:r>
              <w:rPr>
                <w:rFonts w:hint="eastAsia" w:ascii="宋体" w:hAnsi="宋体"/>
                <w:color w:val="auto"/>
                <w:sz w:val="24"/>
                <w:szCs w:val="24"/>
                <w:u w:val="single"/>
                <w:lang w:val="en-US" w:eastAsia="zh-CN"/>
              </w:rPr>
              <w:t xml:space="preserve"> </w:t>
            </w:r>
            <w:r>
              <w:rPr>
                <w:rFonts w:ascii="宋体" w:hAnsi="宋体"/>
                <w:color w:val="auto"/>
                <w:sz w:val="24"/>
                <w:szCs w:val="24"/>
                <w:u w:val="single"/>
              </w:rPr>
              <w:t>40</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技术部分：</w:t>
            </w:r>
            <w:r>
              <w:rPr>
                <w:rFonts w:hint="eastAsia" w:ascii="宋体" w:hAnsi="宋体"/>
                <w:color w:val="auto"/>
                <w:sz w:val="24"/>
                <w:szCs w:val="24"/>
                <w:u w:val="single"/>
              </w:rPr>
              <w:t xml:space="preserve"> </w:t>
            </w:r>
            <w:r>
              <w:rPr>
                <w:rFonts w:ascii="宋体" w:hAnsi="宋体"/>
                <w:color w:val="auto"/>
                <w:sz w:val="24"/>
                <w:szCs w:val="24"/>
                <w:u w:val="single"/>
              </w:rPr>
              <w:t>4</w:t>
            </w:r>
            <w:r>
              <w:rPr>
                <w:rFonts w:hint="eastAsia" w:ascii="宋体" w:hAnsi="宋体"/>
                <w:color w:val="auto"/>
                <w:sz w:val="24"/>
                <w:szCs w:val="24"/>
                <w:u w:val="single"/>
              </w:rPr>
              <w:t>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b/>
                <w:color w:val="auto"/>
                <w:sz w:val="24"/>
                <w:szCs w:val="24"/>
              </w:rPr>
            </w:pPr>
            <w:r>
              <w:rPr>
                <w:rFonts w:hint="eastAsia" w:ascii="宋体" w:hAnsi="宋体"/>
                <w:b/>
                <w:bCs/>
                <w:color w:val="auto"/>
                <w:sz w:val="24"/>
                <w:szCs w:val="24"/>
              </w:rPr>
              <w:t>价格部分（满分1</w:t>
            </w:r>
            <w:r>
              <w:rPr>
                <w:rFonts w:hint="eastAsia" w:ascii="宋体" w:hAnsi="宋体"/>
                <w:b/>
                <w:bCs/>
                <w:color w:val="auto"/>
                <w:sz w:val="24"/>
                <w:szCs w:val="24"/>
                <w:lang w:val="en-US" w:eastAsia="zh-CN"/>
              </w:rPr>
              <w:t>5</w:t>
            </w:r>
            <w:r>
              <w:rPr>
                <w:rFonts w:hint="eastAsia" w:ascii="宋体" w:hAnsi="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评分因素</w:t>
            </w:r>
          </w:p>
        </w:tc>
        <w:tc>
          <w:tcPr>
            <w:tcW w:w="6237" w:type="dxa"/>
            <w:tcBorders>
              <w:top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评标标准</w:t>
            </w:r>
          </w:p>
        </w:tc>
        <w:tc>
          <w:tcPr>
            <w:tcW w:w="967" w:type="dxa"/>
            <w:tcBorders>
              <w:top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投标报价</w:t>
            </w:r>
          </w:p>
          <w:p>
            <w:pPr>
              <w:spacing w:line="360" w:lineRule="auto"/>
              <w:jc w:val="center"/>
              <w:rPr>
                <w:rFonts w:ascii="宋体" w:hAnsi="宋体"/>
                <w:color w:val="auto"/>
                <w:sz w:val="24"/>
                <w:szCs w:val="24"/>
              </w:rPr>
            </w:pPr>
            <w:r>
              <w:rPr>
                <w:rFonts w:hint="eastAsia" w:ascii="宋体" w:hAnsi="宋体"/>
                <w:color w:val="auto"/>
                <w:sz w:val="24"/>
                <w:szCs w:val="24"/>
              </w:rPr>
              <w:t>评分标准</w:t>
            </w:r>
          </w:p>
        </w:tc>
        <w:tc>
          <w:tcPr>
            <w:tcW w:w="6237" w:type="dxa"/>
            <w:tcBorders>
              <w:top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hAnsi="宋体"/>
                <w:color w:val="auto"/>
                <w:sz w:val="24"/>
                <w:szCs w:val="24"/>
              </w:rPr>
            </w:pPr>
            <w:r>
              <w:rPr>
                <w:rFonts w:hint="eastAsia" w:ascii="宋体" w:hAnsi="宋体"/>
                <w:color w:val="auto"/>
                <w:sz w:val="24"/>
                <w:szCs w:val="24"/>
              </w:rPr>
              <w:t>投标报价得分=（评标基准价/投标报价）×</w:t>
            </w:r>
            <w:r>
              <w:rPr>
                <w:rFonts w:hint="eastAsia" w:ascii="宋体" w:hAnsi="宋体"/>
                <w:color w:val="auto"/>
                <w:sz w:val="24"/>
                <w:szCs w:val="24"/>
                <w:lang w:val="en-US" w:eastAsia="zh-CN"/>
              </w:rPr>
              <w:t>15</w:t>
            </w:r>
          </w:p>
        </w:tc>
        <w:tc>
          <w:tcPr>
            <w:tcW w:w="967" w:type="dxa"/>
            <w:tcBorders>
              <w:top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lang w:val="en-US" w:eastAsia="zh-CN"/>
              </w:rPr>
              <w:t>15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b/>
                <w:color w:val="auto"/>
                <w:sz w:val="24"/>
                <w:szCs w:val="24"/>
              </w:rPr>
            </w:pPr>
            <w:r>
              <w:rPr>
                <w:rFonts w:hint="eastAsia" w:ascii="宋体" w:hAnsi="宋体"/>
                <w:b/>
                <w:color w:val="auto"/>
                <w:sz w:val="24"/>
                <w:szCs w:val="24"/>
              </w:rPr>
              <w:t>商务部分（满分</w:t>
            </w:r>
            <w:r>
              <w:rPr>
                <w:rFonts w:hint="eastAsia" w:ascii="宋体" w:hAnsi="宋体"/>
                <w:b/>
                <w:color w:val="auto"/>
                <w:sz w:val="24"/>
                <w:szCs w:val="24"/>
                <w:u w:val="single"/>
                <w:lang w:val="en-US" w:eastAsia="zh-CN"/>
              </w:rPr>
              <w:t>40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hAns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hAns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7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企业综</w:t>
            </w:r>
          </w:p>
          <w:p>
            <w:pPr>
              <w:spacing w:line="360" w:lineRule="exact"/>
              <w:jc w:val="center"/>
              <w:rPr>
                <w:rFonts w:ascii="宋体" w:hAnsi="宋体"/>
                <w:color w:val="auto"/>
                <w:sz w:val="24"/>
                <w:szCs w:val="24"/>
              </w:rPr>
            </w:pPr>
            <w:r>
              <w:rPr>
                <w:rFonts w:hint="eastAsia" w:ascii="宋体" w:hAnsi="宋体"/>
                <w:color w:val="auto"/>
                <w:sz w:val="24"/>
                <w:szCs w:val="24"/>
              </w:rPr>
              <w:t>合实力</w:t>
            </w:r>
          </w:p>
        </w:tc>
        <w:tc>
          <w:tcPr>
            <w:tcW w:w="6237" w:type="dxa"/>
            <w:vAlign w:val="center"/>
          </w:tcPr>
          <w:p>
            <w:pPr>
              <w:numPr>
                <w:ilvl w:val="0"/>
                <w:numId w:val="20"/>
              </w:numPr>
              <w:spacing w:line="360" w:lineRule="auto"/>
              <w:rPr>
                <w:rFonts w:hint="eastAsia" w:ascii="宋体" w:hAnsi="宋体"/>
                <w:color w:val="auto"/>
                <w:sz w:val="24"/>
                <w:szCs w:val="24"/>
                <w:lang w:val="en-US" w:eastAsia="zh-CN"/>
              </w:rPr>
            </w:pPr>
            <w:r>
              <w:rPr>
                <w:rFonts w:hint="eastAsia" w:ascii="宋体" w:hAnsi="宋体"/>
                <w:color w:val="auto"/>
                <w:sz w:val="24"/>
                <w:szCs w:val="24"/>
                <w:highlight w:val="none"/>
              </w:rPr>
              <w:t>投标人通过质量管理体系认证、环境管理体系认证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职业健康安全管理体系认证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每项</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最高得</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w:t>
            </w:r>
          </w:p>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2、本项目所需保安队员取得中华人民共和国《保安上岗证》，每</w:t>
            </w:r>
            <w:r>
              <w:rPr>
                <w:rFonts w:hint="eastAsia" w:ascii="宋体" w:hAnsi="宋体"/>
                <w:color w:val="auto"/>
                <w:sz w:val="24"/>
                <w:szCs w:val="24"/>
                <w:lang w:val="en-US" w:eastAsia="zh-CN"/>
              </w:rPr>
              <w:t>2</w:t>
            </w:r>
            <w:r>
              <w:rPr>
                <w:rFonts w:hint="eastAsia" w:ascii="宋体" w:hAnsi="宋体"/>
                <w:color w:val="auto"/>
                <w:sz w:val="24"/>
                <w:szCs w:val="24"/>
                <w:lang w:eastAsia="zh-CN"/>
              </w:rPr>
              <w:t>人得1分，最多得</w:t>
            </w:r>
            <w:r>
              <w:rPr>
                <w:rFonts w:hint="eastAsia" w:ascii="宋体" w:hAnsi="宋体"/>
                <w:color w:val="auto"/>
                <w:sz w:val="24"/>
                <w:szCs w:val="24"/>
                <w:lang w:val="en-US" w:eastAsia="zh-CN"/>
              </w:rPr>
              <w:t>8</w:t>
            </w:r>
            <w:r>
              <w:rPr>
                <w:rFonts w:hint="eastAsia" w:ascii="宋体" w:hAnsi="宋体"/>
                <w:color w:val="auto"/>
                <w:sz w:val="24"/>
                <w:szCs w:val="24"/>
                <w:lang w:eastAsia="zh-CN"/>
              </w:rPr>
              <w:t>分。</w:t>
            </w:r>
          </w:p>
          <w:p>
            <w:pPr>
              <w:spacing w:line="360" w:lineRule="auto"/>
              <w:jc w:val="left"/>
              <w:rPr>
                <w:rFonts w:ascii="宋体" w:hAnsi="宋体"/>
                <w:color w:val="auto"/>
                <w:sz w:val="24"/>
                <w:szCs w:val="24"/>
                <w:lang w:val="en-GB"/>
              </w:rPr>
            </w:pPr>
            <w:r>
              <w:rPr>
                <w:rFonts w:hint="eastAsia" w:ascii="宋体" w:hAnsi="宋体"/>
                <w:color w:val="auto"/>
                <w:sz w:val="24"/>
                <w:szCs w:val="24"/>
                <w:lang w:val="en-US" w:eastAsia="zh-CN"/>
              </w:rPr>
              <w:t>3、</w:t>
            </w:r>
            <w:r>
              <w:rPr>
                <w:rFonts w:hint="eastAsia" w:ascii="宋体" w:hAnsi="宋体"/>
                <w:color w:val="auto"/>
                <w:sz w:val="24"/>
                <w:szCs w:val="24"/>
              </w:rPr>
              <w:t>自20</w:t>
            </w:r>
            <w:r>
              <w:rPr>
                <w:rFonts w:hint="eastAsia" w:ascii="宋体" w:hAnsi="宋体"/>
                <w:color w:val="auto"/>
                <w:sz w:val="24"/>
                <w:szCs w:val="24"/>
                <w:lang w:val="en-US" w:eastAsia="zh-CN"/>
              </w:rPr>
              <w:t>00</w:t>
            </w:r>
            <w:r>
              <w:rPr>
                <w:rFonts w:hint="eastAsia" w:ascii="宋体" w:hAnsi="宋体"/>
                <w:color w:val="auto"/>
                <w:sz w:val="24"/>
                <w:szCs w:val="24"/>
              </w:rPr>
              <w:t>年以来（以获奖年度为准），获得地市级及以上主管部门表彰、荣誉的每项得3分，本项最高得9分。</w:t>
            </w:r>
          </w:p>
        </w:tc>
        <w:tc>
          <w:tcPr>
            <w:tcW w:w="967" w:type="dxa"/>
            <w:vAlign w:val="center"/>
          </w:tcPr>
          <w:p>
            <w:pPr>
              <w:jc w:val="center"/>
              <w:rPr>
                <w:rFonts w:hint="eastAsia" w:ascii="宋体" w:hAnsi="宋体"/>
                <w:color w:val="auto"/>
                <w:sz w:val="24"/>
                <w:szCs w:val="24"/>
                <w:lang w:val="en-GB"/>
              </w:rPr>
            </w:pPr>
            <w:r>
              <w:rPr>
                <w:rFonts w:hint="eastAsia" w:ascii="宋体" w:hAnsi="宋体"/>
                <w:color w:val="auto"/>
                <w:sz w:val="24"/>
                <w:szCs w:val="24"/>
                <w:lang w:val="en-US" w:eastAsia="zh-CN"/>
              </w:rPr>
              <w:t>26</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业绩</w:t>
            </w:r>
          </w:p>
        </w:tc>
        <w:tc>
          <w:tcPr>
            <w:tcW w:w="6237" w:type="dxa"/>
            <w:vAlign w:val="center"/>
          </w:tcPr>
          <w:p>
            <w:pPr>
              <w:spacing w:line="360" w:lineRule="auto"/>
              <w:jc w:val="left"/>
              <w:rPr>
                <w:rFonts w:hint="eastAsia" w:ascii="宋体" w:hAnsi="宋体"/>
                <w:color w:val="auto"/>
                <w:sz w:val="24"/>
                <w:szCs w:val="24"/>
                <w:lang w:eastAsia="zh-CN"/>
              </w:rPr>
            </w:pPr>
            <w:r>
              <w:rPr>
                <w:rFonts w:hint="eastAsia" w:ascii="宋体" w:hAnsi="宋体" w:cs="宋体"/>
                <w:color w:val="auto"/>
                <w:sz w:val="24"/>
                <w:szCs w:val="24"/>
              </w:rPr>
              <w:t>投标人提供自</w:t>
            </w:r>
            <w:r>
              <w:rPr>
                <w:rFonts w:ascii="宋体" w:hAnsi="宋体" w:cs="宋体"/>
                <w:color w:val="auto"/>
                <w:sz w:val="24"/>
                <w:szCs w:val="24"/>
              </w:rPr>
              <w:t>2014</w:t>
            </w:r>
            <w:r>
              <w:rPr>
                <w:rFonts w:hint="eastAsia" w:ascii="宋体" w:hAnsi="宋体" w:cs="宋体"/>
                <w:color w:val="auto"/>
                <w:sz w:val="24"/>
                <w:szCs w:val="24"/>
              </w:rPr>
              <w:t>年</w:t>
            </w:r>
            <w:r>
              <w:rPr>
                <w:rFonts w:ascii="宋体" w:hAnsi="宋体" w:cs="宋体"/>
                <w:color w:val="auto"/>
                <w:sz w:val="24"/>
                <w:szCs w:val="24"/>
              </w:rPr>
              <w:t>1</w:t>
            </w:r>
            <w:r>
              <w:rPr>
                <w:rFonts w:hint="eastAsia" w:ascii="宋体" w:hAnsi="宋体" w:cs="宋体"/>
                <w:color w:val="auto"/>
                <w:sz w:val="24"/>
                <w:szCs w:val="24"/>
              </w:rPr>
              <w:t>月份</w:t>
            </w:r>
            <w:r>
              <w:rPr>
                <w:rFonts w:ascii="宋体" w:hAnsi="宋体" w:cs="宋体"/>
                <w:color w:val="auto"/>
                <w:sz w:val="24"/>
                <w:szCs w:val="24"/>
              </w:rPr>
              <w:t>(</w:t>
            </w:r>
            <w:r>
              <w:rPr>
                <w:rFonts w:hint="eastAsia" w:ascii="宋体" w:hAnsi="宋体" w:cs="宋体"/>
                <w:color w:val="auto"/>
                <w:sz w:val="24"/>
                <w:szCs w:val="24"/>
              </w:rPr>
              <w:t>以</w:t>
            </w:r>
            <w:r>
              <w:rPr>
                <w:rFonts w:hint="eastAsia" w:ascii="宋体" w:hAnsi="宋体" w:cs="宋体"/>
                <w:color w:val="auto"/>
                <w:sz w:val="24"/>
                <w:szCs w:val="24"/>
                <w:lang w:eastAsia="zh-CN"/>
              </w:rPr>
              <w:t>合同签订日期</w:t>
            </w:r>
            <w:r>
              <w:rPr>
                <w:rFonts w:hint="eastAsia" w:ascii="宋体" w:hAnsi="宋体" w:cs="宋体"/>
                <w:color w:val="auto"/>
                <w:sz w:val="24"/>
                <w:szCs w:val="24"/>
              </w:rPr>
              <w:t>为准</w:t>
            </w:r>
            <w:r>
              <w:rPr>
                <w:rFonts w:ascii="宋体" w:hAnsi="宋体" w:cs="宋体"/>
                <w:color w:val="auto"/>
                <w:sz w:val="24"/>
                <w:szCs w:val="24"/>
              </w:rPr>
              <w:t>)</w:t>
            </w:r>
            <w:r>
              <w:rPr>
                <w:rFonts w:hint="eastAsia" w:ascii="宋体" w:hAnsi="宋体" w:cs="宋体"/>
                <w:color w:val="auto"/>
                <w:sz w:val="24"/>
                <w:szCs w:val="24"/>
              </w:rPr>
              <w:t>以来承担类似项目且合同金额</w:t>
            </w:r>
            <w:r>
              <w:rPr>
                <w:rFonts w:hint="eastAsia" w:ascii="宋体" w:hAnsi="宋体"/>
                <w:color w:val="auto"/>
                <w:sz w:val="24"/>
                <w:szCs w:val="24"/>
                <w:highlight w:val="none"/>
              </w:rPr>
              <w:t>合同金额</w:t>
            </w:r>
            <w:r>
              <w:rPr>
                <w:rFonts w:hint="eastAsia" w:ascii="宋体" w:hAnsi="宋体"/>
                <w:color w:val="auto"/>
                <w:sz w:val="24"/>
                <w:szCs w:val="24"/>
                <w:highlight w:val="none"/>
                <w:lang w:eastAsia="zh-CN"/>
              </w:rPr>
              <w:t>不低于本项目最高限价</w:t>
            </w:r>
            <w:r>
              <w:rPr>
                <w:rFonts w:hint="eastAsia" w:ascii="宋体" w:hAnsi="宋体" w:cs="宋体"/>
                <w:color w:val="auto"/>
                <w:sz w:val="24"/>
                <w:szCs w:val="24"/>
              </w:rPr>
              <w:t>的，每份合同得</w:t>
            </w:r>
            <w:r>
              <w:rPr>
                <w:rFonts w:hint="eastAsia" w:ascii="宋体" w:hAnsi="宋体" w:cs="宋体"/>
                <w:color w:val="auto"/>
                <w:sz w:val="24"/>
                <w:szCs w:val="24"/>
                <w:lang w:val="en-US" w:eastAsia="zh-CN"/>
              </w:rPr>
              <w:t>2</w:t>
            </w:r>
            <w:r>
              <w:rPr>
                <w:rFonts w:hint="eastAsia" w:ascii="宋体" w:hAnsi="宋体" w:cs="宋体"/>
                <w:color w:val="auto"/>
                <w:sz w:val="24"/>
                <w:szCs w:val="24"/>
              </w:rPr>
              <w:t>分，最高得</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967" w:type="dxa"/>
            <w:vAlign w:val="center"/>
          </w:tcPr>
          <w:p>
            <w:pPr>
              <w:jc w:val="center"/>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10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投标文件的规范程度</w:t>
            </w:r>
          </w:p>
        </w:tc>
        <w:tc>
          <w:tcPr>
            <w:tcW w:w="6237" w:type="dxa"/>
            <w:vAlign w:val="center"/>
          </w:tcPr>
          <w:p>
            <w:pPr>
              <w:spacing w:line="360" w:lineRule="auto"/>
              <w:jc w:val="left"/>
              <w:rPr>
                <w:rFonts w:hint="eastAsia" w:ascii="宋体" w:hAnsi="宋体" w:cs="Courier New"/>
                <w:bCs/>
                <w:color w:val="auto"/>
                <w:sz w:val="24"/>
              </w:rPr>
            </w:pPr>
            <w:r>
              <w:rPr>
                <w:rFonts w:hint="eastAsia" w:ascii="宋体" w:hAnsi="宋体"/>
                <w:color w:val="auto"/>
                <w:sz w:val="24"/>
                <w:szCs w:val="24"/>
                <w:lang w:val="en-US" w:eastAsia="zh-CN"/>
              </w:rPr>
              <w:t>1、</w:t>
            </w:r>
            <w:r>
              <w:rPr>
                <w:rFonts w:hint="eastAsia" w:ascii="宋体" w:hAnsi="宋体" w:cs="Courier New"/>
                <w:bCs/>
                <w:color w:val="auto"/>
                <w:sz w:val="24"/>
              </w:rPr>
              <w:t>投标文件的编制符合招标文件的规定，装订整齐规范的，得</w:t>
            </w:r>
            <w:r>
              <w:rPr>
                <w:rFonts w:hint="eastAsia" w:ascii="宋体" w:hAnsi="宋体" w:cs="Courier New"/>
                <w:bCs/>
                <w:color w:val="auto"/>
                <w:sz w:val="24"/>
                <w:lang w:val="en-US" w:eastAsia="zh-CN"/>
              </w:rPr>
              <w:t>2</w:t>
            </w:r>
            <w:r>
              <w:rPr>
                <w:rFonts w:hint="eastAsia" w:ascii="宋体" w:hAnsi="宋体" w:cs="Courier New"/>
                <w:bCs/>
                <w:color w:val="auto"/>
                <w:sz w:val="24"/>
              </w:rPr>
              <w:t>分；不满足不得分。</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2、</w:t>
            </w:r>
            <w:r>
              <w:rPr>
                <w:rFonts w:hint="eastAsia" w:ascii="宋体" w:hAnsi="宋体" w:cs="Courier New"/>
                <w:bCs/>
                <w:color w:val="auto"/>
                <w:sz w:val="24"/>
              </w:rPr>
              <w:t>投标人编制投标文件逻辑严紧、描述规范、无文字错误的，得</w:t>
            </w:r>
            <w:r>
              <w:rPr>
                <w:rFonts w:hint="eastAsia" w:ascii="宋体" w:hAnsi="宋体" w:cs="Courier New"/>
                <w:bCs/>
                <w:color w:val="auto"/>
                <w:sz w:val="24"/>
                <w:lang w:val="en-US" w:eastAsia="zh-CN"/>
              </w:rPr>
              <w:t>2</w:t>
            </w:r>
            <w:r>
              <w:rPr>
                <w:rFonts w:hint="eastAsia" w:ascii="宋体" w:hAnsi="宋体" w:cs="Courier New"/>
                <w:bCs/>
                <w:color w:val="auto"/>
                <w:sz w:val="24"/>
              </w:rPr>
              <w:t>分；不满足不得分。</w:t>
            </w:r>
          </w:p>
        </w:tc>
        <w:tc>
          <w:tcPr>
            <w:tcW w:w="967" w:type="dxa"/>
            <w:vAlign w:val="center"/>
          </w:tcPr>
          <w:p>
            <w:pPr>
              <w:jc w:val="center"/>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4</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b/>
                <w:color w:val="auto"/>
                <w:sz w:val="24"/>
                <w:szCs w:val="24"/>
              </w:rPr>
            </w:pPr>
            <w:r>
              <w:rPr>
                <w:rFonts w:hint="eastAsia" w:ascii="宋体" w:hAnsi="宋体"/>
                <w:b/>
                <w:color w:val="auto"/>
                <w:sz w:val="24"/>
                <w:szCs w:val="24"/>
              </w:rPr>
              <w:t>技术部分（满分</w:t>
            </w:r>
            <w:r>
              <w:rPr>
                <w:rFonts w:hint="eastAsia" w:ascii="宋体" w:hAnsi="宋体"/>
                <w:b/>
                <w:color w:val="auto"/>
                <w:sz w:val="24"/>
                <w:szCs w:val="24"/>
                <w:lang w:val="en-US" w:eastAsia="zh-CN"/>
              </w:rPr>
              <w:t>45</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hAns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hAns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项目实施</w:t>
            </w:r>
          </w:p>
          <w:p>
            <w:pPr>
              <w:jc w:val="center"/>
              <w:rPr>
                <w:rFonts w:ascii="仿宋" w:hAnsi="仿宋" w:eastAsia="仿宋"/>
                <w:color w:val="auto"/>
                <w:sz w:val="24"/>
                <w:szCs w:val="24"/>
              </w:rPr>
            </w:pPr>
            <w:r>
              <w:rPr>
                <w:rFonts w:hint="eastAsia" w:ascii="宋体" w:hAnsi="宋体"/>
                <w:color w:val="auto"/>
                <w:sz w:val="24"/>
                <w:szCs w:val="24"/>
              </w:rPr>
              <w:t>方案</w:t>
            </w:r>
          </w:p>
        </w:tc>
        <w:tc>
          <w:tcPr>
            <w:tcW w:w="6237" w:type="dxa"/>
            <w:vAlign w:val="center"/>
          </w:tcPr>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1、能提供详细、完整、全面的具体工作实施方案得8分；有相关描述的得3分，没有不得分。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2、岗位配置合理，投入保安服务人员有明确的岗位职责分工描述的得8分；有相关描述的得3分；没有不得分。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3、有完善的岗位职责制度以及健全的企业内部管理规章制度，得8分，有相关描述的得3分，不提供者不得分。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4、投入的保安服务人员年龄在18－45周岁以内，完全满足得8分，不满足不得分。</w:t>
            </w:r>
          </w:p>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5、结合招标人实际特点，能够制定合理、可行的应急预案得8分，有相关描述的得3分，不提供者不得分。</w:t>
            </w:r>
          </w:p>
        </w:tc>
        <w:tc>
          <w:tcPr>
            <w:tcW w:w="967" w:type="dxa"/>
            <w:vAlign w:val="center"/>
          </w:tcPr>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售后服务方案</w:t>
            </w:r>
          </w:p>
          <w:p>
            <w:pPr>
              <w:spacing w:line="360" w:lineRule="auto"/>
              <w:jc w:val="center"/>
              <w:rPr>
                <w:rFonts w:ascii="仿宋" w:hAnsi="仿宋" w:eastAsia="仿宋"/>
                <w:color w:val="auto"/>
                <w:sz w:val="24"/>
                <w:szCs w:val="24"/>
                <w:highlight w:val="none"/>
              </w:rPr>
            </w:pPr>
            <w:r>
              <w:rPr>
                <w:rFonts w:hint="eastAsia" w:ascii="宋体" w:hAnsi="宋体"/>
                <w:color w:val="auto"/>
                <w:sz w:val="24"/>
                <w:szCs w:val="24"/>
                <w:highlight w:val="none"/>
              </w:rPr>
              <w:t>及承诺</w:t>
            </w:r>
          </w:p>
        </w:tc>
        <w:tc>
          <w:tcPr>
            <w:tcW w:w="6237" w:type="dxa"/>
            <w:vAlign w:val="center"/>
          </w:tcPr>
          <w:p>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除满足本招标文件内对保安服务的所有实质性要求之外还有其他服务承诺且完整、可行的得5分，有相关描述的得2分，没有不得分。</w:t>
            </w:r>
          </w:p>
        </w:tc>
        <w:tc>
          <w:tcPr>
            <w:tcW w:w="967" w:type="dxa"/>
            <w:vAlign w:val="center"/>
          </w:tcPr>
          <w:p>
            <w:pPr>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5分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ind w:firstLine="480" w:firstLineChars="200"/>
        <w:jc w:val="both"/>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pStyle w:val="13"/>
        <w:spacing w:line="360" w:lineRule="auto"/>
        <w:contextualSpacing/>
        <w:jc w:val="left"/>
        <w:rPr>
          <w:rFonts w:hint="eastAsia" w:ascii="宋体" w:hAnsi="宋体" w:eastAsia="宋体" w:cs="宋体"/>
          <w:b/>
          <w:color w:val="auto"/>
          <w:kern w:val="0"/>
          <w:sz w:val="21"/>
          <w:szCs w:val="21"/>
        </w:rPr>
      </w:pPr>
      <w:r>
        <w:rPr>
          <w:rFonts w:hint="eastAsia" w:ascii="宋体" w:hAnsi="宋体"/>
          <w:color w:val="auto"/>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3"/>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法定代表人授权代表身份证（正面）</w:t>
            </w:r>
            <w:bookmarkEnd w:id="5"/>
          </w:p>
        </w:tc>
        <w:tc>
          <w:tcPr>
            <w:tcW w:w="4492"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（投标人根据招标文件要求自行编制，需提供项目配备服务人员情况表）</w:t>
      </w:r>
    </w:p>
    <w:tbl>
      <w:tblPr>
        <w:tblStyle w:val="2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83"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姓 名</w:t>
            </w:r>
          </w:p>
        </w:tc>
        <w:tc>
          <w:tcPr>
            <w:tcW w:w="718"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hint="eastAsia"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8" w:type="dxa"/>
            <w:vAlign w:val="center"/>
          </w:tcPr>
          <w:p>
            <w:pPr>
              <w:autoSpaceDE w:val="0"/>
              <w:autoSpaceDN w:val="0"/>
              <w:adjustRightInd w:val="0"/>
              <w:spacing w:line="360" w:lineRule="auto"/>
              <w:outlineLvl w:val="0"/>
              <w:rPr>
                <w:rFonts w:hint="eastAsia" w:ascii="宋体" w:cs="宋体"/>
                <w:color w:val="auto"/>
                <w:sz w:val="24"/>
                <w:lang w:val="zh-CN"/>
              </w:rPr>
            </w:pPr>
          </w:p>
        </w:tc>
        <w:tc>
          <w:tcPr>
            <w:tcW w:w="71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076"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434"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389" w:type="dxa"/>
            <w:vAlign w:val="center"/>
          </w:tcPr>
          <w:p>
            <w:pPr>
              <w:autoSpaceDE w:val="0"/>
              <w:autoSpaceDN w:val="0"/>
              <w:adjustRightInd w:val="0"/>
              <w:spacing w:line="360" w:lineRule="auto"/>
              <w:outlineLvl w:val="0"/>
              <w:rPr>
                <w:rFonts w:hint="eastAsia" w:ascii="宋体" w:cs="宋体"/>
                <w:color w:val="auto"/>
                <w:sz w:val="24"/>
                <w:lang w:val="zh-CN"/>
              </w:rPr>
            </w:pPr>
          </w:p>
        </w:tc>
        <w:tc>
          <w:tcPr>
            <w:tcW w:w="1584" w:type="dxa"/>
            <w:vAlign w:val="center"/>
          </w:tcPr>
          <w:p>
            <w:pPr>
              <w:autoSpaceDE w:val="0"/>
              <w:autoSpaceDN w:val="0"/>
              <w:adjustRightInd w:val="0"/>
              <w:spacing w:line="360" w:lineRule="auto"/>
              <w:outlineLvl w:val="0"/>
              <w:rPr>
                <w:rFonts w:hint="eastAsia" w:ascii="宋体" w:cs="宋体"/>
                <w:color w:val="auto"/>
                <w:sz w:val="24"/>
                <w:lang w:val="zh-CN"/>
              </w:rPr>
            </w:pPr>
          </w:p>
        </w:tc>
      </w:tr>
    </w:tbl>
    <w:p>
      <w:pPr>
        <w:spacing w:after="120" w:afterLines="50" w:line="320" w:lineRule="exact"/>
        <w:rPr>
          <w:rFonts w:ascii="宋体" w:hAnsi="宋体" w:cs="Arial"/>
          <w:color w:val="auto"/>
          <w:sz w:val="24"/>
          <w:szCs w:val="24"/>
          <w:u w:val="single"/>
        </w:rPr>
      </w:pPr>
      <w:r>
        <w:rPr>
          <w:rFonts w:hint="eastAsia" w:ascii="宋体" w:hAnsi="宋体" w:cs="Arial"/>
          <w:color w:val="auto"/>
          <w:sz w:val="24"/>
          <w:szCs w:val="24"/>
        </w:rPr>
        <w:t>供应商名</w:t>
      </w:r>
      <w:r>
        <w:rPr>
          <w:rFonts w:ascii="宋体" w:hAnsi="宋体" w:cs="Arial"/>
          <w:color w:val="auto"/>
          <w:sz w:val="24"/>
          <w:szCs w:val="24"/>
        </w:rPr>
        <w:t>称</w:t>
      </w:r>
      <w:r>
        <w:rPr>
          <w:rFonts w:hint="eastAsia" w:ascii="宋体" w:hAnsi="宋体" w:cs="Arial"/>
          <w:color w:val="auto"/>
          <w:sz w:val="24"/>
          <w:szCs w:val="24"/>
        </w:rPr>
        <w:t>（并加</w:t>
      </w:r>
      <w:r>
        <w:rPr>
          <w:rFonts w:ascii="宋体" w:hAnsi="宋体" w:cs="Arial"/>
          <w:color w:val="auto"/>
          <w:sz w:val="24"/>
          <w:szCs w:val="24"/>
        </w:rPr>
        <w:t>盖</w:t>
      </w:r>
      <w:r>
        <w:rPr>
          <w:rFonts w:hint="eastAsia" w:ascii="宋体" w:hAnsi="宋体" w:cs="Arial"/>
          <w:color w:val="auto"/>
          <w:sz w:val="24"/>
          <w:szCs w:val="24"/>
        </w:rPr>
        <w:t>公章）：</w:t>
      </w:r>
      <w:r>
        <w:rPr>
          <w:rFonts w:ascii="宋体" w:hAnsi="宋体" w:cs="Arial"/>
          <w:color w:val="auto"/>
          <w:sz w:val="24"/>
          <w:szCs w:val="24"/>
          <w:u w:val="single"/>
        </w:rPr>
        <w:t xml:space="preserve">                             </w:t>
      </w:r>
    </w:p>
    <w:p>
      <w:pPr>
        <w:adjustRightInd w:val="0"/>
        <w:spacing w:before="60" w:after="120" w:afterLines="50" w:line="320" w:lineRule="exact"/>
        <w:jc w:val="left"/>
        <w:textAlignment w:val="baseline"/>
        <w:rPr>
          <w:rFonts w:ascii="宋体" w:hAnsi="宋体" w:cs="Arial"/>
          <w:color w:val="auto"/>
          <w:kern w:val="0"/>
          <w:sz w:val="24"/>
          <w:szCs w:val="24"/>
        </w:rPr>
      </w:pPr>
      <w:r>
        <w:rPr>
          <w:rFonts w:hint="eastAsia" w:ascii="宋体" w:hAnsi="宋体" w:cs="Arial"/>
          <w:color w:val="auto"/>
          <w:kern w:val="0"/>
          <w:sz w:val="24"/>
          <w:szCs w:val="24"/>
        </w:rPr>
        <w:t>法定代表人（代表人）或其授</w:t>
      </w:r>
      <w:r>
        <w:rPr>
          <w:rFonts w:ascii="宋体" w:hAnsi="宋体" w:cs="Arial"/>
          <w:color w:val="auto"/>
          <w:kern w:val="0"/>
          <w:sz w:val="24"/>
          <w:szCs w:val="24"/>
        </w:rPr>
        <w:t>权</w:t>
      </w:r>
      <w:r>
        <w:rPr>
          <w:rFonts w:hint="eastAsia" w:ascii="宋体" w:hAnsi="宋体" w:cs="Arial"/>
          <w:color w:val="auto"/>
          <w:kern w:val="0"/>
          <w:sz w:val="24"/>
          <w:szCs w:val="24"/>
        </w:rPr>
        <w:t>委托人：</w:t>
      </w:r>
      <w:r>
        <w:rPr>
          <w:rFonts w:ascii="宋体" w:hAnsi="宋体" w:cs="Arial"/>
          <w:color w:val="auto"/>
          <w:kern w:val="0"/>
          <w:sz w:val="24"/>
          <w:szCs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szCs w:val="24"/>
          <w:u w:val="single"/>
        </w:rPr>
        <w:t xml:space="preserve"> </w:t>
      </w:r>
    </w:p>
    <w:p>
      <w:pPr>
        <w:snapToGrid w:val="0"/>
        <w:spacing w:line="360" w:lineRule="auto"/>
        <w:jc w:val="left"/>
        <w:rPr>
          <w:rFonts w:hAnsi="宋体" w:eastAsia="宋体"/>
          <w:b w:val="0"/>
          <w:bCs/>
          <w:snapToGrid w:val="0"/>
          <w:color w:val="auto"/>
          <w:kern w:val="0"/>
          <w:sz w:val="36"/>
          <w:szCs w:val="36"/>
        </w:rPr>
      </w:pPr>
      <w:r>
        <w:rPr>
          <w:color w:val="auto"/>
          <w:kern w:val="0"/>
          <w:sz w:val="24"/>
          <w:szCs w:val="20"/>
        </w:rPr>
        <w:t>签</w:t>
      </w:r>
      <w:r>
        <w:rPr>
          <w:rFonts w:hint="eastAsia"/>
          <w:color w:val="auto"/>
          <w:kern w:val="0"/>
          <w:sz w:val="24"/>
          <w:szCs w:val="20"/>
        </w:rPr>
        <w:t>署日期：</w:t>
      </w:r>
      <w:r>
        <w:rPr>
          <w:color w:val="auto"/>
          <w:kern w:val="0"/>
          <w:sz w:val="24"/>
          <w:szCs w:val="20"/>
        </w:rPr>
        <w:t xml:space="preserve">          </w:t>
      </w:r>
      <w:r>
        <w:rPr>
          <w:rFonts w:hint="eastAsia"/>
          <w:color w:val="auto"/>
          <w:kern w:val="0"/>
          <w:sz w:val="24"/>
          <w:szCs w:val="20"/>
        </w:rPr>
        <w:t>年</w:t>
      </w:r>
      <w:r>
        <w:rPr>
          <w:color w:val="auto"/>
          <w:kern w:val="0"/>
          <w:sz w:val="24"/>
          <w:szCs w:val="20"/>
        </w:rPr>
        <w:t xml:space="preserve">        </w:t>
      </w:r>
      <w:r>
        <w:rPr>
          <w:rFonts w:hint="eastAsia"/>
          <w:color w:val="auto"/>
          <w:kern w:val="0"/>
          <w:sz w:val="24"/>
          <w:szCs w:val="20"/>
        </w:rPr>
        <w:t>月</w:t>
      </w:r>
      <w:r>
        <w:rPr>
          <w:color w:val="auto"/>
          <w:kern w:val="0"/>
          <w:sz w:val="24"/>
          <w:szCs w:val="20"/>
        </w:rPr>
        <w:t xml:space="preserve">        </w:t>
      </w:r>
      <w:r>
        <w:rPr>
          <w:rFonts w:hint="eastAsia"/>
          <w:color w:val="auto"/>
          <w:kern w:val="0"/>
          <w:sz w:val="24"/>
          <w:szCs w:val="20"/>
        </w:rPr>
        <w:t>日</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7" w:name="OLE_LINK13"/>
      <w:bookmarkStart w:id="8" w:name="OLE_LINK14"/>
      <w:r>
        <w:rPr>
          <w:rFonts w:hint="eastAsia" w:ascii="宋体" w:hAnsi="宋体"/>
          <w:b/>
          <w:bCs/>
          <w:color w:val="auto"/>
          <w:sz w:val="24"/>
          <w:szCs w:val="24"/>
        </w:rPr>
        <w:t>4.10 残疾人福利性单位声明函</w:t>
      </w:r>
    </w:p>
    <w:bookmarkEnd w:id="7"/>
    <w:bookmarkEnd w:id="8"/>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E3B69"/>
    <w:multiLevelType w:val="singleLevel"/>
    <w:tmpl w:val="A75E3B69"/>
    <w:lvl w:ilvl="0" w:tentative="0">
      <w:start w:val="1"/>
      <w:numFmt w:val="chineseCounting"/>
      <w:suff w:val="nothing"/>
      <w:lvlText w:val="%1、"/>
      <w:lvlJc w:val="left"/>
      <w:rPr>
        <w:rFonts w:hint="eastAsia"/>
      </w:rPr>
    </w:lvl>
  </w:abstractNum>
  <w:abstractNum w:abstractNumId="1">
    <w:nsid w:val="D47D0878"/>
    <w:multiLevelType w:val="singleLevel"/>
    <w:tmpl w:val="D47D0878"/>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8"/>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0"/>
  </w:num>
  <w:num w:numId="6">
    <w:abstractNumId w:val="9"/>
  </w:num>
  <w:num w:numId="7">
    <w:abstractNumId w:val="17"/>
  </w:num>
  <w:num w:numId="8">
    <w:abstractNumId w:val="18"/>
  </w:num>
  <w:num w:numId="9">
    <w:abstractNumId w:val="13"/>
  </w:num>
  <w:num w:numId="10">
    <w:abstractNumId w:val="10"/>
  </w:num>
  <w:num w:numId="11">
    <w:abstractNumId w:val="6"/>
  </w:num>
  <w:num w:numId="12">
    <w:abstractNumId w:val="7"/>
  </w:num>
  <w:num w:numId="13">
    <w:abstractNumId w:val="20"/>
  </w:num>
  <w:num w:numId="14">
    <w:abstractNumId w:val="12"/>
  </w:num>
  <w:num w:numId="15">
    <w:abstractNumId w:val="19"/>
  </w:num>
  <w:num w:numId="16">
    <w:abstractNumId w:val="5"/>
  </w:num>
  <w:num w:numId="17">
    <w:abstractNumId w:val="8"/>
  </w:num>
  <w:num w:numId="18">
    <w:abstractNumId w:val="14"/>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E978F0"/>
    <w:rsid w:val="06BF1EA6"/>
    <w:rsid w:val="06D84C2B"/>
    <w:rsid w:val="071B1B25"/>
    <w:rsid w:val="07405120"/>
    <w:rsid w:val="0B174CFF"/>
    <w:rsid w:val="0D833675"/>
    <w:rsid w:val="0E370BC9"/>
    <w:rsid w:val="0F2F47B7"/>
    <w:rsid w:val="0F323ACE"/>
    <w:rsid w:val="0FFB34C6"/>
    <w:rsid w:val="11750682"/>
    <w:rsid w:val="159407BD"/>
    <w:rsid w:val="17E10D99"/>
    <w:rsid w:val="197D21F9"/>
    <w:rsid w:val="1DFB4F2A"/>
    <w:rsid w:val="1E06784B"/>
    <w:rsid w:val="1FF279A6"/>
    <w:rsid w:val="20FE2263"/>
    <w:rsid w:val="232C34A4"/>
    <w:rsid w:val="2699369F"/>
    <w:rsid w:val="2D9D3A14"/>
    <w:rsid w:val="2DD742E0"/>
    <w:rsid w:val="30000D03"/>
    <w:rsid w:val="30F850C2"/>
    <w:rsid w:val="33633D40"/>
    <w:rsid w:val="355D013F"/>
    <w:rsid w:val="363578EB"/>
    <w:rsid w:val="39165531"/>
    <w:rsid w:val="39656B66"/>
    <w:rsid w:val="3A541E5E"/>
    <w:rsid w:val="3B7E3565"/>
    <w:rsid w:val="3DDB1383"/>
    <w:rsid w:val="43107F6B"/>
    <w:rsid w:val="4D956265"/>
    <w:rsid w:val="4EB415D9"/>
    <w:rsid w:val="59447701"/>
    <w:rsid w:val="5969346E"/>
    <w:rsid w:val="5A9138C7"/>
    <w:rsid w:val="5D790B0F"/>
    <w:rsid w:val="5ED97A22"/>
    <w:rsid w:val="618E46CC"/>
    <w:rsid w:val="636764E6"/>
    <w:rsid w:val="6CBA0A10"/>
    <w:rsid w:val="6CFA69A1"/>
    <w:rsid w:val="7293311C"/>
    <w:rsid w:val="75A21CD3"/>
    <w:rsid w:val="766462B9"/>
    <w:rsid w:val="78A53551"/>
    <w:rsid w:val="791848FA"/>
    <w:rsid w:val="7CAE41C1"/>
    <w:rsid w:val="7D1D4D6C"/>
    <w:rsid w:val="7F1C314B"/>
    <w:rsid w:val="7F52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0</TotalTime>
  <ScaleCrop>false</ScaleCrop>
  <LinksUpToDate>false</LinksUpToDate>
  <CharactersWithSpaces>35160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dcterms:modified xsi:type="dcterms:W3CDTF">2018-09-17T03:31:59Z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