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b/>
          <w:sz w:val="44"/>
          <w:lang w:eastAsia="zh-CN"/>
        </w:rPr>
      </w:pPr>
      <w:r>
        <w:rPr>
          <w:rFonts w:hint="eastAsia" w:ascii="黑体" w:hAnsi="黑体" w:eastAsia="黑体"/>
          <w:b/>
          <w:sz w:val="44"/>
        </w:rPr>
        <w:t>禹州市公共资源交易中心评标室设备采购项目</w:t>
      </w:r>
      <w:r>
        <w:rPr>
          <w:rFonts w:hint="eastAsia" w:ascii="黑体" w:hAnsi="黑体" w:eastAsia="黑体"/>
          <w:b/>
          <w:sz w:val="44"/>
          <w:lang w:eastAsia="zh-CN"/>
        </w:rPr>
        <w:t>（二次）</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禹州市公共资源交易中心</w:t>
      </w:r>
    </w:p>
    <w:p>
      <w:pPr>
        <w:autoSpaceDE w:val="0"/>
        <w:autoSpaceDN w:val="0"/>
        <w:spacing w:line="360" w:lineRule="auto"/>
        <w:ind w:left="319" w:leftChars="152" w:right="-20"/>
        <w:outlineLvl w:val="0"/>
        <w:rPr>
          <w:rFonts w:hint="eastAsia" w:ascii="仿宋" w:hAnsi="仿宋" w:eastAsia="仿宋"/>
          <w:sz w:val="32"/>
          <w:lang w:eastAsia="zh-CN"/>
        </w:rPr>
      </w:pPr>
      <w:r>
        <w:rPr>
          <w:rFonts w:hint="eastAsia" w:ascii="仿宋" w:hAnsi="仿宋" w:eastAsia="仿宋"/>
          <w:sz w:val="32"/>
        </w:rPr>
        <w:t>项目名称：禹州市公共资源交易中心评标室设备采购项目</w:t>
      </w:r>
      <w:r>
        <w:rPr>
          <w:rFonts w:hint="eastAsia" w:ascii="仿宋" w:hAnsi="仿宋" w:eastAsia="仿宋"/>
          <w:sz w:val="32"/>
          <w:lang w:eastAsia="zh-CN"/>
        </w:rPr>
        <w:t>（二次）</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采购编号：YZCG—G2018226</w:t>
      </w:r>
      <w:r>
        <w:rPr>
          <w:rFonts w:hint="eastAsia" w:ascii="仿宋" w:hAnsi="仿宋" w:eastAsia="仿宋"/>
          <w:sz w:val="32"/>
          <w:lang w:val="en-US" w:eastAsia="zh-CN"/>
        </w:rPr>
        <w:t>-1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3200" w:firstLineChars="100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九</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黑体" w:hAnsi="黑体" w:eastAsia="黑体"/>
          <w:b/>
          <w:sz w:val="36"/>
          <w:szCs w:val="36"/>
        </w:rPr>
      </w:pP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 xml:space="preserve"> </w:t>
      </w:r>
      <w:r>
        <w:rPr>
          <w:rFonts w:hint="eastAsia" w:ascii="黑体" w:hAnsi="黑体" w:eastAsia="黑体"/>
          <w:b/>
          <w:sz w:val="36"/>
          <w:szCs w:val="36"/>
        </w:rPr>
        <w:t>投标邀请函</w:t>
      </w:r>
    </w:p>
    <w:p>
      <w:pPr>
        <w:spacing w:line="520" w:lineRule="exact"/>
        <w:textAlignment w:val="baseline"/>
        <w:rPr>
          <w:rFonts w:ascii="黑体" w:hAnsi="黑体" w:eastAsia="黑体" w:cs="黑体"/>
          <w:b/>
          <w:sz w:val="44"/>
          <w:szCs w:val="44"/>
        </w:rPr>
      </w:pPr>
      <w:r>
        <w:rPr>
          <w:rFonts w:hint="eastAsia" w:ascii="黑体" w:hAnsi="黑体" w:eastAsia="黑体" w:cs="黑体"/>
          <w:b/>
          <w:sz w:val="44"/>
          <w:szCs w:val="44"/>
        </w:rPr>
        <w:t xml:space="preserve"> </w:t>
      </w:r>
    </w:p>
    <w:p>
      <w:pPr>
        <w:jc w:val="center"/>
        <w:rPr>
          <w:rFonts w:hint="eastAsia" w:ascii="黑体" w:hAnsi="黑体" w:eastAsia="黑体"/>
          <w:b/>
          <w:sz w:val="36"/>
          <w:szCs w:val="36"/>
          <w:lang w:val="en-US" w:eastAsia="zh-CN"/>
        </w:rPr>
      </w:pPr>
      <w:r>
        <w:rPr>
          <w:rFonts w:hint="eastAsia" w:ascii="黑体" w:hAnsi="黑体" w:eastAsia="黑体"/>
          <w:b/>
          <w:sz w:val="36"/>
          <w:szCs w:val="36"/>
        </w:rPr>
        <w:t>禹州市公共资源交易中心评标室设备采购项目</w:t>
      </w:r>
      <w:r>
        <w:rPr>
          <w:rFonts w:hint="eastAsia" w:ascii="黑体" w:hAnsi="黑体" w:eastAsia="黑体"/>
          <w:b/>
          <w:sz w:val="36"/>
          <w:szCs w:val="36"/>
          <w:lang w:eastAsia="zh-CN"/>
        </w:rPr>
        <w:t>（二次）</w:t>
      </w:r>
    </w:p>
    <w:p>
      <w:pPr>
        <w:jc w:val="center"/>
        <w:rPr>
          <w:rFonts w:hint="eastAsia" w:ascii="黑体" w:hAnsi="黑体" w:eastAsia="黑体"/>
          <w:b/>
          <w:sz w:val="36"/>
          <w:szCs w:val="36"/>
          <w:lang w:eastAsia="zh-CN"/>
        </w:rPr>
      </w:pPr>
      <w:r>
        <w:rPr>
          <w:rFonts w:hint="eastAsia" w:ascii="黑体" w:hAnsi="黑体" w:eastAsia="黑体"/>
          <w:b/>
          <w:sz w:val="36"/>
          <w:szCs w:val="36"/>
          <w:lang w:eastAsia="zh-CN"/>
        </w:rPr>
        <w:t>投标邀请函</w:t>
      </w:r>
    </w:p>
    <w:p>
      <w:pPr>
        <w:pStyle w:val="2"/>
        <w:rPr>
          <w:rFonts w:hint="eastAsia"/>
          <w:lang w:eastAsia="zh-CN"/>
        </w:rPr>
      </w:pP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禹州市政府采购中心受禹州市公共资源交易中心的委托，就“禹州市公共资源交易中心评标室设备采购项目</w:t>
      </w:r>
      <w:r>
        <w:rPr>
          <w:rFonts w:hint="eastAsia" w:ascii="仿宋" w:hAnsi="仿宋" w:eastAsia="仿宋" w:cs="仿宋"/>
          <w:sz w:val="32"/>
          <w:szCs w:val="32"/>
          <w:lang w:eastAsia="zh-CN"/>
        </w:rPr>
        <w:t>（二次）</w:t>
      </w:r>
      <w:r>
        <w:rPr>
          <w:rFonts w:hint="eastAsia" w:ascii="仿宋" w:hAnsi="仿宋" w:eastAsia="仿宋" w:cs="仿宋"/>
          <w:sz w:val="32"/>
          <w:szCs w:val="32"/>
        </w:rPr>
        <w:t>”进行公开招标，欢迎合格的投标人前来投标。</w:t>
      </w:r>
    </w:p>
    <w:p>
      <w:pPr>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一、项目基本情况</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1、采购人：禹州市公共资源交易中心</w:t>
      </w:r>
    </w:p>
    <w:p>
      <w:pPr>
        <w:spacing w:line="4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2、项目名称：禹州市公共资源交易中心评标室设备采购项目</w:t>
      </w:r>
      <w:r>
        <w:rPr>
          <w:rFonts w:hint="eastAsia" w:ascii="仿宋" w:hAnsi="仿宋" w:eastAsia="仿宋" w:cs="仿宋"/>
          <w:sz w:val="32"/>
          <w:szCs w:val="32"/>
          <w:lang w:eastAsia="zh-CN"/>
        </w:rPr>
        <w:t>（二次）</w:t>
      </w:r>
    </w:p>
    <w:p>
      <w:pPr>
        <w:spacing w:line="4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3、采购编号：YZCG-G2018226</w:t>
      </w:r>
      <w:r>
        <w:rPr>
          <w:rFonts w:hint="eastAsia" w:ascii="仿宋" w:hAnsi="仿宋" w:eastAsia="仿宋" w:cs="仿宋"/>
          <w:sz w:val="32"/>
          <w:szCs w:val="32"/>
          <w:lang w:val="en-US" w:eastAsia="zh-CN"/>
        </w:rPr>
        <w:t>-1</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4、项目需求：电脑、摄像机、云存储等设备一批</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5、采购预算：58.493万元</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6、最高限价：58.493万元</w:t>
      </w:r>
    </w:p>
    <w:p>
      <w:pPr>
        <w:spacing w:line="460" w:lineRule="exact"/>
        <w:ind w:firstLine="480"/>
        <w:rPr>
          <w:rFonts w:hint="eastAsia" w:ascii="仿宋" w:hAnsi="仿宋" w:eastAsia="仿宋" w:cs="仿宋"/>
          <w:b/>
          <w:sz w:val="32"/>
          <w:szCs w:val="32"/>
        </w:rPr>
      </w:pPr>
      <w:r>
        <w:rPr>
          <w:rFonts w:hint="eastAsia" w:ascii="仿宋" w:hAnsi="仿宋" w:eastAsia="仿宋" w:cs="仿宋"/>
          <w:b/>
          <w:sz w:val="32"/>
          <w:szCs w:val="32"/>
        </w:rPr>
        <w:t>二、需要落实的政府采购政策</w:t>
      </w:r>
    </w:p>
    <w:p>
      <w:pPr>
        <w:spacing w:line="460" w:lineRule="exact"/>
        <w:rPr>
          <w:rFonts w:hint="eastAsia" w:ascii="仿宋" w:hAnsi="仿宋" w:eastAsia="仿宋" w:cs="仿宋"/>
          <w:sz w:val="32"/>
          <w:szCs w:val="32"/>
        </w:rPr>
      </w:pPr>
      <w:r>
        <w:rPr>
          <w:rFonts w:hint="eastAsia" w:ascii="仿宋" w:hAnsi="仿宋" w:eastAsia="仿宋" w:cs="仿宋"/>
          <w:sz w:val="32"/>
          <w:szCs w:val="32"/>
        </w:rPr>
        <w:t>　　本项目落实节约能源、保护环境、扶持不发达地区和少数民族地区、促进中小企业、监狱企业发展等政府采购政策。（详见招标文件）</w:t>
      </w:r>
    </w:p>
    <w:p>
      <w:pPr>
        <w:spacing w:line="460" w:lineRule="exact"/>
        <w:rPr>
          <w:rFonts w:hint="eastAsia" w:ascii="仿宋" w:hAnsi="仿宋" w:eastAsia="仿宋" w:cs="仿宋"/>
          <w:b/>
          <w:sz w:val="32"/>
          <w:szCs w:val="32"/>
        </w:rPr>
      </w:pPr>
      <w:r>
        <w:rPr>
          <w:rFonts w:hint="eastAsia" w:ascii="仿宋" w:hAnsi="仿宋" w:eastAsia="仿宋" w:cs="仿宋"/>
          <w:sz w:val="32"/>
          <w:szCs w:val="32"/>
        </w:rPr>
        <w:t>　</w:t>
      </w:r>
      <w:r>
        <w:rPr>
          <w:rFonts w:hint="eastAsia" w:ascii="仿宋" w:hAnsi="仿宋" w:eastAsia="仿宋" w:cs="仿宋"/>
          <w:b/>
          <w:sz w:val="32"/>
          <w:szCs w:val="32"/>
        </w:rPr>
        <w:t>　三、供应商资格要求</w:t>
      </w:r>
    </w:p>
    <w:p>
      <w:pPr>
        <w:spacing w:line="460" w:lineRule="exact"/>
        <w:rPr>
          <w:rFonts w:hint="eastAsia" w:ascii="仿宋" w:hAnsi="仿宋" w:eastAsia="仿宋" w:cs="仿宋"/>
          <w:sz w:val="32"/>
          <w:szCs w:val="32"/>
        </w:rPr>
      </w:pPr>
      <w:r>
        <w:rPr>
          <w:rFonts w:hint="eastAsia" w:ascii="仿宋" w:hAnsi="仿宋" w:eastAsia="仿宋" w:cs="仿宋"/>
          <w:sz w:val="32"/>
          <w:szCs w:val="32"/>
        </w:rPr>
        <w:t>　　1、符合《政府采购法》第二十二条之规定，具有独立法人资格及相应经营范围（以营业执照为准）；</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2、法定代表人授权代表须是本单位职工，提供本公司为本人缴纳社会保险证明；</w:t>
      </w:r>
    </w:p>
    <w:p>
      <w:pPr>
        <w:spacing w:line="460" w:lineRule="exact"/>
        <w:rPr>
          <w:rFonts w:hint="eastAsia" w:ascii="仿宋" w:hAnsi="仿宋" w:eastAsia="仿宋" w:cs="仿宋"/>
          <w:sz w:val="32"/>
          <w:szCs w:val="32"/>
        </w:rPr>
      </w:pPr>
      <w:r>
        <w:rPr>
          <w:rFonts w:hint="eastAsia" w:ascii="仿宋" w:hAnsi="仿宋" w:eastAsia="仿宋" w:cs="仿宋"/>
          <w:sz w:val="32"/>
          <w:szCs w:val="32"/>
        </w:rPr>
        <w:t>　　3、本项目不接受联合体投标。</w:t>
      </w:r>
    </w:p>
    <w:p>
      <w:pPr>
        <w:spacing w:line="460" w:lineRule="exact"/>
        <w:rPr>
          <w:rFonts w:hint="eastAsia" w:ascii="仿宋" w:hAnsi="仿宋" w:eastAsia="仿宋" w:cs="仿宋"/>
          <w:b/>
          <w:sz w:val="32"/>
          <w:szCs w:val="32"/>
        </w:rPr>
      </w:pPr>
      <w:r>
        <w:rPr>
          <w:rFonts w:hint="eastAsia" w:ascii="仿宋" w:hAnsi="仿宋" w:eastAsia="仿宋" w:cs="仿宋"/>
          <w:b/>
          <w:sz w:val="32"/>
          <w:szCs w:val="32"/>
        </w:rPr>
        <w:t>　　四、获取招标文件的方式、时间、地点及文件费用</w:t>
      </w:r>
    </w:p>
    <w:p>
      <w:pPr>
        <w:topLinePunct/>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1、持CA数字认证证书，登录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"http://221.14.6.70:8088/ggzy/eps/public/RegistAllJcxx.html" </w:instrText>
      </w:r>
      <w:r>
        <w:rPr>
          <w:rFonts w:hint="eastAsia" w:ascii="仿宋" w:hAnsi="仿宋" w:eastAsia="仿宋" w:cs="仿宋"/>
          <w:sz w:val="32"/>
          <w:szCs w:val="32"/>
        </w:rP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在投标截止时间前登录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"http://221.14.6.70:8088/ggzy/" </w:instrText>
      </w:r>
      <w:r>
        <w:rPr>
          <w:rFonts w:hint="eastAsia" w:ascii="仿宋" w:hAnsi="仿宋" w:eastAsia="仿宋" w:cs="仿宋"/>
          <w:sz w:val="32"/>
          <w:szCs w:val="32"/>
        </w:rPr>
        <w:fldChar w:fldCharType="separate"/>
      </w:r>
      <w:r>
        <w:rPr>
          <w:rFonts w:hint="eastAsia" w:ascii="仿宋" w:hAnsi="仿宋" w:eastAsia="仿宋" w:cs="仿宋"/>
          <w:sz w:val="32"/>
          <w:szCs w:val="32"/>
        </w:rPr>
        <w:t>http://221.14.6.70:8088/ggzy/</w:t>
      </w:r>
      <w:r>
        <w:rPr>
          <w:rFonts w:hint="eastAsia" w:ascii="仿宋" w:hAnsi="仿宋" w:eastAsia="仿宋" w:cs="仿宋"/>
          <w:sz w:val="32"/>
          <w:szCs w:val="32"/>
        </w:rPr>
        <w:fldChar w:fldCharType="end"/>
      </w:r>
      <w:r>
        <w:rPr>
          <w:rFonts w:hint="eastAsia" w:ascii="仿宋" w:hAnsi="仿宋" w:eastAsia="仿宋" w:cs="仿宋"/>
          <w:sz w:val="32"/>
          <w:szCs w:val="32"/>
        </w:rPr>
        <w:t>，自行下载招标文件（详见全国公共资源交易平台（河南省·许昌市）“常见问题解答-交易系统操作手册”）。</w:t>
      </w:r>
    </w:p>
    <w:p>
      <w:pPr>
        <w:spacing w:line="440" w:lineRule="exact"/>
        <w:rPr>
          <w:rFonts w:hint="eastAsia"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rPr>
          <w:rFonts w:hint="eastAsia" w:ascii="仿宋" w:hAnsi="仿宋" w:eastAsia="仿宋" w:cs="仿宋"/>
          <w:sz w:val="32"/>
          <w:szCs w:val="32"/>
        </w:rPr>
      </w:pPr>
      <w:r>
        <w:rPr>
          <w:rFonts w:hint="eastAsia" w:ascii="仿宋" w:hAnsi="仿宋" w:eastAsia="仿宋" w:cs="仿宋"/>
          <w:sz w:val="32"/>
          <w:szCs w:val="32"/>
        </w:rPr>
        <w:t>　　4、招标文件每份售价人民币200元，于递交投标文件时缴纳给采购代理机构，售后不退。</w:t>
      </w:r>
    </w:p>
    <w:p>
      <w:pPr>
        <w:spacing w:line="460" w:lineRule="exact"/>
        <w:rPr>
          <w:rFonts w:hint="eastAsia" w:ascii="仿宋" w:hAnsi="仿宋" w:eastAsia="仿宋" w:cs="仿宋"/>
          <w:b/>
          <w:sz w:val="32"/>
          <w:szCs w:val="32"/>
        </w:rPr>
      </w:pPr>
      <w:r>
        <w:rPr>
          <w:rFonts w:hint="eastAsia" w:ascii="仿宋" w:hAnsi="仿宋" w:eastAsia="仿宋" w:cs="仿宋"/>
          <w:b/>
          <w:sz w:val="32"/>
          <w:szCs w:val="32"/>
        </w:rPr>
        <w:t>　　五、投标截止时间、开标时间及地点：</w:t>
      </w:r>
    </w:p>
    <w:p>
      <w:pPr>
        <w:spacing w:line="460" w:lineRule="exact"/>
        <w:rPr>
          <w:rFonts w:hint="eastAsia" w:ascii="仿宋" w:hAnsi="仿宋" w:eastAsia="仿宋" w:cs="仿宋"/>
          <w:sz w:val="32"/>
          <w:szCs w:val="32"/>
        </w:rPr>
      </w:pPr>
      <w:r>
        <w:rPr>
          <w:rFonts w:hint="eastAsia" w:ascii="仿宋" w:hAnsi="仿宋" w:eastAsia="仿宋" w:cs="仿宋"/>
          <w:sz w:val="32"/>
          <w:szCs w:val="32"/>
        </w:rPr>
        <w:t>　　1、投标截止及开标时间：2018年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9：00</w:t>
      </w:r>
      <w:r>
        <w:rPr>
          <w:rFonts w:hint="eastAsia" w:ascii="仿宋" w:hAnsi="仿宋" w:eastAsia="仿宋" w:cs="仿宋"/>
          <w:sz w:val="32"/>
          <w:szCs w:val="32"/>
        </w:rPr>
        <w:t xml:space="preserve">  北京时间），逾期送达或不符合规定的投标文件不予接受。</w:t>
      </w:r>
    </w:p>
    <w:p>
      <w:pPr>
        <w:spacing w:line="460" w:lineRule="exact"/>
        <w:rPr>
          <w:rFonts w:hint="eastAsia" w:ascii="仿宋" w:hAnsi="仿宋" w:eastAsia="仿宋" w:cs="仿宋"/>
          <w:sz w:val="32"/>
          <w:szCs w:val="32"/>
        </w:rPr>
      </w:pPr>
      <w:r>
        <w:rPr>
          <w:rFonts w:hint="eastAsia" w:ascii="仿宋" w:hAnsi="仿宋" w:eastAsia="仿宋" w:cs="仿宋"/>
          <w:sz w:val="32"/>
          <w:szCs w:val="32"/>
        </w:rPr>
        <w:t>　　2、开标地点：禹州市公共资源交易中心第</w:t>
      </w:r>
      <w:r>
        <w:rPr>
          <w:rFonts w:hint="eastAsia" w:ascii="仿宋" w:hAnsi="仿宋" w:eastAsia="仿宋" w:cs="仿宋"/>
          <w:sz w:val="32"/>
          <w:szCs w:val="32"/>
          <w:lang w:eastAsia="zh-CN"/>
        </w:rPr>
        <w:t>二</w:t>
      </w:r>
      <w:r>
        <w:rPr>
          <w:rFonts w:hint="eastAsia" w:ascii="仿宋" w:hAnsi="仿宋" w:eastAsia="仿宋" w:cs="仿宋"/>
          <w:sz w:val="32"/>
          <w:szCs w:val="32"/>
        </w:rPr>
        <w:t xml:space="preserve">开标室（禹州市行政服务中心楼9楼） </w:t>
      </w:r>
    </w:p>
    <w:p>
      <w:pPr>
        <w:spacing w:line="460" w:lineRule="exact"/>
        <w:rPr>
          <w:rFonts w:hint="eastAsia" w:ascii="仿宋" w:hAnsi="仿宋" w:eastAsia="仿宋" w:cs="仿宋"/>
          <w:b/>
          <w:sz w:val="32"/>
          <w:szCs w:val="32"/>
        </w:rPr>
      </w:pPr>
      <w:r>
        <w:rPr>
          <w:rFonts w:hint="eastAsia" w:ascii="仿宋" w:hAnsi="仿宋" w:eastAsia="仿宋" w:cs="仿宋"/>
          <w:b/>
          <w:sz w:val="32"/>
          <w:szCs w:val="32"/>
        </w:rPr>
        <w:t>　　六、代理机构及采购单位地址、联系人、联系电话</w:t>
      </w:r>
    </w:p>
    <w:p>
      <w:pPr>
        <w:spacing w:line="460" w:lineRule="exact"/>
        <w:rPr>
          <w:rFonts w:hint="eastAsia" w:ascii="仿宋" w:hAnsi="仿宋" w:eastAsia="仿宋" w:cs="仿宋"/>
          <w:sz w:val="32"/>
          <w:szCs w:val="32"/>
        </w:rPr>
      </w:pPr>
      <w:r>
        <w:rPr>
          <w:rFonts w:hint="eastAsia" w:ascii="仿宋" w:hAnsi="仿宋" w:eastAsia="仿宋" w:cs="仿宋"/>
          <w:sz w:val="32"/>
          <w:szCs w:val="32"/>
        </w:rPr>
        <w:t>　（一）代理机构：禹州市政府采购中心</w:t>
      </w:r>
    </w:p>
    <w:p>
      <w:pPr>
        <w:spacing w:line="460" w:lineRule="exact"/>
        <w:rPr>
          <w:rFonts w:hint="eastAsia" w:ascii="仿宋" w:hAnsi="仿宋" w:eastAsia="仿宋" w:cs="仿宋"/>
          <w:sz w:val="32"/>
          <w:szCs w:val="32"/>
        </w:rPr>
      </w:pPr>
      <w:r>
        <w:rPr>
          <w:rFonts w:hint="eastAsia" w:ascii="仿宋" w:hAnsi="仿宋" w:eastAsia="仿宋" w:cs="仿宋"/>
          <w:sz w:val="32"/>
          <w:szCs w:val="32"/>
        </w:rPr>
        <w:t>　地址：禹州市行政服务中心楼917房间</w:t>
      </w:r>
    </w:p>
    <w:p>
      <w:pPr>
        <w:spacing w:line="4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联系人：侯女士  联系电话：0374-2077111</w:t>
      </w:r>
    </w:p>
    <w:p>
      <w:pPr>
        <w:numPr>
          <w:ilvl w:val="0"/>
          <w:numId w:val="0"/>
        </w:numPr>
        <w:spacing w:line="46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采购单位：禹州市公共资源交易中心</w:t>
      </w:r>
    </w:p>
    <w:p>
      <w:pPr>
        <w:spacing w:line="4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地址：禹州市禹王大道</w:t>
      </w:r>
    </w:p>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联系人：黄女士   联系电话：0374-2076770　　　　　　　　　　　　　　       </w:t>
      </w:r>
    </w:p>
    <w:p>
      <w:pPr>
        <w:spacing w:line="460" w:lineRule="exact"/>
        <w:rPr>
          <w:rFonts w:hint="eastAsia" w:ascii="仿宋" w:hAnsi="仿宋" w:eastAsia="仿宋" w:cs="仿宋"/>
          <w:sz w:val="32"/>
          <w:szCs w:val="32"/>
        </w:rPr>
      </w:pPr>
    </w:p>
    <w:p>
      <w:pPr>
        <w:pStyle w:val="2"/>
        <w:rPr>
          <w:rFonts w:hint="eastAsia"/>
        </w:rPr>
      </w:pPr>
    </w:p>
    <w:p>
      <w:pPr>
        <w:spacing w:line="460" w:lineRule="exact"/>
        <w:ind w:firstLine="5120" w:firstLineChars="1600"/>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spacing w:line="460" w:lineRule="exact"/>
        <w:jc w:val="left"/>
        <w:rPr>
          <w:rFonts w:hint="eastAsia" w:ascii="仿宋" w:hAnsi="仿宋" w:eastAsia="仿宋" w:cs="仿宋"/>
          <w:sz w:val="32"/>
          <w:szCs w:val="32"/>
        </w:rPr>
      </w:pPr>
    </w:p>
    <w:p>
      <w:pPr>
        <w:rPr>
          <w:rFonts w:hint="eastAsia" w:ascii="仿宋" w:hAnsi="仿宋" w:eastAsia="仿宋" w:cs="仿宋"/>
          <w:sz w:val="32"/>
          <w:szCs w:val="32"/>
        </w:rPr>
      </w:pPr>
    </w:p>
    <w:p>
      <w:pPr>
        <w:spacing w:line="460" w:lineRule="exact"/>
        <w:jc w:val="left"/>
        <w:rPr>
          <w:rFonts w:ascii="仿宋" w:hAnsi="仿宋" w:eastAsia="仿宋"/>
          <w:sz w:val="32"/>
        </w:rPr>
      </w:pPr>
    </w:p>
    <w:p>
      <w:pPr>
        <w:spacing w:line="520" w:lineRule="exact"/>
        <w:textAlignment w:val="baseline"/>
        <w:rPr>
          <w:rFonts w:ascii="黑体" w:hAnsi="黑体" w:eastAsia="黑体" w:cs="黑体"/>
          <w:b/>
          <w:sz w:val="44"/>
          <w:szCs w:val="44"/>
        </w:rPr>
      </w:pPr>
    </w:p>
    <w:p>
      <w:pPr>
        <w:spacing w:line="360" w:lineRule="auto"/>
        <w:rPr>
          <w:rFonts w:ascii="仿宋" w:hAnsi="仿宋" w:eastAsia="仿宋" w:cs="仿宋"/>
          <w:b/>
          <w:sz w:val="24"/>
          <w:szCs w:val="24"/>
        </w:rPr>
      </w:pPr>
    </w:p>
    <w:p>
      <w:pPr>
        <w:spacing w:line="360" w:lineRule="auto"/>
        <w:ind w:firstLine="2650" w:firstLineChars="6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YZCG—G2018226</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sz w:val="24"/>
                <w:szCs w:val="24"/>
              </w:rPr>
              <w:t>禹州市公共资源交易中心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60" w:lineRule="exact"/>
              <w:rPr>
                <w:rFonts w:hint="eastAsia" w:ascii="仿宋" w:hAnsi="仿宋" w:eastAsia="仿宋"/>
                <w:color w:val="000000"/>
                <w:kern w:val="0"/>
                <w:sz w:val="24"/>
                <w:szCs w:val="24"/>
                <w:lang w:eastAsia="zh-CN"/>
              </w:rPr>
            </w:pPr>
            <w:r>
              <w:rPr>
                <w:rFonts w:hint="eastAsia" w:ascii="仿宋" w:hAnsi="仿宋" w:eastAsia="仿宋"/>
                <w:sz w:val="24"/>
                <w:szCs w:val="24"/>
              </w:rPr>
              <w:t>禹州市公共资源交易中心评标室设备采购项目</w:t>
            </w:r>
            <w:r>
              <w:rPr>
                <w:rFonts w:hint="eastAsia" w:ascii="仿宋" w:hAnsi="仿宋" w:eastAsia="仿宋"/>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color w:val="FF0000"/>
                <w:sz w:val="24"/>
                <w:szCs w:val="24"/>
                <w:lang w:eastAsia="zh-CN"/>
              </w:rPr>
              <w:t>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lang w:eastAsia="zh-CN"/>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eastAsia="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eastAsia="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eastAsia="zh-CN"/>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eastAsia="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eastAsia="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eastAsia="zh-CN"/>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eastAsia="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eastAsia="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cstheme="minorBidi"/>
                <w:color w:val="FF0000"/>
                <w:kern w:val="2"/>
                <w:sz w:val="24"/>
                <w:szCs w:val="24"/>
                <w:lang w:val="en-US" w:eastAsia="zh-CN" w:bidi="ar-SA"/>
              </w:rPr>
              <w:t>58.493</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4"/>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5"/>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6"/>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7"/>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tbl>
      <w:tblPr>
        <w:tblStyle w:val="36"/>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4"/>
        <w:gridCol w:w="1064"/>
        <w:gridCol w:w="7768"/>
        <w:gridCol w:w="319"/>
        <w:gridCol w:w="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6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31"/>
                <w:rFonts w:hint="eastAsia" w:ascii="仿宋" w:hAnsi="仿宋" w:eastAsia="仿宋" w:cs="仿宋"/>
                <w:sz w:val="24"/>
                <w:szCs w:val="24"/>
                <w:lang w:val="en-US" w:eastAsia="zh-CN" w:bidi="ar"/>
              </w:rPr>
              <w:t>名</w:t>
            </w:r>
            <w:r>
              <w:rPr>
                <w:rFonts w:hint="eastAsia" w:ascii="仿宋" w:hAnsi="仿宋" w:eastAsia="仿宋" w:cs="仿宋"/>
                <w:b/>
                <w:i w:val="0"/>
                <w:color w:val="000000"/>
                <w:kern w:val="0"/>
                <w:sz w:val="24"/>
                <w:szCs w:val="24"/>
                <w:u w:val="none"/>
                <w:lang w:val="en-US" w:eastAsia="zh-CN" w:bidi="ar"/>
              </w:rPr>
              <w:t xml:space="preserve"> </w:t>
            </w:r>
            <w:r>
              <w:rPr>
                <w:rStyle w:val="131"/>
                <w:rFonts w:hint="eastAsia" w:ascii="仿宋" w:hAnsi="仿宋" w:eastAsia="仿宋" w:cs="仿宋"/>
                <w:sz w:val="24"/>
                <w:szCs w:val="24"/>
                <w:lang w:val="en-US" w:eastAsia="zh-CN" w:bidi="ar"/>
              </w:rPr>
              <w:t>称</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技术参数</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31"/>
                <w:rFonts w:hint="eastAsia" w:ascii="仿宋" w:hAnsi="仿宋" w:eastAsia="仿宋" w:cs="仿宋"/>
                <w:sz w:val="24"/>
                <w:szCs w:val="24"/>
                <w:lang w:val="en-US" w:eastAsia="zh-CN" w:bidi="ar"/>
              </w:rPr>
              <w:t>单</w:t>
            </w:r>
            <w:r>
              <w:rPr>
                <w:rFonts w:hint="eastAsia" w:ascii="仿宋" w:hAnsi="仿宋" w:eastAsia="仿宋" w:cs="仿宋"/>
                <w:b/>
                <w:i w:val="0"/>
                <w:color w:val="000000"/>
                <w:kern w:val="0"/>
                <w:sz w:val="24"/>
                <w:szCs w:val="24"/>
                <w:u w:val="none"/>
                <w:lang w:val="en-US" w:eastAsia="zh-CN" w:bidi="ar"/>
              </w:rPr>
              <w:t xml:space="preserve"> </w:t>
            </w:r>
            <w:r>
              <w:rPr>
                <w:rStyle w:val="131"/>
                <w:rFonts w:hint="eastAsia" w:ascii="仿宋" w:hAnsi="仿宋" w:eastAsia="仿宋" w:cs="仿宋"/>
                <w:sz w:val="24"/>
                <w:szCs w:val="24"/>
                <w:lang w:val="en-US" w:eastAsia="zh-CN" w:bidi="ar"/>
              </w:rPr>
              <w:t>位</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31"/>
                <w:rFonts w:hint="eastAsia" w:ascii="仿宋" w:hAnsi="仿宋" w:eastAsia="仿宋" w:cs="仿宋"/>
                <w:sz w:val="24"/>
                <w:szCs w:val="24"/>
                <w:lang w:val="en-US" w:eastAsia="zh-CN" w:bidi="ar"/>
              </w:rPr>
              <w:t>数</w:t>
            </w:r>
            <w:r>
              <w:rPr>
                <w:rFonts w:hint="eastAsia" w:ascii="仿宋" w:hAnsi="仿宋" w:eastAsia="仿宋" w:cs="仿宋"/>
                <w:b/>
                <w:i w:val="0"/>
                <w:color w:val="000000"/>
                <w:kern w:val="0"/>
                <w:sz w:val="24"/>
                <w:szCs w:val="24"/>
                <w:u w:val="none"/>
                <w:lang w:val="en-US" w:eastAsia="zh-CN" w:bidi="ar"/>
              </w:rPr>
              <w:t xml:space="preserve"> </w:t>
            </w:r>
            <w:r>
              <w:rPr>
                <w:rStyle w:val="131"/>
                <w:rFonts w:hint="eastAsia" w:ascii="仿宋" w:hAnsi="仿宋" w:eastAsia="仿宋" w:cs="仿宋"/>
                <w:sz w:val="24"/>
                <w:szCs w:val="24"/>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评标电脑</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商用品牌机</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1、CPU ：Intel 酷睿I5-8400及以上处理器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2、内存：≥8G DDR4  2133MHz内存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3、硬盘：≥1T SATA3 7200rpm 硬盘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4、≥22寸液晶显示器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5、操作系统：预装正版Windows10系统。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6、不接受组装或OEM品牌</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笔记本电脑</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商用笔记本电脑</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CPU≥I5-7200U/内存≥4G/硬盘≥128G+1T/显存≥2G/分辨率≥1920*1080/W10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场景液晶电视</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≥55寸液晶电视，全智能4K,带移动推车支架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摄像头、耳麦</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摄像头：动态分辨率≥（2560*1920),静态分辨率≥（4680*3456）；耳麦：高保真立体声耳麦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云存储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单设备应配置≥64位多核处理器，≥4GB内存，内存支持扩展到≥32GB，需配置冗余金牌电源，支持双系统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单设备应标配≥2个千兆网口，可增扩≥4个万兆口或≥8个光纤接口或增配≥4个HDMI接口或≥2个SAS3.0接口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可接入2T/3T/4T/6T/8T/10TSATA磁盘，支持磁盘交错启动和漫游，并支持在线热插拔；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可接入硬盘≥24块，支持SATA和SAS混插，并支持≥12级扩展柜级联扩展；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设备可同时支持视频、图片、智能流和文件直写存储。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应能提供RAID0、1、3、5、6、10、50，60、JBOD、RAIDErasingCode、Raid5EE模式，支持全局、局部等多种热备选择，支持坏盘自动重构；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设备可对视音频、图片、智能数据（智能行为分析录像）流进行混合直存，无须存储服务器和图片服务器的参与，平台服务器宕机时，存储业务正常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应能接入并存储1880Mbps视频图像，同时转发1880Mbps的视频图像；同时回放512Mbps的视频图像；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设备在不增加任何外围服务器硬件的情况下可由存储设备直接进行虚拟化系统部署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设备应能预录报警触发前1-40分钟的视频录像。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支持不低于512MBps图片并发输入，同时不低于512MBps图片并发输出</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提供多设备同步升级功能，可以通过一键式操作对局域网内的所有设备同步升级；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当RAID中某块工作正常的硬盘被误拔出后，60分钟内插回，该硬盘能恢复到原RAID中，系统自动恢复工作，而且会对拔掉的硬盘进行增量数据恢复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在RAID内丢失2块（含）以上硬盘但至少有1块正常磁盘时，无需等待丢失盘恢复，保留的硬盘中的数据可正常读出，且新数据可正常写入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当录像视频流发生丢失5s以上可在日志中记录报警信息。</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企业级硬盘</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≥6TB/≥128MB(6Gb/秒 NCQ)/≥7200RPM/SATA3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解密一体机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立式一体机，嵌入式键盘鼠标设计，显示器≥19寸；≥ 酷睿I5-6500≥ 8G内存 ≥250G固态硬盘；内置交易中心评标系统相应解密系统，保证可与许昌公共资源交易中心解密系统无缝对接。投标人需根据自身条件编写承诺书。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人证对比终端</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设备采用触摸显示屏，尺寸不小于10寸；支持双屏独立显示，分辨率不小于1280*800。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设备应采用高性能GPU处理器，具备2个有线网口，彼此物理隔离；1个RS485接口、1个RS232接口；1个HDMI接口；2个USB接口；支持开关机键；支持扬声器输出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设备应支持不低于200W像素高清宽动态双目摄像头，支持上下15°调节拍摄角度。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设备应具有如下存储容量：在1:1人证比对模式下，人脸及指纹容量无限制；1:N模式下，支持不低于20000张人脸库，不低于5000枚指纹库；支持不低于50000张卡片容量；支持不低于50000笔记录存储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具有如下硬件接口功能：支持通过USB接口外接身份证阅读器；支持通过USB接口输出身份证信息；支持通过HDMI接口外接显示屏，显示比对结果；支持通过RS232/RS485拓展应用，可输出比对结果及信息；支持通过网络方式传输比对结果及图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设备应支持防假功能，支持照片及视频防假功能，使用照片或视频无法识别，并输出语音提示；无需用户配合，即可完成真人检测。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设备应支持广告播放功能，支持文字、图片广告播放功能。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具有以下人证比对功能：支持居民身份证及智能卡信息读取；支持人证比对功能，现场抓拍人员人脸照片与身份证（或智能卡）内的照片进行比对，完成人员身份核验；人证比对时间：≤1秒；指纹比对时间：＜0.5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人脸、刷卡+人脸、指纹+人脸、刷卡+指纹+人脸、智能（人脸、刷卡+人脸自动切换）多种比对方式；支持人脸识别功能，现场抓拍人脸照片与本地人脸库照片进行比对，进行人员身份核验；支持指纹识别功能，现场采集指纹信息与本地指纹库进行比对，进行人员身份核验；人脸比对时间：＜0.5秒；指纹比对时间：＜0.5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设备应支持本地单机人证比对或人脸比对；支持后台联网实现人脸比对。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设备应支持比对结果语音及文字提示功能；支持视频预览、人脸捕捉框、人员信息、设备状态、设备模式及操作提示。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设备应支持通过远程中心下发或U盘导入人脸、指纹及黑名单信息；支持比对结果、身份信息及人脸抓拍图片本地存储、实时中心上传及断网续传功能；支持本地U盘导出比对事件及人脸注册图片。</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42U服务器机柜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1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4路嵌入式高清解码器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采用嵌入式架构，专用Linux系统，使用DSP解码。为了设备稳定可靠运行，不得采用工控机或者PC机的X86架构。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要求设备具备，20个RJ45网络接口，1路语音输入，1路语音输出，1个RS232接口，1个RS485接口，8路报警输入，8路报警输出，1个VGA视频输入接口，1个DVI-I视频输入接口。输出口支持4个HDMI接口，支持8路模拟音频输出，支持4路模拟CVBS视频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可对客户端电脑桌面解码输出显示。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可通过客户端软件导入和导出设备配置参数。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可将设备当前的解码输出模式设置为一个场景，设备可保存多个场景，并可通过客户端软件切换设备场景。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以下分辨率的视频图像进行解码后输出：4路分辨率为4000×3000（20fps）的视频图像；8路分辨率为4096×2160（25fps）的视频图像；8路分辨率为3840×2160（25fps）的视频图像；12路分辨率为2592×1944（30fps）的视频图像；20路分辨率为2048×1536（30fps）的视频图像；32路分辨率为1920×1080（30fps）的视频图像；64路分辨率为1280×720（30fps）的视频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可对以下编码格式的视频图像进行解码后输出：H.264、H.265、Smart264、Smart265、MPEG4视频图像。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设备接入具有智能行为分析功能的摄像机，可解码显示智能行为分析信息，包括移动侦测、越界入侵、区域入侵、起身离开等，并上传报警信息。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支持1、2、4、6、8、9、10、12、16、25画面分割显示。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可对输入的视频画面进行90°旋转显示。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可将视频图像进行轮巡输出显示，并可在客户端软件设置轮巡计划。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可通过客户端软件将显示窗口在多个显示屏间进行拖动或跨屏显示，并可调节显示窗口大小。</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400万H.265 POE半球 (内置拾音器)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400万，半球型网络摄像机，支持POE，红外30米，支持H.265编码，内置拾音</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黑白激光打印机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功能：打印/复印/扫描；最大处理幅面：A4耗材类型：鼓粉分离；双面功能：自动；网络功能：支持有线网络打印；打印速度：30cpm；打印分辨率 600×600dpi；首页打印时间＜8.5秒；复印速度：≥30cpm；复印分辨率≥600×600dpi；扫描控制器：光学分辨率≥600×2400dpi；</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最大分辨率≥19200×19200dpi；供纸盒容量 标配：250页自动供纸器：支持。</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彩色激光打印机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打印/复印/扫描；最大处理幅面：A4；双面功能；网络功能：支持有线网络打印；黑白打印速度≥16ppm；彩色打印速度≥16ppm；打印分辨率≥600×600dpi；复印速度：黑白≥16cpm；彩色≥16cpm；复印分辨率≥600×600dpi；扫描类型：平板式光学分辨率≥1200dpi。</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16口千兆接入交换机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16口千兆交换机，机架式，16个千兆电口，非网管。交换容量≥32Gbps,包转发率≥23.8Mpps,1U高度，19英寸宽，工作温度：0℃～40℃，支持220v交流，满负荷功耗10瓦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24口千兆交换机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机架式，≥12个千兆电口,≥12个千兆光口。交换容量≥48Gbps,包转发率≥35.7Mpps,1U高度，19英寸宽，工作温度：0～40˚C，支持220v交流，满负荷功耗25瓦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配线架</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24口网络配线架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理线架</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24口网络理线架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6U网络壁挂机柜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42U服务器机柜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20</w:t>
            </w:r>
          </w:p>
        </w:tc>
        <w:tc>
          <w:tcPr>
            <w:tcW w:w="106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网线</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六类国标</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办公网络及监控网络改造</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对原有监控及设备进行升级改造并进行施工。</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监控和评标网络物理分离2张网，含线槽其他辅材等并施工。</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22</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场景液晶电视</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≥46寸，4k高清</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9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23</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反馈抑制器</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模拟输入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2*XLR公座 &amp; 2*1/4" TRS座：平衡式/非平衡式 ，射频滤波抑制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输入阻抗：30k ohm 平衡/15k ohm非平衡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峰值输入电平：+15 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模拟输出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2*XLR母座 &amp; 2*1/4" TRS座：平衡式/非平衡式 ，射频滤波抑制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输出阻抗：100 ohm 平衡/50 ohm非平衡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峰值输入电平：+15 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取样率：48kHz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动态范围：106dB，A-weighted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总谐波失真：0.01%，1 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信噪比：106dB，A-weighted 频率响应：20Hz to 20 KHz，+/- 0.5 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通道间串音：86dB，A-weighted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输入到输出串音：86dB，A-weighted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工作电压：100-240V AC 50/60 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消耗功率：15W</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24</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功放</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最大不失真功率（8Ω）：600W*2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最大不失真功率（4Ω）：900W*2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最大不失真功率（2Ω）：1200W*2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最大不失真功率（桥接8Ω）：1800W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最大不失真功率（桥接4Ω）：1200W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阻尼系数：600：1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信噪比：100dB</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总谐波失真：≤0.01%8Ω额定功率1KHz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频率响应：20Hz-20KHz +/-0.1dB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互调失真：≤0.01%8Ω额定功率1KHz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输入灵敏度：0.775v，1.0v，1.5v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输入阻抗：10k/20k,平衡，非平衡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输入增益：≤-75dB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声道分离度：≤-75dB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面板指示灯：信号，工作电源，削波，保护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供电电压：220V/50Hz</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25</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调音台</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输入通道≥6路，输出通道≥4路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麦克风输入：平衡型XLR插口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频响：20Hz to50 KHz±±3dB</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失真度：&lt;0.005% to±≦4dBu,1KHz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增益范围：0dBa50 dB MIC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信噪比：&lt;-100dB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频响：20Hz to +50 KHz±3dB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灵敏度：+15dBu±3dB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内置USB全速（12Mbps）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支持USB存储</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26</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立式摇号机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乒乓球搅拌式，高度≥1.2M，50球，</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27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碎纸机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碎纸能力≥8张/次  碎纸效果2*2mm  碎纸容量≥19升，连续碎纸时间≥40分钟</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评标室配套工作台</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桌子：边框：整体边框采用铝合金边框。屏风高度：1.1米。桌面长度：1.2米。宽度：0.6米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桌面采用厚度为2.5cm厚实木颗粒板；每个位置下面配一个活动柜、主机架、键盘托，活动柜及主机架主体采用1.6cm厚实木颗粒板，活动柜采用3个抽屉，柜子下配备四个万向轮，主机架采用pp工程塑料一次注塑成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转椅：1、符合人体工程学原理，黑色扶手及靠背，刚支架，轮子为万向活动轮。2、网布（纳米网丝），金属骨架镀铬框架。3、扶手：采用环保塑胶用品。4、弓形网布靠背，舒适度高。5、坐垫采用优质一次成型低燃性、防老性、高回弹性海绵。</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8</w:t>
            </w:r>
          </w:p>
        </w:tc>
      </w:tr>
    </w:tbl>
    <w:p>
      <w:pPr>
        <w:spacing w:line="360" w:lineRule="auto"/>
        <w:ind w:firstLine="480" w:firstLineChars="200"/>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en-US" w:eastAsia="zh-CN"/>
        </w:rPr>
        <w:t>注：投标商所投产品免费三年质保，质保期内非人为损坏，须免费进行更换。</w:t>
      </w:r>
    </w:p>
    <w:p>
      <w:pPr>
        <w:spacing w:line="360" w:lineRule="auto"/>
        <w:ind w:firstLine="240" w:firstLineChars="1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六、其它要求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pStyle w:val="2"/>
        <w:rPr>
          <w:rFonts w:hint="eastAsia" w:eastAsia="仿宋"/>
          <w:lang w:val="en-US" w:eastAsia="zh-CN"/>
        </w:rPr>
      </w:pPr>
      <w:r>
        <w:rPr>
          <w:rFonts w:hint="eastAsia" w:ascii="仿宋" w:hAnsi="仿宋" w:eastAsia="仿宋" w:cs="仿宋"/>
          <w:color w:val="000000"/>
          <w:sz w:val="24"/>
          <w:szCs w:val="24"/>
          <w:lang w:val="en-US" w:eastAsia="zh-CN"/>
        </w:rPr>
        <w:t xml:space="preserve">  3.以上技术参数要求为最低要求，投标商应等于或优于以上要求，否则为无效投标。</w:t>
      </w:r>
    </w:p>
    <w:p>
      <w:pPr>
        <w:tabs>
          <w:tab w:val="left" w:pos="5963"/>
        </w:tabs>
        <w:spacing w:line="420" w:lineRule="exact"/>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pStyle w:val="2"/>
        <w:ind w:firstLine="480" w:firstLineChars="20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en-US" w:eastAsia="zh-CN" w:bidi="ar-SA"/>
        </w:rPr>
        <w:t>5、本项目核心产品为</w:t>
      </w:r>
      <w:r>
        <w:rPr>
          <w:rFonts w:hint="eastAsia" w:ascii="仿宋" w:hAnsi="仿宋" w:eastAsia="仿宋" w:cs="仿宋"/>
          <w:color w:val="FF0000"/>
          <w:kern w:val="2"/>
          <w:sz w:val="24"/>
          <w:szCs w:val="24"/>
          <w:lang w:val="en-US" w:eastAsia="zh-CN" w:bidi="ar-SA"/>
        </w:rPr>
        <w:t>评标室电脑</w:t>
      </w:r>
      <w:r>
        <w:rPr>
          <w:rFonts w:hint="eastAsia" w:ascii="仿宋" w:hAnsi="仿宋" w:eastAsia="仿宋" w:cs="仿宋"/>
          <w:color w:val="000000"/>
          <w:kern w:val="2"/>
          <w:sz w:val="24"/>
          <w:szCs w:val="24"/>
          <w:lang w:val="en-US" w:eastAsia="zh-CN" w:bidi="ar-SA"/>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FF0000"/>
          <w:sz w:val="24"/>
          <w:szCs w:val="24"/>
          <w:lang w:val="en-US"/>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、本项目为交钥匙工程（包括设备、材料、元件、</w:t>
      </w:r>
      <w:r>
        <w:rPr>
          <w:rFonts w:hint="eastAsia" w:ascii="仿宋" w:hAnsi="仿宋" w:eastAsia="仿宋" w:cs="仿宋"/>
          <w:color w:val="000000"/>
          <w:sz w:val="24"/>
          <w:szCs w:val="24"/>
        </w:rPr>
        <w:t>设备机柜</w:t>
      </w:r>
      <w:r>
        <w:rPr>
          <w:rFonts w:hint="eastAsia" w:ascii="仿宋" w:hAnsi="仿宋" w:eastAsia="仿宋" w:cs="仿宋"/>
          <w:color w:val="000000"/>
          <w:sz w:val="24"/>
          <w:szCs w:val="24"/>
          <w:lang w:val="zh-CN"/>
        </w:rPr>
        <w:t>等购置、安装调试、验收、</w:t>
      </w:r>
      <w:r>
        <w:rPr>
          <w:rFonts w:hint="eastAsia" w:ascii="仿宋" w:hAnsi="仿宋" w:eastAsia="仿宋" w:cs="仿宋"/>
          <w:color w:val="000000"/>
          <w:sz w:val="24"/>
          <w:szCs w:val="24"/>
        </w:rPr>
        <w:t>线路及</w:t>
      </w:r>
      <w:r>
        <w:rPr>
          <w:rFonts w:hint="eastAsia" w:ascii="仿宋" w:hAnsi="仿宋" w:eastAsia="仿宋" w:cs="仿宋"/>
          <w:color w:val="000000"/>
          <w:sz w:val="24"/>
          <w:szCs w:val="24"/>
          <w:lang w:val="zh-CN"/>
        </w:rPr>
        <w:t xml:space="preserve">与其它施工单位协作所产生的费用等）。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3</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460" w:lineRule="exact"/>
        <w:ind w:firstLine="480" w:firstLineChars="200"/>
        <w:rPr>
          <w:rFonts w:hint="eastAsia"/>
        </w:rPr>
      </w:pPr>
      <w:r>
        <w:rPr>
          <w:rFonts w:hint="eastAsia" w:ascii="仿宋" w:hAnsi="仿宋" w:eastAsia="仿宋" w:cs="仿宋"/>
          <w:color w:val="000000"/>
          <w:sz w:val="24"/>
          <w:szCs w:val="24"/>
          <w:lang w:val="zh-CN"/>
        </w:rPr>
        <w:t>（2）按照招标文件要求、投标文件响应和承诺验收。</w:t>
      </w:r>
    </w:p>
    <w:p>
      <w:pPr>
        <w:spacing w:line="460" w:lineRule="exact"/>
        <w:ind w:firstLine="480" w:firstLineChars="20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1</w:t>
      </w:r>
      <w:r>
        <w:rPr>
          <w:rFonts w:hint="eastAsia" w:ascii="仿宋" w:hAnsi="仿宋" w:eastAsia="仿宋" w:cs="仿宋"/>
          <w:color w:val="FF0000"/>
          <w:sz w:val="24"/>
          <w:szCs w:val="24"/>
          <w:lang w:val="en-US" w:eastAsia="zh-CN"/>
        </w:rPr>
        <w:t>5</w:t>
      </w:r>
      <w:r>
        <w:rPr>
          <w:rFonts w:hint="eastAsia" w:ascii="仿宋" w:hAnsi="仿宋" w:eastAsia="仿宋" w:cs="仿宋"/>
          <w:color w:val="FF0000"/>
          <w:sz w:val="24"/>
          <w:szCs w:val="24"/>
          <w:lang w:val="zh-CN"/>
        </w:rPr>
        <w:t>、</w:t>
      </w:r>
      <w:r>
        <w:rPr>
          <w:rFonts w:hint="eastAsia" w:ascii="仿宋" w:hAnsi="仿宋" w:eastAsia="仿宋" w:cs="仿宋"/>
          <w:color w:val="FF0000"/>
          <w:sz w:val="24"/>
          <w:szCs w:val="24"/>
        </w:rPr>
        <w:t>付款方式</w:t>
      </w:r>
      <w:r>
        <w:rPr>
          <w:rFonts w:hint="eastAsia" w:ascii="仿宋" w:hAnsi="仿宋" w:eastAsia="仿宋" w:cs="仿宋"/>
          <w:color w:val="FF0000"/>
          <w:sz w:val="24"/>
          <w:szCs w:val="24"/>
          <w:lang w:eastAsia="zh-CN"/>
        </w:rPr>
        <w:t>：安装调试完毕，验收合格付</w:t>
      </w:r>
      <w:r>
        <w:rPr>
          <w:rFonts w:hint="eastAsia" w:ascii="仿宋" w:hAnsi="仿宋" w:eastAsia="仿宋" w:cs="仿宋"/>
          <w:color w:val="FF0000"/>
          <w:sz w:val="24"/>
          <w:szCs w:val="24"/>
          <w:lang w:val="en-US" w:eastAsia="zh-CN"/>
        </w:rPr>
        <w:t>60%，质保期内一年付20%，第二年付10%，第三年付10%。</w:t>
      </w:r>
    </w:p>
    <w:p>
      <w:pPr>
        <w:spacing w:line="360" w:lineRule="auto"/>
        <w:ind w:firstLine="240" w:firstLineChars="100"/>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pStyle w:val="2"/>
        <w:rPr>
          <w:rFonts w:hint="eastAsia" w:ascii="仿宋" w:hAnsi="仿宋" w:eastAsia="仿宋" w:cs="仿宋"/>
          <w:color w:val="C00000"/>
          <w:sz w:val="24"/>
          <w:szCs w:val="24"/>
        </w:rPr>
      </w:pPr>
    </w:p>
    <w:p>
      <w:pPr>
        <w:spacing w:line="520" w:lineRule="exact"/>
        <w:ind w:firstLine="3012" w:firstLineChars="10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评标委员会按照本章“评标办法”规定的方法、评审因素、标准和程序对投标文件进行评审。“评标办法”没有规定的方法、评审因素和标准，不得作为评标依据。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最低价评标法（即在全部满足招标文件实质性要求前提下，依据统一的价格要素评定最低报价，以提出最低报价的投标人作为中标候选供应商或者中标供应商的评标方法。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.1评标委员会对投标文件(二)进行符合性、响应性评审，不符合招标文件要求的，</w:t>
      </w:r>
      <w:r>
        <w:rPr>
          <w:rFonts w:hint="eastAsia" w:ascii="仿宋" w:hAnsi="仿宋" w:eastAsia="仿宋" w:cs="仿宋"/>
          <w:sz w:val="24"/>
          <w:szCs w:val="24"/>
        </w:rPr>
        <w:t>不得进入下一步评审。评标委员会判断投标文件的响应性仅基于投标文件本身而不依靠外部证据。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仿宋"/>
          <w:b/>
          <w:bCs/>
          <w:sz w:val="24"/>
          <w:szCs w:val="24"/>
          <w:shd w:val="clear" w:color="auto" w:fill="FFFFFF"/>
          <w:lang w:val="zh-CN"/>
        </w:rPr>
      </w:pPr>
      <w:r>
        <w:rPr>
          <w:rFonts w:hint="eastAsia" w:ascii="仿宋" w:hAnsi="仿宋" w:eastAsia="仿宋" w:cs="仿宋"/>
          <w:sz w:val="24"/>
          <w:szCs w:val="24"/>
          <w:shd w:val="clear" w:color="auto" w:fill="FFFFFF"/>
        </w:rPr>
        <w:t>7、付款方式：安装调试完毕，验收合格付60%，质保期内一年付20%，第二年付10%，第三年付10%。</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ind w:left="0" w:leftChars="0" w:firstLine="0" w:firstLineChars="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pStyle w:val="2"/>
        <w:rPr>
          <w:rFonts w:ascii="仿宋" w:hAnsi="仿宋" w:eastAsia="仿宋" w:cs="黑体"/>
          <w:b/>
          <w:bCs/>
          <w:sz w:val="36"/>
          <w:szCs w:val="36"/>
          <w:lang w:val="zh-CN"/>
        </w:rPr>
      </w:pPr>
    </w:p>
    <w:p>
      <w:pPr>
        <w:pStyle w:val="2"/>
        <w:ind w:left="0" w:leftChars="0" w:firstLine="0" w:firstLineChars="0"/>
        <w:rPr>
          <w:rFonts w:ascii="仿宋" w:hAnsi="仿宋" w:eastAsia="仿宋" w:cs="黑体"/>
          <w:b/>
          <w:bCs/>
          <w:sz w:val="36"/>
          <w:szCs w:val="36"/>
          <w:lang w:val="zh-CN"/>
        </w:rPr>
      </w:pPr>
      <w:bookmarkStart w:id="1" w:name="_GoBack"/>
      <w:bookmarkEnd w:id="1"/>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0"/>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pStyle w:val="2"/>
        <w:rPr>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pStyle w:val="2"/>
        <w:rPr>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17</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7"/>
  </w:num>
  <w:num w:numId="2">
    <w:abstractNumId w:val="9"/>
  </w:num>
  <w:num w:numId="3">
    <w:abstractNumId w:val="5"/>
  </w:num>
  <w:num w:numId="4">
    <w:abstractNumId w:val="4"/>
  </w:num>
  <w:num w:numId="5">
    <w:abstractNumId w:val="8"/>
  </w:num>
  <w:num w:numId="6">
    <w:abstractNumId w:val="6"/>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0D3B"/>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3D17"/>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4F33E4"/>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1A5D"/>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A7667"/>
    <w:rsid w:val="006B0057"/>
    <w:rsid w:val="006B14D2"/>
    <w:rsid w:val="006B4647"/>
    <w:rsid w:val="006C3F6C"/>
    <w:rsid w:val="006E1D6A"/>
    <w:rsid w:val="006F31B9"/>
    <w:rsid w:val="006F5916"/>
    <w:rsid w:val="00703534"/>
    <w:rsid w:val="00710D40"/>
    <w:rsid w:val="007118C9"/>
    <w:rsid w:val="00727681"/>
    <w:rsid w:val="00734692"/>
    <w:rsid w:val="00735EED"/>
    <w:rsid w:val="007442CC"/>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87A98"/>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426E"/>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5852"/>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263B9"/>
    <w:rsid w:val="00B30198"/>
    <w:rsid w:val="00B30C8D"/>
    <w:rsid w:val="00B36A47"/>
    <w:rsid w:val="00B37F59"/>
    <w:rsid w:val="00B40643"/>
    <w:rsid w:val="00B41B84"/>
    <w:rsid w:val="00B43DEA"/>
    <w:rsid w:val="00B5057B"/>
    <w:rsid w:val="00B53ADA"/>
    <w:rsid w:val="00B54834"/>
    <w:rsid w:val="00B55045"/>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2B75"/>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C5570"/>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320D"/>
    <w:rsid w:val="00FE7864"/>
    <w:rsid w:val="00FF3912"/>
    <w:rsid w:val="00FF3C91"/>
    <w:rsid w:val="00FF6AB2"/>
    <w:rsid w:val="00FF73DB"/>
    <w:rsid w:val="01017847"/>
    <w:rsid w:val="010D4DDA"/>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0D3169"/>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6F631E"/>
    <w:rsid w:val="0FBA420F"/>
    <w:rsid w:val="10240870"/>
    <w:rsid w:val="105F0CCD"/>
    <w:rsid w:val="107014F9"/>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A503D"/>
    <w:rsid w:val="131F25B3"/>
    <w:rsid w:val="132168C4"/>
    <w:rsid w:val="133638CF"/>
    <w:rsid w:val="134B3E21"/>
    <w:rsid w:val="135C1261"/>
    <w:rsid w:val="135D1987"/>
    <w:rsid w:val="13705BCF"/>
    <w:rsid w:val="141176DD"/>
    <w:rsid w:val="146639B0"/>
    <w:rsid w:val="14810804"/>
    <w:rsid w:val="14AC2982"/>
    <w:rsid w:val="14C32394"/>
    <w:rsid w:val="14D94C1A"/>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862747"/>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1EF6F14"/>
    <w:rsid w:val="221572B4"/>
    <w:rsid w:val="22311600"/>
    <w:rsid w:val="226550CC"/>
    <w:rsid w:val="22D43CEE"/>
    <w:rsid w:val="23523DCA"/>
    <w:rsid w:val="23794CD9"/>
    <w:rsid w:val="24BB4D59"/>
    <w:rsid w:val="24BF19AA"/>
    <w:rsid w:val="24CA4202"/>
    <w:rsid w:val="24D66891"/>
    <w:rsid w:val="25302039"/>
    <w:rsid w:val="256C7451"/>
    <w:rsid w:val="25AD30A0"/>
    <w:rsid w:val="25E3691E"/>
    <w:rsid w:val="2667745A"/>
    <w:rsid w:val="266A2BAE"/>
    <w:rsid w:val="26B359C6"/>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AB53494"/>
    <w:rsid w:val="2B0B3F2F"/>
    <w:rsid w:val="2B5A4161"/>
    <w:rsid w:val="2B9F495B"/>
    <w:rsid w:val="2BB70DAF"/>
    <w:rsid w:val="2BBD2870"/>
    <w:rsid w:val="2BF938D1"/>
    <w:rsid w:val="2C01063D"/>
    <w:rsid w:val="2C824188"/>
    <w:rsid w:val="2C8C63A5"/>
    <w:rsid w:val="2CEB569E"/>
    <w:rsid w:val="2CF845CD"/>
    <w:rsid w:val="2D562101"/>
    <w:rsid w:val="2D7249A1"/>
    <w:rsid w:val="2D873A70"/>
    <w:rsid w:val="2DB610BD"/>
    <w:rsid w:val="2DEC176C"/>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C34BEB"/>
    <w:rsid w:val="33CF722B"/>
    <w:rsid w:val="33EF6302"/>
    <w:rsid w:val="345D6725"/>
    <w:rsid w:val="34876DB2"/>
    <w:rsid w:val="34A86050"/>
    <w:rsid w:val="34B022E5"/>
    <w:rsid w:val="34B44BD6"/>
    <w:rsid w:val="34CE04B2"/>
    <w:rsid w:val="34F94C42"/>
    <w:rsid w:val="35020BCE"/>
    <w:rsid w:val="354E2015"/>
    <w:rsid w:val="35636C46"/>
    <w:rsid w:val="35736992"/>
    <w:rsid w:val="37260214"/>
    <w:rsid w:val="373829BC"/>
    <w:rsid w:val="37692631"/>
    <w:rsid w:val="37972092"/>
    <w:rsid w:val="37B10108"/>
    <w:rsid w:val="389F7F0D"/>
    <w:rsid w:val="38B66F17"/>
    <w:rsid w:val="39264E83"/>
    <w:rsid w:val="397D15ED"/>
    <w:rsid w:val="39A31772"/>
    <w:rsid w:val="39C92909"/>
    <w:rsid w:val="39E86E10"/>
    <w:rsid w:val="3A0511AE"/>
    <w:rsid w:val="3A252A28"/>
    <w:rsid w:val="3A361775"/>
    <w:rsid w:val="3A5B0DB6"/>
    <w:rsid w:val="3AFB2C67"/>
    <w:rsid w:val="3B1A3171"/>
    <w:rsid w:val="3B364527"/>
    <w:rsid w:val="3B8A1786"/>
    <w:rsid w:val="3BF37AE3"/>
    <w:rsid w:val="3C5A516A"/>
    <w:rsid w:val="3CB85FD2"/>
    <w:rsid w:val="3CD05D89"/>
    <w:rsid w:val="3D1F47A3"/>
    <w:rsid w:val="3D574C5D"/>
    <w:rsid w:val="3D8F46AB"/>
    <w:rsid w:val="3DB32B5C"/>
    <w:rsid w:val="3DE17511"/>
    <w:rsid w:val="3E0165CC"/>
    <w:rsid w:val="3E050FB2"/>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BF0F67"/>
    <w:rsid w:val="43D47894"/>
    <w:rsid w:val="43DA0DF8"/>
    <w:rsid w:val="43EE6243"/>
    <w:rsid w:val="43F21A5E"/>
    <w:rsid w:val="449D0BDB"/>
    <w:rsid w:val="44A75B9D"/>
    <w:rsid w:val="44CC251D"/>
    <w:rsid w:val="44ED61E4"/>
    <w:rsid w:val="44F765DB"/>
    <w:rsid w:val="452D2CD2"/>
    <w:rsid w:val="453D156C"/>
    <w:rsid w:val="454E1873"/>
    <w:rsid w:val="45570A50"/>
    <w:rsid w:val="4681726A"/>
    <w:rsid w:val="46FF7143"/>
    <w:rsid w:val="476E4F77"/>
    <w:rsid w:val="479A1D63"/>
    <w:rsid w:val="479E2BBB"/>
    <w:rsid w:val="48164989"/>
    <w:rsid w:val="482A449E"/>
    <w:rsid w:val="485B029F"/>
    <w:rsid w:val="48AF4A09"/>
    <w:rsid w:val="49191CAE"/>
    <w:rsid w:val="49B4550E"/>
    <w:rsid w:val="49C5197A"/>
    <w:rsid w:val="49F113D2"/>
    <w:rsid w:val="49F50EB5"/>
    <w:rsid w:val="49FB4343"/>
    <w:rsid w:val="4A234622"/>
    <w:rsid w:val="4AB76254"/>
    <w:rsid w:val="4AF72F43"/>
    <w:rsid w:val="4AFC078A"/>
    <w:rsid w:val="4AFE130C"/>
    <w:rsid w:val="4B06415A"/>
    <w:rsid w:val="4B2C4572"/>
    <w:rsid w:val="4B307A80"/>
    <w:rsid w:val="4BB01013"/>
    <w:rsid w:val="4BBD5B2C"/>
    <w:rsid w:val="4BF36702"/>
    <w:rsid w:val="4C0E0B24"/>
    <w:rsid w:val="4D5610A9"/>
    <w:rsid w:val="4F071606"/>
    <w:rsid w:val="4F403B1D"/>
    <w:rsid w:val="4F7F31B2"/>
    <w:rsid w:val="4F827ABA"/>
    <w:rsid w:val="4FA93F1C"/>
    <w:rsid w:val="4FCB730B"/>
    <w:rsid w:val="504A74E2"/>
    <w:rsid w:val="50A815E2"/>
    <w:rsid w:val="50D62ACD"/>
    <w:rsid w:val="510C3D06"/>
    <w:rsid w:val="51937900"/>
    <w:rsid w:val="51ED5B69"/>
    <w:rsid w:val="536A53D4"/>
    <w:rsid w:val="53857B5E"/>
    <w:rsid w:val="53CC41DA"/>
    <w:rsid w:val="54207CFD"/>
    <w:rsid w:val="54C67D23"/>
    <w:rsid w:val="55005AF5"/>
    <w:rsid w:val="551F63D6"/>
    <w:rsid w:val="55330B38"/>
    <w:rsid w:val="55CC6A46"/>
    <w:rsid w:val="55DE4946"/>
    <w:rsid w:val="55EA1952"/>
    <w:rsid w:val="55FD0CFB"/>
    <w:rsid w:val="561945F1"/>
    <w:rsid w:val="56BE79D8"/>
    <w:rsid w:val="573B2A77"/>
    <w:rsid w:val="580D7A31"/>
    <w:rsid w:val="58266B57"/>
    <w:rsid w:val="588A5505"/>
    <w:rsid w:val="58CE0AFE"/>
    <w:rsid w:val="58E11F40"/>
    <w:rsid w:val="58EA7FCE"/>
    <w:rsid w:val="593B360F"/>
    <w:rsid w:val="597E7640"/>
    <w:rsid w:val="5A55480C"/>
    <w:rsid w:val="5A8975CA"/>
    <w:rsid w:val="5A8D6038"/>
    <w:rsid w:val="5AF228EA"/>
    <w:rsid w:val="5B176006"/>
    <w:rsid w:val="5B8B5722"/>
    <w:rsid w:val="5BED4B85"/>
    <w:rsid w:val="5C1D3EC2"/>
    <w:rsid w:val="5C2A1394"/>
    <w:rsid w:val="5C6F34F3"/>
    <w:rsid w:val="5C851074"/>
    <w:rsid w:val="5CDE1B94"/>
    <w:rsid w:val="5CF557E9"/>
    <w:rsid w:val="5D207A16"/>
    <w:rsid w:val="5D2B1C2D"/>
    <w:rsid w:val="5DAD4A6A"/>
    <w:rsid w:val="5DD07849"/>
    <w:rsid w:val="5E6E4ACB"/>
    <w:rsid w:val="5EEA3B04"/>
    <w:rsid w:val="5F092277"/>
    <w:rsid w:val="5F4B6391"/>
    <w:rsid w:val="5F50568C"/>
    <w:rsid w:val="5F8471B4"/>
    <w:rsid w:val="5FCE7ED4"/>
    <w:rsid w:val="5FEB58A2"/>
    <w:rsid w:val="5FED7CD7"/>
    <w:rsid w:val="601B36B0"/>
    <w:rsid w:val="605A5E28"/>
    <w:rsid w:val="608E77DB"/>
    <w:rsid w:val="60A449E5"/>
    <w:rsid w:val="61197906"/>
    <w:rsid w:val="612A61E3"/>
    <w:rsid w:val="61B82A98"/>
    <w:rsid w:val="61F84732"/>
    <w:rsid w:val="62352BFE"/>
    <w:rsid w:val="62530EF5"/>
    <w:rsid w:val="62E716B2"/>
    <w:rsid w:val="63097C59"/>
    <w:rsid w:val="633B4DD3"/>
    <w:rsid w:val="633D6D93"/>
    <w:rsid w:val="634F7C15"/>
    <w:rsid w:val="63736A17"/>
    <w:rsid w:val="63937116"/>
    <w:rsid w:val="63C05B9E"/>
    <w:rsid w:val="642F4F3E"/>
    <w:rsid w:val="647F4A97"/>
    <w:rsid w:val="64C26DF0"/>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226842"/>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636C0"/>
    <w:rsid w:val="6E196A24"/>
    <w:rsid w:val="6E1D6E30"/>
    <w:rsid w:val="6E66357B"/>
    <w:rsid w:val="6EB95270"/>
    <w:rsid w:val="6ED05626"/>
    <w:rsid w:val="6F8956C3"/>
    <w:rsid w:val="6FB90394"/>
    <w:rsid w:val="6FC41E1E"/>
    <w:rsid w:val="6FCD7A63"/>
    <w:rsid w:val="6FE86904"/>
    <w:rsid w:val="70241AB8"/>
    <w:rsid w:val="706476AA"/>
    <w:rsid w:val="7105714A"/>
    <w:rsid w:val="710F25A0"/>
    <w:rsid w:val="71304406"/>
    <w:rsid w:val="714177A5"/>
    <w:rsid w:val="7255719B"/>
    <w:rsid w:val="72AC1150"/>
    <w:rsid w:val="736926A1"/>
    <w:rsid w:val="73B6456F"/>
    <w:rsid w:val="73FB4037"/>
    <w:rsid w:val="744C618D"/>
    <w:rsid w:val="74920FD0"/>
    <w:rsid w:val="74924B26"/>
    <w:rsid w:val="74B50A85"/>
    <w:rsid w:val="74DF7784"/>
    <w:rsid w:val="75125292"/>
    <w:rsid w:val="753241CE"/>
    <w:rsid w:val="758826A4"/>
    <w:rsid w:val="75B01AA9"/>
    <w:rsid w:val="76036C8B"/>
    <w:rsid w:val="76140509"/>
    <w:rsid w:val="763C41F4"/>
    <w:rsid w:val="768649B8"/>
    <w:rsid w:val="76EF0C8A"/>
    <w:rsid w:val="76F83624"/>
    <w:rsid w:val="773F1990"/>
    <w:rsid w:val="776A79F9"/>
    <w:rsid w:val="777A7DC6"/>
    <w:rsid w:val="78640367"/>
    <w:rsid w:val="78B85F69"/>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0912B6"/>
    <w:rsid w:val="7D171AFF"/>
    <w:rsid w:val="7D4359D2"/>
    <w:rsid w:val="7D9A0C78"/>
    <w:rsid w:val="7DDC2D6F"/>
    <w:rsid w:val="7DFE466B"/>
    <w:rsid w:val="7E3459C9"/>
    <w:rsid w:val="7E430C57"/>
    <w:rsid w:val="7E84244F"/>
    <w:rsid w:val="7EB23D15"/>
    <w:rsid w:val="7F0F3D7E"/>
    <w:rsid w:val="7F17791C"/>
    <w:rsid w:val="7F392D85"/>
    <w:rsid w:val="7F3B2004"/>
    <w:rsid w:val="7F704596"/>
    <w:rsid w:val="7FA16D98"/>
    <w:rsid w:val="7FAB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character" w:customStyle="1" w:styleId="131">
    <w:name w:val="font61"/>
    <w:basedOn w:val="3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7B0D6-C722-4ED9-A96E-4D3A235BF9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4451</Words>
  <Characters>25374</Characters>
  <Lines>211</Lines>
  <Paragraphs>59</Paragraphs>
  <TotalTime>19</TotalTime>
  <ScaleCrop>false</ScaleCrop>
  <LinksUpToDate>false</LinksUpToDate>
  <CharactersWithSpaces>29766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禹州市公共资源交易中心:郭亚青</cp:lastModifiedBy>
  <cp:lastPrinted>2018-08-13T07:40:00Z</cp:lastPrinted>
  <dcterms:modified xsi:type="dcterms:W3CDTF">2018-09-13T02:05:32Z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