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contextualSpacing/>
        <w:jc w:val="center"/>
        <w:rPr>
          <w:rFonts w:ascii="宋体" w:hAnsi="宋体" w:eastAsia="宋体" w:cs="宋体"/>
          <w:b/>
          <w:color w:val="000000"/>
          <w:sz w:val="32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28"/>
          <w:lang w:val="zh-CN"/>
        </w:rPr>
        <w:t>J</w:t>
      </w:r>
      <w:r>
        <w:rPr>
          <w:rFonts w:hint="eastAsia" w:ascii="宋体" w:hAnsi="宋体" w:eastAsia="宋体" w:cs="宋体"/>
          <w:b/>
          <w:color w:val="000000"/>
          <w:sz w:val="32"/>
          <w:szCs w:val="28"/>
          <w:highlight w:val="none"/>
          <w:lang w:val="zh-CN"/>
        </w:rPr>
        <w:t>ZFCG-G20180</w:t>
      </w:r>
      <w:r>
        <w:rPr>
          <w:rFonts w:hint="eastAsia" w:ascii="宋体" w:hAnsi="宋体" w:eastAsia="宋体" w:cs="宋体"/>
          <w:b/>
          <w:color w:val="000000"/>
          <w:sz w:val="32"/>
          <w:szCs w:val="28"/>
          <w:highlight w:val="none"/>
          <w:lang w:val="en-US" w:eastAsia="zh-CN"/>
        </w:rPr>
        <w:t>78</w:t>
      </w:r>
      <w:r>
        <w:rPr>
          <w:rFonts w:hint="eastAsia" w:ascii="宋体" w:hAnsi="宋体" w:eastAsia="宋体" w:cs="宋体"/>
          <w:b/>
          <w:color w:val="000000"/>
          <w:sz w:val="32"/>
          <w:szCs w:val="28"/>
          <w:highlight w:val="none"/>
          <w:lang w:val="zh-CN"/>
        </w:rPr>
        <w:t>号</w:t>
      </w:r>
    </w:p>
    <w:p>
      <w:pPr>
        <w:widowControl/>
        <w:shd w:val="clear" w:color="auto" w:fill="FFFFFF"/>
        <w:spacing w:line="360" w:lineRule="auto"/>
        <w:contextualSpacing/>
        <w:jc w:val="center"/>
        <w:rPr>
          <w:rFonts w:ascii="宋体" w:hAnsi="宋体" w:eastAsia="宋体" w:cs="宋体"/>
          <w:b/>
          <w:color w:val="000000"/>
          <w:sz w:val="32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28"/>
          <w:lang w:val="zh-CN"/>
        </w:rPr>
        <w:t>许昌市东城区综合执法局</w:t>
      </w:r>
    </w:p>
    <w:p>
      <w:pPr>
        <w:widowControl/>
        <w:shd w:val="clear" w:color="auto" w:fill="FFFFFF"/>
        <w:spacing w:line="360" w:lineRule="auto"/>
        <w:contextualSpacing/>
        <w:jc w:val="center"/>
      </w:pPr>
      <w:r>
        <w:rPr>
          <w:rFonts w:hint="eastAsia" w:ascii="宋体" w:hAnsi="宋体" w:eastAsia="宋体" w:cs="宋体"/>
          <w:b/>
          <w:color w:val="000000"/>
          <w:sz w:val="32"/>
          <w:szCs w:val="28"/>
          <w:lang w:val="zh-CN"/>
        </w:rPr>
        <w:t>“高铁东站站前广场物品采购项目”</w:t>
      </w:r>
      <w:r>
        <w:rPr>
          <w:rFonts w:hint="eastAsia"/>
        </w:rPr>
        <w:t xml:space="preserve"> </w:t>
      </w:r>
    </w:p>
    <w:p>
      <w:pPr>
        <w:widowControl/>
        <w:shd w:val="clear" w:color="auto" w:fill="FFFFFF"/>
        <w:spacing w:line="360" w:lineRule="auto"/>
        <w:contextualSpacing/>
        <w:jc w:val="center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32"/>
          <w:szCs w:val="28"/>
          <w:lang w:val="zh-CN"/>
        </w:rPr>
        <w:t>采购需求、评标标准等说明</w:t>
      </w:r>
    </w:p>
    <w:p>
      <w:pPr>
        <w:pStyle w:val="9"/>
        <w:widowControl/>
        <w:shd w:val="clear" w:color="auto" w:fill="FFFFFF"/>
        <w:spacing w:line="440" w:lineRule="exact"/>
        <w:contextualSpacing/>
        <w:jc w:val="left"/>
        <w:rPr>
          <w:rFonts w:cs="黑体" w:asciiTheme="minorEastAsia" w:hAnsiTheme="minorEastAsia" w:eastAsiaTheme="minorEastAsia"/>
          <w:b/>
          <w:bCs/>
          <w:color w:val="000000"/>
          <w:shd w:val="clear" w:color="auto" w:fill="FFFFFF"/>
        </w:rPr>
      </w:pPr>
    </w:p>
    <w:p>
      <w:pPr>
        <w:pStyle w:val="9"/>
        <w:widowControl/>
        <w:shd w:val="clear" w:color="auto" w:fill="FFFFFF"/>
        <w:spacing w:line="440" w:lineRule="exact"/>
        <w:contextualSpacing/>
        <w:jc w:val="left"/>
        <w:rPr>
          <w:rFonts w:cs="黑体" w:asciiTheme="minorEastAsia" w:hAnsiTheme="minorEastAsia" w:eastAsiaTheme="minorEastAsia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cs="黑体" w:asciiTheme="minorEastAsia" w:hAnsiTheme="minorEastAsia" w:eastAsiaTheme="minorEastAsia"/>
          <w:b/>
          <w:bCs/>
          <w:color w:val="000000"/>
          <w:sz w:val="30"/>
          <w:szCs w:val="30"/>
          <w:shd w:val="clear" w:color="auto" w:fill="FFFFFF"/>
        </w:rPr>
        <w:t>一、项目概况</w:t>
      </w:r>
    </w:p>
    <w:p>
      <w:pPr>
        <w:pStyle w:val="9"/>
        <w:shd w:val="clear" w:color="auto" w:fill="FFFFFF"/>
        <w:spacing w:line="360" w:lineRule="auto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（一）项目名称：高铁东站站前广场物品采购项目</w:t>
      </w:r>
    </w:p>
    <w:p>
      <w:pPr>
        <w:pStyle w:val="9"/>
        <w:shd w:val="clear" w:color="auto" w:fill="FFFFFF"/>
        <w:spacing w:line="360" w:lineRule="auto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（二）采购方式：公开招标</w:t>
      </w:r>
    </w:p>
    <w:p>
      <w:pPr>
        <w:pStyle w:val="9"/>
        <w:shd w:val="clear" w:color="auto" w:fill="FFFFFF"/>
        <w:spacing w:line="360" w:lineRule="auto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（三）主要内容、数量及要求：高铁东站站前广场物品采购项目，包含：小型清雪车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台，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t>小型抛雪车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/>
        </w:rPr>
        <w:t>2台，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电动扫地车2台，小型快速保洁车6辆，果皮箱70个。</w:t>
      </w:r>
    </w:p>
    <w:p>
      <w:pPr>
        <w:pStyle w:val="9"/>
        <w:shd w:val="clear" w:color="auto" w:fill="FFFFFF"/>
        <w:spacing w:line="360" w:lineRule="auto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（四）预算金额：657774.00元。最高限价：657774.00元。</w:t>
      </w:r>
    </w:p>
    <w:p>
      <w:pPr>
        <w:pStyle w:val="9"/>
        <w:shd w:val="clear" w:color="auto" w:fill="FFFFFF"/>
        <w:spacing w:line="360" w:lineRule="auto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（五）交付（完工）时间 ：合同签订后10天内</w:t>
      </w:r>
    </w:p>
    <w:p>
      <w:pPr>
        <w:pStyle w:val="9"/>
        <w:shd w:val="clear" w:color="auto" w:fill="FFFFFF"/>
        <w:spacing w:line="360" w:lineRule="auto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（六）交付（服务、完工）地点：许昌市东城区</w:t>
      </w:r>
    </w:p>
    <w:p>
      <w:pPr>
        <w:pStyle w:val="9"/>
        <w:shd w:val="clear" w:color="auto" w:fill="FFFFFF"/>
        <w:spacing w:line="360" w:lineRule="auto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（七）进口产品：不允许。</w:t>
      </w:r>
    </w:p>
    <w:p>
      <w:pPr>
        <w:pStyle w:val="9"/>
        <w:shd w:val="clear" w:color="auto" w:fill="FFFFFF"/>
        <w:spacing w:line="360" w:lineRule="auto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（八）分包：不允许。</w:t>
      </w:r>
    </w:p>
    <w:p>
      <w:pPr>
        <w:pStyle w:val="9"/>
        <w:widowControl/>
        <w:shd w:val="clear" w:color="auto" w:fill="FFFFFF"/>
        <w:spacing w:line="440" w:lineRule="exact"/>
        <w:contextualSpacing/>
        <w:jc w:val="left"/>
        <w:rPr>
          <w:rFonts w:cs="黑体" w:asciiTheme="minorEastAsia" w:hAnsiTheme="minorEastAsia" w:eastAsiaTheme="minorEastAsia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cs="黑体" w:asciiTheme="minorEastAsia" w:hAnsiTheme="minorEastAsia" w:eastAsiaTheme="minorEastAsia"/>
          <w:b/>
          <w:bCs/>
          <w:color w:val="000000"/>
          <w:sz w:val="30"/>
          <w:szCs w:val="30"/>
          <w:shd w:val="clear" w:color="auto" w:fill="FFFFFF"/>
        </w:rPr>
        <w:t>二、需要落实的政府采购政策</w:t>
      </w:r>
    </w:p>
    <w:p>
      <w:pPr>
        <w:pStyle w:val="9"/>
        <w:shd w:val="clear" w:color="auto" w:fill="FFFFFF"/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本项目落实节能环保□、中小微型企业扶持☑、支持监狱企业发展☑、残疾人福利性单位扶持☑等相关政府采购政策。</w:t>
      </w:r>
    </w:p>
    <w:p>
      <w:pPr>
        <w:pStyle w:val="9"/>
        <w:widowControl/>
        <w:shd w:val="clear" w:color="auto" w:fill="FFFFFF"/>
        <w:spacing w:line="440" w:lineRule="exact"/>
        <w:contextualSpacing/>
        <w:jc w:val="left"/>
        <w:rPr>
          <w:rFonts w:cs="黑体" w:asciiTheme="minorEastAsia" w:hAnsiTheme="minorEastAsia" w:eastAsiaTheme="minorEastAsia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cs="黑体" w:asciiTheme="minorEastAsia" w:hAnsiTheme="minorEastAsia" w:eastAsiaTheme="minorEastAsia"/>
          <w:b/>
          <w:bCs/>
          <w:color w:val="000000"/>
          <w:sz w:val="30"/>
          <w:szCs w:val="30"/>
          <w:shd w:val="clear" w:color="auto" w:fill="FFFFFF"/>
        </w:rPr>
        <w:t>三、投标人资格要求</w:t>
      </w:r>
    </w:p>
    <w:p>
      <w:pPr>
        <w:pStyle w:val="9"/>
        <w:shd w:val="clear" w:color="auto" w:fill="FFFFFF"/>
        <w:spacing w:line="360" w:lineRule="auto"/>
        <w:ind w:firstLine="420" w:firstLineChars="150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（一）符合《中华人民共和国政府采购法》第二十二条之规定；</w:t>
      </w:r>
    </w:p>
    <w:p>
      <w:pPr>
        <w:pStyle w:val="9"/>
        <w:shd w:val="clear" w:color="auto" w:fill="FFFFFF"/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(二)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未被列入“信用中国”网站(www.creditchina.gov.cn)失信被执行人、重大税收违法案件当事人名单、政府采购严重违法失信名单的投标人；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“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中国政府采购网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”</w:t>
      </w:r>
      <w:r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 xml:space="preserve"> (www.ccgp.gov.cn)政府采购严重违法失信行为记录名单的投标人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；</w:t>
      </w:r>
    </w:p>
    <w:p>
      <w:pPr>
        <w:pStyle w:val="9"/>
        <w:shd w:val="clear" w:color="auto" w:fill="FFFFFF"/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（三）本次招标不接受联合体投标。</w:t>
      </w:r>
    </w:p>
    <w:p>
      <w:pPr>
        <w:pStyle w:val="9"/>
        <w:widowControl/>
        <w:shd w:val="clear" w:color="auto" w:fill="FFFFFF"/>
        <w:spacing w:line="440" w:lineRule="exact"/>
        <w:contextualSpacing/>
        <w:jc w:val="left"/>
        <w:rPr>
          <w:rFonts w:hint="eastAsia" w:cs="黑体" w:asciiTheme="minorEastAsia" w:hAnsiTheme="minorEastAsia" w:eastAsiaTheme="minorEastAsia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cs="黑体" w:asciiTheme="minorEastAsia" w:hAnsiTheme="minorEastAsia" w:eastAsiaTheme="minorEastAsia"/>
          <w:b/>
          <w:bCs/>
          <w:color w:val="000000"/>
          <w:sz w:val="30"/>
          <w:szCs w:val="30"/>
          <w:shd w:val="clear" w:color="auto" w:fill="FFFFFF"/>
        </w:rPr>
        <w:t>四、采购需求</w:t>
      </w:r>
    </w:p>
    <w:p>
      <w:pPr>
        <w:pStyle w:val="9"/>
        <w:shd w:val="clear" w:color="auto" w:fill="FFFFFF"/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（一）采购清单</w:t>
      </w:r>
    </w:p>
    <w:tbl>
      <w:tblPr>
        <w:tblStyle w:val="12"/>
        <w:tblW w:w="8204" w:type="dxa"/>
        <w:jc w:val="center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1"/>
        <w:gridCol w:w="1333"/>
        <w:gridCol w:w="1425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071" w:type="dxa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1333" w:type="dxa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1425" w:type="dxa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2375" w:type="dxa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是否核心产品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071" w:type="dxa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小型清雪车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333" w:type="dxa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台</w:t>
            </w:r>
          </w:p>
        </w:tc>
        <w:tc>
          <w:tcPr>
            <w:tcW w:w="1425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375" w:type="dxa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071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小型抛雪车</w:t>
            </w:r>
          </w:p>
        </w:tc>
        <w:tc>
          <w:tcPr>
            <w:tcW w:w="1333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台</w:t>
            </w:r>
          </w:p>
        </w:tc>
        <w:tc>
          <w:tcPr>
            <w:tcW w:w="1425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375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071" w:type="dxa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电动扫地车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333" w:type="dxa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台</w:t>
            </w:r>
          </w:p>
        </w:tc>
        <w:tc>
          <w:tcPr>
            <w:tcW w:w="1425" w:type="dxa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75" w:type="dxa"/>
          </w:tcPr>
          <w:p>
            <w:pPr>
              <w:pStyle w:val="2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071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 xml:space="preserve">小型快速保洁车 </w:t>
            </w:r>
          </w:p>
        </w:tc>
        <w:tc>
          <w:tcPr>
            <w:tcW w:w="1333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辆</w:t>
            </w:r>
          </w:p>
        </w:tc>
        <w:tc>
          <w:tcPr>
            <w:tcW w:w="1425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375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071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 xml:space="preserve">果皮箱 </w:t>
            </w:r>
          </w:p>
        </w:tc>
        <w:tc>
          <w:tcPr>
            <w:tcW w:w="1333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个</w:t>
            </w:r>
          </w:p>
        </w:tc>
        <w:tc>
          <w:tcPr>
            <w:tcW w:w="1425" w:type="dxa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</w:tc>
        <w:tc>
          <w:tcPr>
            <w:tcW w:w="2375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是</w:t>
            </w:r>
          </w:p>
        </w:tc>
      </w:tr>
    </w:tbl>
    <w:p>
      <w:pPr>
        <w:pStyle w:val="9"/>
        <w:shd w:val="clear" w:color="auto" w:fill="FFFFFF"/>
        <w:spacing w:line="36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（二）功能要求</w:t>
      </w:r>
    </w:p>
    <w:tbl>
      <w:tblPr>
        <w:tblStyle w:val="12"/>
        <w:tblW w:w="10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09"/>
        <w:gridCol w:w="6805"/>
        <w:gridCol w:w="849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6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规 格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雪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</w:t>
            </w:r>
          </w:p>
        </w:tc>
        <w:tc>
          <w:tcPr>
            <w:tcW w:w="6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工作效率：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3500平方/小时 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清雪宽度：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90cm 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清雪厚度: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12cm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发动机功率: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10Kw 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燃油箱容量:           6.5升 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燃油类型:             92号汽油 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每箱油工作时间: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 3小时 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机油容量:             1.1升 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机油型号:             四冲程耐低温机油 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档位:                 前进5档，后退2档 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启动方式:             手启加电启动 </w:t>
            </w:r>
          </w:p>
          <w:p>
            <w:pPr>
              <w:ind w:left="2520" w:hanging="2520" w:hangingChars="1050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小型扫雪机特性：      双链条加大橡胶圈传动铁皮厚度1.8毫米，冷板，结实耐用全封闭工业涡轮箱，加注高速机油。轮胎轴轴承传动16寸雪地轮胎进口盖茨皮带20毫米轮胎轴。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抛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雪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</w:t>
            </w:r>
          </w:p>
        </w:tc>
        <w:tc>
          <w:tcPr>
            <w:tcW w:w="6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抛雪距离: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≥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 10m 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除雪宽度: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≥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 70cm 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除雪厚度: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≥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 56cm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出雪口旋转角度：     ≥180度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发动机：           （隆鑫雪地动力发动机） 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油箱容积:            6.5 L 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每箱油工作时间:      3小时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功率:                9.6Kw 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传动方式：           摩擦盘传动 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档位：               4个前进档，两个后退档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启动方式：           电启动+手启动 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2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电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动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扫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地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车</w:t>
            </w:r>
          </w:p>
        </w:tc>
        <w:tc>
          <w:tcPr>
            <w:tcW w:w="6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1、长*宽*高：        ≥3610*1260*2135（mm）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2、行走驱动电机功率：≥7.5kw。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3、作业驱动电机功率：≥7.5kw。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4、电池组总电压：    ≥72V。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5、电池组总电量：    ≥200Ah。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6、一次续驶里程：    ≥110km。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7、一次作业里程：    ≥53.2km。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8、充电时间：        ≤8h。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9、整备质量：        ≥1930kg。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10、最大总质量：     ≥2420kg。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11、清扫作业宽度：   ≥1.6m。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12、清扫作业速度：   ≥6km/h。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13、净水箱容积：     ≥280L。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14、垃圾箱容积：     ≥0.24m³。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15、最小转弯半径：   ≤1560mm。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16、最大吸入颗粒直径：≥62mm。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17、车辆须为纯电力驱动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18、车辆行走、吸尘作业和液压系统均采用交流永磁同步电动机，并由集成交流智能控制系统控制，控制系统自带智能故障报警装置（提供证明）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19、一键式操作快换垃圾桶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20、驾驶室配顶置冷、暖一体式空调。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21、车辆底盘采用铰链轴承结构铰接，转弯半径小，操作灵活。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22、采用纯吸式作业模式，积水路面可正常清扫作业。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台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3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小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型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快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速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保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洁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车</w:t>
            </w:r>
          </w:p>
        </w:tc>
        <w:tc>
          <w:tcPr>
            <w:tcW w:w="6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1、尺寸(长X宽X高) :  ≥1600*700*1050 （mm）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2轴距（前/后）: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     ≥1560mm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3、实际有效容积: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     ≥50L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4、时速: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              ≤20 km/h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5、续航: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           ≥60km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6、电池容量:  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    不低于20ah铅酸蓄电池4节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7、标准电压 V: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       48V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8、行走电机功率  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    ≥500W免维护无刷电机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9、前转向结构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       方向轴套管直径不低于28 mm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                      管壁厚不低于 3 mm套管。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10、电控系统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       48V/500W驱动控制器带矢量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                      自动修复功能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11、控制行走方式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    转把式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12、制动方式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       鼓式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13、驱动桥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          无链条一体化高低速式后桥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14、车架材质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       特种钢一体型材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15、前大灯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          一体式组合LED大灯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16、倒车喇叭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       可控式倒车语音提示系统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辆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4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果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皮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箱</w:t>
            </w:r>
          </w:p>
        </w:tc>
        <w:tc>
          <w:tcPr>
            <w:tcW w:w="6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1、容量：             20L以上 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2、材质：             优质镀锌板  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3、形状：             长筒型 </w:t>
            </w:r>
          </w:p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4、尺寸：             ≥400*450*880（mm）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5、底座：1.0mm优质镀锌板，一体化设计，与地面固定2.0mm钢板，保证底部牢靠。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6、内胆：0.5mm优质镀锌板，卷边处理；使用安全。 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7、桶身：1.0mm优质镀锌板，整体折弯成型，美观。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8、锁具：通用防盗三角锁，锁闭牢靠。 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9、顶盖：1.0mm优质镀锌板，设不锈钢烟灰盒。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10、标识：丝网印刷“可回收”“灭烟板”、等标识，参照GB/T 19095-2008的要求。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11、工艺：整体模具冲压成型技术，表面整体清理干燥后经静电喷涂一层，厚度不小于90um，经过185°高温固化冷却着色。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个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70</w:t>
            </w:r>
          </w:p>
        </w:tc>
      </w:tr>
    </w:tbl>
    <w:p>
      <w:pPr>
        <w:rPr>
          <w:rFonts w:ascii="宋体" w:hAnsi="宋体" w:eastAsia="宋体" w:cs="仿宋"/>
        </w:rPr>
      </w:pPr>
    </w:p>
    <w:p>
      <w:pPr>
        <w:rPr>
          <w:rFonts w:ascii="宋体" w:hAnsi="宋体" w:eastAsia="宋体" w:cs="仿宋"/>
        </w:rPr>
      </w:pPr>
    </w:p>
    <w:p>
      <w:pPr>
        <w:pStyle w:val="9"/>
        <w:shd w:val="clear" w:color="auto" w:fill="FFFFFF"/>
        <w:spacing w:line="360" w:lineRule="auto"/>
        <w:rPr>
          <w:rFonts w:ascii="仿宋" w:hAnsi="仿宋" w:eastAsia="仿宋"/>
          <w:sz w:val="28"/>
          <w:shd w:val="clear" w:color="auto" w:fill="FFFFFF"/>
        </w:rPr>
      </w:pPr>
      <w:r>
        <w:rPr>
          <w:rFonts w:hint="eastAsia" w:ascii="仿宋" w:hAnsi="仿宋" w:eastAsia="仿宋"/>
          <w:sz w:val="28"/>
          <w:shd w:val="clear" w:color="auto" w:fill="FFFFFF"/>
        </w:rPr>
        <w:t>（三）验收标准</w:t>
      </w:r>
    </w:p>
    <w:p>
      <w:pPr>
        <w:pStyle w:val="9"/>
        <w:shd w:val="clear" w:color="auto" w:fill="FFFFFF"/>
        <w:spacing w:line="360" w:lineRule="auto"/>
        <w:ind w:firstLine="560" w:firstLineChars="200"/>
        <w:rPr>
          <w:rFonts w:ascii="仿宋" w:hAnsi="仿宋" w:eastAsia="仿宋"/>
          <w:sz w:val="28"/>
          <w:shd w:val="clear" w:color="auto" w:fill="FFFFFF"/>
        </w:rPr>
      </w:pPr>
      <w:r>
        <w:rPr>
          <w:rFonts w:hint="eastAsia" w:ascii="仿宋" w:hAnsi="仿宋" w:eastAsia="仿宋"/>
          <w:sz w:val="28"/>
          <w:shd w:val="clear" w:color="auto" w:fill="FFFFFF"/>
        </w:rPr>
        <w:t>1、由采购人成立验收小组,按照采购合同的约定对中标人履约情况进行验收。验收时,按照采购合同的约定对每一项技术、服务、安全标准的履约情况进行确认。验收结束后,出具验收书。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Times New Roman"/>
          <w:sz w:val="28"/>
          <w:szCs w:val="24"/>
          <w:shd w:val="clear" w:color="auto" w:fill="FFFFFF"/>
        </w:rPr>
        <w:t>2、按照招标文件要求、投标文件响应和承诺验收。</w:t>
      </w:r>
    </w:p>
    <w:p>
      <w:pPr>
        <w:spacing w:line="360" w:lineRule="auto"/>
        <w:rPr>
          <w:rFonts w:cs="黑体" w:asciiTheme="minorEastAsia" w:hAnsiTheme="minorEastAsia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cs="黑体" w:asciiTheme="minorEastAsia" w:hAnsiTheme="minorEastAsia"/>
          <w:b/>
          <w:bCs/>
          <w:color w:val="000000"/>
          <w:sz w:val="30"/>
          <w:szCs w:val="30"/>
          <w:shd w:val="clear" w:color="auto" w:fill="FFFFFF"/>
        </w:rPr>
        <w:t>五、采购标的执行标准</w:t>
      </w:r>
    </w:p>
    <w:p>
      <w:pPr>
        <w:spacing w:line="360" w:lineRule="auto"/>
        <w:ind w:firstLine="420" w:firstLineChars="150"/>
        <w:contextualSpacing/>
        <w:rPr>
          <w:rFonts w:ascii="仿宋" w:hAnsi="仿宋" w:eastAsia="仿宋" w:cs="宋体"/>
          <w:kern w:val="0"/>
          <w:sz w:val="28"/>
          <w:szCs w:val="24"/>
        </w:rPr>
      </w:pPr>
      <w:r>
        <w:rPr>
          <w:rFonts w:hint="eastAsia" w:ascii="仿宋" w:hAnsi="仿宋" w:eastAsia="仿宋" w:cs="宋体"/>
          <w:kern w:val="0"/>
          <w:sz w:val="28"/>
          <w:szCs w:val="24"/>
        </w:rPr>
        <w:t>（1）</w:t>
      </w:r>
      <w:r>
        <w:rPr>
          <w:rFonts w:ascii="仿宋" w:hAnsi="仿宋" w:eastAsia="仿宋" w:cs="宋体"/>
          <w:kern w:val="0"/>
          <w:sz w:val="28"/>
          <w:szCs w:val="24"/>
        </w:rPr>
        <w:t>强制性产品认证</w:t>
      </w:r>
    </w:p>
    <w:p>
      <w:pPr>
        <w:spacing w:line="360" w:lineRule="auto"/>
        <w:ind w:firstLine="560" w:firstLineChars="200"/>
        <w:contextualSpacing/>
        <w:rPr>
          <w:rFonts w:ascii="仿宋" w:hAnsi="仿宋" w:eastAsia="仿宋" w:cs="宋体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宋体"/>
          <w:kern w:val="0"/>
          <w:sz w:val="28"/>
          <w:szCs w:val="24"/>
        </w:rPr>
        <w:t>投标人所投产品如被列入</w:t>
      </w:r>
      <w:r>
        <w:rPr>
          <w:rFonts w:ascii="仿宋" w:hAnsi="仿宋" w:eastAsia="仿宋" w:cs="宋体"/>
          <w:kern w:val="0"/>
          <w:sz w:val="28"/>
          <w:szCs w:val="24"/>
        </w:rPr>
        <w:t>《中华人民共和国实施强制性产品认证的产品目录》，</w:t>
      </w:r>
      <w:r>
        <w:rPr>
          <w:rFonts w:hint="eastAsia" w:ascii="仿宋" w:hAnsi="仿宋" w:eastAsia="仿宋" w:cs="宋体"/>
          <w:kern w:val="0"/>
          <w:sz w:val="28"/>
          <w:szCs w:val="24"/>
        </w:rPr>
        <w:t>则该产品应</w:t>
      </w:r>
      <w:r>
        <w:rPr>
          <w:rFonts w:ascii="仿宋" w:hAnsi="仿宋" w:eastAsia="仿宋" w:cs="宋体"/>
          <w:kern w:val="0"/>
          <w:sz w:val="28"/>
          <w:szCs w:val="24"/>
        </w:rPr>
        <w:t>具备国家认监委</w:t>
      </w:r>
      <w:r>
        <w:rPr>
          <w:rFonts w:hint="eastAsia" w:ascii="仿宋" w:hAnsi="仿宋" w:eastAsia="仿宋" w:cs="宋体"/>
          <w:kern w:val="0"/>
          <w:sz w:val="28"/>
          <w:szCs w:val="24"/>
        </w:rPr>
        <w:t>指定强制性产品认证机构</w:t>
      </w:r>
      <w:r>
        <w:rPr>
          <w:rFonts w:ascii="仿宋" w:hAnsi="仿宋" w:eastAsia="仿宋" w:cs="宋体"/>
          <w:kern w:val="0"/>
          <w:sz w:val="28"/>
          <w:szCs w:val="24"/>
        </w:rPr>
        <w:t>颁</w:t>
      </w:r>
      <w:r>
        <w:rPr>
          <w:rFonts w:hint="eastAsia" w:ascii="仿宋" w:hAnsi="仿宋" w:eastAsia="仿宋" w:cs="宋体"/>
          <w:kern w:val="0"/>
          <w:sz w:val="28"/>
          <w:szCs w:val="24"/>
        </w:rPr>
        <w:t>发的</w:t>
      </w:r>
      <w:r>
        <w:rPr>
          <w:rFonts w:ascii="仿宋" w:hAnsi="仿宋" w:eastAsia="仿宋" w:cs="宋体"/>
          <w:kern w:val="0"/>
          <w:sz w:val="28"/>
          <w:szCs w:val="24"/>
        </w:rPr>
        <w:t>《中国</w:t>
      </w:r>
      <w:r>
        <w:rPr>
          <w:rFonts w:hint="eastAsia" w:ascii="仿宋" w:hAnsi="仿宋" w:eastAsia="仿宋" w:cs="宋体"/>
          <w:kern w:val="0"/>
          <w:sz w:val="28"/>
          <w:szCs w:val="24"/>
        </w:rPr>
        <w:t>国家</w:t>
      </w:r>
      <w:r>
        <w:rPr>
          <w:rFonts w:ascii="仿宋" w:hAnsi="仿宋" w:eastAsia="仿宋" w:cs="宋体"/>
          <w:kern w:val="0"/>
          <w:sz w:val="28"/>
          <w:szCs w:val="24"/>
        </w:rPr>
        <w:t>强制</w:t>
      </w:r>
      <w:r>
        <w:rPr>
          <w:rFonts w:hint="eastAsia" w:ascii="仿宋" w:hAnsi="仿宋" w:eastAsia="仿宋" w:cs="宋体"/>
          <w:kern w:val="0"/>
          <w:sz w:val="28"/>
          <w:szCs w:val="24"/>
        </w:rPr>
        <w:t>性产品</w:t>
      </w:r>
      <w:r>
        <w:rPr>
          <w:rFonts w:ascii="仿宋" w:hAnsi="仿宋" w:eastAsia="仿宋" w:cs="宋体"/>
          <w:kern w:val="0"/>
          <w:sz w:val="28"/>
          <w:szCs w:val="24"/>
        </w:rPr>
        <w:t>认证</w:t>
      </w:r>
      <w:r>
        <w:rPr>
          <w:rFonts w:hint="eastAsia" w:ascii="仿宋" w:hAnsi="仿宋" w:eastAsia="仿宋" w:cs="宋体"/>
          <w:kern w:val="0"/>
          <w:sz w:val="28"/>
          <w:szCs w:val="24"/>
        </w:rPr>
        <w:t>证书</w:t>
      </w:r>
      <w:r>
        <w:rPr>
          <w:rFonts w:ascii="仿宋" w:hAnsi="仿宋" w:eastAsia="仿宋" w:cs="宋体"/>
          <w:kern w:val="0"/>
          <w:sz w:val="28"/>
          <w:szCs w:val="24"/>
        </w:rPr>
        <w:t>》（CCC 认证）。</w:t>
      </w:r>
      <w:r>
        <w:rPr>
          <w:rFonts w:hint="eastAsia" w:ascii="仿宋" w:hAnsi="仿宋" w:eastAsia="仿宋" w:cs="宋体"/>
          <w:kern w:val="0"/>
          <w:sz w:val="28"/>
          <w:szCs w:val="24"/>
        </w:rPr>
        <w:t>投标人</w:t>
      </w:r>
      <w:r>
        <w:rPr>
          <w:rFonts w:ascii="仿宋" w:hAnsi="仿宋" w:eastAsia="仿宋" w:cs="宋体"/>
          <w:kern w:val="0"/>
          <w:sz w:val="28"/>
          <w:szCs w:val="24"/>
        </w:rPr>
        <w:t>不能提供超出此目录范畴外的替代品</w:t>
      </w:r>
      <w:r>
        <w:rPr>
          <w:rFonts w:hint="eastAsia" w:ascii="仿宋" w:hAnsi="仿宋" w:eastAsia="仿宋" w:cs="宋体"/>
          <w:kern w:val="0"/>
          <w:sz w:val="28"/>
          <w:szCs w:val="24"/>
        </w:rPr>
        <w:t>并须在投标文件中提供：“所投产品符合国家强制性要求承诺函”并加盖投标人公章的原件扫描件（或</w:t>
      </w:r>
      <w:r>
        <w:rPr>
          <w:rFonts w:hint="eastAsia" w:ascii="仿宋" w:hAnsi="仿宋" w:eastAsia="仿宋" w:cs="宋体"/>
          <w:color w:val="000000"/>
          <w:kern w:val="0"/>
          <w:sz w:val="28"/>
          <w:szCs w:val="24"/>
        </w:rPr>
        <w:t>图片）。</w:t>
      </w:r>
    </w:p>
    <w:p>
      <w:pPr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color w:val="000000"/>
          <w:sz w:val="30"/>
          <w:szCs w:val="30"/>
          <w:shd w:val="clear" w:color="auto" w:fill="FFFFFF"/>
        </w:rPr>
        <w:t>六、评标方法和评标标准</w:t>
      </w:r>
    </w:p>
    <w:p>
      <w:pPr>
        <w:spacing w:line="360" w:lineRule="auto"/>
        <w:ind w:firstLine="560" w:firstLineChars="200"/>
        <w:outlineLvl w:val="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（一）评标方法：综合评分法</w:t>
      </w:r>
    </w:p>
    <w:p>
      <w:pPr>
        <w:spacing w:line="360" w:lineRule="auto"/>
        <w:ind w:firstLine="560" w:firstLineChars="200"/>
        <w:outlineLvl w:val="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（二）综合评分法评标标准：</w:t>
      </w:r>
    </w:p>
    <w:p>
      <w:pPr>
        <w:rPr>
          <w:rFonts w:ascii="宋体" w:hAnsi="宋体" w:eastAsia="宋体" w:cs="宋体"/>
          <w:szCs w:val="21"/>
        </w:rPr>
      </w:pPr>
    </w:p>
    <w:tbl>
      <w:tblPr>
        <w:tblStyle w:val="12"/>
        <w:tblW w:w="96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7248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分值构成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(总分100分)</w:t>
            </w:r>
          </w:p>
        </w:tc>
        <w:tc>
          <w:tcPr>
            <w:tcW w:w="8060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价格分值：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>30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商务部分：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>36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技术部分：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>34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6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价格部分（满分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u w:val="single"/>
              </w:rPr>
              <w:t>30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评分因素</w:t>
            </w:r>
          </w:p>
        </w:tc>
        <w:tc>
          <w:tcPr>
            <w:tcW w:w="724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评标标准</w:t>
            </w:r>
          </w:p>
        </w:tc>
        <w:tc>
          <w:tcPr>
            <w:tcW w:w="81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61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投标报价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724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评标基准价：满足招标文件要求的有效投标报价中，最低的投标报价为评标基准价。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投标报价得分=（评标基准价/投标报价）×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>30</w:t>
            </w:r>
          </w:p>
        </w:tc>
        <w:tc>
          <w:tcPr>
            <w:tcW w:w="81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>30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6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商务部分（满分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u w:val="single"/>
              </w:rPr>
              <w:t>36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评分因素</w:t>
            </w:r>
          </w:p>
        </w:tc>
        <w:tc>
          <w:tcPr>
            <w:tcW w:w="72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评标标准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信誉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7248" w:type="dxa"/>
            <w:vAlign w:val="center"/>
          </w:tcPr>
          <w:p>
            <w:pPr>
              <w:pStyle w:val="1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30" w:lineRule="exact"/>
              <w:ind w:firstLineChars="0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投标人具有质量管理体系认证得</w:t>
            </w: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cs="宋体"/>
                <w:color w:val="000000"/>
                <w:sz w:val="24"/>
              </w:rPr>
              <w:t>分；</w:t>
            </w:r>
          </w:p>
          <w:p>
            <w:pPr>
              <w:pStyle w:val="1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30" w:lineRule="exact"/>
              <w:ind w:firstLineChars="0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投标人具有环境管理体系认证得</w:t>
            </w: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cs="宋体"/>
                <w:color w:val="000000"/>
                <w:sz w:val="24"/>
              </w:rPr>
              <w:t>分；</w:t>
            </w:r>
          </w:p>
          <w:p>
            <w:pPr>
              <w:pStyle w:val="1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30" w:lineRule="exact"/>
              <w:ind w:firstLineChars="0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投标人具有职业健康安全管理体系认证得</w:t>
            </w: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cs="宋体"/>
                <w:color w:val="000000"/>
                <w:sz w:val="24"/>
              </w:rPr>
              <w:t xml:space="preserve">分； </w:t>
            </w:r>
          </w:p>
          <w:p>
            <w:pPr>
              <w:pStyle w:val="1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30" w:lineRule="exact"/>
              <w:ind w:firstLineChars="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投标人具有“安全生产标准化企业”证书的得</w:t>
            </w: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cs="宋体"/>
                <w:color w:val="000000"/>
                <w:sz w:val="24"/>
              </w:rPr>
              <w:t>分</w:t>
            </w:r>
            <w:r>
              <w:rPr>
                <w:rFonts w:hint="eastAsia" w:ascii="宋体" w:cs="宋体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服务承诺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分）</w:t>
            </w:r>
          </w:p>
        </w:tc>
        <w:tc>
          <w:tcPr>
            <w:tcW w:w="724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1、</w:t>
            </w:r>
            <w:r>
              <w:rPr>
                <w:rFonts w:hint="eastAsia" w:ascii="宋体" w:cs="宋体"/>
                <w:color w:val="000000"/>
                <w:sz w:val="24"/>
              </w:rPr>
              <w:tab/>
            </w:r>
            <w:r>
              <w:rPr>
                <w:rFonts w:hint="eastAsia" w:ascii="宋体" w:cs="宋体"/>
                <w:color w:val="000000"/>
                <w:sz w:val="24"/>
              </w:rPr>
              <w:t>投标人在当地设有常驻售后服务站的，且提供营业执照及相关证明的得5分；</w:t>
            </w:r>
          </w:p>
          <w:p>
            <w:pPr>
              <w:pStyle w:val="18"/>
              <w:autoSpaceDE w:val="0"/>
              <w:autoSpaceDN w:val="0"/>
              <w:adjustRightInd w:val="0"/>
              <w:spacing w:line="360" w:lineRule="auto"/>
              <w:ind w:firstLine="0" w:firstLineChars="0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cs="宋体"/>
                <w:color w:val="000000"/>
                <w:sz w:val="24"/>
              </w:rPr>
              <w:t>、投标人有专职维修人员、常用备件，且售后服务系统完善的得</w:t>
            </w: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cs="宋体"/>
                <w:color w:val="000000"/>
                <w:sz w:val="24"/>
              </w:rPr>
              <w:t>分；</w:t>
            </w:r>
          </w:p>
          <w:p>
            <w:pPr>
              <w:pStyle w:val="18"/>
              <w:autoSpaceDE w:val="0"/>
              <w:autoSpaceDN w:val="0"/>
              <w:adjustRightInd w:val="0"/>
              <w:spacing w:line="360" w:lineRule="auto"/>
              <w:ind w:firstLine="0" w:firstLineChars="0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cs="宋体"/>
                <w:color w:val="000000"/>
                <w:sz w:val="24"/>
              </w:rPr>
              <w:t>、投标人免费提供技术培训、并为采购方培养合格的操作人员得</w:t>
            </w: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cs="宋体"/>
                <w:color w:val="000000"/>
                <w:sz w:val="24"/>
              </w:rPr>
              <w:t>分；</w:t>
            </w:r>
          </w:p>
          <w:p>
            <w:pPr>
              <w:pStyle w:val="18"/>
              <w:autoSpaceDE w:val="0"/>
              <w:autoSpaceDN w:val="0"/>
              <w:adjustRightInd w:val="0"/>
              <w:spacing w:line="360" w:lineRule="auto"/>
              <w:ind w:firstLine="0" w:firstLineChars="0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cs="宋体"/>
                <w:color w:val="000000"/>
                <w:sz w:val="24"/>
              </w:rPr>
              <w:t>、投标人提供24小时全天候服务的，且在2小时内能提供现场技术支援的得2分；</w:t>
            </w:r>
          </w:p>
          <w:p>
            <w:pPr>
              <w:pStyle w:val="18"/>
              <w:autoSpaceDE w:val="0"/>
              <w:autoSpaceDN w:val="0"/>
              <w:adjustRightInd w:val="0"/>
              <w:spacing w:line="360" w:lineRule="auto"/>
              <w:ind w:firstLine="0" w:firstLineChars="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cs="宋体"/>
                <w:color w:val="000000"/>
                <w:sz w:val="24"/>
              </w:rPr>
              <w:t>、投标人承诺验收时提供完整的产品技术资料（含合格证、说明书等）的得</w:t>
            </w: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cs="宋体"/>
                <w:color w:val="000000"/>
                <w:sz w:val="24"/>
              </w:rPr>
              <w:t>分。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u w:val="single"/>
              </w:rPr>
              <w:t>1</w:t>
            </w:r>
            <w:r>
              <w:rPr>
                <w:rFonts w:hint="eastAsia" w:ascii="宋体" w:hAnsi="宋体" w:cs="仿宋_GB2312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业绩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（10分）</w:t>
            </w:r>
          </w:p>
        </w:tc>
        <w:tc>
          <w:tcPr>
            <w:tcW w:w="7248" w:type="dxa"/>
            <w:vAlign w:val="center"/>
          </w:tcPr>
          <w:p>
            <w:pPr>
              <w:autoSpaceDE w:val="0"/>
              <w:autoSpaceDN w:val="0"/>
              <w:adjustRightInd w:val="0"/>
              <w:spacing w:line="430" w:lineRule="exact"/>
              <w:rPr>
                <w:rFonts w:hint="eastAsia" w:ascii="宋体" w:hAnsi="宋体" w:cs="Courier New"/>
                <w:bCs/>
                <w:sz w:val="24"/>
                <w:szCs w:val="24"/>
              </w:rPr>
            </w:pPr>
            <w:r>
              <w:rPr>
                <w:rFonts w:hint="eastAsia" w:ascii="宋体" w:hAnsi="宋体" w:cs="Courier New"/>
                <w:bCs/>
                <w:sz w:val="24"/>
                <w:szCs w:val="24"/>
              </w:rPr>
              <w:t>投标人提供自2015年以来类似项目的业绩合同，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单项合同金额60万元以上</w:t>
            </w:r>
            <w:r>
              <w:rPr>
                <w:rFonts w:hint="eastAsia" w:ascii="宋体" w:hAnsi="宋体" w:cs="Courier New"/>
                <w:bCs/>
                <w:sz w:val="24"/>
                <w:szCs w:val="24"/>
              </w:rPr>
              <w:t>每份合同得2分，最高得10分。</w:t>
            </w:r>
          </w:p>
          <w:p>
            <w:pPr>
              <w:autoSpaceDE w:val="0"/>
              <w:autoSpaceDN w:val="0"/>
              <w:adjustRightInd w:val="0"/>
              <w:spacing w:line="43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sz w:val="24"/>
              </w:rPr>
              <w:t>注明：需提供带有网址的中标公告截图，</w:t>
            </w:r>
            <w:r>
              <w:rPr>
                <w:rFonts w:hint="eastAsia" w:ascii="宋体" w:hAnsi="宋体" w:cs="Courier New"/>
                <w:b/>
                <w:sz w:val="24"/>
                <w:szCs w:val="24"/>
              </w:rPr>
              <w:t>中标通知书、</w:t>
            </w:r>
            <w:r>
              <w:rPr>
                <w:rFonts w:hint="eastAsia" w:ascii="宋体" w:cs="宋体"/>
                <w:b/>
                <w:color w:val="000000"/>
                <w:sz w:val="24"/>
              </w:rPr>
              <w:t>采购合同及验收报告原件扫描件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技术部分（满分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u w:val="single"/>
              </w:rPr>
              <w:t>34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评分因素</w:t>
            </w:r>
          </w:p>
        </w:tc>
        <w:tc>
          <w:tcPr>
            <w:tcW w:w="72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评标标准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对招标文件的响应程度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（30分）</w:t>
            </w:r>
          </w:p>
        </w:tc>
        <w:tc>
          <w:tcPr>
            <w:tcW w:w="7248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GB"/>
              </w:rPr>
              <w:t>1、评委根据各供应商提供产品的先进性、产品生产工艺及流程、质量保证措施等方面进行综合评定，优得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szCs w:val="24"/>
                <w:lang w:val="en-GB"/>
              </w:rPr>
              <w:t>5分，良得3分，一般得1分。本项共5分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GB" w:eastAsia="zh-CN"/>
              </w:rPr>
              <w:t>。</w:t>
            </w:r>
          </w:p>
          <w:p>
            <w:pPr>
              <w:spacing w:line="360" w:lineRule="exact"/>
              <w:rPr>
                <w:rFonts w:ascii="宋体" w:hAnsi="宋体" w:cs="Courier New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GB"/>
              </w:rPr>
              <w:t>2、所投产品各项技术要求均满足招标文件要求的得15分，每有一项正偏离加1分，满分10分，本项共25分。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投标文件的规范程度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(4分)</w:t>
            </w:r>
          </w:p>
        </w:tc>
        <w:tc>
          <w:tcPr>
            <w:tcW w:w="724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GB"/>
              </w:rPr>
              <w:t>1、</w:t>
            </w:r>
            <w:r>
              <w:rPr>
                <w:rFonts w:hint="eastAsia" w:ascii="宋体" w:hAnsi="宋体" w:cs="Courier New"/>
                <w:bCs/>
                <w:color w:val="000000"/>
                <w:sz w:val="24"/>
              </w:rPr>
              <w:t>投标文件的编制符合招标文件的规定，装订整齐规范的，得2分。</w:t>
            </w:r>
          </w:p>
        </w:tc>
        <w:tc>
          <w:tcPr>
            <w:tcW w:w="8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8" w:type="dxa"/>
            <w:vAlign w:val="center"/>
          </w:tcPr>
          <w:p>
            <w:pPr>
              <w:spacing w:line="360" w:lineRule="auto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GB"/>
              </w:rPr>
              <w:t>2、</w:t>
            </w:r>
            <w:r>
              <w:rPr>
                <w:rFonts w:hint="eastAsia" w:ascii="宋体" w:hAnsi="宋体" w:cs="Courier New"/>
                <w:bCs/>
                <w:color w:val="000000"/>
                <w:sz w:val="24"/>
              </w:rPr>
              <w:t>根据招标文件规定的投标文件编制要求，投标文件逻辑严紧、描述规范、无文字错误且符合编制要求的，得2分。</w:t>
            </w:r>
          </w:p>
        </w:tc>
        <w:tc>
          <w:tcPr>
            <w:tcW w:w="8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</w:pPr>
          </w:p>
        </w:tc>
      </w:tr>
    </w:tbl>
    <w:p>
      <w:pPr>
        <w:rPr>
          <w:rFonts w:ascii="宋体" w:hAnsi="宋体" w:eastAsia="宋体" w:cs="宋体"/>
        </w:rPr>
      </w:pPr>
    </w:p>
    <w:p>
      <w:pPr>
        <w:spacing w:line="360" w:lineRule="auto"/>
        <w:rPr>
          <w:rFonts w:cs="黑体" w:asciiTheme="minorEastAsia" w:hAnsiTheme="minorEastAsia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cs="黑体" w:asciiTheme="minorEastAsia" w:hAnsiTheme="minorEastAsia"/>
          <w:b/>
          <w:bCs/>
          <w:color w:val="000000"/>
          <w:sz w:val="30"/>
          <w:szCs w:val="30"/>
          <w:shd w:val="clear" w:color="auto" w:fill="FFFFFF"/>
        </w:rPr>
        <w:t>七、采购资金支付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4"/>
          <w:lang w:val="zh-CN"/>
        </w:rPr>
      </w:pPr>
      <w:r>
        <w:rPr>
          <w:rFonts w:hint="eastAsia" w:ascii="仿宋" w:hAnsi="仿宋" w:eastAsia="仿宋" w:cs="Times New Roman"/>
          <w:color w:val="000000"/>
          <w:sz w:val="28"/>
          <w:szCs w:val="24"/>
          <w:lang w:val="zh-CN"/>
        </w:rPr>
        <w:t>1、支付方式：银行转账</w:t>
      </w:r>
    </w:p>
    <w:p>
      <w:pPr>
        <w:pStyle w:val="9"/>
        <w:shd w:val="clear" w:color="auto" w:fill="FFFFFF"/>
        <w:spacing w:line="360" w:lineRule="auto"/>
        <w:ind w:firstLine="562"/>
        <w:rPr>
          <w:rFonts w:ascii="仿宋" w:hAnsi="仿宋" w:eastAsia="仿宋"/>
          <w:sz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lang w:val="zh-CN"/>
        </w:rPr>
        <w:t>2、支付时间及条件：经验收合格后一次性付清。</w:t>
      </w:r>
      <w:r>
        <w:rPr>
          <w:rFonts w:ascii="仿宋" w:hAnsi="仿宋" w:eastAsia="仿宋"/>
          <w:sz w:val="28"/>
          <w:shd w:val="clear" w:color="auto" w:fill="FFFFFF"/>
        </w:rPr>
        <w:t xml:space="preserve"> </w:t>
      </w:r>
    </w:p>
    <w:p>
      <w:pPr>
        <w:spacing w:line="360" w:lineRule="auto"/>
        <w:rPr>
          <w:rFonts w:cs="黑体" w:asciiTheme="minorEastAsia" w:hAnsiTheme="minorEastAsia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cs="黑体" w:asciiTheme="minorEastAsia" w:hAnsiTheme="minorEastAsia"/>
          <w:b/>
          <w:bCs/>
          <w:color w:val="000000"/>
          <w:sz w:val="30"/>
          <w:szCs w:val="30"/>
          <w:shd w:val="clear" w:color="auto" w:fill="FFFFFF"/>
        </w:rPr>
        <w:t>八、联系方式及地址</w:t>
      </w:r>
    </w:p>
    <w:p>
      <w:pPr>
        <w:pStyle w:val="9"/>
        <w:shd w:val="clear" w:color="auto" w:fill="FFFFFF"/>
        <w:spacing w:line="360" w:lineRule="auto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联系人：朱先生       联系电话：0374-2956828</w:t>
      </w:r>
    </w:p>
    <w:p>
      <w:pPr>
        <w:pStyle w:val="9"/>
        <w:shd w:val="clear" w:color="auto" w:fill="FFFFFF"/>
        <w:spacing w:line="360" w:lineRule="auto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地  址：许昌市东城区综合执法局</w:t>
      </w:r>
    </w:p>
    <w:p>
      <w:pPr>
        <w:pStyle w:val="9"/>
        <w:shd w:val="clear" w:color="auto" w:fill="FFFFFF"/>
        <w:spacing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>
      <w:pPr>
        <w:pStyle w:val="9"/>
        <w:shd w:val="clear" w:color="auto" w:fill="FFFFFF"/>
        <w:spacing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许昌市东城区综合执法局 </w:t>
      </w:r>
    </w:p>
    <w:p>
      <w:pPr>
        <w:pStyle w:val="9"/>
        <w:shd w:val="clear" w:color="auto" w:fill="FFFFFF"/>
        <w:wordWrap w:val="0"/>
        <w:spacing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highlight w:val="none"/>
          <w:shd w:val="clear" w:color="auto" w:fill="FFFFFF"/>
        </w:rPr>
        <w:t>2018年</w:t>
      </w:r>
      <w:r>
        <w:rPr>
          <w:rFonts w:hint="eastAsia" w:ascii="仿宋" w:hAnsi="仿宋" w:eastAsia="仿宋"/>
          <w:sz w:val="28"/>
          <w:szCs w:val="28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  <w:highlight w:val="none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146C9"/>
    <w:multiLevelType w:val="multilevel"/>
    <w:tmpl w:val="708146C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0D0DB9"/>
    <w:rsid w:val="0002597A"/>
    <w:rsid w:val="00090C47"/>
    <w:rsid w:val="000962E5"/>
    <w:rsid w:val="000D0DB9"/>
    <w:rsid w:val="0011061C"/>
    <w:rsid w:val="00193B40"/>
    <w:rsid w:val="001F49D7"/>
    <w:rsid w:val="0024031D"/>
    <w:rsid w:val="0025028F"/>
    <w:rsid w:val="00280A96"/>
    <w:rsid w:val="00316205"/>
    <w:rsid w:val="003305A4"/>
    <w:rsid w:val="003471EB"/>
    <w:rsid w:val="00353109"/>
    <w:rsid w:val="00360FAB"/>
    <w:rsid w:val="00364E65"/>
    <w:rsid w:val="00393C72"/>
    <w:rsid w:val="003A082A"/>
    <w:rsid w:val="003B4FAB"/>
    <w:rsid w:val="003F1505"/>
    <w:rsid w:val="003F6344"/>
    <w:rsid w:val="00433C1C"/>
    <w:rsid w:val="00437A1F"/>
    <w:rsid w:val="00445E0A"/>
    <w:rsid w:val="00445FC7"/>
    <w:rsid w:val="00467B2C"/>
    <w:rsid w:val="004B3715"/>
    <w:rsid w:val="004C690C"/>
    <w:rsid w:val="004E3568"/>
    <w:rsid w:val="004F6412"/>
    <w:rsid w:val="00517728"/>
    <w:rsid w:val="00535848"/>
    <w:rsid w:val="00550E3D"/>
    <w:rsid w:val="00552A3C"/>
    <w:rsid w:val="00555471"/>
    <w:rsid w:val="00583EC2"/>
    <w:rsid w:val="005846F0"/>
    <w:rsid w:val="005F6E5B"/>
    <w:rsid w:val="00660528"/>
    <w:rsid w:val="00676933"/>
    <w:rsid w:val="00711F09"/>
    <w:rsid w:val="00724C65"/>
    <w:rsid w:val="007730A8"/>
    <w:rsid w:val="007D34F2"/>
    <w:rsid w:val="00832F96"/>
    <w:rsid w:val="008449B6"/>
    <w:rsid w:val="0085792E"/>
    <w:rsid w:val="008826DB"/>
    <w:rsid w:val="00905420"/>
    <w:rsid w:val="0091329C"/>
    <w:rsid w:val="0091468F"/>
    <w:rsid w:val="009315E2"/>
    <w:rsid w:val="009504F1"/>
    <w:rsid w:val="00954EB2"/>
    <w:rsid w:val="00993E00"/>
    <w:rsid w:val="009E698E"/>
    <w:rsid w:val="00AB1270"/>
    <w:rsid w:val="00AF5AA9"/>
    <w:rsid w:val="00B16B8E"/>
    <w:rsid w:val="00B3472A"/>
    <w:rsid w:val="00B42690"/>
    <w:rsid w:val="00B7524D"/>
    <w:rsid w:val="00B75349"/>
    <w:rsid w:val="00B95DD9"/>
    <w:rsid w:val="00BA0D54"/>
    <w:rsid w:val="00BA4D9E"/>
    <w:rsid w:val="00BD45E1"/>
    <w:rsid w:val="00BD4C19"/>
    <w:rsid w:val="00BE4D3F"/>
    <w:rsid w:val="00BF108C"/>
    <w:rsid w:val="00C00EB9"/>
    <w:rsid w:val="00C05B4A"/>
    <w:rsid w:val="00C17998"/>
    <w:rsid w:val="00C955B6"/>
    <w:rsid w:val="00CB64D7"/>
    <w:rsid w:val="00CD1EF2"/>
    <w:rsid w:val="00D16170"/>
    <w:rsid w:val="00D45218"/>
    <w:rsid w:val="00D821C4"/>
    <w:rsid w:val="00D9285C"/>
    <w:rsid w:val="00DB1EDB"/>
    <w:rsid w:val="00DC2436"/>
    <w:rsid w:val="00DF27C4"/>
    <w:rsid w:val="00DF3CF7"/>
    <w:rsid w:val="00E506CD"/>
    <w:rsid w:val="00E92969"/>
    <w:rsid w:val="00EA08A1"/>
    <w:rsid w:val="00EC1716"/>
    <w:rsid w:val="00EC6D0C"/>
    <w:rsid w:val="00F24269"/>
    <w:rsid w:val="00F322AB"/>
    <w:rsid w:val="00F47894"/>
    <w:rsid w:val="00F6162E"/>
    <w:rsid w:val="00F70FEE"/>
    <w:rsid w:val="00F773B0"/>
    <w:rsid w:val="00F94D1B"/>
    <w:rsid w:val="00F95AFD"/>
    <w:rsid w:val="00FB07AC"/>
    <w:rsid w:val="00FD46A4"/>
    <w:rsid w:val="03EA5363"/>
    <w:rsid w:val="09120AFF"/>
    <w:rsid w:val="09FF454B"/>
    <w:rsid w:val="0C2C3DAF"/>
    <w:rsid w:val="0E712035"/>
    <w:rsid w:val="126E601D"/>
    <w:rsid w:val="143D2973"/>
    <w:rsid w:val="18C04D89"/>
    <w:rsid w:val="1E3F5E1D"/>
    <w:rsid w:val="1F391F41"/>
    <w:rsid w:val="23877111"/>
    <w:rsid w:val="2DA42CE1"/>
    <w:rsid w:val="327D7F3C"/>
    <w:rsid w:val="43901518"/>
    <w:rsid w:val="4B006D47"/>
    <w:rsid w:val="4C6C62AE"/>
    <w:rsid w:val="4CF43EA9"/>
    <w:rsid w:val="576F29A3"/>
    <w:rsid w:val="5F2B7934"/>
    <w:rsid w:val="62B8780E"/>
    <w:rsid w:val="636079D9"/>
    <w:rsid w:val="63DF6EAA"/>
    <w:rsid w:val="699D6C16"/>
    <w:rsid w:val="6F766158"/>
    <w:rsid w:val="70E41773"/>
    <w:rsid w:val="72124BD1"/>
    <w:rsid w:val="77A977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20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4">
    <w:name w:val="Plain Text"/>
    <w:basedOn w:val="1"/>
    <w:link w:val="14"/>
    <w:qFormat/>
    <w:uiPriority w:val="0"/>
    <w:rPr>
      <w:rFonts w:eastAsia="宋体"/>
      <w:sz w:val="24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9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副标题 Char"/>
    <w:basedOn w:val="10"/>
    <w:link w:val="8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4">
    <w:name w:val="纯文本 Char"/>
    <w:basedOn w:val="10"/>
    <w:link w:val="4"/>
    <w:qFormat/>
    <w:uiPriority w:val="0"/>
    <w:rPr>
      <w:rFonts w:asciiTheme="minorHAnsi" w:hAnsiTheme="minorHAnsi" w:cstheme="minorBidi"/>
      <w:kern w:val="2"/>
      <w:sz w:val="24"/>
      <w:szCs w:val="22"/>
    </w:rPr>
  </w:style>
  <w:style w:type="character" w:customStyle="1" w:styleId="15">
    <w:name w:val="页眉 Char"/>
    <w:basedOn w:val="10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9">
    <w:name w:val="正文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正文首行缩进 Char"/>
    <w:basedOn w:val="19"/>
    <w:link w:val="2"/>
    <w:qFormat/>
    <w:uiPriority w:val="0"/>
    <w:rPr>
      <w:rFonts w:ascii="宋体"/>
      <w:sz w:val="34"/>
    </w:rPr>
  </w:style>
  <w:style w:type="paragraph" w:customStyle="1" w:styleId="21">
    <w:name w:val="Default"/>
    <w:basedOn w:val="1"/>
    <w:qFormat/>
    <w:uiPriority w:val="0"/>
    <w:pPr>
      <w:autoSpaceDE w:val="0"/>
      <w:autoSpaceDN w:val="0"/>
      <w:adjustRightInd w:val="0"/>
      <w:spacing w:after="200" w:line="276" w:lineRule="auto"/>
      <w:jc w:val="left"/>
    </w:pPr>
    <w:rPr>
      <w:rFonts w:hint="eastAsia" w:ascii="宋体" w:hAnsi="Calibri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606</Words>
  <Characters>3455</Characters>
  <Lines>28</Lines>
  <Paragraphs>8</Paragraphs>
  <TotalTime>4</TotalTime>
  <ScaleCrop>false</ScaleCrop>
  <LinksUpToDate>false</LinksUpToDate>
  <CharactersWithSpaces>4053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2018-02-02T05:16:00Z</dcterms:created>
  <dc:creator>AutoBVT</dc:creator>
  <cp:lastModifiedBy>欧邦工程管理有限公司:蔡书贞</cp:lastModifiedBy>
  <cp:lastPrinted>2018-08-28T02:40:00Z</cp:lastPrinted>
  <dcterms:modified xsi:type="dcterms:W3CDTF">2018-09-10T06:39:50Z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