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sz w:val="44"/>
        </w:rPr>
      </w:pPr>
      <w:r>
        <w:rPr>
          <w:rFonts w:hint="eastAsia" w:ascii="黑体" w:hAnsi="黑体" w:eastAsia="黑体"/>
          <w:b/>
          <w:sz w:val="44"/>
        </w:rPr>
        <w:t>禹州市</w:t>
      </w:r>
      <w:r>
        <w:rPr>
          <w:rFonts w:hint="eastAsia" w:ascii="黑体" w:hAnsi="黑体" w:eastAsia="黑体"/>
          <w:b/>
          <w:sz w:val="44"/>
          <w:lang w:eastAsia="zh-CN"/>
        </w:rPr>
        <w:t>中等专业学校信息化建设</w:t>
      </w:r>
      <w:r>
        <w:rPr>
          <w:rFonts w:hint="eastAsia" w:ascii="黑体" w:hAnsi="黑体" w:eastAsia="黑体"/>
          <w:b/>
          <w:sz w:val="44"/>
          <w:lang w:val="en-US" w:eastAsia="zh-CN"/>
        </w:rPr>
        <w:t>A包</w:t>
      </w:r>
      <w:r>
        <w:rPr>
          <w:rFonts w:hint="eastAsia" w:ascii="黑体" w:hAnsi="黑体" w:eastAsia="黑体"/>
          <w:b/>
          <w:sz w:val="44"/>
          <w:lang w:eastAsia="zh-CN"/>
        </w:rPr>
        <w:t>采购</w:t>
      </w:r>
      <w:r>
        <w:rPr>
          <w:rFonts w:hint="eastAsia" w:ascii="黑体" w:hAnsi="黑体" w:eastAsia="黑体"/>
          <w:b/>
          <w:sz w:val="44"/>
        </w:rPr>
        <w:t>项目</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520" w:lineRule="exact"/>
        <w:ind w:firstLine="320" w:firstLineChars="100"/>
        <w:rPr>
          <w:rFonts w:hint="eastAsia" w:ascii="仿宋" w:hAnsi="仿宋" w:eastAsia="仿宋"/>
          <w:sz w:val="32"/>
          <w:lang w:eastAsia="zh-CN"/>
        </w:rPr>
      </w:pPr>
      <w:r>
        <w:rPr>
          <w:rFonts w:hint="eastAsia" w:ascii="仿宋" w:hAnsi="仿宋" w:eastAsia="仿宋"/>
          <w:sz w:val="32"/>
        </w:rPr>
        <w:t>采购单位：</w:t>
      </w:r>
      <w:r>
        <w:rPr>
          <w:rFonts w:hint="eastAsia" w:ascii="仿宋" w:hAnsi="仿宋" w:eastAsia="仿宋" w:cs="仿宋"/>
          <w:sz w:val="32"/>
          <w:szCs w:val="32"/>
        </w:rPr>
        <w:t>禹州市</w:t>
      </w:r>
      <w:r>
        <w:rPr>
          <w:rFonts w:hint="eastAsia" w:ascii="仿宋" w:hAnsi="仿宋" w:eastAsia="仿宋" w:cs="仿宋"/>
          <w:sz w:val="32"/>
          <w:szCs w:val="32"/>
          <w:lang w:eastAsia="zh-CN"/>
        </w:rPr>
        <w:t>中等专业学校</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项目名称：禹州市中等专业学校信息化建设A包采购项目</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采购编号：YZCG—G2018</w:t>
      </w:r>
      <w:r>
        <w:rPr>
          <w:rFonts w:hint="eastAsia" w:ascii="仿宋" w:hAnsi="仿宋" w:eastAsia="仿宋"/>
          <w:sz w:val="32"/>
          <w:lang w:val="en-US" w:eastAsia="zh-CN"/>
        </w:rPr>
        <w:t>214</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2560" w:firstLineChars="80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八</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spacing w:line="520" w:lineRule="exact"/>
        <w:textAlignment w:val="baseline"/>
        <w:rPr>
          <w:rFonts w:ascii="黑体" w:hAnsi="黑体" w:eastAsia="黑体" w:cs="黑体"/>
          <w:b/>
          <w:sz w:val="44"/>
          <w:szCs w:val="44"/>
        </w:rPr>
      </w:pPr>
      <w:r>
        <w:rPr>
          <w:rFonts w:hint="eastAsia" w:ascii="黑体" w:hAnsi="黑体" w:eastAsia="黑体" w:cs="黑体"/>
          <w:b/>
          <w:sz w:val="44"/>
          <w:szCs w:val="44"/>
        </w:rPr>
        <w:t xml:space="preserve"> </w:t>
      </w:r>
    </w:p>
    <w:p>
      <w:pPr>
        <w:jc w:val="center"/>
        <w:rPr>
          <w:rFonts w:hint="eastAsia" w:ascii="黑体" w:hAnsi="黑体" w:eastAsia="黑体"/>
          <w:b/>
          <w:sz w:val="36"/>
          <w:szCs w:val="36"/>
        </w:rPr>
      </w:pPr>
      <w:r>
        <w:rPr>
          <w:rFonts w:hint="eastAsia" w:ascii="黑体" w:hAnsi="黑体" w:eastAsia="黑体"/>
          <w:b/>
          <w:sz w:val="36"/>
          <w:szCs w:val="36"/>
        </w:rPr>
        <w:t>禹州市中等专业学校信息化建设A包采购项目</w:t>
      </w:r>
    </w:p>
    <w:p>
      <w:pPr>
        <w:jc w:val="center"/>
        <w:rPr>
          <w:rFonts w:ascii="黑体" w:hAnsi="黑体" w:eastAsia="黑体"/>
          <w:b/>
          <w:sz w:val="36"/>
          <w:szCs w:val="36"/>
        </w:rPr>
      </w:pPr>
      <w:r>
        <w:rPr>
          <w:rFonts w:hint="eastAsia" w:ascii="黑体" w:hAnsi="黑体" w:eastAsia="黑体"/>
          <w:b/>
          <w:sz w:val="36"/>
          <w:szCs w:val="36"/>
        </w:rPr>
        <w:t xml:space="preserve">招  标  邀 </w:t>
      </w:r>
      <w:r>
        <w:rPr>
          <w:rFonts w:hint="eastAsia" w:ascii="黑体" w:hAnsi="黑体" w:eastAsia="黑体"/>
          <w:b/>
          <w:sz w:val="36"/>
          <w:szCs w:val="36"/>
          <w:lang w:val="en-US" w:eastAsia="zh-CN"/>
        </w:rPr>
        <w:t xml:space="preserve"> </w:t>
      </w:r>
      <w:r>
        <w:rPr>
          <w:rFonts w:hint="eastAsia" w:ascii="黑体" w:hAnsi="黑体" w:eastAsia="黑体"/>
          <w:b/>
          <w:sz w:val="36"/>
          <w:szCs w:val="36"/>
        </w:rPr>
        <w:t>请 函</w:t>
      </w:r>
    </w:p>
    <w:p>
      <w:pPr>
        <w:rPr>
          <w:rFonts w:ascii="仿宋" w:hAnsi="仿宋" w:eastAsia="仿宋"/>
          <w:sz w:val="24"/>
        </w:rPr>
      </w:pPr>
    </w:p>
    <w:p>
      <w:pPr>
        <w:spacing w:line="460" w:lineRule="exact"/>
        <w:ind w:firstLine="480" w:firstLineChars="200"/>
        <w:rPr>
          <w:rFonts w:ascii="仿宋" w:hAnsi="仿宋" w:eastAsia="仿宋"/>
          <w:sz w:val="24"/>
          <w:szCs w:val="24"/>
        </w:rPr>
      </w:pPr>
      <w:r>
        <w:rPr>
          <w:rFonts w:hint="eastAsia" w:ascii="仿宋" w:hAnsi="仿宋" w:eastAsia="仿宋"/>
          <w:sz w:val="24"/>
          <w:szCs w:val="24"/>
        </w:rPr>
        <w:t>禹州市政府采购中心受禹州市中等专业学校的委托，就“禹州市中等专业学校信息化建设A包采购项目”进行公开招标，欢迎合格的投标人前来投标。</w:t>
      </w:r>
    </w:p>
    <w:p>
      <w:pPr>
        <w:spacing w:line="460" w:lineRule="exact"/>
        <w:ind w:firstLine="482" w:firstLineChars="200"/>
        <w:rPr>
          <w:rFonts w:ascii="仿宋" w:hAnsi="仿宋" w:eastAsia="仿宋"/>
          <w:b/>
          <w:sz w:val="24"/>
          <w:szCs w:val="24"/>
        </w:rPr>
      </w:pPr>
      <w:r>
        <w:rPr>
          <w:rFonts w:hint="eastAsia" w:ascii="仿宋" w:hAnsi="仿宋" w:eastAsia="仿宋"/>
          <w:b/>
          <w:sz w:val="24"/>
          <w:szCs w:val="24"/>
        </w:rPr>
        <w:t>一、项目基本情况</w:t>
      </w:r>
    </w:p>
    <w:p>
      <w:pPr>
        <w:spacing w:line="460" w:lineRule="exact"/>
        <w:ind w:firstLine="480" w:firstLineChars="200"/>
        <w:rPr>
          <w:rFonts w:hint="eastAsia" w:ascii="仿宋" w:hAnsi="仿宋" w:eastAsia="仿宋"/>
          <w:sz w:val="24"/>
          <w:szCs w:val="24"/>
        </w:rPr>
      </w:pPr>
      <w:r>
        <w:rPr>
          <w:rFonts w:hint="eastAsia" w:ascii="仿宋" w:hAnsi="仿宋" w:eastAsia="仿宋"/>
          <w:sz w:val="24"/>
          <w:szCs w:val="24"/>
        </w:rPr>
        <w:t>1、采购人：禹州市中等专业学校</w:t>
      </w:r>
    </w:p>
    <w:p>
      <w:pPr>
        <w:spacing w:line="460" w:lineRule="exact"/>
        <w:ind w:firstLine="480" w:firstLineChars="200"/>
        <w:rPr>
          <w:rFonts w:hint="eastAsia" w:ascii="仿宋" w:hAnsi="仿宋" w:eastAsia="仿宋"/>
          <w:sz w:val="24"/>
          <w:szCs w:val="24"/>
        </w:rPr>
      </w:pPr>
      <w:r>
        <w:rPr>
          <w:rFonts w:hint="eastAsia" w:ascii="仿宋" w:hAnsi="仿宋" w:eastAsia="仿宋"/>
          <w:sz w:val="24"/>
          <w:szCs w:val="24"/>
        </w:rPr>
        <w:t>2、项目名称：禹州市中等专业学校信息化建设A包采购项目</w:t>
      </w:r>
    </w:p>
    <w:p>
      <w:pPr>
        <w:spacing w:line="460" w:lineRule="exact"/>
        <w:ind w:firstLine="480" w:firstLineChars="200"/>
        <w:rPr>
          <w:rFonts w:hint="eastAsia" w:ascii="仿宋" w:hAnsi="仿宋" w:eastAsia="仿宋"/>
          <w:sz w:val="24"/>
          <w:szCs w:val="24"/>
          <w:lang w:val="en-US" w:eastAsia="zh-CN"/>
        </w:rPr>
      </w:pPr>
      <w:r>
        <w:rPr>
          <w:rFonts w:hint="eastAsia" w:ascii="仿宋" w:hAnsi="仿宋" w:eastAsia="仿宋"/>
          <w:sz w:val="24"/>
          <w:szCs w:val="24"/>
        </w:rPr>
        <w:t>3、采购编号：YZCG-G2018</w:t>
      </w:r>
      <w:r>
        <w:rPr>
          <w:rFonts w:hint="eastAsia" w:ascii="仿宋" w:hAnsi="仿宋" w:eastAsia="仿宋"/>
          <w:sz w:val="24"/>
          <w:szCs w:val="24"/>
          <w:lang w:val="en-US" w:eastAsia="zh-CN"/>
        </w:rPr>
        <w:t>214</w:t>
      </w:r>
    </w:p>
    <w:p>
      <w:pPr>
        <w:spacing w:line="460" w:lineRule="exact"/>
        <w:ind w:firstLine="480" w:firstLineChars="200"/>
        <w:rPr>
          <w:rFonts w:hint="eastAsia" w:ascii="仿宋" w:hAnsi="仿宋" w:eastAsia="仿宋"/>
          <w:sz w:val="24"/>
          <w:szCs w:val="24"/>
          <w:lang w:eastAsia="zh-CN"/>
        </w:rPr>
      </w:pPr>
      <w:r>
        <w:rPr>
          <w:rFonts w:hint="eastAsia" w:ascii="仿宋" w:hAnsi="仿宋" w:eastAsia="仿宋"/>
          <w:sz w:val="24"/>
          <w:szCs w:val="24"/>
        </w:rPr>
        <w:t>4、项目需求：</w:t>
      </w:r>
      <w:r>
        <w:rPr>
          <w:rFonts w:hint="eastAsia" w:ascii="仿宋" w:hAnsi="仿宋" w:eastAsia="仿宋"/>
          <w:sz w:val="24"/>
          <w:szCs w:val="24"/>
          <w:lang w:eastAsia="zh-CN"/>
        </w:rPr>
        <w:t>计算机机设备及软件</w:t>
      </w:r>
    </w:p>
    <w:p>
      <w:pPr>
        <w:spacing w:line="460" w:lineRule="exact"/>
        <w:ind w:firstLine="480" w:firstLineChars="200"/>
        <w:rPr>
          <w:rFonts w:ascii="仿宋" w:hAnsi="仿宋" w:eastAsia="仿宋"/>
          <w:sz w:val="24"/>
          <w:szCs w:val="24"/>
        </w:rPr>
      </w:pPr>
      <w:r>
        <w:rPr>
          <w:rFonts w:hint="eastAsia" w:ascii="仿宋" w:hAnsi="仿宋" w:eastAsia="仿宋"/>
          <w:sz w:val="24"/>
          <w:szCs w:val="24"/>
        </w:rPr>
        <w:t>5、采购预算：</w:t>
      </w:r>
      <w:r>
        <w:rPr>
          <w:rFonts w:hint="eastAsia" w:ascii="仿宋" w:hAnsi="仿宋" w:eastAsia="仿宋"/>
          <w:sz w:val="24"/>
          <w:szCs w:val="24"/>
          <w:lang w:val="en-US" w:eastAsia="zh-CN"/>
        </w:rPr>
        <w:t>180</w:t>
      </w:r>
      <w:r>
        <w:rPr>
          <w:rFonts w:hint="eastAsia" w:ascii="仿宋" w:hAnsi="仿宋" w:eastAsia="仿宋"/>
          <w:sz w:val="24"/>
          <w:szCs w:val="24"/>
        </w:rPr>
        <w:t>万元</w:t>
      </w:r>
    </w:p>
    <w:p>
      <w:pPr>
        <w:spacing w:line="460" w:lineRule="exact"/>
        <w:ind w:firstLine="480"/>
        <w:rPr>
          <w:rFonts w:ascii="仿宋" w:hAnsi="仿宋" w:eastAsia="仿宋"/>
          <w:sz w:val="24"/>
          <w:szCs w:val="24"/>
        </w:rPr>
      </w:pPr>
      <w:r>
        <w:rPr>
          <w:rFonts w:hint="eastAsia" w:ascii="仿宋" w:hAnsi="仿宋" w:eastAsia="仿宋"/>
          <w:sz w:val="24"/>
          <w:szCs w:val="24"/>
        </w:rPr>
        <w:t>6、最高限价：</w:t>
      </w:r>
      <w:r>
        <w:rPr>
          <w:rFonts w:hint="eastAsia" w:ascii="仿宋" w:hAnsi="仿宋" w:eastAsia="仿宋"/>
          <w:sz w:val="24"/>
          <w:szCs w:val="24"/>
          <w:lang w:val="en-US" w:eastAsia="zh-CN"/>
        </w:rPr>
        <w:t>180</w:t>
      </w:r>
      <w:r>
        <w:rPr>
          <w:rFonts w:hint="eastAsia" w:ascii="仿宋" w:hAnsi="仿宋" w:eastAsia="仿宋"/>
          <w:sz w:val="24"/>
          <w:szCs w:val="24"/>
        </w:rPr>
        <w:t>万元</w:t>
      </w:r>
    </w:p>
    <w:p>
      <w:pPr>
        <w:spacing w:line="460" w:lineRule="exact"/>
        <w:ind w:firstLine="480"/>
        <w:rPr>
          <w:rFonts w:ascii="仿宋" w:hAnsi="仿宋" w:eastAsia="仿宋"/>
          <w:b/>
          <w:sz w:val="24"/>
          <w:szCs w:val="24"/>
        </w:rPr>
      </w:pPr>
      <w:r>
        <w:rPr>
          <w:rFonts w:hint="eastAsia" w:ascii="仿宋" w:hAnsi="仿宋" w:eastAsia="仿宋"/>
          <w:b/>
          <w:sz w:val="24"/>
          <w:szCs w:val="24"/>
        </w:rPr>
        <w:t>二、需要落实的政府采购政策</w:t>
      </w:r>
    </w:p>
    <w:p>
      <w:pPr>
        <w:spacing w:line="460" w:lineRule="exact"/>
        <w:rPr>
          <w:rFonts w:ascii="仿宋" w:hAnsi="仿宋" w:eastAsia="仿宋"/>
          <w:sz w:val="24"/>
          <w:szCs w:val="24"/>
        </w:rPr>
      </w:pPr>
      <w:r>
        <w:rPr>
          <w:rFonts w:hint="eastAsia" w:ascii="仿宋" w:hAnsi="仿宋" w:eastAsia="仿宋"/>
          <w:sz w:val="24"/>
          <w:szCs w:val="24"/>
        </w:rPr>
        <w:t>　　本项目落实节约能源、保护环境、扶持不发达地区和少数民族地区、促进中小企业、监狱企业发展等政府采购政策。（详见招标文件）</w:t>
      </w:r>
    </w:p>
    <w:p>
      <w:pPr>
        <w:spacing w:line="460" w:lineRule="exact"/>
        <w:rPr>
          <w:rFonts w:ascii="仿宋" w:hAnsi="仿宋" w:eastAsia="仿宋"/>
          <w:b/>
          <w:sz w:val="24"/>
          <w:szCs w:val="24"/>
        </w:rPr>
      </w:pPr>
      <w:r>
        <w:rPr>
          <w:rFonts w:hint="eastAsia" w:ascii="仿宋" w:hAnsi="仿宋" w:eastAsia="仿宋"/>
          <w:sz w:val="24"/>
          <w:szCs w:val="24"/>
        </w:rPr>
        <w:t>　</w:t>
      </w:r>
      <w:r>
        <w:rPr>
          <w:rFonts w:hint="eastAsia" w:ascii="仿宋" w:hAnsi="仿宋" w:eastAsia="仿宋"/>
          <w:b/>
          <w:sz w:val="24"/>
          <w:szCs w:val="24"/>
        </w:rPr>
        <w:t>　三、供应商资格要求</w:t>
      </w:r>
    </w:p>
    <w:p>
      <w:pPr>
        <w:spacing w:line="460" w:lineRule="exact"/>
        <w:rPr>
          <w:rFonts w:ascii="仿宋" w:hAnsi="仿宋" w:eastAsia="仿宋"/>
          <w:sz w:val="24"/>
          <w:szCs w:val="24"/>
        </w:rPr>
      </w:pPr>
      <w:r>
        <w:rPr>
          <w:rFonts w:hint="eastAsia" w:ascii="仿宋" w:hAnsi="仿宋" w:eastAsia="仿宋"/>
          <w:sz w:val="24"/>
          <w:szCs w:val="24"/>
        </w:rPr>
        <w:t>　　1、符合《政府采购法》第二十二条之规定，具有</w:t>
      </w:r>
      <w:r>
        <w:rPr>
          <w:rFonts w:hint="eastAsia" w:ascii="仿宋" w:hAnsi="仿宋" w:eastAsia="仿宋"/>
          <w:sz w:val="24"/>
          <w:szCs w:val="24"/>
          <w:lang w:eastAsia="zh-CN"/>
        </w:rPr>
        <w:t>独立法人资格及</w:t>
      </w:r>
      <w:r>
        <w:rPr>
          <w:rFonts w:hint="eastAsia" w:ascii="仿宋" w:hAnsi="仿宋" w:eastAsia="仿宋"/>
          <w:sz w:val="24"/>
          <w:szCs w:val="24"/>
        </w:rPr>
        <w:t>相应经营范围（以营业执照为准）；</w:t>
      </w:r>
    </w:p>
    <w:p>
      <w:pPr>
        <w:spacing w:line="460" w:lineRule="exact"/>
        <w:ind w:firstLine="480" w:firstLineChars="200"/>
        <w:rPr>
          <w:rFonts w:ascii="仿宋" w:hAnsi="仿宋" w:eastAsia="仿宋"/>
          <w:sz w:val="24"/>
          <w:szCs w:val="24"/>
        </w:rPr>
      </w:pPr>
      <w:r>
        <w:rPr>
          <w:rFonts w:hint="eastAsia" w:ascii="仿宋" w:hAnsi="仿宋" w:eastAsia="仿宋"/>
          <w:sz w:val="24"/>
          <w:szCs w:val="24"/>
          <w:lang w:val="en-US" w:eastAsia="zh-CN"/>
        </w:rPr>
        <w:t>2</w:t>
      </w:r>
      <w:r>
        <w:rPr>
          <w:rFonts w:hint="eastAsia" w:ascii="仿宋" w:hAnsi="仿宋" w:eastAsia="仿宋"/>
          <w:sz w:val="24"/>
          <w:szCs w:val="24"/>
        </w:rPr>
        <w:t>、法定代表人授权代表须是本单位职工，提供本公司为本人缴纳社会保险证明；</w:t>
      </w:r>
    </w:p>
    <w:p>
      <w:pPr>
        <w:spacing w:line="460" w:lineRule="exact"/>
        <w:rPr>
          <w:rFonts w:ascii="仿宋" w:hAnsi="仿宋" w:eastAsia="仿宋"/>
          <w:sz w:val="24"/>
          <w:szCs w:val="24"/>
        </w:rPr>
      </w:pPr>
      <w:r>
        <w:rPr>
          <w:rFonts w:hint="eastAsia" w:ascii="仿宋" w:hAnsi="仿宋" w:eastAsia="仿宋"/>
          <w:sz w:val="24"/>
          <w:szCs w:val="24"/>
        </w:rPr>
        <w:t>　　</w:t>
      </w:r>
      <w:r>
        <w:rPr>
          <w:rFonts w:hint="eastAsia" w:ascii="仿宋" w:hAnsi="仿宋" w:eastAsia="仿宋"/>
          <w:sz w:val="24"/>
          <w:szCs w:val="24"/>
          <w:lang w:val="en-US" w:eastAsia="zh-CN"/>
        </w:rPr>
        <w:t>3</w:t>
      </w:r>
      <w:r>
        <w:rPr>
          <w:rFonts w:hint="eastAsia" w:ascii="仿宋" w:hAnsi="仿宋" w:eastAsia="仿宋"/>
          <w:sz w:val="24"/>
          <w:szCs w:val="24"/>
        </w:rPr>
        <w:t>、本项目不接受联合体投标。</w:t>
      </w:r>
    </w:p>
    <w:p>
      <w:pPr>
        <w:spacing w:line="460" w:lineRule="exact"/>
        <w:rPr>
          <w:rFonts w:ascii="仿宋" w:hAnsi="仿宋" w:eastAsia="仿宋"/>
          <w:b/>
          <w:sz w:val="24"/>
          <w:szCs w:val="24"/>
        </w:rPr>
      </w:pPr>
      <w:r>
        <w:rPr>
          <w:rFonts w:hint="eastAsia" w:ascii="仿宋" w:hAnsi="仿宋" w:eastAsia="仿宋"/>
          <w:b/>
          <w:sz w:val="24"/>
          <w:szCs w:val="24"/>
        </w:rPr>
        <w:t>　　四、获取招标文件的方式、时间、地点及文件费用</w:t>
      </w:r>
    </w:p>
    <w:p>
      <w:pPr>
        <w:topLinePunct/>
        <w:snapToGrid w:val="0"/>
        <w:spacing w:line="440" w:lineRule="exact"/>
        <w:ind w:firstLine="480" w:firstLineChars="200"/>
        <w:rPr>
          <w:rFonts w:ascii="仿宋" w:hAnsi="仿宋" w:eastAsia="仿宋"/>
          <w:sz w:val="24"/>
          <w:szCs w:val="24"/>
        </w:rPr>
      </w:pPr>
      <w:r>
        <w:rPr>
          <w:rFonts w:hint="eastAsia" w:ascii="仿宋" w:hAnsi="仿宋" w:eastAsia="仿宋"/>
          <w:sz w:val="24"/>
          <w:szCs w:val="24"/>
        </w:rPr>
        <w:t>1、持CA数字认证证书，登录</w:t>
      </w:r>
      <w:r>
        <w:fldChar w:fldCharType="begin"/>
      </w:r>
      <w:r>
        <w:instrText xml:space="preserve">HYPERLINK "http://221.14.6.70:8088/ggzy/eps/public/RegistAllJcxx.html"</w:instrText>
      </w:r>
      <w:r>
        <w:fldChar w:fldCharType="separate"/>
      </w:r>
      <w:r>
        <w:rPr>
          <w:rFonts w:hint="eastAsia" w:ascii="仿宋" w:hAnsi="仿宋" w:eastAsia="仿宋"/>
          <w:sz w:val="24"/>
          <w:szCs w:val="24"/>
        </w:rPr>
        <w:t>http://221.14.6.70:8088/ggzy/eps/public/RegistAllJcxx.html</w:t>
      </w:r>
      <w:r>
        <w:fldChar w:fldCharType="end"/>
      </w:r>
      <w:r>
        <w:rPr>
          <w:rFonts w:hint="eastAsia" w:ascii="仿宋" w:hAnsi="仿宋" w:eastAsia="仿宋"/>
          <w:sz w:val="24"/>
          <w:szCs w:val="24"/>
        </w:rPr>
        <w:t>进行免费注册登记（详见全国公共资源交易平台（河南省·许昌市）“常见问题解答-诚信库网上注册相关资料下载”）；</w:t>
      </w:r>
    </w:p>
    <w:p>
      <w:pPr>
        <w:topLinePunct/>
        <w:autoSpaceDE w:val="0"/>
        <w:autoSpaceDN w:val="0"/>
        <w:adjustRightInd w:val="0"/>
        <w:snapToGrid w:val="0"/>
        <w:spacing w:line="440" w:lineRule="exact"/>
        <w:ind w:firstLine="482"/>
        <w:rPr>
          <w:rFonts w:ascii="仿宋" w:hAnsi="仿宋" w:eastAsia="仿宋"/>
          <w:sz w:val="24"/>
          <w:szCs w:val="24"/>
        </w:rPr>
      </w:pPr>
      <w:r>
        <w:rPr>
          <w:rFonts w:hint="eastAsia" w:ascii="仿宋" w:hAnsi="仿宋" w:eastAsia="仿宋"/>
          <w:sz w:val="24"/>
          <w:szCs w:val="24"/>
        </w:rPr>
        <w:t>　2、在投标截止时间前登录</w:t>
      </w:r>
      <w:r>
        <w:fldChar w:fldCharType="begin"/>
      </w:r>
      <w:r>
        <w:instrText xml:space="preserve">HYPERLINK "http://221.14.6.70:8088/ggzy/"</w:instrText>
      </w:r>
      <w:r>
        <w:fldChar w:fldCharType="separate"/>
      </w:r>
      <w:r>
        <w:rPr>
          <w:rFonts w:hint="eastAsia" w:ascii="仿宋" w:hAnsi="仿宋" w:eastAsia="仿宋"/>
          <w:sz w:val="24"/>
          <w:szCs w:val="24"/>
        </w:rPr>
        <w:t>http://221.14.6.70:8088/ggzy/</w:t>
      </w:r>
      <w:r>
        <w:fldChar w:fldCharType="end"/>
      </w:r>
      <w:r>
        <w:rPr>
          <w:rFonts w:hint="eastAsia" w:ascii="仿宋" w:hAnsi="仿宋" w:eastAsia="仿宋"/>
          <w:sz w:val="24"/>
          <w:szCs w:val="24"/>
        </w:rPr>
        <w:t>，自行下载招标文件（详见全国公共资源交易平台（河南省·许昌市）“常见问题解答-交易系统操作手册”）。</w:t>
      </w:r>
    </w:p>
    <w:p>
      <w:pPr>
        <w:spacing w:line="440" w:lineRule="exact"/>
        <w:rPr>
          <w:rFonts w:ascii="仿宋" w:hAnsi="仿宋" w:eastAsia="仿宋"/>
          <w:sz w:val="24"/>
          <w:szCs w:val="24"/>
        </w:rPr>
      </w:pPr>
      <w:r>
        <w:rPr>
          <w:rFonts w:hint="eastAsia" w:ascii="仿宋" w:hAnsi="仿宋" w:eastAsia="仿宋"/>
          <w:sz w:val="24"/>
          <w:szCs w:val="24"/>
        </w:rPr>
        <w:t>　　3、未通过全国公共资源交易平台（河南省·许昌市）下载招标文件的投标企业，拒收其递交的投标文件。</w:t>
      </w:r>
    </w:p>
    <w:p>
      <w:pPr>
        <w:spacing w:line="440" w:lineRule="exact"/>
        <w:rPr>
          <w:rFonts w:ascii="仿宋" w:hAnsi="仿宋" w:eastAsia="仿宋"/>
          <w:sz w:val="24"/>
          <w:szCs w:val="24"/>
        </w:rPr>
      </w:pPr>
      <w:r>
        <w:rPr>
          <w:rFonts w:hint="eastAsia" w:ascii="仿宋" w:hAnsi="仿宋" w:eastAsia="仿宋"/>
          <w:sz w:val="24"/>
          <w:szCs w:val="24"/>
        </w:rPr>
        <w:t>　　4、招标文件每份售价人民币200元，于递交投标文件时缴纳给采购代理机构，售后不退。</w:t>
      </w:r>
    </w:p>
    <w:p>
      <w:pPr>
        <w:spacing w:line="460" w:lineRule="exact"/>
        <w:rPr>
          <w:rFonts w:ascii="仿宋" w:hAnsi="仿宋" w:eastAsia="仿宋"/>
          <w:b/>
          <w:sz w:val="24"/>
          <w:szCs w:val="24"/>
        </w:rPr>
      </w:pPr>
      <w:r>
        <w:rPr>
          <w:rFonts w:hint="eastAsia" w:ascii="仿宋" w:hAnsi="仿宋" w:eastAsia="仿宋"/>
          <w:b/>
          <w:sz w:val="24"/>
          <w:szCs w:val="24"/>
        </w:rPr>
        <w:t>　　五、投标截止时间、开标时间及地点：</w:t>
      </w:r>
    </w:p>
    <w:p>
      <w:pPr>
        <w:spacing w:line="460" w:lineRule="exact"/>
        <w:rPr>
          <w:rFonts w:ascii="仿宋" w:hAnsi="仿宋" w:eastAsia="仿宋"/>
          <w:sz w:val="24"/>
          <w:szCs w:val="24"/>
        </w:rPr>
      </w:pPr>
      <w:r>
        <w:rPr>
          <w:rFonts w:hint="eastAsia" w:ascii="仿宋" w:hAnsi="仿宋" w:eastAsia="仿宋"/>
          <w:sz w:val="24"/>
          <w:szCs w:val="24"/>
        </w:rPr>
        <w:t>　　1、投标截止及开标时间：2018年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 xml:space="preserve"> 5</w:t>
      </w:r>
      <w:r>
        <w:rPr>
          <w:rFonts w:hint="eastAsia" w:ascii="仿宋" w:hAnsi="仿宋" w:eastAsia="仿宋"/>
          <w:sz w:val="24"/>
          <w:szCs w:val="24"/>
        </w:rPr>
        <w:t xml:space="preserve">日 </w:t>
      </w:r>
      <w:r>
        <w:rPr>
          <w:rFonts w:hint="eastAsia" w:ascii="仿宋" w:hAnsi="仿宋" w:eastAsia="仿宋"/>
          <w:sz w:val="24"/>
          <w:szCs w:val="24"/>
          <w:lang w:val="en-US" w:eastAsia="zh-CN"/>
        </w:rPr>
        <w:t>9：00</w:t>
      </w:r>
      <w:r>
        <w:rPr>
          <w:rFonts w:hint="eastAsia" w:ascii="仿宋" w:hAnsi="仿宋" w:eastAsia="仿宋"/>
          <w:sz w:val="24"/>
          <w:szCs w:val="24"/>
        </w:rPr>
        <w:t>北京时间），逾期送达或不符合规定的投标文件不予接受。</w:t>
      </w:r>
    </w:p>
    <w:p>
      <w:pPr>
        <w:spacing w:line="460" w:lineRule="exact"/>
        <w:rPr>
          <w:rFonts w:ascii="仿宋" w:hAnsi="仿宋" w:eastAsia="仿宋"/>
          <w:sz w:val="24"/>
          <w:szCs w:val="24"/>
        </w:rPr>
      </w:pPr>
      <w:r>
        <w:rPr>
          <w:rFonts w:hint="eastAsia" w:ascii="仿宋" w:hAnsi="仿宋" w:eastAsia="仿宋"/>
          <w:sz w:val="24"/>
          <w:szCs w:val="24"/>
        </w:rPr>
        <w:t xml:space="preserve">　　2、开标地点：禹州市公共资源交易中心第二开标室（禹州市行政服务中心楼9楼） </w:t>
      </w:r>
    </w:p>
    <w:p>
      <w:pPr>
        <w:spacing w:line="460" w:lineRule="exact"/>
        <w:rPr>
          <w:rFonts w:ascii="仿宋" w:hAnsi="仿宋" w:eastAsia="仿宋"/>
          <w:b/>
          <w:sz w:val="24"/>
          <w:szCs w:val="24"/>
        </w:rPr>
      </w:pPr>
      <w:r>
        <w:rPr>
          <w:rFonts w:hint="eastAsia" w:ascii="仿宋" w:hAnsi="仿宋" w:eastAsia="仿宋"/>
          <w:b/>
          <w:sz w:val="24"/>
          <w:szCs w:val="24"/>
        </w:rPr>
        <w:t>　　六、代理机构及采购单位地址、联系人、联系电话</w:t>
      </w:r>
    </w:p>
    <w:p>
      <w:pPr>
        <w:spacing w:line="460" w:lineRule="exact"/>
        <w:rPr>
          <w:rFonts w:ascii="仿宋" w:hAnsi="仿宋" w:eastAsia="仿宋"/>
          <w:sz w:val="24"/>
          <w:szCs w:val="24"/>
        </w:rPr>
      </w:pPr>
      <w:r>
        <w:rPr>
          <w:rFonts w:hint="eastAsia" w:ascii="仿宋" w:hAnsi="仿宋" w:eastAsia="仿宋"/>
          <w:sz w:val="24"/>
          <w:szCs w:val="24"/>
        </w:rPr>
        <w:t>　（一）代理机构：禹州市政府采购中心</w:t>
      </w:r>
    </w:p>
    <w:p>
      <w:pPr>
        <w:spacing w:line="460" w:lineRule="exact"/>
        <w:rPr>
          <w:rFonts w:ascii="仿宋" w:hAnsi="仿宋" w:eastAsia="仿宋"/>
          <w:sz w:val="24"/>
          <w:szCs w:val="24"/>
        </w:rPr>
      </w:pPr>
      <w:r>
        <w:rPr>
          <w:rFonts w:hint="eastAsia" w:ascii="仿宋" w:hAnsi="仿宋" w:eastAsia="仿宋"/>
          <w:sz w:val="24"/>
          <w:szCs w:val="24"/>
        </w:rPr>
        <w:t>　　地址：禹州市行政服务中心楼917房间</w:t>
      </w:r>
    </w:p>
    <w:p>
      <w:pPr>
        <w:spacing w:line="460" w:lineRule="exact"/>
        <w:rPr>
          <w:rFonts w:ascii="仿宋" w:hAnsi="仿宋" w:eastAsia="仿宋"/>
          <w:sz w:val="24"/>
          <w:szCs w:val="24"/>
        </w:rPr>
      </w:pPr>
      <w:r>
        <w:rPr>
          <w:rFonts w:hint="eastAsia" w:ascii="仿宋" w:hAnsi="仿宋" w:eastAsia="仿宋"/>
          <w:sz w:val="24"/>
          <w:szCs w:val="24"/>
        </w:rPr>
        <w:t>联系人：侯女士  联系电话：0374-2077111</w:t>
      </w:r>
    </w:p>
    <w:p>
      <w:pPr>
        <w:numPr>
          <w:ilvl w:val="0"/>
          <w:numId w:val="3"/>
        </w:numPr>
        <w:spacing w:line="460" w:lineRule="exact"/>
        <w:rPr>
          <w:rFonts w:ascii="仿宋" w:hAnsi="仿宋" w:eastAsia="仿宋"/>
          <w:sz w:val="24"/>
          <w:szCs w:val="24"/>
        </w:rPr>
      </w:pPr>
      <w:r>
        <w:rPr>
          <w:rFonts w:hint="eastAsia" w:ascii="仿宋" w:hAnsi="仿宋" w:eastAsia="仿宋"/>
          <w:sz w:val="24"/>
          <w:szCs w:val="24"/>
        </w:rPr>
        <w:t>采购单位：禹州市</w:t>
      </w:r>
      <w:r>
        <w:rPr>
          <w:rFonts w:hint="eastAsia" w:ascii="仿宋" w:hAnsi="仿宋" w:eastAsia="仿宋"/>
          <w:sz w:val="24"/>
          <w:szCs w:val="24"/>
          <w:lang w:eastAsia="zh-CN"/>
        </w:rPr>
        <w:t>中等专业学校</w:t>
      </w:r>
    </w:p>
    <w:p>
      <w:pPr>
        <w:spacing w:line="460" w:lineRule="exact"/>
        <w:ind w:firstLine="240" w:firstLineChars="100"/>
        <w:rPr>
          <w:rFonts w:hint="eastAsia" w:ascii="仿宋" w:hAnsi="仿宋" w:eastAsia="仿宋"/>
          <w:sz w:val="24"/>
          <w:szCs w:val="24"/>
          <w:lang w:eastAsia="zh-CN"/>
        </w:rPr>
      </w:pPr>
      <w:r>
        <w:rPr>
          <w:rFonts w:hint="eastAsia" w:ascii="仿宋" w:hAnsi="仿宋" w:eastAsia="仿宋"/>
          <w:sz w:val="24"/>
          <w:szCs w:val="24"/>
        </w:rPr>
        <w:t>地址：禹州市</w:t>
      </w:r>
      <w:r>
        <w:rPr>
          <w:rFonts w:hint="eastAsia" w:ascii="仿宋" w:hAnsi="仿宋" w:eastAsia="仿宋"/>
          <w:sz w:val="24"/>
          <w:szCs w:val="24"/>
          <w:lang w:eastAsia="zh-CN"/>
        </w:rPr>
        <w:t>北环路</w:t>
      </w:r>
    </w:p>
    <w:p>
      <w:pPr>
        <w:spacing w:line="460" w:lineRule="exact"/>
        <w:rPr>
          <w:rFonts w:ascii="仿宋" w:hAnsi="仿宋" w:eastAsia="仿宋"/>
          <w:sz w:val="24"/>
          <w:szCs w:val="24"/>
        </w:rPr>
      </w:pPr>
      <w:r>
        <w:rPr>
          <w:rFonts w:hint="eastAsia" w:ascii="仿宋" w:hAnsi="仿宋" w:eastAsia="仿宋"/>
          <w:sz w:val="24"/>
          <w:szCs w:val="24"/>
        </w:rPr>
        <w:t>　联系人：</w:t>
      </w:r>
      <w:r>
        <w:rPr>
          <w:rFonts w:hint="eastAsia" w:ascii="仿宋" w:hAnsi="仿宋" w:eastAsia="仿宋"/>
          <w:sz w:val="24"/>
          <w:szCs w:val="24"/>
          <w:lang w:eastAsia="zh-CN"/>
        </w:rPr>
        <w:t>武先生</w:t>
      </w:r>
      <w:r>
        <w:rPr>
          <w:rFonts w:hint="eastAsia" w:ascii="仿宋" w:hAnsi="仿宋" w:eastAsia="仿宋"/>
          <w:sz w:val="24"/>
          <w:szCs w:val="24"/>
        </w:rPr>
        <w:t xml:space="preserve">   联系电话：0374-</w:t>
      </w:r>
      <w:r>
        <w:rPr>
          <w:rFonts w:hint="eastAsia" w:ascii="仿宋" w:hAnsi="仿宋" w:eastAsia="仿宋"/>
          <w:sz w:val="24"/>
          <w:szCs w:val="24"/>
          <w:lang w:val="en-US" w:eastAsia="zh-CN"/>
        </w:rPr>
        <w:t>8816068</w:t>
      </w:r>
      <w:r>
        <w:rPr>
          <w:rFonts w:hint="eastAsia" w:ascii="仿宋" w:hAnsi="仿宋" w:eastAsia="仿宋"/>
          <w:sz w:val="24"/>
          <w:szCs w:val="24"/>
        </w:rPr>
        <w:t xml:space="preserve">　　　　　　　　　　　　       </w:t>
      </w:r>
    </w:p>
    <w:p>
      <w:pPr>
        <w:spacing w:line="460" w:lineRule="exact"/>
        <w:rPr>
          <w:rFonts w:ascii="仿宋" w:hAnsi="仿宋" w:eastAsia="仿宋"/>
          <w:sz w:val="24"/>
          <w:szCs w:val="24"/>
        </w:rPr>
      </w:pPr>
    </w:p>
    <w:p>
      <w:pPr>
        <w:spacing w:line="460" w:lineRule="exact"/>
        <w:ind w:firstLine="5280" w:firstLineChars="2200"/>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8</w:t>
      </w:r>
      <w:r>
        <w:rPr>
          <w:rFonts w:hint="eastAsia" w:ascii="仿宋" w:hAnsi="仿宋" w:eastAsia="仿宋"/>
          <w:sz w:val="24"/>
          <w:szCs w:val="24"/>
        </w:rPr>
        <w:t>月</w:t>
      </w:r>
      <w:r>
        <w:rPr>
          <w:rFonts w:hint="eastAsia" w:ascii="仿宋" w:hAnsi="仿宋" w:eastAsia="仿宋"/>
          <w:sz w:val="24"/>
          <w:szCs w:val="24"/>
          <w:lang w:val="en-US" w:eastAsia="zh-CN"/>
        </w:rPr>
        <w:t xml:space="preserve"> 14</w:t>
      </w:r>
      <w:r>
        <w:rPr>
          <w:rFonts w:hint="eastAsia" w:ascii="仿宋" w:hAnsi="仿宋" w:eastAsia="仿宋"/>
          <w:sz w:val="24"/>
          <w:szCs w:val="24"/>
        </w:rPr>
        <w:t>日</w:t>
      </w:r>
    </w:p>
    <w:p>
      <w:pPr>
        <w:spacing w:line="460" w:lineRule="exact"/>
        <w:jc w:val="left"/>
        <w:rPr>
          <w:rFonts w:ascii="仿宋" w:hAnsi="仿宋" w:eastAsia="仿宋"/>
          <w:sz w:val="32"/>
        </w:rPr>
      </w:pPr>
    </w:p>
    <w:p>
      <w:pPr>
        <w:spacing w:line="520" w:lineRule="exact"/>
        <w:textAlignment w:val="baseline"/>
        <w:rPr>
          <w:rFonts w:ascii="黑体" w:hAnsi="黑体" w:eastAsia="黑体" w:cs="黑体"/>
          <w:b/>
          <w:sz w:val="44"/>
          <w:szCs w:val="44"/>
        </w:rPr>
      </w:pPr>
    </w:p>
    <w:p>
      <w:pPr>
        <w:spacing w:line="360" w:lineRule="auto"/>
        <w:rPr>
          <w:rFonts w:ascii="仿宋" w:hAnsi="仿宋" w:eastAsia="仿宋" w:cs="仿宋"/>
          <w:b/>
          <w:sz w:val="24"/>
          <w:szCs w:val="24"/>
        </w:rPr>
      </w:pPr>
    </w:p>
    <w:p>
      <w:pPr>
        <w:spacing w:line="360" w:lineRule="auto"/>
        <w:ind w:firstLine="2650" w:firstLineChars="600"/>
        <w:rPr>
          <w:rFonts w:ascii="仿宋" w:hAnsi="仿宋" w:eastAsia="仿宋" w:cs="仿宋"/>
          <w:b/>
          <w:sz w:val="44"/>
          <w:szCs w:val="44"/>
        </w:rPr>
      </w:pPr>
    </w:p>
    <w:p>
      <w:pPr>
        <w:spacing w:line="360" w:lineRule="auto"/>
        <w:ind w:firstLine="2650" w:firstLineChars="600"/>
        <w:rPr>
          <w:rFonts w:ascii="仿宋" w:hAnsi="仿宋" w:eastAsia="仿宋" w:cs="仿宋"/>
          <w:b/>
          <w:sz w:val="44"/>
          <w:szCs w:val="44"/>
        </w:rPr>
      </w:pPr>
    </w:p>
    <w:p>
      <w:pPr>
        <w:spacing w:line="360" w:lineRule="auto"/>
        <w:ind w:firstLine="2650" w:firstLineChars="600"/>
        <w:rPr>
          <w:rFonts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sz w:val="24"/>
                <w:szCs w:val="24"/>
                <w:lang w:eastAsia="zh-CN"/>
              </w:rPr>
              <w:t>中等专业学校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spacing w:line="460" w:lineRule="exact"/>
              <w:rPr>
                <w:rFonts w:ascii="仿宋" w:hAnsi="仿宋" w:eastAsia="仿宋"/>
                <w:color w:val="000000"/>
                <w:kern w:val="0"/>
                <w:sz w:val="24"/>
                <w:szCs w:val="24"/>
              </w:rPr>
            </w:pPr>
            <w:r>
              <w:rPr>
                <w:rFonts w:hint="eastAsia" w:ascii="仿宋" w:hAnsi="仿宋" w:eastAsia="仿宋"/>
                <w:sz w:val="24"/>
                <w:szCs w:val="24"/>
              </w:rPr>
              <w:t>禹州市中等专业学校信息化建设A包采购项目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ascii="仿宋" w:hAnsi="仿宋" w:eastAsia="仿宋"/>
                <w:sz w:val="24"/>
                <w:szCs w:val="24"/>
              </w:rPr>
            </w:pPr>
            <w:r>
              <w:rPr>
                <w:rFonts w:hint="eastAsia" w:ascii="仿宋" w:hAnsi="仿宋" w:eastAsia="仿宋"/>
                <w:sz w:val="24"/>
                <w:szCs w:val="24"/>
              </w:rPr>
              <w:t>合同签订之日起30日历天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lang w:eastAsia="zh-CN"/>
              </w:rPr>
              <w:t>壹</w:t>
            </w:r>
            <w:r>
              <w:rPr>
                <w:rFonts w:hint="eastAsia" w:ascii="仿宋" w:hAnsi="仿宋" w:eastAsia="仿宋"/>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2018年</w:t>
            </w:r>
            <w:r>
              <w:rPr>
                <w:rFonts w:hint="eastAsia" w:ascii="仿宋" w:hAnsi="仿宋" w:eastAsia="仿宋"/>
                <w:sz w:val="24"/>
                <w:szCs w:val="24"/>
                <w:lang w:val="en-US" w:eastAsia="zh-CN"/>
              </w:rPr>
              <w:t>9</w:t>
            </w:r>
            <w:r>
              <w:rPr>
                <w:rFonts w:hint="eastAsia" w:ascii="仿宋" w:hAnsi="仿宋" w:eastAsia="仿宋"/>
                <w:sz w:val="24"/>
                <w:szCs w:val="24"/>
              </w:rPr>
              <w:t>月</w:t>
            </w:r>
            <w:r>
              <w:rPr>
                <w:rFonts w:hint="eastAsia" w:ascii="仿宋" w:hAnsi="仿宋" w:eastAsia="仿宋"/>
                <w:sz w:val="24"/>
                <w:szCs w:val="24"/>
                <w:lang w:val="en-US" w:eastAsia="zh-CN"/>
              </w:rPr>
              <w:t>5</w:t>
            </w:r>
            <w:r>
              <w:rPr>
                <w:rFonts w:hint="eastAsia" w:ascii="仿宋" w:hAnsi="仿宋" w:eastAsia="仿宋"/>
                <w:sz w:val="24"/>
                <w:szCs w:val="24"/>
              </w:rPr>
              <w:t>日9：00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注：投标人须提供电子版投标文件一份，单独密封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4"/>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spacing w:line="440" w:lineRule="exact"/>
              <w:ind w:firstLine="0"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5</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5</w:t>
            </w:r>
            <w:r>
              <w:rPr>
                <w:rFonts w:hint="eastAsia" w:ascii="仿宋" w:hAnsi="仿宋" w:eastAsia="仿宋"/>
                <w:color w:val="FF0000"/>
                <w:sz w:val="24"/>
                <w:szCs w:val="24"/>
                <w:lang w:val="zh-CN"/>
              </w:rPr>
              <w:t>日</w:t>
            </w:r>
            <w:r>
              <w:rPr>
                <w:rFonts w:hint="eastAsia" w:ascii="仿宋" w:hAnsi="仿宋" w:eastAsia="仿宋"/>
                <w:color w:val="FF0000"/>
                <w:sz w:val="24"/>
                <w:szCs w:val="24"/>
              </w:rPr>
              <w:t>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b/>
                <w:bCs/>
                <w:sz w:val="24"/>
                <w:szCs w:val="24"/>
                <w:lang w:val="en-US" w:eastAsia="zh-CN"/>
              </w:rPr>
              <w:t>180</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5.1.8合同书（参考样本)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5"/>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6"/>
        </w:numPr>
        <w:spacing w:line="440" w:lineRule="exact"/>
        <w:ind w:firstLine="1533" w:firstLineChars="347"/>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numPr>
          <w:ilvl w:val="0"/>
          <w:numId w:val="7"/>
        </w:numPr>
        <w:spacing w:line="440" w:lineRule="exact"/>
        <w:ind w:firstLine="1325" w:firstLineChars="300"/>
        <w:rPr>
          <w:rFonts w:ascii="仿宋" w:hAnsi="仿宋" w:eastAsia="仿宋"/>
          <w:b/>
          <w:sz w:val="44"/>
        </w:rPr>
      </w:pPr>
      <w:r>
        <w:rPr>
          <w:rFonts w:hint="eastAsia" w:ascii="仿宋" w:hAnsi="仿宋" w:eastAsia="仿宋"/>
          <w:b/>
          <w:sz w:val="44"/>
        </w:rPr>
        <w:t xml:space="preserve">  采购内容及其他要求</w:t>
      </w:r>
    </w:p>
    <w:p>
      <w:pPr>
        <w:widowControl/>
        <w:spacing w:line="440" w:lineRule="exact"/>
        <w:rPr>
          <w:rFonts w:ascii="仿宋" w:hAnsi="仿宋" w:eastAsia="仿宋"/>
          <w:b/>
          <w:sz w:val="44"/>
        </w:rPr>
      </w:pPr>
    </w:p>
    <w:p>
      <w:pPr>
        <w:widowControl/>
        <w:numPr>
          <w:ilvl w:val="0"/>
          <w:numId w:val="8"/>
        </w:numPr>
        <w:spacing w:line="440" w:lineRule="exact"/>
        <w:rPr>
          <w:rFonts w:ascii="仿宋" w:hAnsi="仿宋" w:eastAsia="仿宋" w:cs="仿宋"/>
          <w:b/>
          <w:sz w:val="24"/>
          <w:szCs w:val="24"/>
        </w:rPr>
      </w:pPr>
      <w:r>
        <w:rPr>
          <w:rFonts w:hint="eastAsia" w:ascii="仿宋" w:hAnsi="仿宋" w:eastAsia="仿宋" w:cs="仿宋"/>
          <w:b/>
          <w:sz w:val="24"/>
          <w:szCs w:val="24"/>
        </w:rPr>
        <w:t>采购内容及其它要求：</w:t>
      </w:r>
    </w:p>
    <w:tbl>
      <w:tblPr>
        <w:tblStyle w:val="36"/>
        <w:tblW w:w="8420" w:type="dxa"/>
        <w:jc w:val="center"/>
        <w:tblInd w:w="0" w:type="dxa"/>
        <w:tblLayout w:type="fixed"/>
        <w:tblCellMar>
          <w:top w:w="15" w:type="dxa"/>
          <w:left w:w="15" w:type="dxa"/>
          <w:bottom w:w="15" w:type="dxa"/>
          <w:right w:w="15" w:type="dxa"/>
        </w:tblCellMar>
      </w:tblPr>
      <w:tblGrid>
        <w:gridCol w:w="654"/>
        <w:gridCol w:w="1003"/>
        <w:gridCol w:w="183"/>
        <w:gridCol w:w="2821"/>
        <w:gridCol w:w="1499"/>
        <w:gridCol w:w="171"/>
        <w:gridCol w:w="457"/>
        <w:gridCol w:w="545"/>
        <w:gridCol w:w="667"/>
        <w:gridCol w:w="420"/>
      </w:tblGrid>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序号</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设备名称</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数量</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单位</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核心网关</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流量控制和审计系统</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WEB防火墙</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入侵检测</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万兆单模模块</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IT服务管理系统</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存储</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有线无线统一认证</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备份一体机</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无线控制器</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KVM</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智能四联柜</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机房门禁系统</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硬盘录像机</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摄像头</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POE交换机</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30</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箱</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3004"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辅材</w:t>
            </w:r>
          </w:p>
        </w:tc>
        <w:tc>
          <w:tcPr>
            <w:tcW w:w="167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批</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3004" w:type="dxa"/>
            <w:gridSpan w:val="2"/>
            <w:tcBorders>
              <w:top w:val="single" w:color="000000" w:sz="4" w:space="0"/>
              <w:left w:val="single" w:color="000000" w:sz="4" w:space="0"/>
              <w:bottom w:val="single" w:color="auto"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虚拟幼儿园实训软件</w:t>
            </w:r>
          </w:p>
        </w:tc>
        <w:tc>
          <w:tcPr>
            <w:tcW w:w="1670" w:type="dxa"/>
            <w:gridSpan w:val="2"/>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3004"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计算机组装与维护虚拟仿真实训教学软件</w:t>
            </w:r>
          </w:p>
        </w:tc>
        <w:tc>
          <w:tcPr>
            <w:tcW w:w="1670"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gridAfter w:val="1"/>
          <w:wAfter w:w="420" w:type="dxa"/>
          <w:jc w:val="center"/>
        </w:trPr>
        <w:tc>
          <w:tcPr>
            <w:tcW w:w="1657"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3004"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电子技术仿真实训软件</w:t>
            </w:r>
          </w:p>
        </w:tc>
        <w:tc>
          <w:tcPr>
            <w:tcW w:w="1670"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669" w:type="dxa"/>
            <w:gridSpan w:val="3"/>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r>
      <w:tr>
        <w:tblPrEx>
          <w:tblLayout w:type="fixed"/>
          <w:tblCellMar>
            <w:top w:w="15" w:type="dxa"/>
            <w:left w:w="15" w:type="dxa"/>
            <w:bottom w:w="15" w:type="dxa"/>
            <w:right w:w="15" w:type="dxa"/>
          </w:tblCellMar>
        </w:tblPrEx>
        <w:trPr>
          <w:trHeight w:val="259" w:hRule="atLeast"/>
          <w:jc w:val="center"/>
        </w:trPr>
        <w:tc>
          <w:tcPr>
            <w:tcW w:w="7333" w:type="dxa"/>
            <w:gridSpan w:val="8"/>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A包</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序号</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设备名称</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参数要求</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数量</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单位</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是否为核心产品</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核心网关</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支持固化千兆电口≥8个，固化千兆光口≥4个</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标准1U机箱，多核非X86架构</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支持双硬盘插槽，硬盘容量≥1T，硬盘支持可插拔更换</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为保证在多条外网线路情况下带宽的合理分配使用，设备必须支持多链路负载均衡，负载均衡可基于带宽、负载等多种方式。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应用路由效果可通过图表呈现。</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★支持网络资源加速，可对指定网络资源提供热点资源本地化服务。为防止虚假应标，需提供配置及资源热点页面。</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双边传输数据的缓存加速，当访问资源由于进行增/删/改/查等操作而发生变化时，只需传输非重复部分，从而降低冗余数据传输量，支持数据压缩，通过数据压缩算法减少需要传输的数据量。提供设备界面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支持流量识别保障功能：能够精确识别网络应用，保障关键业务的系统带宽，具备完善的应用协议库，协议识别数量≥1500种。</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支持的流控策略组≥100个，整机支持的流控策略≥8000条，保留指标测试权利</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流控带宽升级功能：客户带宽升级后，只需要修改线路总带宽即可，其余策略都会自动按比例更新，无需每个策略调整。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HTTP流量管理策略支持时间对象设置，时间对象需精确至分钟级。</w:t>
            </w:r>
          </w:p>
          <w:p>
            <w:pPr>
              <w:widowControl/>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★URL数据库及应用特征库支持至少5年免费升级</w:t>
            </w:r>
            <w:r>
              <w:rPr>
                <w:rFonts w:hint="eastAsia" w:ascii="仿宋" w:hAnsi="仿宋" w:eastAsia="仿宋" w:cs="仿宋"/>
                <w:color w:val="000000"/>
                <w:kern w:val="0"/>
                <w:sz w:val="24"/>
                <w:szCs w:val="24"/>
                <w:lang w:eastAsia="zh-CN"/>
              </w:rPr>
              <w:t>。</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支持论坛（如天涯社区、猫扑、动网等）发帖内容审计功能，能在设备中查到发帖纪录和发帖内容等详细信息。</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为方便用户远程接入，设备需支持SSL VPN，并提供≥300个免费SSL VPN接入授权。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支持IPSec VPN，并提供3000路免费Ipsec VPN接入授权。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支持网关、网桥等多种部署模式，灵活安装。</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流量控制和审计系统</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★所投产品须整机最少支持6个千兆电口和1个扩展卡槽，最多支持14个千兆接口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配置特征库升级授权≥3年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具有1T的硬盘存储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设备最大吞吐量≥2Gbps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最大支持并发连接数50万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每秒新建连接数≥10000/秒</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支持静态路由功能、OSPF动态路由、策略路由功能、链路持续路由算法。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支持链路的负载均衡及链路健康检查功能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对于多IP 的DNS解析，支持根据用户的来路而做出一些智能化的处理，然后把智能化判断后的 IP 返回给用户，而不需要用户进行选择。 DNS 均衡算法包括：按权重、按上行流量、按下行流量、按总流量。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可检测出内网用户私接无线路由器、360WiFi等设备的共享上网行为，进行告警及阻断，提供功能截图。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可以识别无线终端接入设备，并进行允计或拒绝上网策略，包括IOS、 Android、 IPAD设备，提供功能截图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可将应用流量划分为 高、中、低等共三个优先级，优先级越高的流量，优先传送。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支持流量父子通道技术，支持无限级别嵌套通道；</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支持基于加密邮件过滤、邮件发件人的过滤、邮件关键字过滤、附件类型过滤、附件大小过滤、附件内容过滤，支持WebMail邮件和客户端邮件过滤。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★将每个用户的MSN、QQ、Yahoo、GTALK、Skype、阿里旺旺、飞信这几种即时通讯工具的登入记录、聊天记录、或文件传输记录分项统计并显示。聊天记录的显示完全模拟即时通讯软件的聊天记录框的样式。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可根据IP地址来配置策略，对特定IP的用户免除上网行为的审计。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★本地认证、AD域认证、Radius认证、LDAP认证、POP3认证、短信认证、微信认证。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支持对内网电脑终端运行的进程进行检测。用户上网时必须满足相应的进程准入规则，才允许用户的计算机连接互联网。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★为保证后期维护方便与设备兼容性要求与核心网关同一品牌。</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WEB防火墙</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★2U标准机架式，冗余电源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★6*1000BASE-T，2*SFP，1*RS232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HTTP请求/秒: 25,000</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TCP并发连接: 2,500,000</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单接口吞吐量:1000M</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整机吞吐量: 6G</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支持路由、透明、单臂及混合等多种部署模式，适用于各种复杂的网络环境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支持链路聚合，提升链路带宽和可靠性</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支持策略路由，能支持多条链路接入防护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支持VLAN,可在TRUNK链路上提供安全防护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能够对HTTP协议流进行协议规范检查，防止违规协议流进入服务器进行探测与攻击</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能够阻止SQL注入、跨站脚本、目录泄漏、目录遍历、COOKIE假冒、认证逃避、命令行注入等常见攻击行为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能够对URI，表单参数进行Unicode、URLEncoded等格式的解码，防止通过编码逃避检测</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能够阻断攻击探测，防止对WEB应用和服务器等信息的恶意获取和特征收集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能够屏蔽HTTP错误信息，防止返回错误信息暴露服务器版本等指纹信息</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提供网页防盗链功能，防止WEB资源被盗用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采用虚拟补丁技术，为应用漏洞及时“封堵”潜在威胁，防范0-day攻击</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★采用人机识别技术，精确识别浏览器访问行为与爬虫、扫描器、暴力破解等工具行为，防范自动化探测与攻击（附厂商截图）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★具有自动学习引擎，能自动对双向的HTTP流量进行智能分析，并能自动学习到后台WEB服务器及WEB站点（附厂商截图）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智能后门检测技术，能防止通过HTTP上传asp/jsp/php/CGI等WEB后门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★检测到攻击时，能选择阻断当前请求或依据阻断时间的策略进行IP阻断，并通过控制台、Mail、短信等多种方法进行告警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能对Web应用数据进行实时智能压缩，改善终端用户性能，提高带宽利用率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提供对静态应用内容高速缓存，显著减少服务器负载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具有连接保持功能，双向TCP连接池和高效复用算法优化服务器连接，改善服务器性能提高响应速度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支持WEB请求排队，防止因为请求浪涌导致服务器异常</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提供基于URL级别的流量管理，可以针对不同的URL应用提供不同的优先级服务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提供基于URL级别的时域控制，能根据访问者的IP/地域、访问目标URL与时间等条件进行访问控制</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★提供基于URL级别的身份认证，采用SSL+CA的认证模式对网站关键页面进行二次认证功能（附厂商截图）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能够对攻击来源、数据、时间、处理结果形成列表，提供多种基于行为的审计报表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能够对用户使用的客户端进行分析，了解用户访问应用系统使用的客户端情况</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★能够对所搜网站使用的搜索引擎和关键字进行分析，并对搜索引擎和关键字的使用情况进行排名（附厂商截图）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★文件上传审计，能够记录通过HTTP进行的文件上传行为以及上传的详细内容（附厂商截图）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能实时检测页面是否被篡改，支持数字水印、相似度、内容取样等多种算法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动态防篡改功能，支持对动态页面的防篡改，有效防止对后台数据库的篡改行为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检测到篡改发生后，支持发送镜像内容，阻断或者页面重定向等响应动作</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★具备文件级防篡改功能，可同步服务器文件，具备数字水印等算法对服务器文件进行篡改检查，支持告警、重命名、删除等机制对文件进行恢复（附厂商截图）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支持应用负载均衡模块，支持平均分发，压力分发，请求分发，请求参数分发等算法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支持WEB扫描模块，提供SQL注入、跨站脚本（XSS）、XML/XPATH注入等漏洞的扫描与分析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★支持数字证书认证模块，可以颁发X.509格式服务器、客户端证书（附厂商截图）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★支持WEB诱捕模块，能吸引攻击者的注意力，降低应用系统被攻击的风险，同时能记录攻击者IP和攻击手段（附厂商截图证明）</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支持软件BYPASS功能，当产品出现故障或用户有特殊需要时能停止防护而不中断正常应用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支持硬件BYPASS功能，当硬件故障或者系统掉电时，防止网络和应用出现中断</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支持双机热备工作模式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★支持集群的工作模式，不需要第三方产品即可支持三台及以上集群工作，以满足大型应用系统的高性能扩展需求（附厂商截图）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具有状态监测防火墙，支持基于五元组的访问控制</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具有端口映射功能，支持SNAT、DNAT和PNAT</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具有MAC地址绑定，防止ARP假冒与攻击</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具有抗DoS攻击功能，能够防御常见的网络层和应用层DoS攻击</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★设备自身日志存放天数不少于30天，可自定义设定存放时间（附厂商截图）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支持FTP、SYSLOG方式外发安全日志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产品管理图形界面（GUI）以及产品文档均为中文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以SSL加密的WEB图形化界面进行设备管理，并可通过专用管理接口进行管理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★具备管理设备时的操作日志、身份认证日志记录功能，便于对设备操作的审查（附厂商截图）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能指定管理员远程管理允许登录的IP或网段,可以限制管理员登录次数，并能锁定恶意登录者的IP</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支持SNMP，能接受专用的网络管理系统的集中管理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★国家版权局《计算机软件著作权登记证书》（首次取得时间不低于6年）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★中国信息安全认证中心《IT产品信息安全认证证书》（首次取得时间不低于5年）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★产品厂商入围中央政府采购网产品供应商（WEB应用防护系统）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★产品厂商入围WEB应用防火墙国家标准制定单位</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★为了提高产品服务质量和服务水平，要求厂商提供基于SaaS的安全监测服务（厂商具有WEB安全监测类《计算机软件著作权登记证书》和《IT产品信息安全认证证书》）</w:t>
            </w:r>
          </w:p>
          <w:p>
            <w:pPr>
              <w:widowControl/>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★提供原厂商叁年免费质保服务承诺书</w:t>
            </w:r>
            <w:r>
              <w:rPr>
                <w:rFonts w:hint="eastAsia" w:ascii="仿宋" w:hAnsi="仿宋" w:eastAsia="仿宋" w:cs="仿宋"/>
                <w:color w:val="000000"/>
                <w:kern w:val="0"/>
                <w:sz w:val="24"/>
                <w:szCs w:val="24"/>
                <w:lang w:eastAsia="zh-CN"/>
              </w:rPr>
              <w:t>。</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入侵检测</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需提供三年安全功能特征库升级license，包含IPS特征库、AV样本库、APP协议库、URL协议库、垃圾邮件特征库、文件过滤特征库</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★要求固化千兆电口数量≥14个；千兆光口数量≥2个；为保障接口稳定性，所投产品必须是固化接口，而非板卡接口。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设备最大吞吐量≥3Gbps；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设备最大IPS吞吐量≥1.4Gbps；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最大并发连接数≥130万；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每秒新建连接数≥3万；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IPSEC VPN吞吐量≥2Gbps；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IPSEC VPN隧道数≥500，设备本身要求自带500个VPN授权；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SSL VPN并发用户数≥100，设备本身要求自带100个VPN授权；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支持状态检测、包过滤、深度应用层检测；</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★为保障语音系统效果，支持VoIP防护，可基于SIP与SCCP协议防护，可限制SIP的注册请求，可限制SCCP的呼叫建立。提供功能截图证明</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支持用户自定义攻击特征，入侵检测特征库≥5000种，要求提供功能截图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支持HTTP、FTP、IMAP、POP3、SMTP、IM、NNTP、HTTPS、IMAPS、POP3S、SMTPS协议病毒过滤，提供界面截图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支持基于代理模式、流模式的垃圾邮件检测过滤，并提供功能截图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要求支持邮件内容、邮件标题、附件内容进行检测和过滤，要求提供功能截图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★要求支持文件指纹识别、文件水印检测，要求提供功能截图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支持Web分类和Web页面过滤，要求URL数量≥2.5亿个</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★支持僵尸主机、C&amp;C客户端检测功能，支持0-day恶意软件变种、可疑文件等APT高级可持续威胁的统计功能，提供功能截图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★为保证后期维护方便与设备兼容性要求与核心网关同一品牌。</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万兆单模模块</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万兆LC接口模块（1310nm），10km，适用于SFP+接口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★为保证后期维护方便与设备兼容性要求与核心网关同一品牌。</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块</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IT服务管理系统</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★系统采用J2EE平台，所有操作和配置均为B/S界面操作完成，具有完全自主知识产权证明，内置合法数据库方便系统快速部署。</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提供不少于20个业务管理模型授权，构建业务拓扑，将组成业务的所有IT资源及关键指标纳入一个视图进行管理；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提供业务分析与健康度评价，实现以健康曲线、雷达扫描等方式呈现整体信息化运行水平；</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★业务模型应预留北向API接口，可对接业务系统推送的业务指标，方便用户所综合评价业务质量。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系统提供图形化方式呈现，呈现内容包括但不限于，无线设备分布、信号覆盖情况、接入终端分布、用户体验等；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提供无线设备深度监控管理，包括对AC、FitAP、FatAP、Radio（射频卡）、在线用户、WLAN、、POE供电设备等的管理。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拓扑图应以不同方式展示管理对象的状态信息，如颜色、粗细、流动效果、自定义图标等；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提供良好的可视化效果，包括交互界面、拓扑效果和故障捕获效果。拓扑功能需支持自动扫描和事件播放功能；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★支持数据下钻功能，查看每个设备和链路的详细信息，如设备的详细信息、告警详情、面板信息、网络接口、业务结构图、下联设备等。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★可支持对网络设备、无线设备、主机、数据库、中间件、应用、虚拟网络的一体化管理，收集状态、性能、配置、信息四类指标。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可同一页面上快速查看完整信息，包含资源概况、指标信息、告警信息、实时分析、维护信息、拓扑定位、业务结构图及资源的CI信息等，实现各IT资源的相互影响分析管理及联动。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系统内置多纬度报表，包括但不限于资源分类报表、分析类报表、趋势类报表、TOPN报表、故障类报表等;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支持各类型报表订阅功能，可以按照设定的周期自动将报表通过邮件、系统信息等多种方式发送给指定报表订阅人。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系统具备统一的告警管理平台，运维人员可通过客户端、邮件、短信等方式了解告警，可针对资源、阈值、业务等内容进行告警，并提供故障分析。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自动告警压缩，基于多种压缩规则实现告警的有效压缩和归并，包括设备组件与设备产生的告警基于从属关系进行压缩，如网络设备的插槽板卡、端口和其链路产生的告警进行压缩，有效减少无用告警的数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提供运维人员总成门户，承载其权限范围内可关注的资源、系统、业务运行情况，并可扩展增加其工单、流程、监督、干涉等具体工作，承载其他第三方应用单点登录或访问验证。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提供过滤器配置，进行资源、接口、业务三种类型过滤器创建，在门户部件中直接关联相应过滤器，即可完成对关注资源的展示。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★本次项目要求配置：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1、资源监控授权≥50个，无线设备监控授权≥600个，告警客户端授权≥5个</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★投标产品提供中华人民共和国公安部网络安全保卫局颁发的《计算机信息系统安全专用产品销售许可证》，提供公安部信息安全产品检测中心出具的产品检验报告，</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★为保证后期维护方便与设备兼容性要求与核心网关同一品牌。</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存储</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1标准12英寸2U 12盘位机架式产品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2.★冗余控制器， RISC芯片处理器，专用存储系统，采用与硬件控制器一体化设计方式，无需占用任何磁盘空间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3.★配置8GB DDR ECC缓存；</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4.★缓存备份技术 : BBU (可热插拔 + Flash模块 \ 超级电容 + Flash模块；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5.★配置,1Gb ISCSI端口通道≥16个；可扩主机通道：8,16Gb FC；12Gb SAS, 10Gb、40Gb iSCSI , FCoE ports；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6.★加上扩充柜(JBOD)的连接，最大可连接达到432块硬盘；12 Gb SAS磁盘通道</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7.★配置自动精简配置功能，多路径软件管理功能；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8.支持4层自动分级存储功能,二级缓存加速功能 ，数据复制功能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9.基于WEB管理,配置RS232串口和Telnet网络命令管理；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10.★配置两组80 Plus 冗余电源模组,冗余风扇；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 ★配置8块4TB企业级存储兼容性SAS硬盘</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有线无线统一认证</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配置用户授权≥5000人；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支持Web认证方式实现身份准入；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支持MAC地址认证，不需要安装客户端，仅用MAC地址进行认证；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★认证页面合并：普通用户、短信、二维码、微信web认证合并。</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支持使用用户名密码+手机号及短信获取的6位数随机校验码作为认证要素进行双因子认证；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支持与第三方Radius联动 ，将认证信息转发给第三方Radius服务器进行认证，即实现统一身份源；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支持与数据库SQL SERVER、MySQL、ORACLE、DB2、PostgreSQL对接。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支持终端硬盘序列号 、SSID、用户用户名、用户密码、终端IP、终端MAC、网络访问控制设备（NAS）IP、NAS端口多元素的主动学习以及各元素的灵活组合绑定</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昵称认证：采用昵称代替用户名认证；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★首次登陆账号激活，并强制修改密码。首次进行认证时，强制要求用户设置密保：手机号、邮箱账号、私密问答作为密保凭据任选其一，提供功能截图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★密保找回密码，支持通过私密问答找会密码，需要提供正确的答案才能变更密保答案，提供功能截图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防密码暴力破解-随机校验码机制，通过认证页面输入N（默认3 次）次错误密码后，将需要输入随机校验码，并记录登录者的IP及MAC，以防止用户通过自动化工具暴力破解密码。自助服务平台登录时默认需要验证码。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支持直接用户修改MAC地址后无法上网，实现防止篡改MAC地址；</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支持收集用户的软件和硬件信息，当用户硬件信息发生变动时，能对CPU、内存、主板、硬盘 等信息进行日志记录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支持ARP欺骗防御功能，可实现网关可信ARP表项功能，防止网关设备被ARP欺骗，同时支持静态绑定客户端的ARP信息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★要求与本次采购的核心网关设备同一品牌，联动实现中文实名日志记录，实现实名审计功能。</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备份一体机</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★国有知名品牌，标准2U机架式高性能服务器；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★CPU:本次配置2颗E5-2603v4(1.7GHz/6c)/6.4GT/15ML3，英特尔 C610服务器专用芯片组，最大支持2颗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★内存：本次配置4条16G DDR内存，最大支持20个内存插槽，最高支持DDR4-2400内存，支持高级内存纠错、内存镜像、内存热备等高级功能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★RAID: 具备RAID功能，支持RAID 0/1/5/50/60，本次配置INSPUR 八通道高性能 SAS RAID卡 RS0820P(2G缓存)</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★存储：配置6块1T 3.5寸SATA硬盘7200转，前窗最大支持24个热插拔2.5寸或者12个3.5寸SATA/SAS硬盘，后窗可支持2个热插拔2.5寸SATA/SAS/SSD后置硬盘</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★网卡：本次配置2个高性能千兆以太网控制器，支持网络唤醒，网络冗余，负载均衡等网络高级特性；</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★HBA卡：1块光纤通道HBA卡,FC 8Gb,单端口,LC接口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★I/O扩展槽：配置不少于6个IO插槽，其中3个PCI-E 3.0 x 16，5个USB3.0接口（前置1个，后置2个，内置2个）</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★显卡：集成带16MB显存的显示控制器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★电源：配置白金电源（双电），高效冗余热插拔电源，可选钛金级，支持PMbus功能，实现Node Manager 3.0功能；可选热插拔单电</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系统管理功能：采用高级服务器管理模块，提供远程管理和远程诊断功能，支持IPMI2.0，标配具有自主知识产权的全中文备份还原软件，支持系统备份还原功能：支持本地备份还原、网络备份还原、磁盘或分区的克隆功能；支持服务器安全加固软件系统，采用操作系统内核加固技术，具备信任列表，文件和服务完整性检测，以及完善的日志审计模块；具有防格式化、防剩余隐私泄密等功能操作，保护服务器数据安全 </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无线控制器</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CPU：Intel/英特尔 ≥至强E3 四核CPU</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内存：≥DDR3 1333 2GB</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扩展：支持USB扩展 （USB无线网卡、以太网卡、USB存储）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以太网口：≥6个10/100/1000M自适应以太网口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吞吐量：udp 协议64byte测试下 78,500pps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云认证：同时支持微信认证、短信认证、Hotspot(用户名密码）认证；认证页面精美、可自定义。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★本次配置支持1000台终端同时在线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1.路由管理功能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支持基于源地址、目标地址路由，NAT转换，DHCP服务，VLAN划分。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2.内置包过滤防火墙</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可根据IP地址段限速、端口屏蔽、MAC绑定、协议、数据包过滤等。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★3.AP管理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AP负载均衡、无线频谱扫描、 AP调整发射功率、限制单个AP最大终端接入限制， AP上线自动配置、配置策略、多SSID广播、无线加密、无线开关、无缝漫游切换，必须满足对学校现有的无线AP进行管理，保留测试权限。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4.安全策略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MAC绑定、SSID隐藏等，支持WEP、WPA、WPA-PSK、WPS2等多种加密方式。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5.远程管理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内置VPN功能，可提供瘦AP远程VPN接入。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6.本地接入认证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radius认证、支持本地hotspot网页认证功能，上网用户输入预先登记的用户名和密码访问网络。</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7.微信云认证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连接到多倍通云认证平台上可实现微信关注认证、二维码扫描认证等。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8.短信认证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只需输入手机号码，通过获取短信验证码方式认证上网。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9.Hotspot认证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在认证页面输入正确的上网账号、密码方可认证上网。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10.高效的云平台管理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可在云平台快速删减路由，对用户上网时长，上网方式，上网速度等等都可以在云平台设置实现。</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11</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KVM</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KVM切换器8口VGA，17英寸LED屏机架式电脑切换器，含鼠标键盘。</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智能四联柜</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机柜系统：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按照ANSI/EIA-310-D-1992、IEC60297-2、DIN41491;PART1、DIN41494;PART7、 GB/T19520.2-2007标准生产，兼容ETSI；</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柜体整体采用全封闭结构设计，单个规格尺寸（宽*深*高）：600*1280*2000(mm)，本次提供4台</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采用优质冷轧钢板（SPCC），角规/底支撑板2.0mm，其它≥1.2mm。</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★整柜静载承重2200KG，抗震等级8、9级，IP51</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表面塑粉涂层 标准色：RAL9005(黑色)，表面喷塑厚度不少于70-130µm，表面喷塑硬度不少于2H，附着力不低于O级国际标准，符合欧洲ROSH标准；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★前门采用5+6A+5中空玻璃金属镶边，预留LED显示屏安装位。后门封闭式钢板门，四周双层结构</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前后门设有密封条及隐蔽式走线理线专用槽道；悬挂式内铰链，开启角度120度，配备机械密码锁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★柜体前后端（角规至框架）冷热通道≥200mm宽，冷通道四周采用内嵌式保温棉，有效防止冷气泄露，并柜后冷热通道相互贯通；</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后部两侧各配置150mm宽垂直走线板，与顶底部进线孔对应，开设有系列扎线孔，满足大容量上下走线、理线；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支持PDU内嵌式安装，PDU插孔面不高于19英寸立柱安装孔，联柜并柜后顶部贴顶式强弱电走线槽，用于联柜并柜后的跨柜走线，实现强弱电隔离；</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快开式侧板前、中、后三段式结构，可单独拆卸使用，方便日常维护及安装，前后侧板与冷热通道对应；</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★冷、热通道内设有空调断电应急送风联动装置及活动自垂百叶：冷通道内贯流风机进风，热通道内轴流风机出风；</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★顶部设有220V LED照明灯，与柜体一体式融合设计，隐藏内嵌式安装工艺，照明采用智能人体红外感应与光感亮度检测相结合，可实现开门灯亮，关门灯灭，前后独立控制；</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★ISO9000质量管理体系认证证书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★ISO14000环境管理体系认证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★ISO18000职业健康安全管理体系认证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★机柜整架承重不小于2200kg，并能提供权威机构第三方检测报告</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★机柜整架抗震8、9级泰尔检测报告，并能提供权威机构第三方检测报告</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★机柜部件表面涂层必须达到国家无毒无害的喷涂标准，并能提供权威机构第三方检测报告</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★机柜部件表面涂层平均厚度达到≥100um标准，并能提供权威机构第三方检测报告。</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机架式UPS：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采用标准19英寸机架式安装设计，额定容量： 10KVA/8KW</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采用先进的DSP数字化控制技术，使UPS性能出色稳定，品质更加可靠；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额定输入电压：200/208/220/230/240Vac</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输出电压：200/208/220/230/240Vac</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功率因数：≧ 0.99 @ 100%负载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整机效率高达90%以上，ECO模式下整机效率为1；</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市电过载模式：100%～110%: 30分钟；110%～130%: 5分钟；&gt;130% : 10秒；</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切换时间; 市电←→电池0毫秒；逆变←→旁路0毫秒；逆变←→ECO &lt;10毫秒</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LCD显示: 负载大小，电池容量，市电模式，电池模式，旁路模式，放电时间，故障指示等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提供了丰富的可扩展智能管理功能，可选择安装远程监控、集中监控、干接点、环境监测等功能；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支持发电机接入；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支持选配SNMP卡，进行电力管理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★具备中国质量认证中心（CQC）节能认证</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铅酸电池：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产品符合YD/T799-2010《通信用阀控式密封铅酸蓄电池》标准；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单节电池容量： 150AH，本次配置16块。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容量保存率：完全充电的蓄电池，在25±2°的环境中，静置28天后，其容量保持率应在98% 以上（12V）；</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★密封反应效率：98%以上；</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蓄电池的安全阀有自动开启和关闭的功能，开阀压范围是10～49kPa，闭阀压范围是4～16kPa；</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蓄电池内阻：≤9mΩ（12V）/≤0.2mΩ（2V）;</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★蓄电池标配防漏液措施，如托盘；需具备防碰撞及控制蓄电池有效安装距离的设计。</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电池架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采用优质金属成型，经磷化喷塑，耐磨防腐。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前后旁边可快速拆卸，后板装开关及接线板，内配连接线，底部有接地线装置。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★100A及以上配备专用空开箱</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根据UPS工作方式配备ABB或施耐德2P或3P直流空开</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直流空开、电池连接线规格应满足UPS满负荷运行状态</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配电单元：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采用标准19英寸机架式安装设计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箱体采用模压成型工艺，无边框设计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★前面板免工具拆卸指示灯、智能仪表、断路器实现前端维护；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配置智能电量仪，支持上传用电信息及总开关状态;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微断开关全部采用施耐德品牌，采用动力型UPS输入断路器，提升约10倍抗冲击电流</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后端采用阻燃UK端子，采用斜装设计，方便施工端接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市电总输入1路 100A/3P；UPS输入开关1路 80A/3P；UPS输出开关1路 80A/1P；手动维修旁路开关1路 80A/2P；空调控制开关2路 32A/1P；PDU控制开关14路 16A/1P(市电、UPS各7路)；含柜体照明、应急风扇UPS配电，C级防雷保护；</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PDU：</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一路输入16A ，输出12路10A（通用），2路16A（国标），2路10A IEC-C13 输出（带自锁模块），共16路，本次配置8条。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支持嵌入式垂直安装设计，黑色铝壳，带电源指示灯；</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PDU 内部采用整根铜条作为主母线，铜条截面积≧2.5，材质应为紫铜或磷青铜；</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插座单元之间连接线，采用主、支路一体化无断点连接方式，避免长期通电过热脱焊现象；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插座模块的连线与外壳之间绝缘隔层；采用接线端子盒，端子采用专用端子排和保护盖；</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两插座之间用间隔板分开，插座上有对应标识丝印；</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★提供ROHS认证、EMC认证、LVD认证</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冷却系统：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标准19英寸设计，安装于机柜内底部，深≤760mm，设备高度≤5U；</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最大制冷量≥4200(W)，显冷量≥4200(W)；</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室内风机标准风量达到≥800（m3/h），风机数量≥1；</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★应采用直流变频涡旋压缩机的连续无级调节和风机无级调速可以实现温湿度更佳精确控制，温度精度可控制在±1℃，湿度精度可控制在约±10%RH。</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★应选用大面积斜板式换热器，不应采用V型蒸发器；应安装有快速除湿装置。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★机组采用电子膨胀阀，应用先进电子膨胀阀技术，平滑调节节流开度，与直流变频涡旋压缩机有效配合；</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★设备应标配视液镜，高低浮子开关、PTC电加热和强排水泵，水浸传感器。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★设备应具备完善的诊断和自动报警功能，能更有效地防止故障发生及更快速地寻找故障位置，全方位地保</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护机组，有效地延长了空调机组的使用寿命。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★室内机配置拉手，可轻松进行抽拉安装和维护；室内机电控箱可抽拉，方便巡检。</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为缩小空调尺寸，内机应无任何显示屏，所有参数出厂调试好后到现场即可投入使用；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标配RS485通讯接口，接口备优良的电气隔离性能，通信协议采用标准通信协议；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★室内侧所有供电、信号电缆均采用插拔式结构，不接受端子形式。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★所有机组应可进行联控，从而实现群组控制和主备轮巡的功能。多机联控通过 PLAN 总线实现，群控数量≥ 12 台</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采用PID控制，旋转式变频压缩机自动调节压缩机运行频率，自适应机柜内负荷变化，精确控制机柜内环境；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★设备内风机采用后倾式EC离心风机，外风机具备斩波调速。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★室内机前突式风机设计，按送风方式为四周环形送风，可通过增加组件来选则前送风或加风帽导风，适应各种安装需求形式;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配备尼龙空气过滤器，方便更换。</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★机组应预充冷媒，并采用快速螺纹接头设计。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针对机柜环境设计，空调器采用R410A环保制冷剂。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机组支持柜内上下走管方式，且室内机设计有快速插拔插头；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配备高灵敏度传感器，精确控温，上电后自动运行控制，操作简便；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室外机应采用波纹型翅片管换热器，具有高散热效率，清洗、维护方便等特点。</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★室外机应配备先进的风机转速控制系统，通过检测系统的冷凝压力，从而控制室外风机转速，使系统压力与热负荷相适应，有效降低机噪声，保证系统的稳定、可靠、高效运行。</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机组应满足220V单相输入电力配置。输入电压允许波动范围：220V +10% ~ -10%，频率：50Hz ± 2Hz</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动环监控系统：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采用嵌入式动环集中监控主机，主机19英寸标准机架式安装。</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配备7英寸屏触摸一体机，提供本地屏端和远程管理；实时监控（UPS、冷却系统、供配电、温湿度、烟感、漏水）等设备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采用HTML5技术，动态图表的方式实时显示监测数据，同时支持新设备的组态添加；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★系统采用编译型语言开发，基于Ubuntu16.04 OS运行，可移植到Linux、MacOS、Windows等多操作系统；</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系统采用多层架构，采用最新HTML5+Ajax+Websocket技术，页面组态过程可通过WEB方式进行，且即时生效，用户更换或升级浏览器无需做任何设置；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系统支持大屏模式、列表模式、地图模式对多个节点集中监控，大屏模式将机房视图、地区机房统计、机房实时数据、实时告警、机房健康统计、定时自动巡视机房等以动态方式全屏集中展（提供大屏模式的截图）；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★系统具备对一体机柜门远程开锁，并提供实时和历史开锁记录； 系统具备对触屏一体机的参数远程修改，修改温湿度的阈值，屏端密码等；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系统实时显示不同的设备的告警信息，并在设备图标的右上角动态显示告警数量，当鼠标移到对应的图标时，能以列表的形式动态显示该设备的告警内容。</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提供多种报警方式（短信、声光、邮件等），各种设备都支持4级报警级别；</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系统对用户进行权限管理、菜单和动环设备组态管理、网络IP地址管理、报表管理、历史数据查询、Excel格式报表下载等功能；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★系统可开放ModbusTCP、HTTP、WebSocket接口API协议，供第三方系统对接；系统具备自守护功能，实现网络、数据库和系统异常的主动发现和重置恢复。</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★动力环境监测系统必须具备“软件著作权登记”证书、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★动力环境监测系统具备第三方评测报告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★动环集中监控中心软件具备第三方评测报告</w:t>
            </w:r>
          </w:p>
          <w:p>
            <w:pPr>
              <w:widowControl/>
              <w:jc w:val="left"/>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探火管式灭火装置（感温自动灭火装置）：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产品符合通过CNCA/CTS0015－2010《感温自启动灭火装置认证技术规范》产品标准、《建筑设计防火规范》（GB50016-2006）等相关标准规范</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产品采用自动式感温喷放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灭火剂种类:七氟丙烷</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灭火剂充装重量（Kg/瓶）：3kg</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20℃时工作压:（Mpa）2.5</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灭火剂充装系数（Kg/L）:≤1.5</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最大工作压力（Mpa）：4.2</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最小工作压力（Mpa）：2.0</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安装方式：壁挂式安装</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使用温度（℃）：0～+50</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13</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机房门禁系统</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同时具备密码指纹开启，支持指纹/磁力锁/门禁电源，包含控制器。</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14</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硬盘录像机</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硬盘≥2T，网络硬盘录像机。</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362"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摄像头</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500万红外夜视，支持POE供电</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16</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POE交换机</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标准19英寸1U高机架设备，可上机架 ，固化千兆电接口数≥24个，千兆光口≥2个，最大可用端口≥26个</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24个千兆电口支持POE 和POE+，整机POE供电功率≥370W</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交换容量≥48Gbps</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包转发率≥38.7Mpps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MAC地址表≥8K</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配置流控开关 ，可开启或关闭整机流控功能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★工作温度范围 ≥50°C，并提供官网截图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★为保证后期维护方便与设备兼容性要求与核心网关同一品牌。</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12</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台</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17</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国标，超六类非屏蔽纯铜双绞线。</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30</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箱</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18</w:t>
            </w:r>
          </w:p>
        </w:tc>
        <w:tc>
          <w:tcPr>
            <w:tcW w:w="1186"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辅材</w:t>
            </w:r>
          </w:p>
        </w:tc>
        <w:tc>
          <w:tcPr>
            <w:tcW w:w="4320" w:type="dxa"/>
            <w:gridSpan w:val="2"/>
            <w:tcBorders>
              <w:top w:val="single" w:color="000000" w:sz="4" w:space="0"/>
              <w:left w:val="single" w:color="000000" w:sz="4" w:space="0"/>
              <w:bottom w:val="single" w:color="000000"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包括施工范围内所有辅助材料。</w:t>
            </w:r>
          </w:p>
        </w:tc>
        <w:tc>
          <w:tcPr>
            <w:tcW w:w="628"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批</w:t>
            </w:r>
          </w:p>
        </w:tc>
        <w:tc>
          <w:tcPr>
            <w:tcW w:w="1087" w:type="dxa"/>
            <w:gridSpan w:val="2"/>
            <w:tcBorders>
              <w:top w:val="single" w:color="000000" w:sz="4" w:space="0"/>
              <w:left w:val="single" w:color="000000" w:sz="4" w:space="0"/>
              <w:bottom w:val="single" w:color="000000"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不是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19</w:t>
            </w:r>
          </w:p>
        </w:tc>
        <w:tc>
          <w:tcPr>
            <w:tcW w:w="1186" w:type="dxa"/>
            <w:gridSpan w:val="2"/>
            <w:tcBorders>
              <w:top w:val="single" w:color="000000" w:sz="4" w:space="0"/>
              <w:left w:val="single" w:color="000000" w:sz="4" w:space="0"/>
              <w:bottom w:val="single" w:color="auto"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虚拟幼儿园实训软件</w:t>
            </w:r>
          </w:p>
        </w:tc>
        <w:tc>
          <w:tcPr>
            <w:tcW w:w="4320" w:type="dxa"/>
            <w:gridSpan w:val="2"/>
            <w:tcBorders>
              <w:top w:val="single" w:color="000000" w:sz="4" w:space="0"/>
              <w:left w:val="single" w:color="000000" w:sz="4" w:space="0"/>
              <w:bottom w:val="single" w:color="auto" w:sz="4" w:space="0"/>
              <w:right w:val="single" w:color="000000"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一、技术要求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1.采用B/S架构，教师端和学生端可以同时使用，无站点用户数量限制，采用web浏览模式访问，兼容IE10以上浏览器，同一账号数据互通。系统为三重管理权限：管理员、教师和学生权限。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2.数据库采用MySQL数据库，既使用了正版软件，也降低了资源建设内容；资源文件权限控制，对资源进行加密处理，防止非法下载源文件，保证了用户信息和资源信息的安全可靠。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3.基于Mysql 数据库作为元数据索引存储服务器，基于MooseFS（简称 MFS）分布式文件系统作为资源文件存储系统，可灵活方便进行扩展，也可应对多应用的访问瓶颈。</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4.支持txt、rtf、doc/docx、ppt/pptx、xls/xlsx、pdf、swf等格式文档上传自动转换为流媒体格式进行播放展示，支持jpg/jpeg、gif、png、bmp等格式图片，支持avi、rmvb、MP3、flv、wmv、mpg、wav等多媒体格式自动转换为流媒体格式播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二、功能特征要求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1.虚实结合平台搭建，突破传统网站模式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整个系统以虚拟的幼儿园及实训大楼为主体展开教学实训、职业体验活动以及观摩幼儿园真实情境，学生在轻松愉快的虚实结合（3D与现实）的氛围中完成实训课程、幼儿园真实环境的职业学习模拟以及提交作业，使整个教学形成闭环。</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（2）学生可在操作提示与操作演示视频中自主选取实训任务并进行无障碍练习。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（3）同时满足教师教学、学生学习、学生训练等多功能操作，呈现极致趣味、实用的实训体验。</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2.科学便捷的资源建设、管理标准，满足师生教与学的资源需求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（1）★提供幼儿园一日生活中常见的生活、游戏、教学情境供学生灵活练习。</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（2）★提供幼儿园教师真实工作岗位任务供学生了解幼儿园一日生活常规和突发状况的处理。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（3）★学生用游戏的方式完成任务了解幼儿园一日生活常规和突发状况的处理方式。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3.灵活的资源管理模式，帮助教师打造个性化课程教学资源库</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（1）★资源分类：支持自主创建个性化资源管理目录，打造个性化教学资源库。教师可新增、修改、删除自己的项目、任务名称。（该标星参数需提供功能截图）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资源类型：支持用户自定义上传资源，教师可将资源上传到平台上，将文档进行分类上传（可存在对应项目、任务中），上传后资源存在于自己的个人资源库，仅供自己查询使用。支持txt、doc/docx、ppt/pptx、xls/xlsx、pdf、swf等格式文档，支持jpg/jpeg、gif、png、bmp等格式图片，支持avi、rmvb、MP3、flv、wmv、mpg、wav等多媒体格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（3）★资源修改、删除：教师可对自己上传的资源进行修改和删除操作。</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（4）★资源查看：用户对各类资源进行在线查看。</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4.便捷的教学互动模式，帮助教师实时获取教学反馈信息</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作业提交：支持多种主流文件格式提交作业，并在线预览。支持个人及小组形式上传作业。可在移动端提交作业。作业PC端支持txt、doc/docx、ppt/pptx、xls/xlsx、pdf、swf等格式文档，支持jpg/jpeg、gif、png、bmp等格式图片，支持avi、rmvb、MP3、flv、wmv、mpg、wav等多媒体格式。手机端支持jpg/jpeg、gif、png、bmp等格式图片，支持avi、rmvb、MP3、flv、wmv、mpg、wav等多媒体格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（2）★作业批改：支持教师批改作业，并可将优秀作业推荐到作品库中供所有用户查看。（该标星参数需提供功能截图）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（3）★成绩查询：可根据实训室、项目、任务查看成绩。</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5.用户自主网络点评，自动优化排序清理资源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作品展示与评论点赞：所有用户的作品均可进入到作品库中，优先显示教师推荐的作品，作品库中的所有作品均可被所有用户评论及点赞。作品展示可根据小组作业、个人作业、推荐作业分开显示，个人作业及小组作业可根据点赞数及评论数进行排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6.个性化分组管理模式，帮助教师实现分层次、个性化教学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（1）★学生分组：支持教师对学生进行灵活分组，含手动分组及随机分组两种模式。（该标星参数需提供功能截图）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（2）★分层教学：支持以小组为单位进行任务发布、辅导、批改作业、并进行成绩统计。（该标星参数需提供功能截图）</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7.生成性用户管理，满足个性化开户和资料更新需求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l  （1）用户管理：开设教师及学生角色，并可修改更新用户个人信息资料情况。</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l  （2）班级管理：可任意开设班级，并对班级进行管理。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三、配套内容要求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1.资源参数要求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视频：教学微课必须是完整的一个知识点或技能点，操作类微课时长在3~8分钟每个，讲解类微课时长3~10分钟。全课程图像同步性能稳定，无失步现象，无失帧，无抖动跳跃，无色闪或画面跳动。色还原正常，无明显偏色，镜头衔接处无明显色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（2）★音频：声音清晰无明显失真，音量适中，前后一致，无明显起伏。声音与画面同步，无交流声或其他杂音等缺陷。</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（3）★分辨率要求：分辨率一般设定为1280*720（16:9）。其中，视频制作类：分辨率设定为1280*720（16:9）。录屏制作类：参照录制所用电脑的最佳分辨率。多媒体软件合成类：分辨率设定为1028×576（16:9）。</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（4）★存档版要求：采用H.264(MPEG-4Part10：profile=main,level=3.0)编码、使用二次编码、包含字幕的 MP4格式；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（5）★网络版要求：使用FLV格式；总比特率≥512kbps、帧频≥25fps、标清的大小≥648×480、高清的大小≥1028×576。</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2.资源内容要求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（1）★幼儿园资源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A.活动室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幼儿园日常生活活动：《入园：晨检》、《入园：晨间接待》、《入园：晨练》、《盥洗》、《进餐》、《饮水》、《如厕》、《睡眠》、《离园》，包括小、中、大班三个年龄段27个视频；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小班游戏活动：《角色游戏：娃娃家》、《结构游戏：我的家》、《表演游戏：鸟宝宝的家》、《规则游戏：熊猫滚球》4个视频；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小班教学活动：《健康领域活动：白开水好处多》、《语言领域活动：蛇偷吃了我的蛋》、《社会领域活动：我们都是好朋友》、《科学领域活动：罐子里的歌声》、《艺术领域活动：会变的纸》5个视频；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中班游戏活动：《角色游戏——商店》、《结构游戏——生活中的车》、《表演游戏——小羊和狼》、《规则游戏——跳圆圈》4个视频；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中班教学活动：《健康领域——高兴和生气》、《语言领域——木头人》、《社会领域——“对不起”真神奇》、《科学领域——调皮的风》、《艺术领域——冰棒棍的创想》5个视频；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大班游戏活动：《角色游戏：当当美食街》、《结构游戏：秘密花园》、《表演游戏：Show Time》、《规则游戏：传帽子》4个视频；</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大班教学活动：《健康领域活动：倒行车嘟嘟嘟》、《语言领域活动：小小设计家》、《社会领域活动：公园的规则》、《科学领域活动：省电小妙招》、《艺术领域活动：泼水歌》5个视频。</w:t>
            </w:r>
          </w:p>
          <w:p>
            <w:pPr>
              <w:widowControl/>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共54个案例视频（.mp4），54个活动设计（.doc）。</w:t>
            </w:r>
          </w:p>
          <w:p>
            <w:pPr>
              <w:widowControl/>
              <w:ind w:firstLine="480"/>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B.专用活动室</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包含音乐馆、有声绘本馆、创意美术馆、儿童戏剧馆所需的活动设计、课堂实录及拓展材料。</w:t>
            </w:r>
          </w:p>
        </w:tc>
        <w:tc>
          <w:tcPr>
            <w:tcW w:w="628" w:type="dxa"/>
            <w:gridSpan w:val="2"/>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000000" w:sz="4" w:space="0"/>
              <w:left w:val="single" w:color="000000" w:sz="4" w:space="0"/>
              <w:bottom w:val="single" w:color="auto" w:sz="4" w:space="0"/>
              <w:right w:val="single" w:color="000000"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20</w:t>
            </w:r>
          </w:p>
        </w:tc>
        <w:tc>
          <w:tcPr>
            <w:tcW w:w="1186"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计算机组装与维护虚拟仿真实训教学软件</w:t>
            </w:r>
          </w:p>
        </w:tc>
        <w:tc>
          <w:tcPr>
            <w:tcW w:w="4320"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一、平台搭建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1、模型采用基于PC系统的三维动画渲染和制作的3ds Max；</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2、客户端开发采用全面整合的专业游戏引擎Unity3D，实现三维可视化，用户轻松操作交互使用；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3、3Dmax三维模型深度优化，低端硬件亦可流畅运行；</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4、对DirectX和OpenGL拥有高度优化的图形渲染管道，给用户呈现身临其境逼真的三维视角体验；</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5、丰富专业的教学资源库，只为用户工作使用更方便；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6、单机采用Ukey加密验证技术，防止非法用户使用传播；</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7、针对软件定位使用的整体UI设计，用户操作变得舒适、简单、自由；</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8、Unity3D虚拟现实、跨平台应用程序开发引擎，兼容各Windows版本；</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二、平台功能</w:t>
            </w:r>
            <w:r>
              <w:rPr>
                <w:rFonts w:hint="eastAsia" w:ascii="仿宋" w:hAnsi="仿宋" w:eastAsia="仿宋" w:cs="仿宋"/>
                <w:color w:val="000000"/>
                <w:kern w:val="0"/>
                <w:sz w:val="24"/>
                <w:szCs w:val="24"/>
              </w:rPr>
              <w:tab/>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1、平台可实现计算机外部设备的了解、CMOS设置、主机安装互动实操；</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2、所有模块既能实现学生交互式操作，也可以实现连播功能，均支持画面放大缩小、360度全方面旋转功能；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3、外部设备的了解模块知识点包含：</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认识主机电源线插口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认识PS/2键盘接口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认识PS/2鼠标接口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认识显示器DVI接口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认识串行接口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认识USB接口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认识显示器VGA接口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认识并行接口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认识网线接口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认识话筒输入接口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认识音频输出接口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认识音频输入接口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连接主机电源线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连接PS/2键盘连接PS/2鼠标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连接DVI显示器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连接USB鼠标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连接VGA显示器</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连接网线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连接耳麦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连接耳机/音箱</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连接音频输入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整理接线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4、模块端接模块知识点包含： </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制作准备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接线盒清理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标记管线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剪掉多余的线头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剥线摆线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端接模块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安装面板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测试模块端口</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端接模块</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打线器压接</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5、跳线制作模块知识点包含：</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制作前准备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网线剥皮</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整理线序</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剪掉多余导线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网线压线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网线测试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网线展示</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压线准备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压水晶头</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6、网络配线架端接模块知识点包含：</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端接准备</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线缆标记</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网线安装</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网线测试</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剥线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理线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压线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打线刀打线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剪掉多余线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扎线</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三 资源</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微课一套：</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典型知识点微课录制≥10个（要求每个微课时间在5-10分钟），分辨率≥800*600、声道为立体声、视频帧率24，封装格式MP4</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PPT</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授课PPT一套（≥6个），结合课程知识点，必须符合授课老师要求</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试题</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≥300道相关试题</w:t>
            </w:r>
          </w:p>
        </w:tc>
        <w:tc>
          <w:tcPr>
            <w:tcW w:w="628"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r>
        <w:tblPrEx>
          <w:tblLayout w:type="fixed"/>
          <w:tblCellMar>
            <w:top w:w="15" w:type="dxa"/>
            <w:left w:w="15" w:type="dxa"/>
            <w:bottom w:w="15" w:type="dxa"/>
            <w:right w:w="15" w:type="dxa"/>
          </w:tblCellMar>
        </w:tblPrEx>
        <w:trPr>
          <w:trHeight w:val="286" w:hRule="atLeast"/>
          <w:jc w:val="center"/>
        </w:trPr>
        <w:tc>
          <w:tcPr>
            <w:tcW w:w="654"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21</w:t>
            </w:r>
          </w:p>
        </w:tc>
        <w:tc>
          <w:tcPr>
            <w:tcW w:w="1186"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电子技术仿真实训软件</w:t>
            </w:r>
          </w:p>
        </w:tc>
        <w:tc>
          <w:tcPr>
            <w:tcW w:w="4320" w:type="dxa"/>
            <w:gridSpan w:val="2"/>
            <w:tcBorders>
              <w:top w:val="single" w:color="auto" w:sz="4" w:space="0"/>
              <w:left w:val="single" w:color="auto" w:sz="4" w:space="0"/>
              <w:bottom w:val="single" w:color="auto" w:sz="4" w:space="0"/>
              <w:right w:val="single" w:color="auto" w:sz="4" w:space="0"/>
            </w:tcBorders>
            <w:vAlign w:val="top"/>
          </w:tcPr>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一、软件介绍</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子技术实训3D仿真软件系统V1.0依据教育部颁发文件《关于开展国家级虚拟仿真实验教学中心建设工作的通知》而研制的一款适合电子专业教学、应用三维仿真技术的软件，符合国家提出的信息化教学的概念，满足了虚拟仿真实验教学的要求。本软件以实训技能提升为目标，结合理论项目式教学情形，教学任务目标为驱动，实训项目操作为主体，实现学生交互操作实训仿真场景。具有三维可视、深度交互性、仿真实训场景情形等特点，同时给用户体验虚拟场景的视觉满足感、空间操作感、操作易用感等。电子技术实训3D仿真软件系统V1.0能在很大程度上你补了客观条件的不足从而锻炼了学生的动手能力，为学生提供近似真实的场景，提高学生职业技能。软件中实训模块包括模拟电子技术、数字电子技术实训项目，包括二极管特性、整流滤波电路、共射极放大电路、负反馈放大电路、场效应管放大电路等。每个实训项目包含实训目的、理论介绍、实训原理、实训操作、实训习题的训练任务等。本软件为电子技术实践教学与技能教学提供了教学资源，是电子技术虚拟仿真实训室的一款主体软件。适用于电子专业、电气专业的模拟电路、数字电路、电工基础等课程的实践教学。</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软件可放在我司的虚拟仿真实验教学平台上，以便解决学校在资源共享上的问题，建立学校的统一身份认证机制和共享用户的数据库信息，提高实训室的利用率。以虚拟仿真实验教学资源的开放共享和充分使用为最终目标，促进学校品牌提升，达到国家级虚拟实验教学中心示范作用，最终形成校与校之间，学院与学院之间，校与企业直接共建、共享、共营的局面，更好的为培养校内外实践创新能力的优质人才提供服务。</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二、软件功能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电子技术实训3D仿真软件系统V1.0软件功能主要有：</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B/S 结构。B/S 结构的最大的优点可以在任何地方进行操作而不用安装任何专门的软件，只要有一台能上网的电脑就能使用。系统的扩展容易，只要能上网，再由系统管理员分配一个用户名和密码，就可以使用了，解除了登录的地域限制。</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★个人中心管理功能。包括密码修改、用户信息修改、实训项目的操作记录查看等功能。</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3.</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信息管理功能。三种用户角色登录。管理员、教师、学生分别登录统一网站，角色不同，功能不同，方便用户使用，易于统一管理。</w:t>
            </w:r>
          </w:p>
          <w:p>
            <w:pPr>
              <w:widowControl/>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4.</w:t>
            </w:r>
            <w:r>
              <w:rPr>
                <w:rFonts w:hint="eastAsia" w:ascii="仿宋" w:hAnsi="仿宋" w:eastAsia="仿宋" w:cs="仿宋"/>
                <w:color w:val="000000"/>
                <w:kern w:val="0"/>
                <w:sz w:val="24"/>
                <w:szCs w:val="24"/>
              </w:rPr>
              <w:tab/>
            </w:r>
            <w:r>
              <w:rPr>
                <w:rFonts w:hint="eastAsia" w:ascii="仿宋" w:hAnsi="仿宋" w:eastAsia="仿宋" w:cs="仿宋"/>
                <w:color w:val="000000"/>
                <w:kern w:val="0"/>
                <w:sz w:val="24"/>
                <w:szCs w:val="24"/>
              </w:rPr>
              <w:t>实训模块项目功能。模电和数电实训项目，如二极管特性、整流滤波电路、共射极放大电路、负反馈放大电路、场效应管放大电路等。实训项目有包含实训目的、理论介绍、实训原理、实训操作、实训习题的训练任务等。</w:t>
            </w:r>
          </w:p>
        </w:tc>
        <w:tc>
          <w:tcPr>
            <w:tcW w:w="628"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p>
        </w:tc>
        <w:tc>
          <w:tcPr>
            <w:tcW w:w="545" w:type="dxa"/>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套</w:t>
            </w:r>
          </w:p>
        </w:tc>
        <w:tc>
          <w:tcPr>
            <w:tcW w:w="1087" w:type="dxa"/>
            <w:gridSpan w:val="2"/>
            <w:tcBorders>
              <w:top w:val="single" w:color="auto" w:sz="4" w:space="0"/>
              <w:left w:val="single" w:color="auto" w:sz="4" w:space="0"/>
              <w:bottom w:val="single" w:color="auto" w:sz="4" w:space="0"/>
              <w:right w:val="single" w:color="auto" w:sz="4" w:space="0"/>
            </w:tcBorders>
            <w:vAlign w:val="top"/>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w:t>
            </w:r>
          </w:p>
        </w:tc>
      </w:tr>
    </w:tbl>
    <w:p>
      <w:pPr>
        <w:pStyle w:val="2"/>
        <w:rPr>
          <w:rFonts w:hint="eastAsia" w:ascii="仿宋" w:hAnsi="仿宋" w:eastAsia="仿宋" w:cs="仿宋"/>
          <w:sz w:val="24"/>
          <w:szCs w:val="24"/>
        </w:rPr>
      </w:pPr>
    </w:p>
    <w:p>
      <w:pPr>
        <w:spacing w:line="360" w:lineRule="auto"/>
        <w:ind w:firstLine="240" w:firstLineChars="100"/>
        <w:rPr>
          <w:rFonts w:ascii="仿宋" w:hAnsi="仿宋" w:eastAsia="仿宋" w:cs="仿宋"/>
          <w:color w:val="000000"/>
          <w:sz w:val="24"/>
          <w:szCs w:val="24"/>
          <w:lang w:val="zh-CN"/>
        </w:rPr>
      </w:pPr>
      <w:r>
        <w:rPr>
          <w:rFonts w:hint="eastAsia" w:ascii="仿宋" w:hAnsi="仿宋" w:eastAsia="仿宋" w:cs="仿宋"/>
          <w:color w:val="C00000"/>
          <w:sz w:val="24"/>
          <w:szCs w:val="24"/>
          <w:lang w:val="en-US" w:eastAsia="zh-CN"/>
        </w:rPr>
        <w:t>二</w:t>
      </w:r>
      <w:r>
        <w:rPr>
          <w:rFonts w:hint="eastAsia" w:ascii="仿宋" w:hAnsi="仿宋" w:eastAsia="仿宋" w:cs="仿宋"/>
          <w:color w:val="000000"/>
          <w:sz w:val="24"/>
          <w:szCs w:val="24"/>
          <w:lang w:val="zh-CN"/>
        </w:rPr>
        <w:t>、其它要求</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spacing w:line="360" w:lineRule="auto"/>
        <w:ind w:firstLine="480" w:firstLineChars="200"/>
        <w:rPr>
          <w:rFonts w:hint="eastAsia" w:eastAsia="仿宋"/>
          <w:lang w:val="en-US"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zh-CN"/>
        </w:rPr>
        <w:t>、投标人应就该项目完整投标，否则为无效投标。</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rPr>
        <w:t>、根据《财政部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spacing w:line="360" w:lineRule="auto"/>
        <w:ind w:firstLine="480" w:firstLineChars="200"/>
        <w:rPr>
          <w:rFonts w:ascii="仿宋" w:hAnsi="仿宋" w:eastAsia="仿宋" w:cs="仿宋"/>
          <w:color w:val="FF0000"/>
          <w:sz w:val="24"/>
          <w:szCs w:val="24"/>
          <w:lang w:val="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lang w:val="zh-CN"/>
        </w:rPr>
        <w:t>、投标人须明确维修点地址、负责人、联系人和联系电话等详细资料。</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：以签证合同为准</w:t>
      </w:r>
      <w:r>
        <w:rPr>
          <w:rFonts w:hint="eastAsia" w:ascii="仿宋" w:hAnsi="仿宋" w:eastAsia="仿宋" w:cs="仿宋"/>
          <w:color w:val="000000"/>
          <w:sz w:val="24"/>
          <w:szCs w:val="24"/>
        </w:rPr>
        <w:t>。</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1</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spacing w:line="360" w:lineRule="auto"/>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、验收标准</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zh-CN"/>
        </w:rPr>
        <w:t>由采购人成立验收小组,按照采购合同的约定对中标人履约情况进行验收。验收时,按照采购合同的约定对每一项技术、服务、安全标准的履约情况进行确认。验收结束后,出具验收报告,列明各项标准的验收情况及项目总体评价,由验收双方共同签署。</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（2）按照招标文件要求、投标文件响应和承诺验收。</w:t>
      </w:r>
    </w:p>
    <w:p>
      <w:pPr>
        <w:spacing w:line="600" w:lineRule="exact"/>
        <w:rPr>
          <w:rFonts w:ascii="仿宋" w:hAnsi="仿宋" w:eastAsia="仿宋" w:cs="仿宋"/>
          <w:color w:val="000000"/>
          <w:sz w:val="24"/>
          <w:szCs w:val="24"/>
        </w:rPr>
      </w:pPr>
    </w:p>
    <w:p>
      <w:pPr>
        <w:ind w:left="424" w:leftChars="202" w:right="567" w:firstLine="360" w:firstLineChars="150"/>
        <w:rPr>
          <w:rFonts w:ascii="仿宋" w:hAnsi="仿宋" w:eastAsia="仿宋" w:cs="仿宋"/>
          <w:color w:val="000000"/>
          <w:sz w:val="24"/>
          <w:szCs w:val="24"/>
        </w:rPr>
      </w:pP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2108" w:firstLineChars="700"/>
        <w:rPr>
          <w:rFonts w:ascii="仿宋" w:hAnsi="仿宋" w:eastAsia="仿宋" w:cs="仿宋"/>
          <w:b/>
          <w:sz w:val="30"/>
          <w:szCs w:val="30"/>
        </w:rPr>
      </w:pPr>
      <w:r>
        <w:rPr>
          <w:rFonts w:hint="eastAsia" w:ascii="仿宋" w:hAnsi="仿宋" w:eastAsia="仿宋" w:cs="仿宋"/>
          <w:b/>
          <w:sz w:val="30"/>
          <w:szCs w:val="30"/>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（2）营业执照副本、银行开户许可证、法定代表人授权代表社保证明、法人代表授权委托书（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（3）投标保证金缴纳回执；</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pStyle w:val="125"/>
        <w:spacing w:before="120" w:after="120"/>
        <w:ind w:firstLine="0" w:firstLineChars="0"/>
        <w:rPr>
          <w:rFonts w:hint="eastAsia" w:ascii="仿宋" w:hAnsi="仿宋" w:eastAsia="仿宋" w:cs="仿宋"/>
          <w:szCs w:val="24"/>
          <w:lang w:eastAsia="zh-CN"/>
        </w:rPr>
      </w:pPr>
      <w:r>
        <w:rPr>
          <w:rFonts w:hint="eastAsia" w:ascii="仿宋" w:hAnsi="仿宋" w:eastAsia="仿宋" w:cs="仿宋"/>
          <w:szCs w:val="24"/>
        </w:rPr>
        <w:t>3.5评分</w:t>
      </w:r>
      <w:r>
        <w:rPr>
          <w:rFonts w:hint="eastAsia" w:ascii="仿宋" w:hAnsi="仿宋" w:eastAsia="仿宋" w:cs="仿宋"/>
          <w:szCs w:val="24"/>
          <w:lang w:eastAsia="zh-CN"/>
        </w:rPr>
        <w:t>标准</w:t>
      </w:r>
    </w:p>
    <w:tbl>
      <w:tblPr>
        <w:tblStyle w:val="36"/>
        <w:tblW w:w="8925" w:type="dxa"/>
        <w:tblInd w:w="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228"/>
        <w:gridCol w:w="1350"/>
        <w:gridCol w:w="6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782" w:hRule="atLeast"/>
        </w:trPr>
        <w:tc>
          <w:tcPr>
            <w:tcW w:w="1228" w:type="dxa"/>
            <w:vAlign w:val="center"/>
          </w:tcPr>
          <w:p>
            <w:pPr>
              <w:spacing w:line="360" w:lineRule="auto"/>
              <w:jc w:val="center"/>
              <w:rPr>
                <w:rFonts w:hint="eastAsia" w:ascii="仿宋" w:hAnsi="仿宋" w:eastAsia="仿宋" w:cs="仿宋"/>
                <w:sz w:val="24"/>
                <w:szCs w:val="24"/>
              </w:rPr>
            </w:pPr>
          </w:p>
        </w:tc>
        <w:tc>
          <w:tcPr>
            <w:tcW w:w="13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分值组成</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总分100分</w:t>
            </w:r>
          </w:p>
        </w:tc>
        <w:tc>
          <w:tcPr>
            <w:tcW w:w="6347" w:type="dxa"/>
            <w:vAlign w:val="center"/>
          </w:tcPr>
          <w:p>
            <w:pPr>
              <w:spacing w:line="276" w:lineRule="auto"/>
              <w:rPr>
                <w:rFonts w:hint="eastAsia" w:ascii="仿宋" w:hAnsi="仿宋" w:eastAsia="仿宋" w:cs="仿宋"/>
                <w:sz w:val="24"/>
                <w:szCs w:val="24"/>
              </w:rPr>
            </w:pPr>
            <w:r>
              <w:rPr>
                <w:rFonts w:hint="eastAsia" w:ascii="仿宋" w:hAnsi="仿宋" w:eastAsia="仿宋" w:cs="仿宋"/>
                <w:sz w:val="24"/>
                <w:szCs w:val="24"/>
              </w:rPr>
              <w:t>投标报价：50分；商务部分：15分；技术部分：35分；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94" w:hRule="atLeast"/>
        </w:trPr>
        <w:tc>
          <w:tcPr>
            <w:tcW w:w="1228" w:type="dxa"/>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投标报价</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50分</w:t>
            </w:r>
          </w:p>
        </w:tc>
        <w:tc>
          <w:tcPr>
            <w:tcW w:w="1350" w:type="dxa"/>
            <w:vAlign w:val="center"/>
          </w:tcPr>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投标报价</w:t>
            </w:r>
          </w:p>
          <w:p>
            <w:pPr>
              <w:spacing w:line="276" w:lineRule="auto"/>
              <w:jc w:val="center"/>
              <w:rPr>
                <w:rFonts w:hint="eastAsia" w:ascii="仿宋" w:hAnsi="仿宋" w:eastAsia="仿宋" w:cs="仿宋"/>
                <w:sz w:val="24"/>
                <w:szCs w:val="24"/>
              </w:rPr>
            </w:pPr>
            <w:r>
              <w:rPr>
                <w:rFonts w:hint="eastAsia" w:ascii="仿宋" w:hAnsi="仿宋" w:eastAsia="仿宋" w:cs="仿宋"/>
                <w:sz w:val="24"/>
                <w:szCs w:val="24"/>
              </w:rPr>
              <w:t>50分</w:t>
            </w:r>
          </w:p>
        </w:tc>
        <w:tc>
          <w:tcPr>
            <w:tcW w:w="6347" w:type="dxa"/>
            <w:vAlign w:val="center"/>
          </w:tcPr>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说明：评标委员会认为投标人的报价明显低于其他通过符合性审查投标人的报价，有可能影响服务质量或者不能诚信履约的，应当要求其在评标现场合理的时间内提供书面说明，必要时提交相关证明材料;投标人不能证明其报价合理性的，评标委员会应当将其作为无效投标处理。</w:t>
            </w:r>
          </w:p>
          <w:p>
            <w:pPr>
              <w:spacing w:line="276" w:lineRule="auto"/>
              <w:ind w:firstLine="360" w:firstLineChars="150"/>
              <w:rPr>
                <w:rFonts w:hint="eastAsia" w:ascii="仿宋" w:hAnsi="仿宋" w:eastAsia="仿宋" w:cs="仿宋"/>
                <w:sz w:val="24"/>
                <w:szCs w:val="24"/>
              </w:rPr>
            </w:pPr>
            <w:r>
              <w:rPr>
                <w:rFonts w:hint="eastAsia" w:ascii="仿宋" w:hAnsi="仿宋" w:eastAsia="仿宋" w:cs="仿宋"/>
                <w:sz w:val="24"/>
                <w:szCs w:val="24"/>
              </w:rPr>
              <w:t>价格扣除：对投标人所投标产品为小型和微型企业、监狱企业、残疾人福利性企业所生产的，价格给予6%的扣除。对投标人所投标产品为中型企业生产制造的，价格给予3%的扣除，</w:t>
            </w:r>
          </w:p>
          <w:p>
            <w:pPr>
              <w:spacing w:line="276" w:lineRule="auto"/>
              <w:ind w:firstLine="360" w:firstLineChars="150"/>
              <w:rPr>
                <w:rFonts w:hint="eastAsia" w:ascii="仿宋" w:hAnsi="仿宋" w:eastAsia="仿宋" w:cs="仿宋"/>
                <w:sz w:val="24"/>
                <w:szCs w:val="24"/>
              </w:rPr>
            </w:pPr>
            <w:r>
              <w:rPr>
                <w:rFonts w:hint="eastAsia" w:ascii="仿宋" w:hAnsi="仿宋" w:eastAsia="仿宋" w:cs="仿宋"/>
                <w:sz w:val="24"/>
                <w:szCs w:val="24"/>
              </w:rPr>
              <w:t xml:space="preserve">所投标产品符合小微（监狱、残疾人福利性要求的投标人评标报价=投标报价-符合小微（监狱、残疾人福利性）企业要求的产品报价合计×6% -符合中型企业要求的产品报价合计×3% </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同一投标人，所投标产品生产厂家同时为中小微企业、监狱、残疾人福利性企业的，产品价格扣除优惠只享受一次。</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价格分采用低价优先法计算，即满足招标文件要求且评标报价最低的评标报价为评标基准价，其价格分为满分。其他投标人的价格分统一按照下列公式计算：</w:t>
            </w:r>
          </w:p>
          <w:p>
            <w:pPr>
              <w:spacing w:line="276" w:lineRule="auto"/>
              <w:rPr>
                <w:rFonts w:hint="eastAsia" w:ascii="仿宋" w:hAnsi="仿宋" w:eastAsia="仿宋" w:cs="仿宋"/>
                <w:sz w:val="24"/>
                <w:szCs w:val="24"/>
              </w:rPr>
            </w:pPr>
            <w:r>
              <w:rPr>
                <w:rFonts w:hint="eastAsia" w:ascii="仿宋" w:hAnsi="仿宋" w:eastAsia="仿宋" w:cs="仿宋"/>
                <w:sz w:val="24"/>
                <w:szCs w:val="24"/>
              </w:rPr>
              <w:t>投标报价得分 =(评标基准价／</w:t>
            </w:r>
            <w:r>
              <w:rPr>
                <w:rFonts w:hint="eastAsia" w:ascii="仿宋" w:hAnsi="仿宋" w:eastAsia="仿宋" w:cs="仿宋"/>
                <w:sz w:val="24"/>
                <w:szCs w:val="24"/>
                <w:lang w:eastAsia="zh-CN"/>
              </w:rPr>
              <w:t>投标</w:t>
            </w:r>
            <w:r>
              <w:rPr>
                <w:rFonts w:hint="eastAsia" w:ascii="仿宋" w:hAnsi="仿宋" w:eastAsia="仿宋" w:cs="仿宋"/>
                <w:sz w:val="24"/>
                <w:szCs w:val="24"/>
              </w:rPr>
              <w:t>报价)×50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90" w:hRule="atLeast"/>
        </w:trPr>
        <w:tc>
          <w:tcPr>
            <w:tcW w:w="1228" w:type="dxa"/>
            <w:vMerge w:val="restart"/>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商务部分</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15分</w:t>
            </w:r>
          </w:p>
        </w:tc>
        <w:tc>
          <w:tcPr>
            <w:tcW w:w="1350" w:type="dxa"/>
            <w:vAlign w:val="center"/>
          </w:tcPr>
          <w:p>
            <w:pPr>
              <w:spacing w:line="276" w:lineRule="auto"/>
              <w:ind w:firstLine="240" w:firstLineChars="100"/>
              <w:jc w:val="both"/>
              <w:rPr>
                <w:rFonts w:hint="eastAsia" w:ascii="仿宋" w:hAnsi="仿宋" w:eastAsia="仿宋" w:cs="仿宋"/>
                <w:sz w:val="24"/>
                <w:szCs w:val="24"/>
              </w:rPr>
            </w:pPr>
            <w:r>
              <w:rPr>
                <w:rFonts w:hint="eastAsia" w:ascii="仿宋" w:hAnsi="仿宋" w:eastAsia="仿宋" w:cs="仿宋"/>
                <w:sz w:val="24"/>
                <w:szCs w:val="24"/>
                <w:lang w:eastAsia="zh-CN"/>
              </w:rPr>
              <w:t>企业</w:t>
            </w:r>
            <w:r>
              <w:rPr>
                <w:rFonts w:hint="eastAsia" w:ascii="仿宋" w:hAnsi="仿宋" w:eastAsia="仿宋" w:cs="仿宋"/>
                <w:sz w:val="24"/>
                <w:szCs w:val="24"/>
              </w:rPr>
              <w:t>实力</w:t>
            </w:r>
          </w:p>
          <w:p>
            <w:pPr>
              <w:spacing w:line="276"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rPr>
              <w:t>1</w:t>
            </w:r>
            <w:r>
              <w:rPr>
                <w:rFonts w:hint="eastAsia" w:ascii="仿宋" w:hAnsi="仿宋" w:eastAsia="仿宋" w:cs="仿宋"/>
                <w:sz w:val="24"/>
                <w:szCs w:val="24"/>
                <w:lang w:val="en-US" w:eastAsia="zh-CN"/>
              </w:rPr>
              <w:t>6</w:t>
            </w:r>
            <w:r>
              <w:rPr>
                <w:rFonts w:hint="eastAsia" w:ascii="仿宋" w:hAnsi="仿宋" w:eastAsia="仿宋" w:cs="仿宋"/>
                <w:sz w:val="24"/>
                <w:szCs w:val="24"/>
              </w:rPr>
              <w:t>分</w:t>
            </w:r>
            <w:r>
              <w:rPr>
                <w:rFonts w:hint="eastAsia" w:ascii="仿宋" w:hAnsi="仿宋" w:eastAsia="仿宋" w:cs="仿宋"/>
                <w:sz w:val="24"/>
                <w:szCs w:val="24"/>
                <w:lang w:eastAsia="zh-CN"/>
              </w:rPr>
              <w:t>）</w:t>
            </w:r>
          </w:p>
        </w:tc>
        <w:tc>
          <w:tcPr>
            <w:tcW w:w="6347" w:type="dxa"/>
            <w:vAlign w:val="center"/>
          </w:tcPr>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、投标人业绩（</w:t>
            </w:r>
            <w:r>
              <w:rPr>
                <w:rFonts w:hint="eastAsia" w:ascii="仿宋" w:hAnsi="仿宋" w:eastAsia="仿宋" w:cs="仿宋"/>
                <w:sz w:val="24"/>
                <w:szCs w:val="24"/>
                <w:lang w:val="en-US" w:eastAsia="zh-CN"/>
              </w:rPr>
              <w:t>10</w:t>
            </w:r>
            <w:r>
              <w:rPr>
                <w:rFonts w:hint="eastAsia" w:ascii="仿宋" w:hAnsi="仿宋" w:eastAsia="仿宋" w:cs="仿宋"/>
                <w:sz w:val="24"/>
                <w:szCs w:val="24"/>
              </w:rPr>
              <w:t>分）</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提</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2015年1月1日以来</w:t>
            </w:r>
            <w:r>
              <w:rPr>
                <w:rFonts w:hint="eastAsia" w:ascii="仿宋" w:hAnsi="仿宋" w:eastAsia="仿宋" w:cs="仿宋"/>
                <w:sz w:val="24"/>
                <w:szCs w:val="24"/>
              </w:rPr>
              <w:t>类似业绩合同及中标通知书，每提供一份得2分，最多得</w:t>
            </w:r>
            <w:r>
              <w:rPr>
                <w:rFonts w:hint="eastAsia" w:ascii="仿宋" w:hAnsi="仿宋" w:eastAsia="仿宋" w:cs="仿宋"/>
                <w:sz w:val="24"/>
                <w:szCs w:val="24"/>
                <w:lang w:val="en-US" w:eastAsia="zh-CN"/>
              </w:rPr>
              <w:t>10</w:t>
            </w:r>
            <w:r>
              <w:rPr>
                <w:rFonts w:hint="eastAsia" w:ascii="仿宋" w:hAnsi="仿宋" w:eastAsia="仿宋" w:cs="仿宋"/>
                <w:sz w:val="24"/>
                <w:szCs w:val="24"/>
              </w:rPr>
              <w:t>分。</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注：投标文件中附对应资料的复印件，在开标时应提供原件查验，原件和复印件的内容和数据清晰可见，否则不得分。</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、售后服务及培训计划（</w:t>
            </w:r>
            <w:r>
              <w:rPr>
                <w:rFonts w:hint="eastAsia" w:ascii="仿宋" w:hAnsi="仿宋" w:eastAsia="仿宋" w:cs="仿宋"/>
                <w:sz w:val="24"/>
                <w:szCs w:val="24"/>
                <w:lang w:val="en-US" w:eastAsia="zh-CN"/>
              </w:rPr>
              <w:t>6</w:t>
            </w:r>
            <w:r>
              <w:rPr>
                <w:rFonts w:hint="eastAsia" w:ascii="仿宋" w:hAnsi="仿宋" w:eastAsia="仿宋" w:cs="仿宋"/>
                <w:sz w:val="24"/>
                <w:szCs w:val="24"/>
              </w:rPr>
              <w:t>分）</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（2）质量保证期内、外服务内容、标准及承诺（没有的得0分，其他由评委横向比较打0.1-</w:t>
            </w: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分）。 </w:t>
            </w:r>
          </w:p>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（3）人员培训承诺（没有的得0分，其他由评委横向比较打0.1-</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p>
            <w:pPr>
              <w:spacing w:line="276" w:lineRule="auto"/>
              <w:ind w:firstLine="480" w:firstLineChars="200"/>
              <w:rPr>
                <w:rFonts w:hint="eastAsia"/>
              </w:rPr>
            </w:pPr>
            <w:r>
              <w:rPr>
                <w:rFonts w:hint="eastAsia" w:ascii="仿宋" w:hAnsi="仿宋" w:eastAsia="仿宋" w:cs="仿宋"/>
                <w:sz w:val="24"/>
                <w:szCs w:val="24"/>
              </w:rPr>
              <w:t>（4）服务响应时间承诺（没有的得0分，其他由评委横向比较打0.1-</w:t>
            </w:r>
            <w:r>
              <w:rPr>
                <w:rFonts w:hint="eastAsia" w:ascii="仿宋" w:hAnsi="仿宋" w:eastAsia="仿宋" w:cs="仿宋"/>
                <w:sz w:val="24"/>
                <w:szCs w:val="24"/>
                <w:lang w:val="en-US" w:eastAsia="zh-CN"/>
              </w:rPr>
              <w:t>2</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1579" w:hRule="atLeast"/>
        </w:trPr>
        <w:tc>
          <w:tcPr>
            <w:tcW w:w="1228" w:type="dxa"/>
            <w:vMerge w:val="continue"/>
            <w:vAlign w:val="center"/>
          </w:tcPr>
          <w:p>
            <w:pPr>
              <w:spacing w:line="360" w:lineRule="auto"/>
              <w:jc w:val="center"/>
              <w:rPr>
                <w:rFonts w:hint="eastAsia" w:ascii="仿宋" w:hAnsi="仿宋" w:eastAsia="仿宋" w:cs="仿宋"/>
                <w:sz w:val="24"/>
                <w:szCs w:val="24"/>
              </w:rPr>
            </w:pPr>
          </w:p>
        </w:tc>
        <w:tc>
          <w:tcPr>
            <w:tcW w:w="1350"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投标文件编制</w:t>
            </w:r>
          </w:p>
          <w:p>
            <w:pPr>
              <w:spacing w:line="360" w:lineRule="auto"/>
              <w:ind w:firstLine="352" w:firstLineChars="147"/>
              <w:rPr>
                <w:rFonts w:hint="eastAsia" w:ascii="仿宋" w:hAnsi="仿宋" w:eastAsia="仿宋" w:cs="仿宋"/>
                <w:sz w:val="24"/>
                <w:szCs w:val="24"/>
              </w:rPr>
            </w:pPr>
            <w:r>
              <w:rPr>
                <w:rFonts w:hint="eastAsia" w:ascii="仿宋" w:hAnsi="仿宋" w:eastAsia="仿宋" w:cs="仿宋"/>
                <w:sz w:val="24"/>
                <w:szCs w:val="24"/>
              </w:rPr>
              <w:t>2分</w:t>
            </w:r>
          </w:p>
        </w:tc>
        <w:tc>
          <w:tcPr>
            <w:tcW w:w="6347" w:type="dxa"/>
            <w:vAlign w:val="center"/>
          </w:tcPr>
          <w:p>
            <w:pPr>
              <w:spacing w:line="380" w:lineRule="exact"/>
              <w:rPr>
                <w:rFonts w:hint="eastAsia" w:ascii="仿宋" w:hAnsi="仿宋" w:eastAsia="仿宋" w:cs="仿宋"/>
                <w:sz w:val="24"/>
                <w:szCs w:val="24"/>
              </w:rPr>
            </w:pPr>
            <w:r>
              <w:rPr>
                <w:rFonts w:hint="eastAsia" w:ascii="仿宋" w:hAnsi="仿宋" w:eastAsia="仿宋" w:cs="仿宋"/>
                <w:sz w:val="24"/>
                <w:szCs w:val="24"/>
              </w:rPr>
              <w:t>投标文件是否编制规范、</w:t>
            </w:r>
            <w:r>
              <w:rPr>
                <w:rFonts w:hint="eastAsia" w:ascii="仿宋" w:hAnsi="仿宋" w:eastAsia="仿宋" w:cs="仿宋"/>
                <w:sz w:val="24"/>
                <w:szCs w:val="24"/>
                <w:lang w:eastAsia="zh-CN"/>
              </w:rPr>
              <w:t>无错别字、</w:t>
            </w:r>
            <w:r>
              <w:rPr>
                <w:rFonts w:hint="eastAsia" w:ascii="仿宋" w:hAnsi="仿宋" w:eastAsia="仿宋" w:cs="仿宋"/>
                <w:sz w:val="24"/>
                <w:szCs w:val="24"/>
              </w:rPr>
              <w:t>响应完整、标注清楚、目录详尽、内容完整、叙述准确、文字简练</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得 0～2分。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2482" w:hRule="atLeast"/>
        </w:trPr>
        <w:tc>
          <w:tcPr>
            <w:tcW w:w="1228" w:type="dxa"/>
            <w:vMerge w:val="restart"/>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技术部分</w:t>
            </w:r>
          </w:p>
          <w:p>
            <w:pPr>
              <w:spacing w:line="360" w:lineRule="auto"/>
              <w:rPr>
                <w:rFonts w:hint="eastAsia" w:ascii="仿宋" w:hAnsi="仿宋" w:eastAsia="仿宋" w:cs="仿宋"/>
                <w:sz w:val="24"/>
                <w:szCs w:val="24"/>
              </w:rPr>
            </w:pPr>
            <w:r>
              <w:rPr>
                <w:rFonts w:hint="eastAsia" w:ascii="仿宋" w:hAnsi="仿宋" w:eastAsia="仿宋" w:cs="仿宋"/>
                <w:sz w:val="24"/>
                <w:szCs w:val="24"/>
              </w:rPr>
              <w:t>35分</w:t>
            </w:r>
          </w:p>
        </w:tc>
        <w:tc>
          <w:tcPr>
            <w:tcW w:w="1350" w:type="dxa"/>
            <w:vAlign w:val="center"/>
          </w:tcPr>
          <w:p>
            <w:pPr>
              <w:spacing w:line="360" w:lineRule="auto"/>
              <w:ind w:left="206" w:hanging="235" w:hangingChars="98"/>
              <w:rPr>
                <w:rFonts w:hint="eastAsia" w:ascii="仿宋" w:hAnsi="仿宋" w:eastAsia="仿宋" w:cs="仿宋"/>
                <w:sz w:val="24"/>
                <w:szCs w:val="24"/>
              </w:rPr>
            </w:pPr>
            <w:r>
              <w:rPr>
                <w:rFonts w:hint="eastAsia" w:ascii="仿宋" w:hAnsi="仿宋" w:eastAsia="仿宋" w:cs="仿宋"/>
                <w:sz w:val="24"/>
                <w:szCs w:val="24"/>
              </w:rPr>
              <w:t>技术参数和性能30分</w:t>
            </w:r>
          </w:p>
        </w:tc>
        <w:tc>
          <w:tcPr>
            <w:tcW w:w="6347" w:type="dxa"/>
            <w:vAlign w:val="center"/>
          </w:tcPr>
          <w:p>
            <w:pPr>
              <w:spacing w:line="360" w:lineRule="auto"/>
              <w:rPr>
                <w:rFonts w:hint="eastAsia" w:ascii="仿宋" w:hAnsi="仿宋" w:eastAsia="仿宋" w:cs="仿宋"/>
                <w:sz w:val="24"/>
                <w:szCs w:val="24"/>
              </w:rPr>
            </w:pPr>
            <w:r>
              <w:rPr>
                <w:rFonts w:hint="eastAsia" w:ascii="仿宋" w:hAnsi="仿宋" w:eastAsia="仿宋" w:cs="仿宋"/>
                <w:sz w:val="24"/>
                <w:szCs w:val="24"/>
              </w:rPr>
              <w:t>以招标文件要求以及投标产品的规格技术参数和性能指标等方面为评定依据，全部满足技术参数要求的得30分，“★”号项为重要指标参数，不满足的，每项扣2分；非“★”号项任何一项不满足招标文件要求的，每项扣1分，扣完为止</w:t>
            </w:r>
            <w:bookmarkStart w:id="0" w:name="_Toc514139125"/>
            <w:bookmarkStart w:id="1" w:name="_Toc514740439"/>
            <w:r>
              <w:rPr>
                <w:rFonts w:hint="eastAsia" w:ascii="仿宋" w:hAnsi="仿宋" w:eastAsia="仿宋" w:cs="仿宋"/>
                <w:sz w:val="24"/>
                <w:szCs w:val="24"/>
              </w:rPr>
              <w:t>；</w:t>
            </w:r>
            <w:bookmarkEnd w:id="0"/>
            <w:bookmarkEnd w:id="1"/>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Ex>
        <w:trPr>
          <w:trHeight w:val="4100" w:hRule="atLeast"/>
        </w:trPr>
        <w:tc>
          <w:tcPr>
            <w:tcW w:w="1228" w:type="dxa"/>
            <w:vMerge w:val="continue"/>
            <w:vAlign w:val="center"/>
          </w:tcPr>
          <w:p>
            <w:pPr>
              <w:spacing w:line="360" w:lineRule="auto"/>
              <w:rPr>
                <w:rFonts w:hint="eastAsia" w:ascii="仿宋" w:hAnsi="仿宋" w:eastAsia="仿宋" w:cs="仿宋"/>
                <w:sz w:val="24"/>
                <w:szCs w:val="24"/>
              </w:rPr>
            </w:pPr>
          </w:p>
        </w:tc>
        <w:tc>
          <w:tcPr>
            <w:tcW w:w="1350" w:type="dxa"/>
            <w:vAlign w:val="center"/>
          </w:tcPr>
          <w:p>
            <w:pPr>
              <w:spacing w:line="276"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环保、节能产品</w:t>
            </w: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2分</w:t>
            </w:r>
          </w:p>
        </w:tc>
        <w:tc>
          <w:tcPr>
            <w:tcW w:w="6347" w:type="dxa"/>
            <w:vAlign w:val="center"/>
          </w:tcPr>
          <w:p>
            <w:pPr>
              <w:spacing w:line="276" w:lineRule="auto"/>
              <w:rPr>
                <w:rFonts w:hint="eastAsia" w:ascii="仿宋" w:hAnsi="仿宋" w:eastAsia="仿宋" w:cs="仿宋"/>
                <w:sz w:val="24"/>
                <w:szCs w:val="24"/>
              </w:rPr>
            </w:pPr>
            <w:r>
              <w:rPr>
                <w:rFonts w:hint="eastAsia" w:ascii="仿宋" w:hAnsi="仿宋" w:eastAsia="仿宋" w:cs="仿宋"/>
                <w:sz w:val="24"/>
                <w:szCs w:val="24"/>
              </w:rPr>
              <w:t>所投核心产品如有“节能产品政府采购清单”内的产品的（属强制采购节能清单内产品的除外）或“环境标志产品政府采购清单”内的产品,得2分。非核心产品如有“节能产品政府采购清单”内的产品的（属强制采购节能清单内产品的除外）或“环境标志产品政府采购清单”内的产品,得1分。此项最多2分。</w:t>
            </w:r>
          </w:p>
          <w:p>
            <w:pPr>
              <w:spacing w:line="276" w:lineRule="auto"/>
              <w:rPr>
                <w:rFonts w:hint="eastAsia" w:ascii="仿宋" w:hAnsi="仿宋" w:eastAsia="仿宋" w:cs="仿宋"/>
                <w:sz w:val="24"/>
                <w:szCs w:val="24"/>
              </w:rPr>
            </w:pPr>
            <w:r>
              <w:rPr>
                <w:rFonts w:hint="eastAsia" w:ascii="仿宋" w:hAnsi="仿宋" w:eastAsia="仿宋" w:cs="仿宋"/>
                <w:sz w:val="24"/>
                <w:szCs w:val="24"/>
              </w:rPr>
              <w:t>注：投标人必须按招标文件要求在“投标产品属于政府采购节能、环保产品汇总表”填写产品名称及国家节能产品认证证书、中国环境标志产品认证证书的编号，并附该产品节能环保产品政府采购清单所在页的复印件，否则，评委会有权不予认可。招标范围内如有属于政府强制采购的产品，投标人所投产品必须为政府采购节能清单内的产品，否则为无效标。</w:t>
            </w:r>
          </w:p>
        </w:tc>
      </w:tr>
    </w:tbl>
    <w:p>
      <w:pPr>
        <w:pStyle w:val="125"/>
        <w:spacing w:before="120" w:after="120"/>
        <w:ind w:firstLine="0" w:firstLineChars="0"/>
        <w:rPr>
          <w:rFonts w:hint="eastAsia" w:ascii="仿宋" w:hAnsi="仿宋" w:eastAsia="仿宋" w:cs="仿宋"/>
          <w:sz w:val="24"/>
          <w:szCs w:val="24"/>
          <w:lang w:eastAsia="zh-CN"/>
        </w:rPr>
      </w:pPr>
    </w:p>
    <w:p>
      <w:pPr>
        <w:pStyle w:val="125"/>
        <w:spacing w:before="120" w:after="120"/>
        <w:ind w:firstLine="0" w:firstLineChars="0"/>
        <w:rPr>
          <w:rFonts w:ascii="仿宋" w:hAnsi="仿宋" w:eastAsia="仿宋" w:cs="仿宋"/>
          <w:b/>
          <w:color w:val="FF0000"/>
          <w:szCs w:val="24"/>
        </w:rPr>
      </w:pPr>
      <w:r>
        <w:rPr>
          <w:rFonts w:hint="eastAsia" w:ascii="仿宋" w:hAnsi="仿宋" w:eastAsia="仿宋" w:cs="仿宋"/>
          <w:b/>
          <w:color w:val="FF0000"/>
          <w:szCs w:val="24"/>
        </w:rPr>
        <w:t>（特别提示：以上各标段评分表中所涉及到的证件投标人在开标时候均须携带原件，未提供原件者不得分）</w:t>
      </w: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s="仿宋"/>
                <w:color w:val="0000FF"/>
                <w:szCs w:val="24"/>
              </w:rPr>
            </w:pPr>
            <w:bookmarkStart w:id="2" w:name="_Toc606"/>
          </w:p>
        </w:tc>
      </w:tr>
      <w:bookmarkEnd w:id="2"/>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各标段推荐三名中标候选人，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ascii="仿宋" w:hAnsi="仿宋" w:eastAsia="仿宋" w:cs="仿宋_GB2312"/>
          <w:sz w:val="24"/>
          <w:szCs w:val="24"/>
          <w:lang w:val="zh-CN"/>
        </w:rPr>
        <w:t xml:space="preserve">                               </w:t>
      </w:r>
      <w:r>
        <w:rPr>
          <w:rFonts w:hint="eastAsia" w:ascii="仿宋" w:hAnsi="仿宋" w:eastAsia="仿宋"/>
          <w:sz w:val="24"/>
          <w:szCs w:val="24"/>
        </w:rPr>
        <w:t>本合同双方当事人：</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甲方：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乙方：</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地址：</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cs="仿宋_GB2312"/>
          <w:sz w:val="24"/>
          <w:szCs w:val="24"/>
        </w:rPr>
        <w:t>根据《中华人民共和国合同法》及其他有关法律、法规之规定，在平等、自愿、协商一致的基础上，甲、乙双方现就         （以下简称“本项目”）咨询服务事宜，达成如下合同条款：</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第一章  总则</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第一条  编制目的</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根据               项目要求提供咨询服务，完成本项目。</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第二条  乙方的资格</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（简要叙述乙方资质及经验业绩。）</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第二章  咨询服务内容和时间安排</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第三条  咨询服务内容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乙方应结合禹州市实际发展情况，开展前期相关专题研究，并根据《县（市）以上方案内容可根据省财政厅要求及相关部门意见进行修改调整。</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第四条  工作周期</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乙方在接受委托后，应与甲方进行充分沟通，并根据甲方需求详细合理安排本项目的整体工作进度。双方同意，预定的工作周期为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日，从</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日至</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年</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月</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日。</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第五条  工作方式</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乙方工作采用现场工作与非现场工作结合的方式。访谈及成果汇报采用现场工作方式，咨询报告编撰采用非现场工作方式。</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第六条  提交咨询工作成果</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在规划编制过程中，乙方应以书面报告和电子文档的方式向甲方提交各工作阶段的工作成果，并以工作日志、会议发言记录和会议纪要等方式对非成果性工作或以正式报告形式难以记载的工作过程予以记载，根据甲方修改意见进行调整和优化。</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第三章</w:t>
      </w:r>
      <w:r>
        <w:rPr>
          <w:rFonts w:hint="eastAsia" w:ascii="仿宋" w:hAnsi="仿宋" w:eastAsia="仿宋"/>
          <w:b/>
          <w:bCs/>
          <w:sz w:val="28"/>
          <w:szCs w:val="28"/>
        </w:rPr>
        <w:tab/>
      </w:r>
      <w:r>
        <w:rPr>
          <w:rFonts w:hint="eastAsia" w:ascii="仿宋" w:hAnsi="仿宋" w:eastAsia="仿宋"/>
          <w:b/>
          <w:bCs/>
          <w:sz w:val="28"/>
          <w:szCs w:val="28"/>
        </w:rPr>
        <w:t>双方的职责和义务</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第七条  甲方的职责和义务</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为了保证实现规划目标，甲方有权对乙方咨询人员提出具体和明确的合理要求。</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甲方应积极协调相关单位，协助乙方开展调研访谈工作，并根据乙方的合理要求，负责向乙方及时提供有关基础资料。</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甲方应当全面、真实地叙述与本项目事务有关的各种情况，并保证所提供的一切相关文件真实、合法和有效。</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甲方应为乙方开展本项工作提供必要的办公地点和办公条件。规划编制过程中，协助有关政府部门和单位的协调，负责规划组织工作，提供会议室、集中资料室及其他便利条件，并承担相应费用。</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甲方应为本项目安排相应的联系人，并安排相关负责人员与乙方就规划情况及重大问题深入沟通，在技术问题上为乙方提供必要的人员支持。</w:t>
      </w:r>
    </w:p>
    <w:p>
      <w:pPr>
        <w:numPr>
          <w:ilvl w:val="0"/>
          <w:numId w:val="9"/>
        </w:numPr>
        <w:spacing w:line="360" w:lineRule="auto"/>
        <w:ind w:left="0" w:firstLine="482"/>
        <w:rPr>
          <w:rFonts w:ascii="仿宋" w:hAnsi="仿宋" w:eastAsia="仿宋" w:cs="仿宋_GB2312"/>
          <w:sz w:val="24"/>
          <w:szCs w:val="24"/>
        </w:rPr>
      </w:pPr>
      <w:r>
        <w:rPr>
          <w:rFonts w:hint="eastAsia" w:ascii="仿宋" w:hAnsi="仿宋" w:eastAsia="仿宋" w:cs="仿宋_GB2312"/>
          <w:sz w:val="24"/>
          <w:szCs w:val="24"/>
        </w:rPr>
        <w:t>甲方应按本合同规定及时足额支付相应的费用。</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第八条  乙方的职责和义务</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乙方应充分理解甲方的意图，其工作思路、想法须贯穿规划编制的过程。</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提供第三条所述咨询服务，并对咨询服务质量负责，确保甲方权益。</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选派合格和足够的咨询人员，保证咨询人员足够的工作时间以及时迅捷地提供咨询服务。若甲方对任何咨询人员不满意且提出正当理由，则乙方应及时更换。</w:t>
      </w:r>
    </w:p>
    <w:p>
      <w:pPr>
        <w:numPr>
          <w:ilvl w:val="0"/>
          <w:numId w:val="10"/>
        </w:numPr>
        <w:spacing w:line="360" w:lineRule="auto"/>
        <w:ind w:left="0" w:firstLine="420"/>
        <w:rPr>
          <w:rFonts w:ascii="仿宋" w:hAnsi="仿宋" w:eastAsia="仿宋" w:cs="仿宋_GB2312"/>
          <w:sz w:val="24"/>
          <w:szCs w:val="24"/>
        </w:rPr>
      </w:pPr>
      <w:r>
        <w:rPr>
          <w:rFonts w:hint="eastAsia" w:ascii="仿宋" w:hAnsi="仿宋" w:eastAsia="仿宋" w:cs="仿宋_GB2312"/>
          <w:sz w:val="24"/>
          <w:szCs w:val="24"/>
        </w:rPr>
        <w:t>同甲方共同商定咨询服务工作计划，对工作进度进行控制，并按照工作计划安排及时向甲方汇报工作。</w:t>
      </w:r>
    </w:p>
    <w:p>
      <w:pPr>
        <w:numPr>
          <w:ilvl w:val="0"/>
          <w:numId w:val="10"/>
        </w:numPr>
        <w:spacing w:line="360" w:lineRule="auto"/>
        <w:rPr>
          <w:rFonts w:ascii="仿宋" w:hAnsi="仿宋" w:eastAsia="仿宋" w:cs="仿宋_GB2312"/>
          <w:sz w:val="24"/>
          <w:szCs w:val="24"/>
        </w:rPr>
      </w:pPr>
      <w:r>
        <w:rPr>
          <w:rFonts w:hint="eastAsia" w:ascii="仿宋" w:hAnsi="仿宋" w:eastAsia="仿宋" w:cs="仿宋_GB2312"/>
          <w:sz w:val="24"/>
          <w:szCs w:val="24"/>
        </w:rPr>
        <w:t>根据合同约定的支付方式及时通知甲方支付咨询服务费。</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第四章  咨询服务费用和支付方式</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第九条  咨询服务费用</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甲方将就乙方为履行本协议第三条规定的服务向乙方支付咨询服务费：</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人民币。该费用包含乙方及其现场工作人员因本项目而发生的全部费用。</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第十条  咨询服务费的支付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经双方协商确定，本项目咨询服务费按照以下方式支付：</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本合同签订后三天内，甲方向乙方支付咨询服务费总额的50％，即人民币</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元。在本项目终稿提交后三天内，甲方支付乙方咨询服务费总额的50％，即人民币             元。</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第五章  违约责任与赔偿</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第十一条  善意履行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甲乙双方应认真履行本合同的规定，任何一方无正当理由不得单方面终止本合同。</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第十二条  违约</w:t>
      </w:r>
    </w:p>
    <w:p>
      <w:pPr>
        <w:spacing w:line="360" w:lineRule="auto"/>
        <w:ind w:firstLine="480" w:firstLineChars="200"/>
        <w:rPr>
          <w:rFonts w:ascii="仿宋" w:hAnsi="仿宋" w:eastAsia="仿宋" w:cs="仿宋_GB2312"/>
          <w:sz w:val="24"/>
          <w:szCs w:val="24"/>
        </w:rPr>
      </w:pPr>
      <w:r>
        <w:rPr>
          <w:rFonts w:hint="eastAsia" w:ascii="仿宋" w:hAnsi="仿宋" w:eastAsia="仿宋"/>
          <w:sz w:val="24"/>
          <w:szCs w:val="24"/>
        </w:rPr>
        <w:t>如果由于任何一方违约，导致另一方无法履行本合同项下权利和义务或给对方造</w:t>
      </w:r>
      <w:r>
        <w:rPr>
          <w:rFonts w:hint="eastAsia" w:ascii="仿宋" w:hAnsi="仿宋" w:eastAsia="仿宋" w:cs="仿宋_GB2312"/>
          <w:sz w:val="24"/>
          <w:szCs w:val="24"/>
        </w:rPr>
        <w:t>成重大经济损失，违约方应承担违约责任，守约方有权终止本合同。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甲方赔偿额以未支付的咨询服务费用为限，乙方赔偿额以已收到咨询服务费用为限。</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如甲方未按照本协议第十条规定及时支付咨询服务费，乙方有权中止咨询服务工作，直至款到后继续履约，且每延期一天，甲方应向乙方额外支付千分之一的迟延履行违约金。</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由于乙方故意或重大过失未按照工作计划完成阶段任务，每延误一天，乙方向甲方支付该阶段咨询费千分之一违约金，直至提供服务为止。误期赔偿费的最高限额为合同价格的10%。一旦达到误期赔偿费的最高限额，甲方有权终止合同。</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第六章  不可抗力</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第十三条  通知义务</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任何一方由于不可抗力而影响其履行合同所规定的义务的，受事件影响的一方应尽快将发生的不可抗力事件的情况以传真或特快专递等形式通知另一方，说明发生不可抗力以及不可抗力可能持续的时间。</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第十四条  继续履行</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双方在不可抗力事件停止后或影响消除后应立即继续履行合同义务，合同有效期和/或有关履行合同的预定的期限应相应延长。</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第十五条  损失承担</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双方应承担各自因不可抗力造成的损失。</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第七章  争议解决</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第十六条  友好协商解决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双方应本着平等互利、友好合作的精神保证本合同的顺利履行。如在履行过程中发生争议，应首先通过友好协商解决。</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第十七条  诉讼解决</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如根据第十六条不能解决争议时，任何一方有权向甲方所在地法院提起诉讼。</w:t>
      </w:r>
    </w:p>
    <w:p>
      <w:pPr>
        <w:pStyle w:val="126"/>
        <w:spacing w:before="0" w:beforeAutospacing="0" w:after="0" w:afterAutospacing="0" w:line="360" w:lineRule="auto"/>
        <w:ind w:left="0" w:leftChars="0"/>
        <w:jc w:val="center"/>
        <w:rPr>
          <w:rFonts w:ascii="仿宋" w:hAnsi="仿宋" w:eastAsia="仿宋"/>
          <w:b/>
          <w:bCs/>
          <w:sz w:val="28"/>
          <w:szCs w:val="28"/>
        </w:rPr>
      </w:pPr>
      <w:r>
        <w:rPr>
          <w:rFonts w:hint="eastAsia" w:ascii="仿宋" w:hAnsi="仿宋" w:eastAsia="仿宋"/>
          <w:b/>
          <w:bCs/>
          <w:sz w:val="28"/>
          <w:szCs w:val="28"/>
        </w:rPr>
        <w:t>第八章</w:t>
      </w:r>
      <w:r>
        <w:rPr>
          <w:rFonts w:hint="eastAsia" w:ascii="仿宋" w:hAnsi="仿宋" w:eastAsia="仿宋"/>
          <w:b/>
          <w:bCs/>
          <w:sz w:val="28"/>
          <w:szCs w:val="28"/>
        </w:rPr>
        <w:tab/>
      </w:r>
      <w:r>
        <w:rPr>
          <w:rFonts w:hint="eastAsia" w:ascii="仿宋" w:hAnsi="仿宋" w:eastAsia="仿宋"/>
          <w:b/>
          <w:bCs/>
          <w:sz w:val="28"/>
          <w:szCs w:val="28"/>
        </w:rPr>
        <w:t>保密及其它</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第十八条  保密</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未经对方允许，任何一方不得将对方收集、整理、复制、研究和准备的与本合同项下工作有关的任何资料提供给任何第三方。</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任何一方不得将本合同内容，包括合同内容、咨询费用、支付信息及乙方为甲方提供的咨询服务成果等提供给任何第三方（甲方为了规划审批、接受审计等在征得乙方书面同意后方可向其他方提供的情况除外）。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关于保密的规定在本合同终止后五年内仍然有效。</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第十九条  合同生效</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本合同自双方代表签字并加盖公章之日起生效，至本项目终稿提交且甲方向乙方付清全部咨询服务费用之日终止。</w:t>
      </w:r>
    </w:p>
    <w:p>
      <w:pPr>
        <w:pStyle w:val="126"/>
        <w:spacing w:before="0" w:beforeAutospacing="0" w:after="0" w:afterAutospacing="0" w:line="36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第二十条  其他</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咨询成果的知识产权归甲乙双方共同拥有。</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本合同由正文、附件以及相关会议备忘录（如有）等组成，以上各部分均是合同不可分割的组成部分，具有同等的法律效应。</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本合同未尽事宜可由双方协商签订补充协议。本合同的修改和补充必须以书面形式方为有效。合同的修改和补充与本合同具有同等效力。</w:t>
      </w:r>
    </w:p>
    <w:p>
      <w:pPr>
        <w:spacing w:line="360" w:lineRule="auto"/>
        <w:ind w:firstLine="480" w:firstLineChars="200"/>
        <w:rPr>
          <w:rFonts w:ascii="仿宋" w:hAnsi="仿宋" w:eastAsia="仿宋" w:cs="仿宋_GB2312"/>
          <w:sz w:val="24"/>
          <w:szCs w:val="24"/>
        </w:rPr>
      </w:pPr>
      <w:r>
        <w:rPr>
          <w:rFonts w:hint="eastAsia" w:ascii="仿宋" w:hAnsi="仿宋" w:eastAsia="仿宋" w:cs="仿宋_GB2312"/>
          <w:sz w:val="24"/>
          <w:szCs w:val="24"/>
        </w:rPr>
        <w:t>本合同正本一式份，甲方执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份，乙方执</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份。</w:t>
      </w:r>
    </w:p>
    <w:p>
      <w:pPr>
        <w:pStyle w:val="126"/>
        <w:spacing w:before="0" w:beforeAutospacing="0" w:after="0" w:afterAutospacing="0" w:line="480" w:lineRule="auto"/>
        <w:ind w:left="0" w:leftChars="0"/>
        <w:jc w:val="center"/>
        <w:rPr>
          <w:rFonts w:ascii="仿宋" w:hAnsi="仿宋" w:eastAsia="仿宋"/>
          <w:sz w:val="24"/>
          <w:szCs w:val="24"/>
        </w:rPr>
      </w:pPr>
      <w:r>
        <w:rPr>
          <w:rFonts w:hint="eastAsia" w:ascii="仿宋" w:hAnsi="仿宋" w:eastAsia="仿宋"/>
          <w:sz w:val="24"/>
          <w:szCs w:val="24"/>
        </w:rPr>
        <w:br w:type="page"/>
      </w:r>
      <w:r>
        <w:rPr>
          <w:rFonts w:hint="eastAsia" w:ascii="仿宋" w:hAnsi="仿宋" w:eastAsia="仿宋"/>
          <w:sz w:val="24"/>
          <w:szCs w:val="24"/>
        </w:rPr>
        <w:t>（本页为签字页，无正文）</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甲方（盖章）：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法定代表人：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或授权代表：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 xml:space="preserve"> </w:t>
      </w:r>
    </w:p>
    <w:p>
      <w:pPr>
        <w:pStyle w:val="126"/>
        <w:spacing w:before="0" w:beforeAutospacing="0" w:after="0" w:afterAutospacing="0" w:line="480" w:lineRule="auto"/>
        <w:ind w:left="0" w:leftChars="0" w:firstLine="482" w:firstLineChars="200"/>
        <w:rPr>
          <w:rFonts w:ascii="仿宋" w:hAnsi="仿宋" w:eastAsia="仿宋"/>
          <w:b/>
          <w:bCs/>
          <w:sz w:val="24"/>
          <w:szCs w:val="24"/>
        </w:rPr>
      </w:pPr>
      <w:r>
        <w:rPr>
          <w:rFonts w:hint="eastAsia" w:ascii="仿宋" w:hAnsi="仿宋" w:eastAsia="仿宋"/>
          <w:b/>
          <w:bCs/>
          <w:sz w:val="24"/>
          <w:szCs w:val="24"/>
        </w:rPr>
        <w:t xml:space="preserve">乙方（盖章）： </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法定代表人：</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或授权代表：</w:t>
      </w:r>
    </w:p>
    <w:p>
      <w:pPr>
        <w:pStyle w:val="126"/>
        <w:spacing w:before="0" w:beforeAutospacing="0" w:after="0" w:afterAutospacing="0" w:line="480" w:lineRule="auto"/>
        <w:ind w:left="0" w:leftChars="0" w:firstLine="480" w:firstLineChars="200"/>
        <w:rPr>
          <w:rFonts w:ascii="仿宋" w:hAnsi="仿宋" w:eastAsia="仿宋"/>
          <w:sz w:val="24"/>
          <w:szCs w:val="24"/>
        </w:rPr>
      </w:pPr>
      <w:r>
        <w:rPr>
          <w:rFonts w:hint="eastAsia" w:ascii="仿宋" w:hAnsi="仿宋" w:eastAsia="仿宋"/>
          <w:sz w:val="24"/>
          <w:szCs w:val="24"/>
        </w:rPr>
        <w:t>签字时间：             年       月       日</w:t>
      </w:r>
    </w:p>
    <w:p>
      <w:pPr>
        <w:spacing w:line="360" w:lineRule="auto"/>
        <w:ind w:firstLine="7302" w:firstLineChars="1653"/>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883" w:firstLineChars="2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spacing w:line="500" w:lineRule="exact"/>
        <w:ind w:firstLine="1325" w:firstLineChars="300"/>
        <w:rPr>
          <w:rFonts w:ascii="仿宋_GB2312" w:hAnsi="仿宋_GB2312" w:eastAsia="仿宋_GB2312" w:cs="仿宋_GB2312"/>
          <w:b/>
          <w:sz w:val="44"/>
        </w:rPr>
      </w:pPr>
    </w:p>
    <w:p>
      <w:pPr>
        <w:numPr>
          <w:ilvl w:val="0"/>
          <w:numId w:val="11"/>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r>
        <w:rPr>
          <w:rFonts w:hint="eastAsia" w:ascii="仿宋_GB2312" w:hAnsi="仿宋_GB2312" w:eastAsia="仿宋_GB2312" w:cs="仿宋_GB2312"/>
          <w:sz w:val="16"/>
          <w:szCs w:val="44"/>
        </w:rPr>
        <w:t>（第    标段）</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r>
        <w:rPr>
          <w:rFonts w:hint="eastAsia" w:ascii="仿宋_GB2312" w:hAnsi="仿宋_GB2312" w:eastAsia="仿宋_GB2312" w:cs="仿宋_GB2312"/>
          <w:sz w:val="16"/>
          <w:szCs w:val="44"/>
        </w:rPr>
        <w:t>（第   标段）</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投标人名称：（签章）：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1205" w:firstLineChars="500"/>
        <w:jc w:val="left"/>
        <w:rPr>
          <w:rFonts w:ascii="仿宋" w:hAnsi="仿宋" w:eastAsia="仿宋" w:cs="仿宋_GB2312"/>
          <w:b/>
          <w:bCs/>
          <w:sz w:val="24"/>
          <w:szCs w:val="24"/>
        </w:rPr>
      </w:pPr>
      <w:r>
        <w:rPr>
          <w:rFonts w:hint="eastAsia" w:ascii="仿宋" w:hAnsi="仿宋" w:eastAsia="仿宋" w:cs="仿宋_GB2312"/>
          <w:b/>
          <w:bCs/>
          <w:sz w:val="24"/>
          <w:szCs w:val="24"/>
        </w:rPr>
        <w:t>（技术参数及评分标准要求中所提供的相关证明材料复印件）</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bookmarkStart w:id="3" w:name="_GoBack"/>
      <w:bookmarkEnd w:id="3"/>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154340"/>
    <w:multiLevelType w:val="singleLevel"/>
    <w:tmpl w:val="FE154340"/>
    <w:lvl w:ilvl="0" w:tentative="0">
      <w:start w:val="1"/>
      <w:numFmt w:val="chineseCounting"/>
      <w:suff w:val="nothing"/>
      <w:lvlText w:val="%1、"/>
      <w:lvlJc w:val="left"/>
      <w:rPr>
        <w:rFonts w:hint="eastAsia"/>
      </w:rPr>
    </w:lvl>
  </w:abstractNum>
  <w:abstractNum w:abstractNumId="1">
    <w:nsid w:val="01537C7D"/>
    <w:multiLevelType w:val="multilevel"/>
    <w:tmpl w:val="01537C7D"/>
    <w:lvl w:ilvl="0" w:tentative="0">
      <w:start w:val="1"/>
      <w:numFmt w:val="decimal"/>
      <w:lvlText w:val="%1."/>
      <w:lvlJc w:val="left"/>
      <w:pPr>
        <w:ind w:left="846"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0B9F259E"/>
    <w:multiLevelType w:val="singleLevel"/>
    <w:tmpl w:val="0B9F259E"/>
    <w:lvl w:ilvl="0" w:tentative="0">
      <w:start w:val="9"/>
      <w:numFmt w:val="chineseCounting"/>
      <w:suff w:val="nothing"/>
      <w:lvlText w:val="第%1部分　"/>
      <w:lvlJc w:val="left"/>
      <w:pPr>
        <w:ind w:left="2813" w:firstLine="0"/>
      </w:pPr>
      <w:rPr>
        <w:rFonts w:hint="eastAsia"/>
      </w:rPr>
    </w:lvl>
  </w:abstractNum>
  <w:abstractNum w:abstractNumId="3">
    <w:nsid w:val="270A65C3"/>
    <w:multiLevelType w:val="multilevel"/>
    <w:tmpl w:val="270A65C3"/>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4">
    <w:nsid w:val="28A4CB1C"/>
    <w:multiLevelType w:val="singleLevel"/>
    <w:tmpl w:val="28A4CB1C"/>
    <w:lvl w:ilvl="0" w:tentative="0">
      <w:start w:val="19"/>
      <w:numFmt w:val="decimal"/>
      <w:suff w:val="nothing"/>
      <w:lvlText w:val="%1、"/>
      <w:lvlJc w:val="left"/>
    </w:lvl>
  </w:abstractNum>
  <w:abstractNum w:abstractNumId="5">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3B38C3AC"/>
    <w:multiLevelType w:val="singleLevel"/>
    <w:tmpl w:val="3B38C3AC"/>
    <w:lvl w:ilvl="0" w:tentative="0">
      <w:start w:val="4"/>
      <w:numFmt w:val="chineseCounting"/>
      <w:suff w:val="space"/>
      <w:lvlText w:val="第%1部分"/>
      <w:lvlJc w:val="left"/>
      <w:rPr>
        <w:rFonts w:hint="eastAsia"/>
      </w:rPr>
    </w:lvl>
  </w:abstractNum>
  <w:abstractNum w:abstractNumId="7">
    <w:nsid w:val="56E374A4"/>
    <w:multiLevelType w:val="singleLevel"/>
    <w:tmpl w:val="56E374A4"/>
    <w:lvl w:ilvl="0" w:tentative="0">
      <w:start w:val="9"/>
      <w:numFmt w:val="decimal"/>
      <w:pStyle w:val="119"/>
      <w:suff w:val="nothing"/>
      <w:lvlText w:val="%1、"/>
      <w:lvlJc w:val="left"/>
    </w:lvl>
  </w:abstractNum>
  <w:abstractNum w:abstractNumId="8">
    <w:nsid w:val="5A0532E2"/>
    <w:multiLevelType w:val="singleLevel"/>
    <w:tmpl w:val="5A0532E2"/>
    <w:lvl w:ilvl="0" w:tentative="0">
      <w:start w:val="4"/>
      <w:numFmt w:val="chineseCounting"/>
      <w:suff w:val="nothing"/>
      <w:lvlText w:val="第%1部"/>
      <w:lvlJc w:val="left"/>
    </w:lvl>
  </w:abstractNum>
  <w:abstractNum w:abstractNumId="9">
    <w:nsid w:val="5A27AEF7"/>
    <w:multiLevelType w:val="multilevel"/>
    <w:tmpl w:val="5A27AEF7"/>
    <w:lvl w:ilvl="0" w:tentative="0">
      <w:start w:val="2"/>
      <w:numFmt w:val="chineseCounting"/>
      <w:suff w:val="nothing"/>
      <w:lvlText w:val="（%1）"/>
      <w:lvlJc w:val="left"/>
    </w:lvl>
    <w:lvl w:ilvl="1" w:tentative="0">
      <w:start w:val="1"/>
      <w:numFmt w:val="decimal"/>
      <w:lvlText w:val=""/>
      <w:lvlJc w:val="left"/>
      <w:rPr>
        <w:rFonts w:hint="default"/>
        <w:u w:val="none"/>
      </w:rPr>
    </w:lvl>
    <w:lvl w:ilvl="2" w:tentative="0">
      <w:start w:val="1"/>
      <w:numFmt w:val="decimal"/>
      <w:lvlText w:val=""/>
      <w:lvlJc w:val="left"/>
      <w:rPr>
        <w:rFonts w:hint="default"/>
        <w:u w:val="none"/>
      </w:rPr>
    </w:lvl>
    <w:lvl w:ilvl="3" w:tentative="0">
      <w:start w:val="1"/>
      <w:numFmt w:val="decimal"/>
      <w:lvlText w:val=""/>
      <w:lvlJc w:val="left"/>
      <w:rPr>
        <w:rFonts w:hint="default"/>
        <w:u w:val="none"/>
      </w:rPr>
    </w:lvl>
    <w:lvl w:ilvl="4" w:tentative="0">
      <w:start w:val="1"/>
      <w:numFmt w:val="decimal"/>
      <w:lvlText w:val=""/>
      <w:lvlJc w:val="left"/>
      <w:rPr>
        <w:rFonts w:hint="default"/>
        <w:u w:val="none"/>
      </w:rPr>
    </w:lvl>
    <w:lvl w:ilvl="5" w:tentative="0">
      <w:start w:val="1"/>
      <w:numFmt w:val="decimal"/>
      <w:lvlText w:val=""/>
      <w:lvlJc w:val="left"/>
      <w:rPr>
        <w:rFonts w:hint="default"/>
        <w:u w:val="none"/>
      </w:rPr>
    </w:lvl>
    <w:lvl w:ilvl="6" w:tentative="0">
      <w:start w:val="1"/>
      <w:numFmt w:val="decimal"/>
      <w:lvlText w:val=""/>
      <w:lvlJc w:val="left"/>
      <w:rPr>
        <w:rFonts w:hint="default"/>
        <w:u w:val="none"/>
      </w:rPr>
    </w:lvl>
    <w:lvl w:ilvl="7" w:tentative="0">
      <w:start w:val="1"/>
      <w:numFmt w:val="decimal"/>
      <w:lvlText w:val=""/>
      <w:lvlJc w:val="left"/>
      <w:rPr>
        <w:rFonts w:hint="default"/>
        <w:u w:val="none"/>
      </w:rPr>
    </w:lvl>
    <w:lvl w:ilvl="8" w:tentative="0">
      <w:start w:val="1"/>
      <w:numFmt w:val="decimal"/>
      <w:lvlText w:val=""/>
      <w:lvlJc w:val="left"/>
      <w:rPr>
        <w:rFonts w:hint="default"/>
        <w:u w:val="none"/>
      </w:rPr>
    </w:lvl>
  </w:abstractNum>
  <w:abstractNum w:abstractNumId="10">
    <w:nsid w:val="5A30CB82"/>
    <w:multiLevelType w:val="singleLevel"/>
    <w:tmpl w:val="5A30CB82"/>
    <w:lvl w:ilvl="0" w:tentative="0">
      <w:start w:val="1"/>
      <w:numFmt w:val="chineseCounting"/>
      <w:suff w:val="space"/>
      <w:lvlText w:val="第%1部分"/>
      <w:lvlJc w:val="left"/>
    </w:lvl>
  </w:abstractNum>
  <w:num w:numId="1">
    <w:abstractNumId w:val="7"/>
  </w:num>
  <w:num w:numId="2">
    <w:abstractNumId w:val="10"/>
  </w:num>
  <w:num w:numId="3">
    <w:abstractNumId w:val="9"/>
  </w:num>
  <w:num w:numId="4">
    <w:abstractNumId w:val="5"/>
  </w:num>
  <w:num w:numId="5">
    <w:abstractNumId w:val="4"/>
  </w:num>
  <w:num w:numId="6">
    <w:abstractNumId w:val="8"/>
  </w:num>
  <w:num w:numId="7">
    <w:abstractNumId w:val="6"/>
  </w:num>
  <w:num w:numId="8">
    <w:abstractNumId w:val="0"/>
  </w:num>
  <w:num w:numId="9">
    <w:abstractNumId w:val="3"/>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3474C"/>
    <w:rsid w:val="000401F4"/>
    <w:rsid w:val="000403D3"/>
    <w:rsid w:val="0004040B"/>
    <w:rsid w:val="00045C71"/>
    <w:rsid w:val="00046011"/>
    <w:rsid w:val="00053691"/>
    <w:rsid w:val="0005417E"/>
    <w:rsid w:val="00055FE9"/>
    <w:rsid w:val="00057824"/>
    <w:rsid w:val="00062FB4"/>
    <w:rsid w:val="00064349"/>
    <w:rsid w:val="00067144"/>
    <w:rsid w:val="00070CCA"/>
    <w:rsid w:val="0007139F"/>
    <w:rsid w:val="00072DE0"/>
    <w:rsid w:val="00082E72"/>
    <w:rsid w:val="00083AE7"/>
    <w:rsid w:val="0009644A"/>
    <w:rsid w:val="000A1737"/>
    <w:rsid w:val="000A4A5C"/>
    <w:rsid w:val="000B1DEF"/>
    <w:rsid w:val="000B7D76"/>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517"/>
    <w:rsid w:val="00134A1E"/>
    <w:rsid w:val="0013506F"/>
    <w:rsid w:val="001371EA"/>
    <w:rsid w:val="0013743A"/>
    <w:rsid w:val="00140518"/>
    <w:rsid w:val="00142D29"/>
    <w:rsid w:val="00151EA5"/>
    <w:rsid w:val="001547B1"/>
    <w:rsid w:val="0016013C"/>
    <w:rsid w:val="00161BFD"/>
    <w:rsid w:val="00164B95"/>
    <w:rsid w:val="001675F5"/>
    <w:rsid w:val="00172A27"/>
    <w:rsid w:val="001754C8"/>
    <w:rsid w:val="00177C1F"/>
    <w:rsid w:val="00181789"/>
    <w:rsid w:val="00186B61"/>
    <w:rsid w:val="00192253"/>
    <w:rsid w:val="001973FA"/>
    <w:rsid w:val="001A0E1D"/>
    <w:rsid w:val="001A6444"/>
    <w:rsid w:val="001A663A"/>
    <w:rsid w:val="001A7E89"/>
    <w:rsid w:val="001B0A65"/>
    <w:rsid w:val="001B4D0B"/>
    <w:rsid w:val="001B67B3"/>
    <w:rsid w:val="001B7C79"/>
    <w:rsid w:val="001C154B"/>
    <w:rsid w:val="001C5D7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401"/>
    <w:rsid w:val="00261F28"/>
    <w:rsid w:val="00265DC0"/>
    <w:rsid w:val="002661D5"/>
    <w:rsid w:val="0027580D"/>
    <w:rsid w:val="002821B7"/>
    <w:rsid w:val="00284351"/>
    <w:rsid w:val="00284A6E"/>
    <w:rsid w:val="00290622"/>
    <w:rsid w:val="002906D4"/>
    <w:rsid w:val="002934EE"/>
    <w:rsid w:val="002955C9"/>
    <w:rsid w:val="00297AA7"/>
    <w:rsid w:val="002A0FC7"/>
    <w:rsid w:val="002A1D45"/>
    <w:rsid w:val="002A68EA"/>
    <w:rsid w:val="002B3C52"/>
    <w:rsid w:val="002D58C8"/>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178B"/>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277"/>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6741"/>
    <w:rsid w:val="004072DE"/>
    <w:rsid w:val="0041597D"/>
    <w:rsid w:val="004173C2"/>
    <w:rsid w:val="004230F5"/>
    <w:rsid w:val="00423231"/>
    <w:rsid w:val="004236A4"/>
    <w:rsid w:val="00424558"/>
    <w:rsid w:val="00431C98"/>
    <w:rsid w:val="00433B29"/>
    <w:rsid w:val="00437087"/>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87F9C"/>
    <w:rsid w:val="0049332D"/>
    <w:rsid w:val="00493F1D"/>
    <w:rsid w:val="00493F4B"/>
    <w:rsid w:val="00494C4F"/>
    <w:rsid w:val="004950C4"/>
    <w:rsid w:val="004A41F5"/>
    <w:rsid w:val="004B20F6"/>
    <w:rsid w:val="004C5C48"/>
    <w:rsid w:val="004C699A"/>
    <w:rsid w:val="004D39B1"/>
    <w:rsid w:val="004D5284"/>
    <w:rsid w:val="004D79E5"/>
    <w:rsid w:val="004D7EA1"/>
    <w:rsid w:val="004E1761"/>
    <w:rsid w:val="004E353C"/>
    <w:rsid w:val="004E3895"/>
    <w:rsid w:val="004E76CE"/>
    <w:rsid w:val="004F0275"/>
    <w:rsid w:val="00503082"/>
    <w:rsid w:val="005032D1"/>
    <w:rsid w:val="005067CB"/>
    <w:rsid w:val="00510B62"/>
    <w:rsid w:val="0051183E"/>
    <w:rsid w:val="005365BA"/>
    <w:rsid w:val="00536AC1"/>
    <w:rsid w:val="00540DBB"/>
    <w:rsid w:val="00541014"/>
    <w:rsid w:val="00544554"/>
    <w:rsid w:val="00546F35"/>
    <w:rsid w:val="00552ED5"/>
    <w:rsid w:val="005540F0"/>
    <w:rsid w:val="00554F2F"/>
    <w:rsid w:val="00561640"/>
    <w:rsid w:val="00562A43"/>
    <w:rsid w:val="00565ECC"/>
    <w:rsid w:val="00574F8B"/>
    <w:rsid w:val="00575253"/>
    <w:rsid w:val="00590BFE"/>
    <w:rsid w:val="005937E8"/>
    <w:rsid w:val="005A3789"/>
    <w:rsid w:val="005B17A0"/>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31B9"/>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34AE"/>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2F16"/>
    <w:rsid w:val="008C7B11"/>
    <w:rsid w:val="008E2D50"/>
    <w:rsid w:val="008E310B"/>
    <w:rsid w:val="008E3D91"/>
    <w:rsid w:val="008E5D63"/>
    <w:rsid w:val="008E6B23"/>
    <w:rsid w:val="008E7ABE"/>
    <w:rsid w:val="008F132A"/>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4D27"/>
    <w:rsid w:val="009A6B63"/>
    <w:rsid w:val="009A7ED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12F42"/>
    <w:rsid w:val="00A20320"/>
    <w:rsid w:val="00A265C8"/>
    <w:rsid w:val="00A32183"/>
    <w:rsid w:val="00A4579E"/>
    <w:rsid w:val="00A475BA"/>
    <w:rsid w:val="00A52ED4"/>
    <w:rsid w:val="00A535FA"/>
    <w:rsid w:val="00A564A6"/>
    <w:rsid w:val="00A5710E"/>
    <w:rsid w:val="00A65ADC"/>
    <w:rsid w:val="00A712DC"/>
    <w:rsid w:val="00A71C22"/>
    <w:rsid w:val="00A73A17"/>
    <w:rsid w:val="00A73BA7"/>
    <w:rsid w:val="00A76289"/>
    <w:rsid w:val="00A7728B"/>
    <w:rsid w:val="00A81308"/>
    <w:rsid w:val="00A81E8A"/>
    <w:rsid w:val="00A8484C"/>
    <w:rsid w:val="00A850DC"/>
    <w:rsid w:val="00A85F6C"/>
    <w:rsid w:val="00A869E4"/>
    <w:rsid w:val="00A86EF2"/>
    <w:rsid w:val="00AA467B"/>
    <w:rsid w:val="00AA5AC3"/>
    <w:rsid w:val="00AA642C"/>
    <w:rsid w:val="00AA6FFB"/>
    <w:rsid w:val="00AB2898"/>
    <w:rsid w:val="00AB30FD"/>
    <w:rsid w:val="00AB3B8F"/>
    <w:rsid w:val="00AB615C"/>
    <w:rsid w:val="00AB7C9A"/>
    <w:rsid w:val="00AC0242"/>
    <w:rsid w:val="00AC1BB2"/>
    <w:rsid w:val="00AD377B"/>
    <w:rsid w:val="00AD3E47"/>
    <w:rsid w:val="00AD5870"/>
    <w:rsid w:val="00AD7EF1"/>
    <w:rsid w:val="00AD7F6D"/>
    <w:rsid w:val="00AE10C6"/>
    <w:rsid w:val="00AE41AE"/>
    <w:rsid w:val="00AE4AD2"/>
    <w:rsid w:val="00AE5327"/>
    <w:rsid w:val="00AE64F2"/>
    <w:rsid w:val="00AF19E3"/>
    <w:rsid w:val="00AF54D7"/>
    <w:rsid w:val="00AF55F2"/>
    <w:rsid w:val="00AF5BDA"/>
    <w:rsid w:val="00B01B85"/>
    <w:rsid w:val="00B03111"/>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19A4"/>
    <w:rsid w:val="00BA2A27"/>
    <w:rsid w:val="00BA5006"/>
    <w:rsid w:val="00BA5E88"/>
    <w:rsid w:val="00BB15C9"/>
    <w:rsid w:val="00BB4037"/>
    <w:rsid w:val="00BB4153"/>
    <w:rsid w:val="00BC01D8"/>
    <w:rsid w:val="00BC02CE"/>
    <w:rsid w:val="00BC292B"/>
    <w:rsid w:val="00BC3942"/>
    <w:rsid w:val="00BD33BB"/>
    <w:rsid w:val="00BD7CAD"/>
    <w:rsid w:val="00BE21A1"/>
    <w:rsid w:val="00BE3E20"/>
    <w:rsid w:val="00BE4D04"/>
    <w:rsid w:val="00BE53BA"/>
    <w:rsid w:val="00BE60FC"/>
    <w:rsid w:val="00BE6842"/>
    <w:rsid w:val="00BE7841"/>
    <w:rsid w:val="00BF5C98"/>
    <w:rsid w:val="00C03A90"/>
    <w:rsid w:val="00C04493"/>
    <w:rsid w:val="00C0471C"/>
    <w:rsid w:val="00C21FF9"/>
    <w:rsid w:val="00C23204"/>
    <w:rsid w:val="00C26061"/>
    <w:rsid w:val="00C26DFB"/>
    <w:rsid w:val="00C3340E"/>
    <w:rsid w:val="00C3452B"/>
    <w:rsid w:val="00C432F7"/>
    <w:rsid w:val="00C5085A"/>
    <w:rsid w:val="00C55FD8"/>
    <w:rsid w:val="00C57044"/>
    <w:rsid w:val="00C611F9"/>
    <w:rsid w:val="00C6232F"/>
    <w:rsid w:val="00C65549"/>
    <w:rsid w:val="00C74EBE"/>
    <w:rsid w:val="00C75F1E"/>
    <w:rsid w:val="00C762BD"/>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0281"/>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A7A75"/>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936BA"/>
    <w:rsid w:val="00FA4695"/>
    <w:rsid w:val="00FA5DA2"/>
    <w:rsid w:val="00FA736E"/>
    <w:rsid w:val="00FB076C"/>
    <w:rsid w:val="00FB096C"/>
    <w:rsid w:val="00FB38CF"/>
    <w:rsid w:val="00FC01F2"/>
    <w:rsid w:val="00FC4AFE"/>
    <w:rsid w:val="00FC7FD0"/>
    <w:rsid w:val="00FD48A1"/>
    <w:rsid w:val="00FD6801"/>
    <w:rsid w:val="00FD72BC"/>
    <w:rsid w:val="00FE2E7D"/>
    <w:rsid w:val="00FE7864"/>
    <w:rsid w:val="00FF3912"/>
    <w:rsid w:val="00FF3C91"/>
    <w:rsid w:val="00FF6AB2"/>
    <w:rsid w:val="00FF73DB"/>
    <w:rsid w:val="01017847"/>
    <w:rsid w:val="010D4DDA"/>
    <w:rsid w:val="01536E45"/>
    <w:rsid w:val="015F5D2B"/>
    <w:rsid w:val="01AE553D"/>
    <w:rsid w:val="01D912AA"/>
    <w:rsid w:val="031A41B0"/>
    <w:rsid w:val="03CB53C9"/>
    <w:rsid w:val="03D744EF"/>
    <w:rsid w:val="04252D6C"/>
    <w:rsid w:val="0434488A"/>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902805"/>
    <w:rsid w:val="06B75E86"/>
    <w:rsid w:val="071151B2"/>
    <w:rsid w:val="073F7793"/>
    <w:rsid w:val="080A00AF"/>
    <w:rsid w:val="0859217C"/>
    <w:rsid w:val="088D4853"/>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3957DB"/>
    <w:rsid w:val="0C3C6A01"/>
    <w:rsid w:val="0C662DD8"/>
    <w:rsid w:val="0CBA4EC9"/>
    <w:rsid w:val="0CBE01FC"/>
    <w:rsid w:val="0CE25187"/>
    <w:rsid w:val="0D2824A3"/>
    <w:rsid w:val="0D62434A"/>
    <w:rsid w:val="0D832C84"/>
    <w:rsid w:val="0DD45553"/>
    <w:rsid w:val="0DFD39BC"/>
    <w:rsid w:val="0E1F7A52"/>
    <w:rsid w:val="0E3119C4"/>
    <w:rsid w:val="0F0D73B6"/>
    <w:rsid w:val="0F2C7289"/>
    <w:rsid w:val="0FBA420F"/>
    <w:rsid w:val="10240870"/>
    <w:rsid w:val="105F0CCD"/>
    <w:rsid w:val="10A25988"/>
    <w:rsid w:val="10DE7BA5"/>
    <w:rsid w:val="10EF23EF"/>
    <w:rsid w:val="11472FC4"/>
    <w:rsid w:val="11662A8F"/>
    <w:rsid w:val="1171773E"/>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5D1987"/>
    <w:rsid w:val="13705BCF"/>
    <w:rsid w:val="141176DD"/>
    <w:rsid w:val="146639B0"/>
    <w:rsid w:val="14810804"/>
    <w:rsid w:val="14AB5037"/>
    <w:rsid w:val="14AC2982"/>
    <w:rsid w:val="14C32394"/>
    <w:rsid w:val="14E7756C"/>
    <w:rsid w:val="15555471"/>
    <w:rsid w:val="15D15729"/>
    <w:rsid w:val="162949D9"/>
    <w:rsid w:val="166F3B31"/>
    <w:rsid w:val="16BB3F9C"/>
    <w:rsid w:val="17093EDF"/>
    <w:rsid w:val="171656DB"/>
    <w:rsid w:val="17411E12"/>
    <w:rsid w:val="175B5BC6"/>
    <w:rsid w:val="17D43D54"/>
    <w:rsid w:val="17E545EE"/>
    <w:rsid w:val="180F6DA6"/>
    <w:rsid w:val="183733AB"/>
    <w:rsid w:val="183D0ACD"/>
    <w:rsid w:val="18553478"/>
    <w:rsid w:val="186A4EF9"/>
    <w:rsid w:val="18AD21CB"/>
    <w:rsid w:val="18B95492"/>
    <w:rsid w:val="19491C75"/>
    <w:rsid w:val="19786E3B"/>
    <w:rsid w:val="1A107C46"/>
    <w:rsid w:val="1A4540A3"/>
    <w:rsid w:val="1A717838"/>
    <w:rsid w:val="1A8E3CC9"/>
    <w:rsid w:val="1B1630FE"/>
    <w:rsid w:val="1BFB31C4"/>
    <w:rsid w:val="1C7F2DEC"/>
    <w:rsid w:val="1CAE5C61"/>
    <w:rsid w:val="1CC57EEC"/>
    <w:rsid w:val="1D1E07AB"/>
    <w:rsid w:val="1D285414"/>
    <w:rsid w:val="1D5D79CE"/>
    <w:rsid w:val="1D846EFB"/>
    <w:rsid w:val="1DD92148"/>
    <w:rsid w:val="1E1761B2"/>
    <w:rsid w:val="1F7C3C3A"/>
    <w:rsid w:val="1F8F7C87"/>
    <w:rsid w:val="1FA97651"/>
    <w:rsid w:val="1FD141B8"/>
    <w:rsid w:val="1FE67A99"/>
    <w:rsid w:val="200E5455"/>
    <w:rsid w:val="20852B17"/>
    <w:rsid w:val="208F4659"/>
    <w:rsid w:val="20C91244"/>
    <w:rsid w:val="20CB6D0B"/>
    <w:rsid w:val="20E71C78"/>
    <w:rsid w:val="21093329"/>
    <w:rsid w:val="212773A1"/>
    <w:rsid w:val="214A163F"/>
    <w:rsid w:val="21D44845"/>
    <w:rsid w:val="221572B4"/>
    <w:rsid w:val="22311600"/>
    <w:rsid w:val="226550CC"/>
    <w:rsid w:val="22E0365B"/>
    <w:rsid w:val="23523DCA"/>
    <w:rsid w:val="23794CD9"/>
    <w:rsid w:val="24BB4D59"/>
    <w:rsid w:val="24BF19AA"/>
    <w:rsid w:val="24CA4202"/>
    <w:rsid w:val="24D66891"/>
    <w:rsid w:val="25302039"/>
    <w:rsid w:val="254515EA"/>
    <w:rsid w:val="256C7451"/>
    <w:rsid w:val="25AD30A0"/>
    <w:rsid w:val="25E3691E"/>
    <w:rsid w:val="2667745A"/>
    <w:rsid w:val="26E95B4E"/>
    <w:rsid w:val="276906C7"/>
    <w:rsid w:val="278238A3"/>
    <w:rsid w:val="28742078"/>
    <w:rsid w:val="288E3F7A"/>
    <w:rsid w:val="288F49C5"/>
    <w:rsid w:val="28BF1B33"/>
    <w:rsid w:val="28BF2210"/>
    <w:rsid w:val="28CE556E"/>
    <w:rsid w:val="29366E7C"/>
    <w:rsid w:val="299315DB"/>
    <w:rsid w:val="29C152D2"/>
    <w:rsid w:val="2A292F06"/>
    <w:rsid w:val="2A29332E"/>
    <w:rsid w:val="2A666F4C"/>
    <w:rsid w:val="2A6671E5"/>
    <w:rsid w:val="2A8574C7"/>
    <w:rsid w:val="2B0B3F2F"/>
    <w:rsid w:val="2B5A4161"/>
    <w:rsid w:val="2B9F495B"/>
    <w:rsid w:val="2BB70DAF"/>
    <w:rsid w:val="2BBD2870"/>
    <w:rsid w:val="2BF938D1"/>
    <w:rsid w:val="2C01063D"/>
    <w:rsid w:val="2C222746"/>
    <w:rsid w:val="2C824188"/>
    <w:rsid w:val="2C8C63A5"/>
    <w:rsid w:val="2CF845CD"/>
    <w:rsid w:val="2D562101"/>
    <w:rsid w:val="2D7249A1"/>
    <w:rsid w:val="2D873A70"/>
    <w:rsid w:val="2DB610BD"/>
    <w:rsid w:val="2DEC176C"/>
    <w:rsid w:val="2DFB43CE"/>
    <w:rsid w:val="2E3D7FDF"/>
    <w:rsid w:val="2E5606EB"/>
    <w:rsid w:val="2E5C72E5"/>
    <w:rsid w:val="2E9D5FE0"/>
    <w:rsid w:val="2F232D02"/>
    <w:rsid w:val="2F2A34A3"/>
    <w:rsid w:val="2F38041E"/>
    <w:rsid w:val="2F433D86"/>
    <w:rsid w:val="2F9A5364"/>
    <w:rsid w:val="2F9D183B"/>
    <w:rsid w:val="2FAF6E25"/>
    <w:rsid w:val="2FEB36BE"/>
    <w:rsid w:val="30006487"/>
    <w:rsid w:val="30842425"/>
    <w:rsid w:val="30F82434"/>
    <w:rsid w:val="314C2E93"/>
    <w:rsid w:val="316C02DE"/>
    <w:rsid w:val="31754AAE"/>
    <w:rsid w:val="317F2E7E"/>
    <w:rsid w:val="31804229"/>
    <w:rsid w:val="319970FC"/>
    <w:rsid w:val="31AD13B4"/>
    <w:rsid w:val="31BA74D8"/>
    <w:rsid w:val="31C57F0B"/>
    <w:rsid w:val="321A4FF8"/>
    <w:rsid w:val="328D4D46"/>
    <w:rsid w:val="32DE3410"/>
    <w:rsid w:val="333C55A2"/>
    <w:rsid w:val="335D45FD"/>
    <w:rsid w:val="33656785"/>
    <w:rsid w:val="33C315C2"/>
    <w:rsid w:val="33CF722B"/>
    <w:rsid w:val="33EF6302"/>
    <w:rsid w:val="345D6725"/>
    <w:rsid w:val="34876DB2"/>
    <w:rsid w:val="34B022E5"/>
    <w:rsid w:val="34B44BD6"/>
    <w:rsid w:val="34CE04B2"/>
    <w:rsid w:val="34F94C42"/>
    <w:rsid w:val="35020BCE"/>
    <w:rsid w:val="354E2015"/>
    <w:rsid w:val="35636C46"/>
    <w:rsid w:val="35736992"/>
    <w:rsid w:val="373829BC"/>
    <w:rsid w:val="37692631"/>
    <w:rsid w:val="37B10108"/>
    <w:rsid w:val="389F7F0D"/>
    <w:rsid w:val="38B66F17"/>
    <w:rsid w:val="39264E83"/>
    <w:rsid w:val="397D15ED"/>
    <w:rsid w:val="398A053F"/>
    <w:rsid w:val="39A31772"/>
    <w:rsid w:val="39E86E10"/>
    <w:rsid w:val="3A0511AE"/>
    <w:rsid w:val="3A252A28"/>
    <w:rsid w:val="3A361775"/>
    <w:rsid w:val="3A5B0DB6"/>
    <w:rsid w:val="3AFB2C67"/>
    <w:rsid w:val="3B1A3171"/>
    <w:rsid w:val="3B8A1786"/>
    <w:rsid w:val="3BF37AE3"/>
    <w:rsid w:val="3C5A516A"/>
    <w:rsid w:val="3CB85FD2"/>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D69CE"/>
    <w:rsid w:val="43123999"/>
    <w:rsid w:val="43306F54"/>
    <w:rsid w:val="439D162E"/>
    <w:rsid w:val="43AF4EB6"/>
    <w:rsid w:val="43D47894"/>
    <w:rsid w:val="43DA0DF8"/>
    <w:rsid w:val="43F21A5E"/>
    <w:rsid w:val="449D0BDB"/>
    <w:rsid w:val="44A75B9D"/>
    <w:rsid w:val="44C97D50"/>
    <w:rsid w:val="44CC251D"/>
    <w:rsid w:val="44ED61E4"/>
    <w:rsid w:val="44F765DB"/>
    <w:rsid w:val="452D2CD2"/>
    <w:rsid w:val="452D609E"/>
    <w:rsid w:val="454E1873"/>
    <w:rsid w:val="45570A50"/>
    <w:rsid w:val="45717854"/>
    <w:rsid w:val="46FF7143"/>
    <w:rsid w:val="476E4F77"/>
    <w:rsid w:val="479A1D63"/>
    <w:rsid w:val="479E2BBB"/>
    <w:rsid w:val="48164989"/>
    <w:rsid w:val="485B029F"/>
    <w:rsid w:val="48AF4A09"/>
    <w:rsid w:val="49B4550E"/>
    <w:rsid w:val="49F50EB5"/>
    <w:rsid w:val="4AA12C96"/>
    <w:rsid w:val="4AB76254"/>
    <w:rsid w:val="4AF72F43"/>
    <w:rsid w:val="4AFC078A"/>
    <w:rsid w:val="4AFE130C"/>
    <w:rsid w:val="4B06415A"/>
    <w:rsid w:val="4B2C4572"/>
    <w:rsid w:val="4B307A80"/>
    <w:rsid w:val="4BBD5B2C"/>
    <w:rsid w:val="4BF36702"/>
    <w:rsid w:val="4C0E0B24"/>
    <w:rsid w:val="4D5610A9"/>
    <w:rsid w:val="4F071606"/>
    <w:rsid w:val="4F403B1D"/>
    <w:rsid w:val="4F7F31B2"/>
    <w:rsid w:val="4F827ABA"/>
    <w:rsid w:val="4FA93F1C"/>
    <w:rsid w:val="4FCB730B"/>
    <w:rsid w:val="504A74E2"/>
    <w:rsid w:val="50D62ACD"/>
    <w:rsid w:val="510C3D06"/>
    <w:rsid w:val="51937900"/>
    <w:rsid w:val="51ED5B69"/>
    <w:rsid w:val="536A53D4"/>
    <w:rsid w:val="53857B5E"/>
    <w:rsid w:val="54207CFD"/>
    <w:rsid w:val="54C67D23"/>
    <w:rsid w:val="55005AF5"/>
    <w:rsid w:val="551F63D6"/>
    <w:rsid w:val="55BE2AF4"/>
    <w:rsid w:val="55CC6A46"/>
    <w:rsid w:val="55D8131E"/>
    <w:rsid w:val="55DE4946"/>
    <w:rsid w:val="55EA1952"/>
    <w:rsid w:val="55FD0CFB"/>
    <w:rsid w:val="561945F1"/>
    <w:rsid w:val="566F3E01"/>
    <w:rsid w:val="56BE79D8"/>
    <w:rsid w:val="573B2A77"/>
    <w:rsid w:val="577F1EF5"/>
    <w:rsid w:val="58266B57"/>
    <w:rsid w:val="588A5505"/>
    <w:rsid w:val="58CE0AFE"/>
    <w:rsid w:val="58E11F40"/>
    <w:rsid w:val="58EA7FCE"/>
    <w:rsid w:val="593B360F"/>
    <w:rsid w:val="597E7640"/>
    <w:rsid w:val="5A8975CA"/>
    <w:rsid w:val="5A8D6038"/>
    <w:rsid w:val="5AF228EA"/>
    <w:rsid w:val="5B176006"/>
    <w:rsid w:val="5B8B5722"/>
    <w:rsid w:val="5C1D3EC2"/>
    <w:rsid w:val="5C2A1394"/>
    <w:rsid w:val="5C6F34F3"/>
    <w:rsid w:val="5CDE1B94"/>
    <w:rsid w:val="5CF82CA1"/>
    <w:rsid w:val="5D2B1C2D"/>
    <w:rsid w:val="5DAD4A6A"/>
    <w:rsid w:val="5DD07849"/>
    <w:rsid w:val="5E6E4ACB"/>
    <w:rsid w:val="5EEA3B04"/>
    <w:rsid w:val="5F092277"/>
    <w:rsid w:val="5F4B6391"/>
    <w:rsid w:val="5F50568C"/>
    <w:rsid w:val="5F8471B4"/>
    <w:rsid w:val="5FCE7ED4"/>
    <w:rsid w:val="5FEB58A2"/>
    <w:rsid w:val="5FED7CD7"/>
    <w:rsid w:val="601B36B0"/>
    <w:rsid w:val="605A5E28"/>
    <w:rsid w:val="60A449E5"/>
    <w:rsid w:val="60E1238B"/>
    <w:rsid w:val="61197906"/>
    <w:rsid w:val="612A61E3"/>
    <w:rsid w:val="61B82A98"/>
    <w:rsid w:val="61F84732"/>
    <w:rsid w:val="62352BFE"/>
    <w:rsid w:val="62530EF5"/>
    <w:rsid w:val="62E716B2"/>
    <w:rsid w:val="63097C59"/>
    <w:rsid w:val="633B4DD3"/>
    <w:rsid w:val="633D6D93"/>
    <w:rsid w:val="634F7C15"/>
    <w:rsid w:val="63736A17"/>
    <w:rsid w:val="63937116"/>
    <w:rsid w:val="63C05B9E"/>
    <w:rsid w:val="642F4F3E"/>
    <w:rsid w:val="647F4A97"/>
    <w:rsid w:val="64C26DF0"/>
    <w:rsid w:val="651A4BCA"/>
    <w:rsid w:val="659F5C58"/>
    <w:rsid w:val="65D24C12"/>
    <w:rsid w:val="65F1505D"/>
    <w:rsid w:val="668F2678"/>
    <w:rsid w:val="66BA2132"/>
    <w:rsid w:val="6701680A"/>
    <w:rsid w:val="67547205"/>
    <w:rsid w:val="676C3EA8"/>
    <w:rsid w:val="676E5060"/>
    <w:rsid w:val="67FC0C69"/>
    <w:rsid w:val="686A32EA"/>
    <w:rsid w:val="698529F7"/>
    <w:rsid w:val="69981330"/>
    <w:rsid w:val="69D62811"/>
    <w:rsid w:val="6A001D5E"/>
    <w:rsid w:val="6A690960"/>
    <w:rsid w:val="6AB109E9"/>
    <w:rsid w:val="6AF86FE1"/>
    <w:rsid w:val="6AFE3DEE"/>
    <w:rsid w:val="6B226842"/>
    <w:rsid w:val="6B5477D0"/>
    <w:rsid w:val="6B5A4DFF"/>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66357B"/>
    <w:rsid w:val="6EB95270"/>
    <w:rsid w:val="6ED05626"/>
    <w:rsid w:val="6F8956C3"/>
    <w:rsid w:val="6FB90394"/>
    <w:rsid w:val="6FC41E1E"/>
    <w:rsid w:val="6FE86904"/>
    <w:rsid w:val="70241AB8"/>
    <w:rsid w:val="706476AA"/>
    <w:rsid w:val="7105714A"/>
    <w:rsid w:val="710F25A0"/>
    <w:rsid w:val="71304406"/>
    <w:rsid w:val="714177A5"/>
    <w:rsid w:val="72131DFF"/>
    <w:rsid w:val="7255719B"/>
    <w:rsid w:val="736926A1"/>
    <w:rsid w:val="744C618D"/>
    <w:rsid w:val="74920FD0"/>
    <w:rsid w:val="74924B26"/>
    <w:rsid w:val="74B50A85"/>
    <w:rsid w:val="74DF7784"/>
    <w:rsid w:val="75125292"/>
    <w:rsid w:val="753241CE"/>
    <w:rsid w:val="758826A4"/>
    <w:rsid w:val="75B01AA9"/>
    <w:rsid w:val="76140509"/>
    <w:rsid w:val="763C41F4"/>
    <w:rsid w:val="768649B8"/>
    <w:rsid w:val="76EF0C8A"/>
    <w:rsid w:val="76F83624"/>
    <w:rsid w:val="773F1990"/>
    <w:rsid w:val="776A79F9"/>
    <w:rsid w:val="777A7DC6"/>
    <w:rsid w:val="78640367"/>
    <w:rsid w:val="78C403B7"/>
    <w:rsid w:val="78F73182"/>
    <w:rsid w:val="79400909"/>
    <w:rsid w:val="79640B02"/>
    <w:rsid w:val="796E4180"/>
    <w:rsid w:val="79874C47"/>
    <w:rsid w:val="79D2695D"/>
    <w:rsid w:val="7A731DE7"/>
    <w:rsid w:val="7ABE7E81"/>
    <w:rsid w:val="7AE73174"/>
    <w:rsid w:val="7B1234F7"/>
    <w:rsid w:val="7B5007DD"/>
    <w:rsid w:val="7BD60299"/>
    <w:rsid w:val="7BDD1DA1"/>
    <w:rsid w:val="7BE5680C"/>
    <w:rsid w:val="7C09693B"/>
    <w:rsid w:val="7C0A69CC"/>
    <w:rsid w:val="7C504BF4"/>
    <w:rsid w:val="7C6B7787"/>
    <w:rsid w:val="7C6F62EE"/>
    <w:rsid w:val="7C8C5F2D"/>
    <w:rsid w:val="7C9F5AAF"/>
    <w:rsid w:val="7CAF0D4D"/>
    <w:rsid w:val="7CCC29A0"/>
    <w:rsid w:val="7CF42D7A"/>
    <w:rsid w:val="7D171AFF"/>
    <w:rsid w:val="7D4359D2"/>
    <w:rsid w:val="7D9A0C78"/>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5"/>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4"/>
    <w:qFormat/>
    <w:uiPriority w:val="0"/>
    <w:rPr>
      <w:b/>
      <w:bCs/>
      <w:kern w:val="44"/>
      <w:sz w:val="44"/>
      <w:szCs w:val="44"/>
    </w:rPr>
  </w:style>
  <w:style w:type="character" w:customStyle="1" w:styleId="45">
    <w:name w:val="标题 3 Char"/>
    <w:basedOn w:val="30"/>
    <w:link w:val="6"/>
    <w:qFormat/>
    <w:uiPriority w:val="0"/>
    <w:rPr>
      <w:b/>
      <w:bCs/>
      <w:sz w:val="32"/>
      <w:szCs w:val="32"/>
    </w:rPr>
  </w:style>
  <w:style w:type="character" w:customStyle="1" w:styleId="46">
    <w:name w:val="标题 4 Char"/>
    <w:basedOn w:val="30"/>
    <w:link w:val="7"/>
    <w:qFormat/>
    <w:uiPriority w:val="0"/>
    <w:rPr>
      <w:rFonts w:eastAsia="新宋体"/>
      <w:sz w:val="30"/>
      <w:szCs w:val="21"/>
    </w:rPr>
  </w:style>
  <w:style w:type="character" w:customStyle="1" w:styleId="47">
    <w:name w:val="标题 5 Char"/>
    <w:basedOn w:val="30"/>
    <w:link w:val="8"/>
    <w:qFormat/>
    <w:uiPriority w:val="0"/>
    <w:rPr>
      <w:b/>
      <w:bCs/>
      <w:sz w:val="28"/>
      <w:szCs w:val="28"/>
    </w:rPr>
  </w:style>
  <w:style w:type="character" w:customStyle="1" w:styleId="48">
    <w:name w:val="标题 6 Char"/>
    <w:basedOn w:val="30"/>
    <w:link w:val="9"/>
    <w:qFormat/>
    <w:uiPriority w:val="0"/>
    <w:rPr>
      <w:b/>
      <w:sz w:val="44"/>
    </w:rPr>
  </w:style>
  <w:style w:type="character" w:customStyle="1" w:styleId="49">
    <w:name w:val="标题 7 Char"/>
    <w:basedOn w:val="30"/>
    <w:link w:val="11"/>
    <w:qFormat/>
    <w:uiPriority w:val="0"/>
    <w:rPr>
      <w:b/>
      <w:bCs/>
      <w:sz w:val="24"/>
      <w:szCs w:val="24"/>
    </w:rPr>
  </w:style>
  <w:style w:type="character" w:customStyle="1" w:styleId="50">
    <w:name w:val="标题 8 Char"/>
    <w:basedOn w:val="30"/>
    <w:link w:val="12"/>
    <w:qFormat/>
    <w:uiPriority w:val="0"/>
    <w:rPr>
      <w:rFonts w:ascii="Arial" w:hAnsi="Arial" w:eastAsia="黑体"/>
      <w:sz w:val="24"/>
      <w:szCs w:val="24"/>
    </w:rPr>
  </w:style>
  <w:style w:type="character" w:customStyle="1" w:styleId="51">
    <w:name w:val="标题 9 Char"/>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4"/>
    <w:qFormat/>
    <w:uiPriority w:val="99"/>
    <w:rPr>
      <w:b/>
      <w:bCs/>
      <w:kern w:val="2"/>
      <w:sz w:val="21"/>
      <w:szCs w:val="24"/>
    </w:rPr>
  </w:style>
  <w:style w:type="character" w:customStyle="1" w:styleId="59">
    <w:name w:val="正文文本 Char"/>
    <w:link w:val="3"/>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2"/>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5"/>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5"/>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4"/>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2"/>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spacing w:before="100" w:beforeAutospacing="1" w:after="100" w:afterAutospacing="1"/>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 w:type="character" w:customStyle="1" w:styleId="131">
    <w:name w:val="font61"/>
    <w:basedOn w:val="30"/>
    <w:qFormat/>
    <w:uiPriority w:val="0"/>
    <w:rPr>
      <w:rFonts w:hint="eastAsia" w:ascii="仿宋" w:hAnsi="仿宋" w:eastAsia="仿宋" w:cs="仿宋"/>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9D36D-0A15-42B4-B98F-FEFBB98B41A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50</Pages>
  <Words>4312</Words>
  <Characters>24583</Characters>
  <Lines>204</Lines>
  <Paragraphs>57</Paragraphs>
  <TotalTime>3</TotalTime>
  <ScaleCrop>false</ScaleCrop>
  <LinksUpToDate>false</LinksUpToDate>
  <CharactersWithSpaces>28838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樱花草</cp:lastModifiedBy>
  <cp:lastPrinted>2018-07-05T02:41:00Z</cp:lastPrinted>
  <dcterms:modified xsi:type="dcterms:W3CDTF">2018-08-14T02:43:45Z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