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sz w:val="44"/>
          <w:szCs w:val="44"/>
        </w:rPr>
      </w:pPr>
    </w:p>
    <w:p>
      <w:pPr>
        <w:jc w:val="center"/>
        <w:rPr>
          <w:rFonts w:hint="eastAsia"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许昌经济技术开发区法制与社会服务局</w:t>
      </w:r>
    </w:p>
    <w:p>
      <w:pPr>
        <w:jc w:val="center"/>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“安全生产隐患排查第三方服务项目”</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hint="eastAsia" w:asciiTheme="majorEastAsia" w:hAnsiTheme="majorEastAsia" w:eastAsiaTheme="majorEastAsia" w:cstheme="majorEastAsia"/>
          <w:b/>
          <w:bCs/>
          <w:color w:val="000000"/>
          <w:sz w:val="36"/>
          <w:szCs w:val="36"/>
          <w:lang w:eastAsia="zh-CN"/>
        </w:rPr>
      </w:pPr>
      <w:r>
        <w:rPr>
          <w:rFonts w:hint="eastAsia" w:ascii="隶书" w:eastAsia="隶书"/>
          <w:b/>
          <w:bCs/>
          <w:color w:val="000000"/>
          <w:sz w:val="36"/>
        </w:rPr>
        <w:t xml:space="preserve">   </w:t>
      </w:r>
      <w:r>
        <w:rPr>
          <w:rFonts w:hint="eastAsia" w:asciiTheme="majorEastAsia" w:hAnsiTheme="majorEastAsia" w:eastAsiaTheme="majorEastAsia" w:cstheme="majorEastAsia"/>
          <w:b/>
          <w:bCs/>
          <w:color w:val="000000"/>
          <w:sz w:val="36"/>
          <w:szCs w:val="36"/>
        </w:rPr>
        <w:t xml:space="preserve">   项目编号：</w:t>
      </w:r>
      <w:r>
        <w:rPr>
          <w:rFonts w:hint="eastAsia" w:asciiTheme="majorEastAsia" w:hAnsiTheme="majorEastAsia" w:eastAsiaTheme="majorEastAsia" w:cstheme="majorEastAsia"/>
          <w:b/>
          <w:bCs/>
          <w:color w:val="000000"/>
          <w:sz w:val="36"/>
          <w:szCs w:val="36"/>
          <w:lang w:eastAsia="zh-CN"/>
        </w:rPr>
        <w:t>JZFCG-G2018063-1号</w:t>
      </w:r>
    </w:p>
    <w:p>
      <w:pPr>
        <w:ind w:firstLine="1084" w:firstLineChars="300"/>
        <w:rPr>
          <w:rFonts w:asciiTheme="majorEastAsia" w:hAnsiTheme="majorEastAsia" w:eastAsiaTheme="majorEastAsia" w:cstheme="majorEastAsia"/>
          <w:b/>
          <w:bCs/>
          <w:color w:val="000000"/>
          <w:sz w:val="32"/>
          <w:szCs w:val="32"/>
        </w:rPr>
      </w:pPr>
      <w:r>
        <w:rPr>
          <w:rFonts w:hint="eastAsia" w:asciiTheme="majorEastAsia" w:hAnsiTheme="majorEastAsia" w:eastAsiaTheme="majorEastAsia" w:cstheme="majorEastAsia"/>
          <w:b/>
          <w:bCs/>
          <w:color w:val="000000"/>
          <w:sz w:val="36"/>
          <w:szCs w:val="36"/>
        </w:rPr>
        <w:t>采购单位：</w:t>
      </w:r>
      <w:r>
        <w:rPr>
          <w:rFonts w:hint="eastAsia" w:asciiTheme="majorEastAsia" w:hAnsiTheme="majorEastAsia" w:eastAsiaTheme="majorEastAsia" w:cstheme="majorEastAsia"/>
          <w:b/>
          <w:bCs/>
          <w:color w:val="000000"/>
          <w:sz w:val="32"/>
          <w:szCs w:val="32"/>
        </w:rPr>
        <w:t>许昌经济技术开发区法制与社会服务局</w:t>
      </w:r>
    </w:p>
    <w:p>
      <w:pPr>
        <w:ind w:firstLine="1084" w:firstLineChars="300"/>
        <w:rPr>
          <w:rFonts w:hint="eastAsia" w:asciiTheme="majorEastAsia" w:hAnsiTheme="majorEastAsia" w:eastAsiaTheme="majorEastAsia" w:cstheme="majorEastAsia"/>
          <w:b/>
          <w:bCs/>
          <w:color w:val="000000"/>
          <w:sz w:val="36"/>
          <w:szCs w:val="36"/>
          <w:lang w:eastAsia="zh-CN"/>
        </w:rPr>
      </w:pPr>
      <w:r>
        <w:rPr>
          <w:rFonts w:hint="eastAsia" w:asciiTheme="majorEastAsia" w:hAnsiTheme="majorEastAsia" w:eastAsiaTheme="majorEastAsia" w:cstheme="majorEastAsia"/>
          <w:b/>
          <w:bCs/>
          <w:color w:val="000000"/>
          <w:sz w:val="36"/>
          <w:szCs w:val="36"/>
        </w:rPr>
        <w:t>代理机构：</w:t>
      </w:r>
      <w:r>
        <w:rPr>
          <w:rFonts w:hint="eastAsia" w:asciiTheme="majorEastAsia" w:hAnsiTheme="majorEastAsia" w:eastAsiaTheme="majorEastAsia" w:cstheme="majorEastAsia"/>
          <w:b/>
          <w:bCs/>
          <w:color w:val="000000"/>
          <w:sz w:val="36"/>
          <w:szCs w:val="36"/>
          <w:lang w:eastAsia="zh-CN"/>
        </w:rPr>
        <w:t>河南鼎华招标代理有限公司</w:t>
      </w: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二〇一八年</w:t>
      </w:r>
      <w:r>
        <w:rPr>
          <w:rFonts w:hint="eastAsia" w:asciiTheme="majorEastAsia" w:hAnsiTheme="majorEastAsia" w:eastAsiaTheme="majorEastAsia" w:cstheme="majorEastAsia"/>
          <w:b/>
          <w:bCs/>
          <w:color w:val="000000"/>
          <w:sz w:val="36"/>
          <w:szCs w:val="36"/>
          <w:lang w:val="en-US" w:eastAsia="zh-CN"/>
        </w:rPr>
        <w:t>九</w:t>
      </w:r>
      <w:r>
        <w:rPr>
          <w:rFonts w:hint="eastAsia" w:asciiTheme="majorEastAsia" w:hAnsiTheme="majorEastAsia" w:eastAsiaTheme="majorEastAsia" w:cstheme="majorEastAsia"/>
          <w:b/>
          <w:bCs/>
          <w:color w:val="000000"/>
          <w:sz w:val="36"/>
          <w:szCs w:val="36"/>
        </w:rPr>
        <w:t>月</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投标邀请</w:t>
      </w:r>
    </w:p>
    <w:p>
      <w:pPr>
        <w:pStyle w:val="19"/>
        <w:widowControl/>
        <w:shd w:val="clear" w:color="auto" w:fill="FFFFFF"/>
        <w:spacing w:line="315" w:lineRule="atLeast"/>
        <w:ind w:firstLine="420"/>
        <w:jc w:val="left"/>
        <w:rPr>
          <w:rFonts w:ascii="仿宋_GB2312" w:hAnsi="仿宋_GB2312" w:eastAsia="仿宋_GB2312" w:cs="仿宋_GB2312"/>
          <w:color w:val="000000"/>
          <w:sz w:val="32"/>
          <w:szCs w:val="32"/>
          <w:shd w:val="clear" w:color="auto" w:fill="FFFFFF"/>
        </w:rPr>
      </w:pPr>
    </w:p>
    <w:p>
      <w:pPr>
        <w:pStyle w:val="19"/>
        <w:widowControl/>
        <w:shd w:val="clear" w:color="auto" w:fill="FFFFFF"/>
        <w:spacing w:line="360" w:lineRule="auto"/>
        <w:contextualSpacing/>
        <w:jc w:val="left"/>
        <w:rPr>
          <w:rFonts w:cs="黑体" w:asciiTheme="minorEastAsia" w:hAnsiTheme="minorEastAsia" w:eastAsiaTheme="minorEastAsia"/>
          <w:b/>
          <w:bCs/>
          <w:color w:val="auto"/>
          <w:sz w:val="21"/>
          <w:szCs w:val="21"/>
        </w:rPr>
      </w:pPr>
      <w:r>
        <w:rPr>
          <w:rFonts w:hint="eastAsia" w:ascii="黑体" w:hAnsi="黑体" w:eastAsia="黑体" w:cs="黑体"/>
          <w:bCs/>
          <w:color w:val="000000"/>
          <w:sz w:val="21"/>
          <w:szCs w:val="21"/>
          <w:shd w:val="clear" w:color="auto" w:fill="FFFFFF"/>
        </w:rPr>
        <w:t xml:space="preserve">    </w:t>
      </w:r>
      <w:r>
        <w:rPr>
          <w:rFonts w:hint="eastAsia" w:cs="黑体" w:asciiTheme="minorEastAsia" w:hAnsiTheme="minorEastAsia" w:eastAsiaTheme="minorEastAsia"/>
          <w:b/>
          <w:bCs/>
          <w:color w:val="auto"/>
          <w:sz w:val="21"/>
          <w:szCs w:val="21"/>
          <w:shd w:val="clear" w:color="auto" w:fill="FFFFFF"/>
        </w:rPr>
        <w:t>一、项目基本情况</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（一）项目名称：许昌经济技术开发区法制与社会服务局“安全生产隐患排查第三方服务项目”</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（二）项目编号：</w:t>
      </w:r>
      <w:r>
        <w:rPr>
          <w:rFonts w:hint="eastAsia" w:cs="仿宋_GB2312" w:asciiTheme="minorEastAsia" w:hAnsiTheme="minorEastAsia" w:eastAsiaTheme="minorEastAsia"/>
          <w:color w:val="auto"/>
          <w:sz w:val="21"/>
          <w:szCs w:val="21"/>
          <w:shd w:val="clear" w:color="auto" w:fill="FFFFFF"/>
          <w:lang w:eastAsia="zh-CN"/>
        </w:rPr>
        <w:t>JZFCG-G2018063-1号</w:t>
      </w:r>
      <w:r>
        <w:rPr>
          <w:rFonts w:hint="eastAsia" w:cs="仿宋_GB2312" w:asciiTheme="minorEastAsia" w:hAnsiTheme="minorEastAsia" w:eastAsiaTheme="minorEastAsia"/>
          <w:color w:val="auto"/>
          <w:sz w:val="21"/>
          <w:szCs w:val="21"/>
          <w:shd w:val="clear" w:color="auto" w:fill="FFFFFF"/>
        </w:rPr>
        <w:t xml:space="preserve">    </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（三）采购方式：</w:t>
      </w:r>
      <w:r>
        <w:rPr>
          <w:rFonts w:hint="eastAsia" w:cs="仿宋_GB2312" w:asciiTheme="minorEastAsia" w:hAnsiTheme="minorEastAsia" w:eastAsiaTheme="minorEastAsia"/>
          <w:color w:val="auto"/>
          <w:sz w:val="21"/>
          <w:szCs w:val="21"/>
          <w:shd w:val="clear" w:color="auto" w:fill="FFFFFF"/>
          <w:lang w:eastAsia="zh-CN"/>
        </w:rPr>
        <w:t>公开招标</w:t>
      </w:r>
      <w:r>
        <w:rPr>
          <w:rFonts w:hint="eastAsia" w:cs="仿宋_GB2312" w:asciiTheme="minorEastAsia" w:hAnsiTheme="minorEastAsia" w:eastAsiaTheme="minorEastAsia"/>
          <w:color w:val="auto"/>
          <w:sz w:val="21"/>
          <w:szCs w:val="21"/>
          <w:shd w:val="clear" w:color="auto" w:fill="FFFFFF"/>
        </w:rPr>
        <w:t xml:space="preserve">                                                                                                                          </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（四）项目主要内容、数量及要求：安全生产隐患排查</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（五）预算金额：</w:t>
      </w:r>
      <w:r>
        <w:rPr>
          <w:rFonts w:hint="eastAsia" w:cs="仿宋_GB2312" w:asciiTheme="minorEastAsia" w:hAnsiTheme="minorEastAsia" w:eastAsiaTheme="minorEastAsia"/>
          <w:color w:val="auto"/>
          <w:sz w:val="21"/>
          <w:szCs w:val="21"/>
          <w:u w:val="single"/>
          <w:shd w:val="clear" w:color="auto" w:fill="FFFFFF"/>
          <w:lang w:val="en-US" w:eastAsia="zh-CN"/>
        </w:rPr>
        <w:t>960000</w:t>
      </w:r>
      <w:r>
        <w:rPr>
          <w:rFonts w:hint="eastAsia" w:cs="仿宋_GB2312" w:asciiTheme="minorEastAsia" w:hAnsiTheme="minorEastAsia" w:eastAsiaTheme="minorEastAsia"/>
          <w:color w:val="auto"/>
          <w:sz w:val="21"/>
          <w:szCs w:val="21"/>
          <w:shd w:val="clear" w:color="auto" w:fill="FFFFFF"/>
        </w:rPr>
        <w:t>元。最高限价：</w:t>
      </w:r>
      <w:r>
        <w:rPr>
          <w:rFonts w:hint="eastAsia" w:cs="仿宋_GB2312" w:asciiTheme="minorEastAsia" w:hAnsiTheme="minorEastAsia" w:eastAsiaTheme="minorEastAsia"/>
          <w:color w:val="auto"/>
          <w:sz w:val="21"/>
          <w:szCs w:val="21"/>
          <w:u w:val="single"/>
          <w:shd w:val="clear" w:color="auto" w:fill="FFFFFF"/>
          <w:lang w:val="en-US" w:eastAsia="zh-CN"/>
        </w:rPr>
        <w:t>960000</w:t>
      </w:r>
      <w:r>
        <w:rPr>
          <w:rFonts w:hint="eastAsia" w:cs="仿宋_GB2312" w:asciiTheme="minorEastAsia" w:hAnsiTheme="minorEastAsia" w:eastAsiaTheme="minorEastAsia"/>
          <w:color w:val="auto"/>
          <w:sz w:val="21"/>
          <w:szCs w:val="21"/>
          <w:shd w:val="clear" w:color="auto" w:fill="FFFFFF"/>
        </w:rPr>
        <w:t>元。</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auto"/>
          <w:sz w:val="21"/>
          <w:szCs w:val="21"/>
          <w:shd w:val="clear" w:color="auto" w:fill="FFFFFF"/>
          <w:lang w:eastAsia="zh-CN"/>
        </w:rPr>
      </w:pPr>
      <w:r>
        <w:rPr>
          <w:rFonts w:hint="eastAsia" w:cs="仿宋_GB2312" w:asciiTheme="minorEastAsia" w:hAnsiTheme="minorEastAsia" w:eastAsiaTheme="minorEastAsia"/>
          <w:color w:val="auto"/>
          <w:sz w:val="21"/>
          <w:szCs w:val="21"/>
          <w:shd w:val="clear" w:color="auto" w:fill="FFFFFF"/>
        </w:rPr>
        <w:t>（六）服务时间 ：合同签订后</w:t>
      </w:r>
      <w:r>
        <w:rPr>
          <w:rFonts w:hint="eastAsia" w:cs="仿宋_GB2312" w:asciiTheme="minorEastAsia" w:hAnsiTheme="minorEastAsia" w:eastAsiaTheme="minorEastAsia"/>
          <w:color w:val="auto"/>
          <w:sz w:val="21"/>
          <w:szCs w:val="21"/>
          <w:shd w:val="clear" w:color="auto" w:fill="FFFFFF"/>
          <w:lang w:eastAsia="zh-CN"/>
        </w:rPr>
        <w:t>一年</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（七）服务地点：许昌经济技术开发区</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二、需要落实的政府采购政策</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本项目落实</w:t>
      </w:r>
      <w:r>
        <w:rPr>
          <w:rFonts w:hint="eastAsia" w:cs="仿宋_GB2312" w:asciiTheme="minorEastAsia" w:hAnsiTheme="minorEastAsia" w:eastAsiaTheme="minorEastAsia"/>
          <w:color w:val="auto"/>
          <w:sz w:val="21"/>
          <w:szCs w:val="21"/>
          <w:u w:val="single"/>
          <w:shd w:val="clear" w:color="auto" w:fill="FFFFFF"/>
        </w:rPr>
        <w:t>节能环保</w:t>
      </w:r>
      <w:r>
        <w:rPr>
          <w:rFonts w:hint="eastAsia" w:cs="仿宋_GB2312" w:asciiTheme="minorEastAsia" w:hAnsiTheme="minorEastAsia" w:eastAsiaTheme="minorEastAsia"/>
          <w:color w:val="auto"/>
          <w:sz w:val="21"/>
          <w:szCs w:val="21"/>
          <w:shd w:val="clear" w:color="auto" w:fill="FFFFFF"/>
        </w:rPr>
        <w:t>、</w:t>
      </w:r>
      <w:r>
        <w:rPr>
          <w:rFonts w:hint="eastAsia" w:cs="仿宋_GB2312" w:asciiTheme="minorEastAsia" w:hAnsiTheme="minorEastAsia" w:eastAsiaTheme="minorEastAsia"/>
          <w:color w:val="auto"/>
          <w:sz w:val="21"/>
          <w:szCs w:val="21"/>
          <w:u w:val="single"/>
          <w:shd w:val="clear" w:color="auto" w:fill="FFFFFF"/>
        </w:rPr>
        <w:t>中小微型企业</w:t>
      </w:r>
      <w:r>
        <w:rPr>
          <w:rFonts w:hint="eastAsia" w:cs="仿宋_GB2312" w:asciiTheme="minorEastAsia" w:hAnsiTheme="minorEastAsia" w:eastAsiaTheme="minorEastAsia"/>
          <w:color w:val="auto"/>
          <w:sz w:val="21"/>
          <w:szCs w:val="21"/>
          <w:shd w:val="clear" w:color="auto" w:fill="FFFFFF"/>
        </w:rPr>
        <w:t>、</w:t>
      </w:r>
      <w:r>
        <w:rPr>
          <w:rFonts w:hint="eastAsia" w:cs="仿宋_GB2312" w:asciiTheme="minorEastAsia" w:hAnsiTheme="minorEastAsia" w:eastAsiaTheme="minorEastAsia"/>
          <w:color w:val="auto"/>
          <w:sz w:val="21"/>
          <w:szCs w:val="21"/>
          <w:u w:val="single"/>
          <w:shd w:val="clear" w:color="auto" w:fill="FFFFFF"/>
        </w:rPr>
        <w:t>残疾人福利性单位</w:t>
      </w:r>
      <w:r>
        <w:rPr>
          <w:rFonts w:hint="eastAsia" w:cs="仿宋_GB2312" w:asciiTheme="minorEastAsia" w:hAnsiTheme="minorEastAsia" w:eastAsiaTheme="minorEastAsia"/>
          <w:color w:val="auto"/>
          <w:sz w:val="21"/>
          <w:szCs w:val="21"/>
          <w:shd w:val="clear" w:color="auto" w:fill="FFFFFF"/>
        </w:rPr>
        <w:t>扶持等相关政府采购政策。</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三、投标人资格要求</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（一）符合《中华人民共和国政府采购法》第二十二条之规定；</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（二）投标单位必须是中华人民共和国境内注册、具有独立法人资格的安全生产中介服务机构（外省企业需在豫备案）。</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(三) 未被列入“信用中国”网站(www.creditchina.gov.cn)失信被执行人、重大税收违法案件当事人名单、政府采购严重违法失信名单的投标人；“中国政府采购网” (www.ccgp.gov.cn)政府采购严重违法失信行为记录名单的投标人；</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（四）本次招标不接受联合体投标。</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四、招标文件的获取</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（一）网上下载招标文件</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（二）招标文件售价</w:t>
      </w:r>
      <w:r>
        <w:rPr>
          <w:rFonts w:hint="eastAsia" w:cs="仿宋_GB2312" w:asciiTheme="minorEastAsia" w:hAnsiTheme="minorEastAsia" w:eastAsiaTheme="minorEastAsia"/>
          <w:color w:val="auto"/>
          <w:sz w:val="21"/>
          <w:szCs w:val="21"/>
          <w:u w:val="single"/>
          <w:shd w:val="clear" w:color="auto" w:fill="FFFFFF"/>
          <w:lang w:val="en-US" w:eastAsia="zh-CN"/>
        </w:rPr>
        <w:t>300</w:t>
      </w:r>
      <w:r>
        <w:rPr>
          <w:rFonts w:hint="eastAsia" w:cs="仿宋_GB2312" w:asciiTheme="minorEastAsia" w:hAnsiTheme="minorEastAsia" w:eastAsiaTheme="minorEastAsia"/>
          <w:color w:val="auto"/>
          <w:sz w:val="21"/>
          <w:szCs w:val="21"/>
          <w:shd w:val="clear" w:color="auto" w:fill="FFFFFF"/>
        </w:rPr>
        <w:t>元/套，投标人在递交投标文件时向采购代理机构交纳采购文件费用，售后不退。</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五、投标截止时间、开标时间及地点</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（一）投标截止及开标时间：2018年</w:t>
      </w:r>
      <w:r>
        <w:rPr>
          <w:rFonts w:hint="eastAsia" w:cs="仿宋_GB2312" w:asciiTheme="minorEastAsia" w:hAnsiTheme="minorEastAsia" w:eastAsiaTheme="minorEastAsia"/>
          <w:color w:val="auto"/>
          <w:sz w:val="21"/>
          <w:szCs w:val="21"/>
          <w:u w:val="single"/>
          <w:lang w:val="en-US" w:eastAsia="zh-CN"/>
        </w:rPr>
        <w:t>9</w:t>
      </w:r>
      <w:r>
        <w:rPr>
          <w:rFonts w:hint="eastAsia" w:cs="仿宋_GB2312" w:asciiTheme="minorEastAsia" w:hAnsiTheme="minorEastAsia" w:eastAsiaTheme="minorEastAsia"/>
          <w:color w:val="auto"/>
          <w:sz w:val="21"/>
          <w:szCs w:val="21"/>
        </w:rPr>
        <w:t>月</w:t>
      </w:r>
      <w:r>
        <w:rPr>
          <w:rFonts w:hint="eastAsia" w:cs="仿宋_GB2312" w:asciiTheme="minorEastAsia" w:hAnsiTheme="minorEastAsia" w:eastAsiaTheme="minorEastAsia"/>
          <w:color w:val="auto"/>
          <w:sz w:val="21"/>
          <w:szCs w:val="21"/>
          <w:u w:val="single"/>
          <w:lang w:val="en-US" w:eastAsia="zh-CN"/>
        </w:rPr>
        <w:t>26</w:t>
      </w:r>
      <w:r>
        <w:rPr>
          <w:rFonts w:hint="eastAsia" w:cs="仿宋_GB2312" w:asciiTheme="minorEastAsia" w:hAnsiTheme="minorEastAsia" w:eastAsiaTheme="minorEastAsia"/>
          <w:color w:val="auto"/>
          <w:sz w:val="21"/>
          <w:szCs w:val="21"/>
        </w:rPr>
        <w:t>日</w:t>
      </w:r>
      <w:r>
        <w:rPr>
          <w:rFonts w:hint="eastAsia" w:cs="仿宋_GB2312" w:asciiTheme="minorEastAsia" w:hAnsiTheme="minorEastAsia" w:eastAsiaTheme="minorEastAsia"/>
          <w:color w:val="auto"/>
          <w:sz w:val="21"/>
          <w:szCs w:val="21"/>
          <w:u w:val="single"/>
          <w:lang w:val="en-US" w:eastAsia="zh-CN"/>
        </w:rPr>
        <w:t>10</w:t>
      </w:r>
      <w:r>
        <w:rPr>
          <w:rFonts w:hint="eastAsia" w:cs="仿宋_GB2312" w:asciiTheme="minorEastAsia" w:hAnsiTheme="minorEastAsia" w:eastAsiaTheme="minorEastAsia"/>
          <w:color w:val="auto"/>
          <w:sz w:val="21"/>
          <w:szCs w:val="21"/>
        </w:rPr>
        <w:t>时</w:t>
      </w:r>
      <w:r>
        <w:rPr>
          <w:rFonts w:hint="eastAsia" w:cs="仿宋_GB2312" w:asciiTheme="minorEastAsia" w:hAnsiTheme="minorEastAsia" w:eastAsiaTheme="minorEastAsia"/>
          <w:color w:val="auto"/>
          <w:sz w:val="21"/>
          <w:szCs w:val="21"/>
          <w:u w:val="single"/>
          <w:lang w:val="en-US" w:eastAsia="zh-CN"/>
        </w:rPr>
        <w:t>30</w:t>
      </w:r>
      <w:r>
        <w:rPr>
          <w:rFonts w:hint="eastAsia" w:cs="仿宋_GB2312" w:asciiTheme="minorEastAsia" w:hAnsiTheme="minorEastAsia" w:eastAsiaTheme="minorEastAsia"/>
          <w:color w:val="auto"/>
          <w:sz w:val="21"/>
          <w:szCs w:val="21"/>
        </w:rPr>
        <w:t>分（北京时间），逾期提交或不符合规定的投标文件不予接受。</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（二）开标地点：许昌市公共资源交易中心（</w:t>
      </w:r>
      <w:r>
        <w:rPr>
          <w:rFonts w:cs="Arial" w:asciiTheme="minorEastAsia" w:hAnsiTheme="minorEastAsia" w:eastAsiaTheme="minorEastAsia"/>
          <w:color w:val="auto"/>
          <w:sz w:val="21"/>
          <w:szCs w:val="21"/>
        </w:rPr>
        <w:t>龙兴路与竹林路交汇处</w:t>
      </w:r>
      <w:r>
        <w:rPr>
          <w:rFonts w:hint="eastAsia" w:cs="仿宋_GB2312" w:asciiTheme="minorEastAsia" w:hAnsiTheme="minorEastAsia" w:eastAsiaTheme="minorEastAsia"/>
          <w:color w:val="auto"/>
          <w:sz w:val="21"/>
          <w:szCs w:val="21"/>
        </w:rPr>
        <w:t>公共资源大厦）三楼开标</w:t>
      </w:r>
      <w:r>
        <w:rPr>
          <w:rFonts w:hint="eastAsia" w:cs="仿宋_GB2312" w:asciiTheme="minorEastAsia" w:hAnsiTheme="minorEastAsia" w:eastAsiaTheme="minorEastAsia"/>
          <w:color w:val="auto"/>
          <w:sz w:val="21"/>
          <w:szCs w:val="21"/>
          <w:u w:val="single"/>
          <w:lang w:val="en-US" w:eastAsia="zh-CN"/>
        </w:rPr>
        <w:t>三</w:t>
      </w:r>
      <w:r>
        <w:rPr>
          <w:rFonts w:hint="eastAsia" w:cs="仿宋_GB2312" w:asciiTheme="minorEastAsia" w:hAnsiTheme="minorEastAsia" w:eastAsiaTheme="minorEastAsia"/>
          <w:color w:val="auto"/>
          <w:sz w:val="21"/>
          <w:szCs w:val="21"/>
        </w:rPr>
        <w:t>室。</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（三） 本项目为全流程电子化交易项目，投标人须提交电子投标文件和纸质投标文件。</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1、加密电子投标文件</w:t>
      </w:r>
      <w:r>
        <w:rPr>
          <w:rFonts w:hint="eastAsia" w:cs="宋体" w:asciiTheme="minorEastAsia" w:hAnsiTheme="minorEastAsia"/>
          <w:color w:val="auto"/>
          <w:sz w:val="21"/>
          <w:szCs w:val="21"/>
        </w:rPr>
        <w:t>（</w:t>
      </w:r>
      <w:r>
        <w:rPr>
          <w:rFonts w:asciiTheme="minorEastAsia" w:hAnsiTheme="minorEastAsia" w:eastAsiaTheme="minorEastAsia"/>
          <w:color w:val="auto"/>
          <w:sz w:val="21"/>
          <w:szCs w:val="21"/>
        </w:rPr>
        <w:t>.file</w:t>
      </w:r>
      <w:r>
        <w:rPr>
          <w:rFonts w:hint="eastAsia" w:cs="宋体" w:asciiTheme="minorEastAsia" w:hAnsiTheme="minorEastAsia"/>
          <w:color w:val="auto"/>
          <w:sz w:val="21"/>
          <w:szCs w:val="21"/>
        </w:rPr>
        <w:t>格式）须</w:t>
      </w:r>
      <w:r>
        <w:rPr>
          <w:rFonts w:hint="eastAsia" w:cs="仿宋_GB2312" w:asciiTheme="minorEastAsia" w:hAnsiTheme="minorEastAsia" w:eastAsiaTheme="minorEastAsia"/>
          <w:color w:val="auto"/>
          <w:sz w:val="21"/>
          <w:szCs w:val="21"/>
        </w:rPr>
        <w:t>在投标截止时间（开标时间）前通过《全国公共资源交易平台(河南省</w:t>
      </w:r>
      <w:r>
        <w:rPr>
          <w:rFonts w:hint="eastAsia" w:ascii="MS Mincho" w:hAnsi="MS Mincho" w:eastAsia="MS Mincho" w:cs="MS Mincho"/>
          <w:color w:val="auto"/>
          <w:sz w:val="21"/>
          <w:szCs w:val="21"/>
        </w:rPr>
        <w:t>▪</w:t>
      </w:r>
      <w:r>
        <w:rPr>
          <w:rFonts w:hint="eastAsia" w:ascii="宋体" w:hAnsi="宋体" w:cs="宋体"/>
          <w:color w:val="auto"/>
          <w:sz w:val="21"/>
          <w:szCs w:val="21"/>
        </w:rPr>
        <w:t>许昌市</w:t>
      </w:r>
      <w:r>
        <w:rPr>
          <w:rFonts w:hint="eastAsia" w:cs="仿宋_GB2312" w:asciiTheme="minorEastAsia" w:hAnsiTheme="minorEastAsia" w:eastAsiaTheme="minorEastAsia"/>
          <w:color w:val="auto"/>
          <w:sz w:val="21"/>
          <w:szCs w:val="21"/>
        </w:rPr>
        <w:t>)》公共资源交易系统成功上传。</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pct10" w:color="auto" w:fill="FFFFFF"/>
        </w:rPr>
      </w:pPr>
      <w:r>
        <w:rPr>
          <w:rFonts w:hint="eastAsia" w:cs="仿宋_GB2312" w:asciiTheme="minorEastAsia" w:hAnsiTheme="minorEastAsia" w:eastAsiaTheme="minorEastAsia"/>
          <w:color w:val="auto"/>
          <w:sz w:val="21"/>
          <w:szCs w:val="21"/>
        </w:rPr>
        <w:t>2、纸质投标文件（正本、副本各1份）和备份文件1份</w:t>
      </w:r>
      <w:r>
        <w:rPr>
          <w:rFonts w:hint="eastAsia" w:hAnsi="宋体"/>
          <w:color w:val="auto"/>
          <w:sz w:val="21"/>
          <w:szCs w:val="21"/>
        </w:rPr>
        <w:t>（使用电子介质存储）</w:t>
      </w:r>
      <w:r>
        <w:rPr>
          <w:rFonts w:hint="eastAsia" w:cs="仿宋_GB2312" w:asciiTheme="minorEastAsia" w:hAnsiTheme="minorEastAsia" w:eastAsiaTheme="minorEastAsia"/>
          <w:color w:val="auto"/>
          <w:sz w:val="21"/>
          <w:szCs w:val="21"/>
        </w:rPr>
        <w:t>在投标截止时间（开标时间）前递交至本项目开标地点。</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六、本次招标公告同时在《中国政府采购网》、《河南省政府采购网》、《许昌市政府采购网》、《全国公共资源交易平台（河南省·许昌市）》发布。</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七、公告期限</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本招标公告自发布之日起公告期限为5个工作日。</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rPr>
      </w:pPr>
      <w:r>
        <w:rPr>
          <w:rFonts w:hint="eastAsia" w:cs="黑体" w:asciiTheme="minorEastAsia" w:hAnsiTheme="minorEastAsia" w:eastAsiaTheme="minorEastAsia"/>
          <w:b/>
          <w:bCs/>
          <w:color w:val="auto"/>
          <w:sz w:val="21"/>
          <w:szCs w:val="21"/>
        </w:rPr>
        <w:t>八、联系方式</w:t>
      </w:r>
    </w:p>
    <w:p>
      <w:pPr>
        <w:spacing w:line="360" w:lineRule="auto"/>
        <w:rPr>
          <w:rFonts w:hint="eastAsia"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采购人：许昌经济技术开发区法制与社会服务局</w:t>
      </w:r>
    </w:p>
    <w:p>
      <w:pPr>
        <w:spacing w:line="360" w:lineRule="auto"/>
        <w:rPr>
          <w:rFonts w:hint="eastAsia"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地 址：许昌经济技术开发区管理委员会（瑞祥路中段）</w:t>
      </w:r>
    </w:p>
    <w:p>
      <w:pPr>
        <w:spacing w:line="360" w:lineRule="auto"/>
        <w:rPr>
          <w:rFonts w:hint="eastAsia"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 xml:space="preserve">联系人：张志端               </w:t>
      </w:r>
    </w:p>
    <w:p>
      <w:pPr>
        <w:spacing w:line="360" w:lineRule="auto"/>
        <w:rPr>
          <w:rFonts w:hint="eastAsia"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联系电话：15939908710</w:t>
      </w:r>
    </w:p>
    <w:p>
      <w:pPr>
        <w:spacing w:line="360" w:lineRule="auto"/>
        <w:rPr>
          <w:rFonts w:hint="eastAsia"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代理机构：河南鼎华招标代理有限公司</w:t>
      </w:r>
    </w:p>
    <w:p>
      <w:pPr>
        <w:spacing w:line="360" w:lineRule="auto"/>
        <w:rPr>
          <w:rFonts w:hint="eastAsia"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地 址：新许路中段</w:t>
      </w:r>
    </w:p>
    <w:p>
      <w:pPr>
        <w:spacing w:line="360" w:lineRule="auto"/>
        <w:rPr>
          <w:rFonts w:hint="eastAsia"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联系人：</w:t>
      </w:r>
      <w:r>
        <w:rPr>
          <w:rFonts w:hint="eastAsia" w:cs="仿宋_GB2312" w:asciiTheme="minorEastAsia" w:hAnsiTheme="minorEastAsia"/>
          <w:color w:val="auto"/>
          <w:sz w:val="21"/>
          <w:szCs w:val="21"/>
          <w:lang w:eastAsia="zh-CN"/>
        </w:rPr>
        <w:t>冯建伟</w:t>
      </w:r>
      <w:r>
        <w:rPr>
          <w:rFonts w:hint="eastAsia" w:cs="仿宋_GB2312" w:asciiTheme="minorEastAsia" w:hAnsiTheme="minorEastAsia" w:eastAsiaTheme="minorEastAsia"/>
          <w:color w:val="auto"/>
          <w:sz w:val="21"/>
          <w:szCs w:val="21"/>
        </w:rPr>
        <w:t xml:space="preserve">               </w:t>
      </w:r>
    </w:p>
    <w:p>
      <w:pPr>
        <w:spacing w:line="360" w:lineRule="auto"/>
        <w:rPr>
          <w:rFonts w:hint="eastAsia" w:cs="仿宋_GB2312" w:asciiTheme="minorEastAsia" w:hAnsiTheme="minorEastAsia" w:eastAsiaTheme="minorEastAsia"/>
          <w:color w:val="auto"/>
          <w:sz w:val="21"/>
          <w:szCs w:val="21"/>
          <w:lang w:val="en-US" w:eastAsia="zh-CN"/>
        </w:rPr>
      </w:pPr>
      <w:r>
        <w:rPr>
          <w:rFonts w:hint="eastAsia" w:cs="仿宋_GB2312" w:asciiTheme="minorEastAsia" w:hAnsiTheme="minorEastAsia" w:eastAsiaTheme="minorEastAsia"/>
          <w:color w:val="auto"/>
          <w:sz w:val="21"/>
          <w:szCs w:val="21"/>
        </w:rPr>
        <w:t>联系电话：</w:t>
      </w:r>
      <w:r>
        <w:rPr>
          <w:rFonts w:hint="eastAsia" w:cs="仿宋_GB2312" w:asciiTheme="minorEastAsia" w:hAnsiTheme="minorEastAsia"/>
          <w:color w:val="auto"/>
          <w:sz w:val="21"/>
          <w:szCs w:val="21"/>
          <w:lang w:val="en-US" w:eastAsia="zh-CN"/>
        </w:rPr>
        <w:t>0374-5219779</w:t>
      </w:r>
    </w:p>
    <w:p>
      <w:pPr>
        <w:spacing w:line="360" w:lineRule="auto"/>
        <w:jc w:val="right"/>
        <w:rPr>
          <w:rFonts w:hint="eastAsia"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 xml:space="preserve">                               许昌经济技术开发区法制与社会服务局</w:t>
      </w:r>
    </w:p>
    <w:p>
      <w:pPr>
        <w:spacing w:line="360" w:lineRule="auto"/>
        <w:jc w:val="right"/>
        <w:rPr>
          <w:rFonts w:hint="eastAsia" w:hAnsi="宋体" w:eastAsiaTheme="minorEastAsia"/>
          <w:b/>
          <w:color w:val="auto"/>
          <w:sz w:val="28"/>
          <w:szCs w:val="28"/>
          <w:lang w:val="en-US" w:eastAsia="zh-CN"/>
        </w:rPr>
      </w:pPr>
      <w:r>
        <w:rPr>
          <w:rFonts w:hint="eastAsia" w:cs="仿宋_GB2312" w:asciiTheme="minorEastAsia" w:hAnsiTheme="minorEastAsia" w:eastAsiaTheme="minorEastAsia"/>
          <w:color w:val="auto"/>
          <w:sz w:val="21"/>
          <w:szCs w:val="21"/>
        </w:rPr>
        <w:t xml:space="preserve">                                        二〇一八年</w:t>
      </w:r>
      <w:r>
        <w:rPr>
          <w:rFonts w:hint="eastAsia" w:cs="仿宋_GB2312" w:asciiTheme="minorEastAsia" w:hAnsiTheme="minorEastAsia"/>
          <w:color w:val="auto"/>
          <w:sz w:val="21"/>
          <w:szCs w:val="21"/>
          <w:lang w:eastAsia="zh-CN"/>
        </w:rPr>
        <w:t>九</w:t>
      </w:r>
      <w:r>
        <w:rPr>
          <w:rFonts w:hint="eastAsia" w:cs="仿宋_GB2312" w:asciiTheme="minorEastAsia" w:hAnsiTheme="minorEastAsia" w:eastAsiaTheme="minorEastAsia"/>
          <w:color w:val="auto"/>
          <w:sz w:val="21"/>
          <w:szCs w:val="21"/>
        </w:rPr>
        <w:t>月</w:t>
      </w:r>
      <w:r>
        <w:rPr>
          <w:rFonts w:hint="eastAsia" w:cs="仿宋_GB2312" w:asciiTheme="minorEastAsia" w:hAnsiTheme="minorEastAsia"/>
          <w:color w:val="auto"/>
          <w:sz w:val="21"/>
          <w:szCs w:val="21"/>
          <w:lang w:val="en-US" w:eastAsia="zh-CN"/>
        </w:rPr>
        <w:t>五日</w:t>
      </w:r>
    </w:p>
    <w:p>
      <w:pPr>
        <w:spacing w:line="360" w:lineRule="auto"/>
        <w:rPr>
          <w:rFonts w:hAnsi="宋体"/>
          <w:b/>
          <w:color w:val="auto"/>
          <w:sz w:val="28"/>
          <w:szCs w:val="28"/>
        </w:rPr>
      </w:pPr>
      <w:r>
        <w:rPr>
          <w:rFonts w:hint="eastAsia" w:hAnsi="宋体"/>
          <w:b/>
          <w:color w:val="auto"/>
          <w:sz w:val="28"/>
          <w:szCs w:val="28"/>
        </w:rPr>
        <w:t>温馨提示：</w:t>
      </w:r>
    </w:p>
    <w:p>
      <w:pPr>
        <w:spacing w:line="360" w:lineRule="auto"/>
        <w:ind w:firstLine="562" w:firstLineChars="200"/>
        <w:rPr>
          <w:rFonts w:hAnsi="宋体"/>
          <w:b/>
          <w:color w:val="auto"/>
          <w:sz w:val="28"/>
          <w:szCs w:val="28"/>
        </w:rPr>
      </w:pPr>
      <w:r>
        <w:rPr>
          <w:rFonts w:hint="eastAsia" w:hAnsi="宋体"/>
          <w:b/>
          <w:color w:val="auto"/>
          <w:sz w:val="28"/>
          <w:szCs w:val="28"/>
        </w:rPr>
        <w:t>本项目为全流程电子化交易项目，请认真阅读招标文件，并注意以下事项。</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1.</w:t>
      </w:r>
      <w:r>
        <w:rPr>
          <w:rFonts w:hint="eastAsia" w:hAnsi="宋体"/>
          <w:b/>
          <w:color w:val="auto"/>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2</w:t>
      </w:r>
      <w:r>
        <w:rPr>
          <w:rFonts w:asciiTheme="minorEastAsia" w:hAnsiTheme="minorEastAsia"/>
          <w:b/>
          <w:color w:val="auto"/>
          <w:szCs w:val="21"/>
        </w:rPr>
        <w:t>.</w:t>
      </w:r>
      <w:r>
        <w:rPr>
          <w:rFonts w:hint="eastAsia" w:hAnsi="宋体"/>
          <w:b/>
          <w:color w:val="auto"/>
          <w:szCs w:val="21"/>
        </w:rPr>
        <w:t>电子文件下载、制作、提交期间和开标（</w:t>
      </w:r>
      <w:r>
        <w:rPr>
          <w:rFonts w:hint="eastAsia" w:hAnsi="宋体"/>
          <w:color w:val="auto"/>
          <w:szCs w:val="21"/>
        </w:rPr>
        <w:t>电子投标文件的解密</w:t>
      </w:r>
      <w:r>
        <w:rPr>
          <w:rFonts w:hint="eastAsia" w:hAnsi="宋体"/>
          <w:b/>
          <w:color w:val="auto"/>
          <w:szCs w:val="21"/>
        </w:rPr>
        <w:t>）环节，投标人须使用</w:t>
      </w:r>
      <w:r>
        <w:rPr>
          <w:rFonts w:hAnsi="宋体"/>
          <w:b/>
          <w:color w:val="auto"/>
          <w:szCs w:val="21"/>
        </w:rPr>
        <w:t>CA数字证书</w:t>
      </w:r>
      <w:r>
        <w:rPr>
          <w:rFonts w:hint="eastAsia" w:hAnsi="宋体"/>
          <w:b/>
          <w:color w:val="auto"/>
          <w:szCs w:val="21"/>
        </w:rPr>
        <w:t>（证书须在有效期内）</w:t>
      </w:r>
      <w:r>
        <w:rPr>
          <w:rFonts w:hAnsi="宋体"/>
          <w:b/>
          <w:color w:val="auto"/>
          <w:szCs w:val="21"/>
        </w:rPr>
        <w:t>。</w:t>
      </w:r>
    </w:p>
    <w:p>
      <w:pPr>
        <w:tabs>
          <w:tab w:val="left" w:pos="7095"/>
        </w:tabs>
        <w:spacing w:line="360" w:lineRule="auto"/>
        <w:ind w:firstLine="422" w:firstLineChars="200"/>
        <w:contextualSpacing/>
        <w:rPr>
          <w:rFonts w:hAnsi="宋体"/>
          <w:b/>
          <w:color w:val="auto"/>
          <w:szCs w:val="21"/>
        </w:rPr>
      </w:pPr>
      <w:r>
        <w:rPr>
          <w:rFonts w:asciiTheme="minorEastAsia" w:hAnsiTheme="minorEastAsia"/>
          <w:b/>
          <w:color w:val="auto"/>
          <w:szCs w:val="21"/>
        </w:rPr>
        <w:t>3</w:t>
      </w:r>
      <w:r>
        <w:rPr>
          <w:rFonts w:hint="eastAsia" w:asciiTheme="minorEastAsia" w:hAnsiTheme="minorEastAsia"/>
          <w:b/>
          <w:color w:val="auto"/>
          <w:szCs w:val="21"/>
        </w:rPr>
        <w:t>.</w:t>
      </w:r>
      <w:r>
        <w:rPr>
          <w:rFonts w:hint="eastAsia" w:hAnsi="宋体"/>
          <w:b/>
          <w:color w:val="auto"/>
          <w:szCs w:val="21"/>
        </w:rPr>
        <w:t>电子投标文件的制作</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w:t>
      </w:r>
      <w:r>
        <w:rPr>
          <w:rFonts w:hint="eastAsia" w:asciiTheme="minorEastAsia" w:hAnsiTheme="minorEastAsia"/>
          <w:color w:val="auto"/>
          <w:szCs w:val="21"/>
        </w:rPr>
        <w:t>.1</w:t>
      </w:r>
      <w:r>
        <w:rPr>
          <w:rFonts w:hint="eastAsia" w:hAnsi="宋体"/>
          <w:color w:val="auto"/>
          <w:szCs w:val="21"/>
        </w:rPr>
        <w:t xml:space="preserve"> 投标人登录《全国公共资源交易平台</w:t>
      </w:r>
      <w:r>
        <w:rPr>
          <w:rFonts w:hint="eastAsia" w:asciiTheme="majorEastAsia" w:hAnsiTheme="majorEastAsia" w:eastAsiaTheme="majorEastAsia"/>
          <w:color w:val="auto"/>
          <w:szCs w:val="21"/>
        </w:rPr>
        <w:t>(</w:t>
      </w:r>
      <w:r>
        <w:rPr>
          <w:rFonts w:hint="eastAsia" w:hAnsi="宋体"/>
          <w:color w:val="auto"/>
          <w:szCs w:val="21"/>
        </w:rPr>
        <w:t>河南省▪许昌市</w:t>
      </w:r>
      <w:r>
        <w:rPr>
          <w:rFonts w:hint="eastAsia" w:asciiTheme="minorEastAsia" w:hAnsiTheme="minorEastAsia"/>
          <w:color w:val="auto"/>
          <w:szCs w:val="21"/>
        </w:rPr>
        <w:t>)</w:t>
      </w:r>
      <w:r>
        <w:rPr>
          <w:rFonts w:hint="eastAsia" w:hAnsi="宋体"/>
          <w:color w:val="auto"/>
          <w:szCs w:val="21"/>
        </w:rPr>
        <w:t>》公共资源交易系统（</w:t>
      </w:r>
      <w:r>
        <w:rPr>
          <w:color w:val="auto"/>
        </w:rPr>
        <w:fldChar w:fldCharType="begin"/>
      </w:r>
      <w:r>
        <w:rPr>
          <w:color w:val="auto"/>
        </w:rPr>
        <w:instrText xml:space="preserve">HYPERLINK "http://221.14.6.70:8088/ggzy/"</w:instrText>
      </w:r>
      <w:r>
        <w:rPr>
          <w:color w:val="auto"/>
        </w:rPr>
        <w:fldChar w:fldCharType="separate"/>
      </w:r>
      <w:r>
        <w:rPr>
          <w:rStyle w:val="23"/>
          <w:rFonts w:hAnsi="宋体"/>
          <w:color w:val="auto"/>
          <w:szCs w:val="21"/>
        </w:rPr>
        <w:t>http://221.14.6.70:8088/ggzy/</w:t>
      </w:r>
      <w:r>
        <w:rPr>
          <w:color w:val="auto"/>
        </w:rPr>
        <w:fldChar w:fldCharType="end"/>
      </w:r>
      <w:r>
        <w:rPr>
          <w:rFonts w:hint="eastAsia" w:hAnsi="宋体"/>
          <w:color w:val="auto"/>
          <w:szCs w:val="21"/>
        </w:rPr>
        <w:t>）下载“许昌投标文件制作系统SEARUN V1.0”，按招标文件要求制作电子投标文件。</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电子投标文件的制作，参考《全国公共资源交易平台</w:t>
      </w:r>
      <w:r>
        <w:rPr>
          <w:rFonts w:hint="eastAsia" w:asciiTheme="minorEastAsia" w:hAnsiTheme="minorEastAsia"/>
          <w:color w:val="auto"/>
          <w:szCs w:val="21"/>
        </w:rPr>
        <w:t>(</w:t>
      </w:r>
      <w:r>
        <w:rPr>
          <w:rFonts w:hint="eastAsia" w:hAnsi="宋体"/>
          <w:color w:val="auto"/>
          <w:szCs w:val="21"/>
        </w:rPr>
        <w:t>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asciiTheme="minorEastAsia" w:hAnsiTheme="minorEastAsia"/>
          <w:color w:val="auto"/>
          <w:szCs w:val="21"/>
        </w:rPr>
        <w:t>)</w:t>
      </w:r>
      <w:r>
        <w:rPr>
          <w:rFonts w:hint="eastAsia" w:hAnsi="宋体"/>
          <w:color w:val="auto"/>
          <w:szCs w:val="21"/>
        </w:rPr>
        <w:t>》公共资源交易系统——组件下载——交易系统操作手册（投标人、供应商）。</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w:t>
      </w:r>
      <w:r>
        <w:rPr>
          <w:rFonts w:hint="eastAsia" w:asciiTheme="minorEastAsia" w:hAnsiTheme="minorEastAsia"/>
          <w:color w:val="auto"/>
          <w:szCs w:val="21"/>
        </w:rPr>
        <w:t>.</w:t>
      </w:r>
      <w:r>
        <w:rPr>
          <w:rFonts w:asciiTheme="minorEastAsia" w:hAnsiTheme="minorEastAsia"/>
          <w:color w:val="auto"/>
          <w:szCs w:val="21"/>
        </w:rPr>
        <w:t>2</w:t>
      </w:r>
      <w:r>
        <w:rPr>
          <w:rFonts w:hint="eastAsia" w:hAnsi="宋体"/>
          <w:color w:val="auto"/>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3.3</w:t>
      </w:r>
      <w:r>
        <w:rPr>
          <w:rFonts w:hint="eastAsia" w:hAnsi="宋体"/>
          <w:color w:val="auto"/>
          <w:szCs w:val="21"/>
        </w:rPr>
        <w:t>投标人对同一项目多个标段进行投标的，应分别下载所投标段的招标文件，按标段制作电子投标文件，并</w:t>
      </w:r>
      <w:r>
        <w:rPr>
          <w:rFonts w:hAnsi="宋体"/>
          <w:color w:val="auto"/>
          <w:szCs w:val="21"/>
        </w:rPr>
        <w:t>按招标文件要求在相应位置加盖</w:t>
      </w:r>
      <w:r>
        <w:rPr>
          <w:rFonts w:hint="eastAsia" w:hAnsi="宋体"/>
          <w:color w:val="auto"/>
          <w:szCs w:val="21"/>
        </w:rPr>
        <w:t>投标人</w:t>
      </w:r>
      <w:r>
        <w:rPr>
          <w:rFonts w:hAnsi="宋体"/>
          <w:color w:val="auto"/>
          <w:szCs w:val="21"/>
        </w:rPr>
        <w:t>电子印章</w:t>
      </w:r>
      <w:r>
        <w:rPr>
          <w:rFonts w:hint="eastAsia" w:hAnsi="宋体"/>
          <w:color w:val="auto"/>
          <w:szCs w:val="21"/>
        </w:rPr>
        <w:t>和法人电子印章。</w:t>
      </w:r>
    </w:p>
    <w:p>
      <w:pPr>
        <w:tabs>
          <w:tab w:val="left" w:pos="7095"/>
        </w:tabs>
        <w:spacing w:line="360" w:lineRule="auto"/>
        <w:ind w:left="105" w:leftChars="50" w:firstLine="315" w:firstLineChars="150"/>
        <w:contextualSpacing/>
        <w:rPr>
          <w:rFonts w:hAnsi="宋体"/>
          <w:color w:val="auto"/>
          <w:szCs w:val="21"/>
        </w:rPr>
      </w:pPr>
      <w:r>
        <w:rPr>
          <w:rFonts w:hint="eastAsia" w:hAnsi="宋体"/>
          <w:color w:val="auto"/>
          <w:szCs w:val="21"/>
        </w:rPr>
        <w:t>一个标段对应生成一个文件夹（xxxx项目xx标段）, 其中包含2个文件和1个文件夹。后缀名为“</w:t>
      </w:r>
      <w:r>
        <w:rPr>
          <w:rFonts w:hAnsi="宋体"/>
          <w:color w:val="auto"/>
          <w:szCs w:val="21"/>
        </w:rPr>
        <w:t>.file</w:t>
      </w:r>
      <w:r>
        <w:rPr>
          <w:rFonts w:hint="eastAsia" w:hAnsi="宋体"/>
          <w:color w:val="auto"/>
          <w:szCs w:val="21"/>
        </w:rPr>
        <w:t>”的文件用于电子投标使用，后缀名为“.PDF”的文件用于打印纸质投标文件，名称为“备份”的文件夹使用电子介质存储，供开标现场备用。</w:t>
      </w:r>
    </w:p>
    <w:p>
      <w:pPr>
        <w:tabs>
          <w:tab w:val="left" w:pos="7095"/>
        </w:tabs>
        <w:spacing w:line="360" w:lineRule="auto"/>
        <w:ind w:firstLine="422" w:firstLineChars="200"/>
        <w:contextualSpacing/>
        <w:rPr>
          <w:rFonts w:hAnsi="宋体"/>
          <w:b/>
          <w:color w:val="auto"/>
          <w:szCs w:val="21"/>
        </w:rPr>
      </w:pPr>
      <w:r>
        <w:rPr>
          <w:rFonts w:asciiTheme="minorEastAsia" w:hAnsiTheme="minorEastAsia"/>
          <w:b/>
          <w:color w:val="auto"/>
          <w:szCs w:val="21"/>
        </w:rPr>
        <w:t>4</w:t>
      </w:r>
      <w:r>
        <w:rPr>
          <w:rFonts w:hint="eastAsia" w:asciiTheme="minorEastAsia" w:hAnsiTheme="minorEastAsia"/>
          <w:b/>
          <w:color w:val="auto"/>
          <w:szCs w:val="21"/>
        </w:rPr>
        <w:t>.加密</w:t>
      </w:r>
      <w:r>
        <w:rPr>
          <w:rFonts w:hint="eastAsia" w:hAnsi="宋体"/>
          <w:b/>
          <w:color w:val="auto"/>
          <w:szCs w:val="21"/>
        </w:rPr>
        <w:t>电子投标文件的提交</w:t>
      </w:r>
    </w:p>
    <w:p>
      <w:pPr>
        <w:tabs>
          <w:tab w:val="left" w:pos="7095"/>
        </w:tabs>
        <w:spacing w:line="360" w:lineRule="auto"/>
        <w:contextualSpacing/>
        <w:rPr>
          <w:rFonts w:hAnsi="宋体"/>
          <w:color w:val="auto"/>
          <w:szCs w:val="21"/>
        </w:rPr>
      </w:pPr>
      <w:r>
        <w:rPr>
          <w:rFonts w:hint="eastAsia" w:hAnsi="宋体"/>
          <w:color w:val="auto"/>
          <w:szCs w:val="21"/>
        </w:rPr>
        <w:t xml:space="preserve">    </w:t>
      </w:r>
      <w:r>
        <w:rPr>
          <w:rFonts w:asciiTheme="minorEastAsia" w:hAnsiTheme="minorEastAsia"/>
          <w:color w:val="auto"/>
          <w:szCs w:val="21"/>
        </w:rPr>
        <w:t>4</w:t>
      </w:r>
      <w:r>
        <w:rPr>
          <w:rFonts w:hint="eastAsia" w:asciiTheme="minorEastAsia" w:hAnsiTheme="minorEastAsia"/>
          <w:color w:val="auto"/>
          <w:szCs w:val="21"/>
        </w:rPr>
        <w:t>.1加密</w:t>
      </w:r>
      <w:r>
        <w:rPr>
          <w:rFonts w:hint="eastAsia" w:hAnsi="宋体"/>
          <w:color w:val="auto"/>
          <w:szCs w:val="21"/>
        </w:rPr>
        <w:t>电子投标文件应在招标文件规定的投标截止时间（开标时间）之前成功提交至《全国公共资源交易平台(河南省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color w:val="auto"/>
        </w:rPr>
        <w:fldChar w:fldCharType="begin"/>
      </w:r>
      <w:r>
        <w:rPr>
          <w:color w:val="auto"/>
        </w:rPr>
        <w:instrText xml:space="preserve">HYPERLINK "http://221.14.6.70:8088/ggzy/"</w:instrText>
      </w:r>
      <w:r>
        <w:rPr>
          <w:color w:val="auto"/>
        </w:rPr>
        <w:fldChar w:fldCharType="separate"/>
      </w:r>
      <w:r>
        <w:rPr>
          <w:rStyle w:val="23"/>
          <w:rFonts w:hAnsi="宋体"/>
          <w:color w:val="auto"/>
          <w:szCs w:val="21"/>
        </w:rPr>
        <w:t>http://221.14.6.70:8088/ggzy/</w:t>
      </w:r>
      <w:r>
        <w:rPr>
          <w:color w:val="auto"/>
        </w:rPr>
        <w:fldChar w:fldCharType="end"/>
      </w:r>
      <w:r>
        <w:rPr>
          <w:rFonts w:hint="eastAsia" w:hAnsi="宋体"/>
          <w:color w:val="auto"/>
          <w:szCs w:val="21"/>
        </w:rPr>
        <w:t>）。</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投标人应充分考虑并预留技术处理和上传数据所需时间。</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 xml:space="preserve">2 </w:t>
      </w:r>
      <w:r>
        <w:rPr>
          <w:rFonts w:hint="eastAsia" w:hAnsi="宋体"/>
          <w:color w:val="auto"/>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w:t>
      </w:r>
      <w:r>
        <w:rPr>
          <w:rFonts w:asciiTheme="minorEastAsia" w:hAnsiTheme="minorEastAsia"/>
          <w:color w:val="auto"/>
          <w:szCs w:val="21"/>
        </w:rPr>
        <w:t>3</w:t>
      </w:r>
      <w:r>
        <w:rPr>
          <w:rFonts w:hint="eastAsia" w:asciiTheme="minorEastAsia" w:hAnsiTheme="minorEastAsia"/>
          <w:color w:val="auto"/>
          <w:szCs w:val="21"/>
        </w:rPr>
        <w:t xml:space="preserve"> 加密</w:t>
      </w:r>
      <w:r>
        <w:rPr>
          <w:rFonts w:hint="eastAsia" w:hAnsi="宋体"/>
          <w:color w:val="auto"/>
          <w:szCs w:val="21"/>
        </w:rPr>
        <w:t>电子投标文件成功提交后，投标人应打印“投标文件提交回执单”供开标现场备查。</w:t>
      </w:r>
    </w:p>
    <w:p>
      <w:pPr>
        <w:tabs>
          <w:tab w:val="left" w:pos="7095"/>
        </w:tabs>
        <w:spacing w:line="360" w:lineRule="auto"/>
        <w:ind w:firstLine="422" w:firstLineChars="200"/>
        <w:contextualSpacing/>
        <w:rPr>
          <w:rFonts w:hAnsi="宋体"/>
          <w:b/>
          <w:color w:val="auto"/>
          <w:szCs w:val="21"/>
        </w:rPr>
      </w:pPr>
      <w:r>
        <w:rPr>
          <w:rFonts w:asciiTheme="minorEastAsia" w:hAnsiTheme="minorEastAsia"/>
          <w:b/>
          <w:color w:val="auto"/>
          <w:szCs w:val="21"/>
        </w:rPr>
        <w:t>5</w:t>
      </w:r>
      <w:r>
        <w:rPr>
          <w:rFonts w:hint="eastAsia" w:asciiTheme="minorEastAsia" w:hAnsiTheme="minorEastAsia"/>
          <w:b/>
          <w:color w:val="auto"/>
          <w:szCs w:val="21"/>
        </w:rPr>
        <w:t>.</w:t>
      </w:r>
      <w:r>
        <w:rPr>
          <w:rFonts w:hint="eastAsia" w:hAnsi="宋体"/>
          <w:b/>
          <w:color w:val="auto"/>
          <w:szCs w:val="21"/>
        </w:rPr>
        <w:t>评标依据</w:t>
      </w:r>
    </w:p>
    <w:p>
      <w:pPr>
        <w:tabs>
          <w:tab w:val="left" w:pos="7095"/>
        </w:tabs>
        <w:spacing w:line="360" w:lineRule="auto"/>
        <w:ind w:firstLine="420" w:firstLineChars="200"/>
        <w:contextualSpacing/>
        <w:rPr>
          <w:rFonts w:hAnsi="宋体"/>
          <w:color w:val="auto"/>
          <w:szCs w:val="21"/>
        </w:rPr>
      </w:pPr>
      <w:r>
        <w:rPr>
          <w:rFonts w:hint="eastAsia" w:asciiTheme="minorEastAsia" w:hAnsiTheme="minorEastAsia"/>
          <w:color w:val="auto"/>
          <w:szCs w:val="21"/>
        </w:rPr>
        <w:t>5.1</w:t>
      </w:r>
      <w:r>
        <w:rPr>
          <w:rFonts w:hint="eastAsia" w:hAnsi="宋体"/>
          <w:color w:val="auto"/>
          <w:szCs w:val="21"/>
        </w:rPr>
        <w:t>采用全流程电子化交易评标时，评标委员会以电子投标文件为依据评标。</w:t>
      </w:r>
    </w:p>
    <w:p>
      <w:pPr>
        <w:tabs>
          <w:tab w:val="left" w:pos="7095"/>
        </w:tabs>
        <w:spacing w:line="360" w:lineRule="auto"/>
        <w:ind w:firstLine="420" w:firstLineChars="200"/>
        <w:contextualSpacing/>
        <w:rPr>
          <w:rFonts w:hAnsi="宋体"/>
          <w:color w:val="auto"/>
          <w:szCs w:val="21"/>
        </w:rPr>
      </w:pPr>
      <w:r>
        <w:rPr>
          <w:rFonts w:hint="eastAsia" w:asciiTheme="minorEastAsia" w:hAnsiTheme="minorEastAsia"/>
          <w:color w:val="auto"/>
          <w:szCs w:val="21"/>
        </w:rPr>
        <w:t>5.2</w:t>
      </w:r>
      <w:r>
        <w:rPr>
          <w:rFonts w:hint="eastAsia" w:hAnsi="宋体"/>
          <w:color w:val="auto"/>
          <w:szCs w:val="21"/>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r>
        <w:rPr>
          <w:rFonts w:cs="仿宋_GB2312" w:asciiTheme="minorEastAsia" w:hAnsiTheme="minorEastAsia"/>
          <w:color w:val="000000"/>
          <w:sz w:val="24"/>
          <w:szCs w:val="24"/>
        </w:rPr>
        <w:br w:type="page"/>
      </w: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pPr>
        <w:widowControl/>
        <w:shd w:val="clear" w:color="auto" w:fill="FFFFFF"/>
        <w:spacing w:line="360" w:lineRule="auto"/>
        <w:contextualSpacing/>
        <w:jc w:val="left"/>
        <w:rPr>
          <w:rFonts w:hint="eastAsia" w:cs="黑体" w:asciiTheme="minorEastAsia" w:hAnsiTheme="minorEastAsia"/>
          <w:color w:val="000000"/>
          <w:kern w:val="0"/>
          <w:szCs w:val="21"/>
          <w:lang w:val="zh-CN"/>
        </w:rPr>
      </w:pPr>
      <w:r>
        <w:rPr>
          <w:rFonts w:hint="eastAsia" w:cs="黑体" w:asciiTheme="minorEastAsia" w:hAnsiTheme="minorEastAsia"/>
          <w:color w:val="000000"/>
          <w:kern w:val="0"/>
          <w:szCs w:val="21"/>
          <w:lang w:val="zh-CN"/>
        </w:rPr>
        <w:t>一、本项目需实现的功能或者目标</w:t>
      </w:r>
    </w:p>
    <w:p>
      <w:pPr>
        <w:widowControl/>
        <w:shd w:val="clear" w:color="auto" w:fill="FFFFFF"/>
        <w:spacing w:line="360" w:lineRule="auto"/>
        <w:contextualSpacing/>
        <w:jc w:val="left"/>
        <w:rPr>
          <w:rFonts w:hint="eastAsia" w:cs="黑体" w:asciiTheme="minorEastAsia" w:hAnsiTheme="minorEastAsia"/>
          <w:color w:val="000000"/>
          <w:kern w:val="0"/>
          <w:szCs w:val="21"/>
          <w:lang w:val="zh-CN"/>
        </w:rPr>
      </w:pPr>
      <w:r>
        <w:rPr>
          <w:rFonts w:hint="eastAsia" w:cs="黑体" w:asciiTheme="minorEastAsia" w:hAnsiTheme="minorEastAsia"/>
          <w:color w:val="000000"/>
          <w:kern w:val="0"/>
          <w:szCs w:val="21"/>
          <w:lang w:val="zh-CN"/>
        </w:rPr>
        <w:t>为有效解决许昌经济技术开发区安全监管力量薄弱，特别是各乡（镇）、产业集聚区管委会及相关行业主管部门安全监管人员不足、不专业、技术水平低、业务能力差、隐患排查、整改监管不力等突出问题，在安全生产网格化监管和安全生产联合执法基础上，创新监管模式，积极推行安全生产隐患排查治理社会化、市场化工作机制，进一步夯实安全生产基础，积极构建精细化、专业化、产业化、社会化的安全生产协同作战的新模式。</w:t>
      </w:r>
    </w:p>
    <w:p>
      <w:pPr>
        <w:widowControl/>
        <w:shd w:val="clear" w:color="auto" w:fill="FFFFFF"/>
        <w:spacing w:line="360" w:lineRule="auto"/>
        <w:contextualSpacing/>
        <w:jc w:val="left"/>
        <w:rPr>
          <w:rFonts w:hint="eastAsia" w:cs="黑体" w:asciiTheme="minorEastAsia" w:hAnsiTheme="minorEastAsia"/>
          <w:color w:val="000000"/>
          <w:kern w:val="0"/>
          <w:szCs w:val="21"/>
          <w:lang w:val="zh-CN"/>
        </w:rPr>
      </w:pPr>
      <w:r>
        <w:rPr>
          <w:rFonts w:hint="eastAsia" w:cs="黑体" w:asciiTheme="minorEastAsia" w:hAnsiTheme="minorEastAsia"/>
          <w:color w:val="000000"/>
          <w:kern w:val="0"/>
          <w:szCs w:val="21"/>
          <w:lang w:val="zh-CN"/>
        </w:rPr>
        <w:t>1、指导思想：</w:t>
      </w:r>
    </w:p>
    <w:p>
      <w:pPr>
        <w:widowControl/>
        <w:shd w:val="clear" w:color="auto" w:fill="FFFFFF"/>
        <w:spacing w:line="360" w:lineRule="auto"/>
        <w:contextualSpacing/>
        <w:jc w:val="left"/>
        <w:rPr>
          <w:rFonts w:hint="eastAsia" w:cs="黑体" w:asciiTheme="minorEastAsia" w:hAnsiTheme="minorEastAsia"/>
          <w:color w:val="000000"/>
          <w:kern w:val="0"/>
          <w:szCs w:val="21"/>
          <w:lang w:val="zh-CN"/>
        </w:rPr>
      </w:pPr>
      <w:r>
        <w:rPr>
          <w:rFonts w:hint="eastAsia" w:cs="黑体" w:asciiTheme="minorEastAsia" w:hAnsiTheme="minorEastAsia"/>
          <w:color w:val="000000"/>
          <w:kern w:val="0"/>
          <w:szCs w:val="21"/>
          <w:lang w:val="zh-CN"/>
        </w:rPr>
        <w:t>以科学发展观统领安全生产工作全局，坚守“红线”意识，认真贯彻“安全第一，预防为主，综合治理”的方针，坚持安全发展理念，强化综合预防措施，建立完善安全生产技术保障体系，更好地发挥专家在安全生产监管工作中的技术支撑作用，切实提升全县安全生产总体保障能力，推动安全生产长效机制建设。</w:t>
      </w:r>
    </w:p>
    <w:p>
      <w:pPr>
        <w:widowControl/>
        <w:shd w:val="clear" w:color="auto" w:fill="FFFFFF"/>
        <w:spacing w:line="360" w:lineRule="auto"/>
        <w:contextualSpacing/>
        <w:jc w:val="left"/>
        <w:rPr>
          <w:rFonts w:hint="eastAsia" w:cs="黑体" w:asciiTheme="minorEastAsia" w:hAnsiTheme="minorEastAsia"/>
          <w:color w:val="000000"/>
          <w:kern w:val="0"/>
          <w:szCs w:val="21"/>
          <w:lang w:val="zh-CN"/>
        </w:rPr>
      </w:pPr>
      <w:r>
        <w:rPr>
          <w:rFonts w:hint="eastAsia" w:cs="黑体" w:asciiTheme="minorEastAsia" w:hAnsiTheme="minorEastAsia"/>
          <w:color w:val="000000"/>
          <w:kern w:val="0"/>
          <w:szCs w:val="21"/>
          <w:lang w:val="zh-CN"/>
        </w:rPr>
        <w:t>2、工作目标：</w:t>
      </w:r>
    </w:p>
    <w:p>
      <w:pPr>
        <w:widowControl/>
        <w:shd w:val="clear" w:color="auto" w:fill="FFFFFF"/>
        <w:spacing w:line="360" w:lineRule="auto"/>
        <w:contextualSpacing/>
        <w:jc w:val="left"/>
        <w:rPr>
          <w:rFonts w:hint="eastAsia" w:cs="黑体" w:asciiTheme="minorEastAsia" w:hAnsiTheme="minorEastAsia"/>
          <w:color w:val="000000"/>
          <w:kern w:val="0"/>
          <w:szCs w:val="21"/>
          <w:lang w:val="zh-CN"/>
        </w:rPr>
      </w:pPr>
      <w:r>
        <w:rPr>
          <w:rFonts w:hint="eastAsia" w:cs="黑体" w:asciiTheme="minorEastAsia" w:hAnsiTheme="minorEastAsia"/>
          <w:color w:val="000000"/>
          <w:kern w:val="0"/>
          <w:szCs w:val="21"/>
          <w:lang w:val="zh-CN"/>
        </w:rPr>
        <w:t>引入社会力量参与隐患排查治理，建立完善安全专家排查隐患、政府购买服务、部门依法监督、企业整改隐患的工作机制，努力推动安全生产标准化建设。通过隐患排查社会化、市场化运作，消除各类隐患，遏制各类生产安全事故的发生，保障人民群众的生命财产安全，促进全县社会和谐稳定发展，实现“依法治安，安全发展”。</w:t>
      </w:r>
    </w:p>
    <w:p>
      <w:pPr>
        <w:widowControl/>
        <w:shd w:val="clear" w:color="auto" w:fill="FFFFFF"/>
        <w:spacing w:line="360" w:lineRule="auto"/>
        <w:contextualSpacing/>
        <w:jc w:val="left"/>
        <w:rPr>
          <w:rFonts w:hint="eastAsia" w:cs="黑体" w:asciiTheme="minorEastAsia" w:hAnsiTheme="minorEastAsia"/>
          <w:color w:val="000000"/>
          <w:kern w:val="0"/>
          <w:szCs w:val="21"/>
          <w:lang w:val="zh-CN"/>
        </w:rPr>
      </w:pPr>
      <w:r>
        <w:rPr>
          <w:rFonts w:hint="eastAsia" w:cs="黑体" w:asciiTheme="minorEastAsia" w:hAnsiTheme="minorEastAsia"/>
          <w:color w:val="000000"/>
          <w:kern w:val="0"/>
          <w:szCs w:val="21"/>
          <w:lang w:val="zh-CN"/>
        </w:rPr>
        <w:t>3、项目范围</w:t>
      </w:r>
    </w:p>
    <w:p>
      <w:pPr>
        <w:widowControl/>
        <w:shd w:val="clear" w:color="auto" w:fill="FFFFFF"/>
        <w:spacing w:line="360" w:lineRule="auto"/>
        <w:contextualSpacing/>
        <w:jc w:val="left"/>
        <w:rPr>
          <w:rFonts w:hint="eastAsia" w:cs="黑体" w:asciiTheme="minorEastAsia" w:hAnsiTheme="minorEastAsia"/>
          <w:color w:val="000000"/>
          <w:kern w:val="0"/>
          <w:szCs w:val="21"/>
          <w:lang w:val="zh-CN"/>
        </w:rPr>
      </w:pPr>
      <w:r>
        <w:rPr>
          <w:rFonts w:hint="eastAsia" w:cs="黑体" w:asciiTheme="minorEastAsia" w:hAnsiTheme="minorEastAsia"/>
          <w:color w:val="000000"/>
          <w:kern w:val="0"/>
          <w:szCs w:val="21"/>
          <w:lang w:val="zh-CN"/>
        </w:rPr>
        <w:t>对许昌经济技术开发区及相关行业主管部门等辖区范围内生产经营企业、单位等行业进行逐家隐患排查，并对存在隐患企业、单位整改后进行复查。</w:t>
      </w:r>
    </w:p>
    <w:p>
      <w:pPr>
        <w:widowControl/>
        <w:shd w:val="clear" w:color="auto" w:fill="FFFFFF"/>
        <w:spacing w:line="360" w:lineRule="auto"/>
        <w:contextualSpacing/>
        <w:jc w:val="left"/>
        <w:rPr>
          <w:rFonts w:hint="eastAsia" w:cs="黑体" w:asciiTheme="minorEastAsia" w:hAnsiTheme="minorEastAsia"/>
          <w:color w:val="000000"/>
          <w:kern w:val="0"/>
          <w:szCs w:val="21"/>
          <w:lang w:val="zh-CN"/>
        </w:rPr>
      </w:pPr>
      <w:r>
        <w:rPr>
          <w:rFonts w:hint="eastAsia" w:cs="黑体" w:asciiTheme="minorEastAsia" w:hAnsiTheme="minorEastAsia"/>
          <w:color w:val="000000"/>
          <w:kern w:val="0"/>
          <w:szCs w:val="21"/>
          <w:lang w:val="zh-CN"/>
        </w:rPr>
        <w:t>4、工作内容</w:t>
      </w:r>
    </w:p>
    <w:p>
      <w:pPr>
        <w:widowControl/>
        <w:shd w:val="clear" w:color="auto" w:fill="FFFFFF"/>
        <w:spacing w:line="360" w:lineRule="auto"/>
        <w:contextualSpacing/>
        <w:jc w:val="left"/>
        <w:rPr>
          <w:rFonts w:hint="eastAsia" w:cs="黑体" w:asciiTheme="minorEastAsia" w:hAnsiTheme="minorEastAsia"/>
          <w:color w:val="000000"/>
          <w:kern w:val="0"/>
          <w:szCs w:val="21"/>
          <w:lang w:val="zh-CN"/>
        </w:rPr>
      </w:pPr>
      <w:r>
        <w:rPr>
          <w:rFonts w:hint="eastAsia" w:cs="黑体" w:asciiTheme="minorEastAsia" w:hAnsiTheme="minorEastAsia"/>
          <w:color w:val="000000"/>
          <w:kern w:val="0"/>
          <w:szCs w:val="21"/>
          <w:lang w:val="zh-CN"/>
        </w:rPr>
        <w:t>对许昌经济技术开发区及相关行业主管部门等辖区范围内生产经营企业、单位进行生产安全检查、复查，包括对其工艺系统、基础设施、技术装备、工作环境、防控手段等方面存在的薄弱环节，以及在执行安全生产规章和操作规程、建立安全管理体系、落实安全生产责任制等方面存在的突出问题和事故隐患。主要包括（但不限于）：</w:t>
      </w:r>
    </w:p>
    <w:p>
      <w:pPr>
        <w:widowControl/>
        <w:shd w:val="clear" w:color="auto" w:fill="FFFFFF"/>
        <w:spacing w:line="360" w:lineRule="auto"/>
        <w:contextualSpacing/>
        <w:jc w:val="left"/>
        <w:rPr>
          <w:rFonts w:hint="eastAsia" w:cs="黑体" w:asciiTheme="minorEastAsia" w:hAnsiTheme="minorEastAsia"/>
          <w:color w:val="000000"/>
          <w:kern w:val="0"/>
          <w:szCs w:val="21"/>
          <w:lang w:val="zh-CN"/>
        </w:rPr>
      </w:pPr>
      <w:r>
        <w:rPr>
          <w:rFonts w:hint="eastAsia" w:cs="黑体" w:asciiTheme="minorEastAsia" w:hAnsiTheme="minorEastAsia"/>
          <w:color w:val="000000"/>
          <w:kern w:val="0"/>
          <w:szCs w:val="21"/>
          <w:lang w:val="zh-CN"/>
        </w:rPr>
        <w:t>（1）安全生产、职业卫生法律法规、规章、标准以及企业制度和操作规程贯彻执行情况；</w:t>
      </w:r>
    </w:p>
    <w:p>
      <w:pPr>
        <w:widowControl/>
        <w:shd w:val="clear" w:color="auto" w:fill="FFFFFF"/>
        <w:spacing w:line="360" w:lineRule="auto"/>
        <w:contextualSpacing/>
        <w:jc w:val="left"/>
        <w:rPr>
          <w:rFonts w:hint="eastAsia" w:cs="黑体" w:asciiTheme="minorEastAsia" w:hAnsiTheme="minorEastAsia"/>
          <w:color w:val="000000"/>
          <w:kern w:val="0"/>
          <w:szCs w:val="21"/>
          <w:lang w:val="zh-CN"/>
        </w:rPr>
      </w:pPr>
      <w:r>
        <w:rPr>
          <w:rFonts w:hint="eastAsia" w:cs="黑体" w:asciiTheme="minorEastAsia" w:hAnsiTheme="minorEastAsia"/>
          <w:color w:val="000000"/>
          <w:kern w:val="0"/>
          <w:szCs w:val="21"/>
          <w:lang w:val="zh-CN"/>
        </w:rPr>
        <w:t>（2）安全生产责任制建立及落实情况；</w:t>
      </w:r>
    </w:p>
    <w:p>
      <w:pPr>
        <w:widowControl/>
        <w:shd w:val="clear" w:color="auto" w:fill="FFFFFF"/>
        <w:spacing w:line="360" w:lineRule="auto"/>
        <w:contextualSpacing/>
        <w:jc w:val="left"/>
        <w:rPr>
          <w:rFonts w:hint="eastAsia" w:cs="黑体" w:asciiTheme="minorEastAsia" w:hAnsiTheme="minorEastAsia"/>
          <w:color w:val="000000"/>
          <w:kern w:val="0"/>
          <w:szCs w:val="21"/>
          <w:lang w:val="zh-CN"/>
        </w:rPr>
      </w:pPr>
      <w:r>
        <w:rPr>
          <w:rFonts w:hint="eastAsia" w:cs="黑体" w:asciiTheme="minorEastAsia" w:hAnsiTheme="minorEastAsia"/>
          <w:color w:val="000000"/>
          <w:kern w:val="0"/>
          <w:szCs w:val="21"/>
          <w:lang w:val="zh-CN"/>
        </w:rPr>
        <w:t>（3）安全生产投入，特别是高危行业安全生产费用提取使用情况、安全生产责任保险投保情况；</w:t>
      </w:r>
    </w:p>
    <w:p>
      <w:pPr>
        <w:widowControl/>
        <w:shd w:val="clear" w:color="auto" w:fill="FFFFFF"/>
        <w:spacing w:line="360" w:lineRule="auto"/>
        <w:contextualSpacing/>
        <w:jc w:val="left"/>
        <w:rPr>
          <w:rFonts w:hint="eastAsia" w:cs="黑体" w:asciiTheme="minorEastAsia" w:hAnsiTheme="minorEastAsia"/>
          <w:color w:val="000000"/>
          <w:kern w:val="0"/>
          <w:szCs w:val="21"/>
          <w:lang w:val="zh-CN"/>
        </w:rPr>
      </w:pPr>
      <w:r>
        <w:rPr>
          <w:rFonts w:hint="eastAsia" w:cs="黑体" w:asciiTheme="minorEastAsia" w:hAnsiTheme="minorEastAsia"/>
          <w:color w:val="000000"/>
          <w:kern w:val="0"/>
          <w:szCs w:val="21"/>
          <w:lang w:val="zh-CN"/>
        </w:rPr>
        <w:t>（4）企业安全生产重要设施、装备和关键设备、装置的完好状况及日常管理维护、保养及检测、检验情况；</w:t>
      </w:r>
    </w:p>
    <w:p>
      <w:pPr>
        <w:widowControl/>
        <w:shd w:val="clear" w:color="auto" w:fill="FFFFFF"/>
        <w:spacing w:line="360" w:lineRule="auto"/>
        <w:contextualSpacing/>
        <w:jc w:val="left"/>
        <w:rPr>
          <w:rFonts w:hint="eastAsia" w:cs="黑体" w:asciiTheme="minorEastAsia" w:hAnsiTheme="minorEastAsia"/>
          <w:color w:val="000000"/>
          <w:kern w:val="0"/>
          <w:szCs w:val="21"/>
          <w:lang w:val="zh-CN"/>
        </w:rPr>
      </w:pPr>
      <w:r>
        <w:rPr>
          <w:rFonts w:hint="eastAsia" w:cs="黑体" w:asciiTheme="minorEastAsia" w:hAnsiTheme="minorEastAsia"/>
          <w:color w:val="000000"/>
          <w:kern w:val="0"/>
          <w:szCs w:val="21"/>
          <w:lang w:val="zh-CN"/>
        </w:rPr>
        <w:t>（5）新建、改建、扩建工程项目的安全设施和职业病防护设施“三同时”（安全设施、职业病防护设施与主体工程同时设计、同时施工、同时投产和使用）的执行情况；</w:t>
      </w:r>
    </w:p>
    <w:p>
      <w:pPr>
        <w:widowControl/>
        <w:shd w:val="clear" w:color="auto" w:fill="FFFFFF"/>
        <w:spacing w:line="360" w:lineRule="auto"/>
        <w:contextualSpacing/>
        <w:jc w:val="left"/>
        <w:rPr>
          <w:rFonts w:hint="eastAsia" w:cs="黑体" w:asciiTheme="minorEastAsia" w:hAnsiTheme="minorEastAsia"/>
          <w:color w:val="000000"/>
          <w:kern w:val="0"/>
          <w:szCs w:val="21"/>
          <w:lang w:val="zh-CN"/>
        </w:rPr>
      </w:pPr>
      <w:r>
        <w:rPr>
          <w:rFonts w:hint="eastAsia" w:cs="黑体" w:asciiTheme="minorEastAsia" w:hAnsiTheme="minorEastAsia"/>
          <w:color w:val="000000"/>
          <w:kern w:val="0"/>
          <w:szCs w:val="21"/>
          <w:lang w:val="zh-CN"/>
        </w:rPr>
        <w:t>（6）对涉有限空间作业企业、涉氨制冷企业、涉可燃粉尘作业企业、涉危险物品使用企业、涉煤气作业的场所辨识、安全设施及措施落实情况；</w:t>
      </w:r>
    </w:p>
    <w:p>
      <w:pPr>
        <w:widowControl/>
        <w:shd w:val="clear" w:color="auto" w:fill="FFFFFF"/>
        <w:spacing w:line="360" w:lineRule="auto"/>
        <w:contextualSpacing/>
        <w:jc w:val="left"/>
        <w:rPr>
          <w:rFonts w:hint="eastAsia" w:cs="黑体" w:asciiTheme="minorEastAsia" w:hAnsiTheme="minorEastAsia"/>
          <w:color w:val="000000"/>
          <w:kern w:val="0"/>
          <w:szCs w:val="21"/>
          <w:lang w:val="zh-CN"/>
        </w:rPr>
      </w:pPr>
      <w:r>
        <w:rPr>
          <w:rFonts w:hint="eastAsia" w:cs="黑体" w:asciiTheme="minorEastAsia" w:hAnsiTheme="minorEastAsia"/>
          <w:color w:val="000000"/>
          <w:kern w:val="0"/>
          <w:szCs w:val="21"/>
          <w:lang w:val="zh-CN"/>
        </w:rPr>
        <w:t>（7）存在较大危险因素的生产经营场所的重点环节、部位，重大危险源普查建档、风险辨识、监控预警制度的建设及措施落实情况；</w:t>
      </w:r>
    </w:p>
    <w:p>
      <w:pPr>
        <w:widowControl/>
        <w:shd w:val="clear" w:color="auto" w:fill="FFFFFF"/>
        <w:spacing w:line="360" w:lineRule="auto"/>
        <w:contextualSpacing/>
        <w:jc w:val="left"/>
        <w:rPr>
          <w:rFonts w:hint="eastAsia" w:cs="黑体" w:asciiTheme="minorEastAsia" w:hAnsiTheme="minorEastAsia"/>
          <w:color w:val="000000"/>
          <w:kern w:val="0"/>
          <w:szCs w:val="21"/>
          <w:lang w:val="zh-CN"/>
        </w:rPr>
      </w:pPr>
      <w:r>
        <w:rPr>
          <w:rFonts w:hint="eastAsia" w:cs="黑体" w:asciiTheme="minorEastAsia" w:hAnsiTheme="minorEastAsia"/>
          <w:color w:val="000000"/>
          <w:kern w:val="0"/>
          <w:szCs w:val="21"/>
          <w:lang w:val="zh-CN"/>
        </w:rPr>
        <w:t>（8）危险性较大的特种设备和危险物品的储存容器、场所、运输工具的完好状况及检测检验情况；</w:t>
      </w:r>
    </w:p>
    <w:p>
      <w:pPr>
        <w:widowControl/>
        <w:shd w:val="clear" w:color="auto" w:fill="FFFFFF"/>
        <w:spacing w:line="360" w:lineRule="auto"/>
        <w:contextualSpacing/>
        <w:jc w:val="left"/>
        <w:rPr>
          <w:rFonts w:hint="eastAsia" w:cs="黑体" w:asciiTheme="minorEastAsia" w:hAnsiTheme="minorEastAsia"/>
          <w:color w:val="000000"/>
          <w:kern w:val="0"/>
          <w:szCs w:val="21"/>
          <w:lang w:val="zh-CN"/>
        </w:rPr>
      </w:pPr>
      <w:r>
        <w:rPr>
          <w:rFonts w:hint="eastAsia" w:cs="黑体" w:asciiTheme="minorEastAsia" w:hAnsiTheme="minorEastAsia"/>
          <w:color w:val="000000"/>
          <w:kern w:val="0"/>
          <w:szCs w:val="21"/>
          <w:lang w:val="zh-CN"/>
        </w:rPr>
        <w:t>（9）劳动防护用品的发放、管理及劳动者佩戴使用情况，以及职业病防护设施的配置、维护、保养情况以及职业病防护用品的发放、管理和劳动者佩戴使用情况；</w:t>
      </w:r>
    </w:p>
    <w:p>
      <w:pPr>
        <w:widowControl/>
        <w:shd w:val="clear" w:color="auto" w:fill="FFFFFF"/>
        <w:spacing w:line="360" w:lineRule="auto"/>
        <w:contextualSpacing/>
        <w:jc w:val="left"/>
        <w:rPr>
          <w:rFonts w:hint="eastAsia" w:cs="黑体" w:asciiTheme="minorEastAsia" w:hAnsiTheme="minorEastAsia"/>
          <w:color w:val="000000"/>
          <w:kern w:val="0"/>
          <w:szCs w:val="21"/>
          <w:lang w:val="zh-CN"/>
        </w:rPr>
      </w:pPr>
      <w:r>
        <w:rPr>
          <w:rFonts w:hint="eastAsia" w:cs="黑体" w:asciiTheme="minorEastAsia" w:hAnsiTheme="minorEastAsia"/>
          <w:color w:val="000000"/>
          <w:kern w:val="0"/>
          <w:szCs w:val="21"/>
          <w:lang w:val="zh-CN"/>
        </w:rPr>
        <w:t>（10）工作场所职业病危害因素监测、检测、评价及结果报告和公布情况，劳动者职业健康监护、放射工作人员个人剂量监测情况；</w:t>
      </w:r>
    </w:p>
    <w:p>
      <w:pPr>
        <w:widowControl/>
        <w:shd w:val="clear" w:color="auto" w:fill="FFFFFF"/>
        <w:spacing w:line="360" w:lineRule="auto"/>
        <w:contextualSpacing/>
        <w:jc w:val="left"/>
        <w:rPr>
          <w:rFonts w:hint="eastAsia" w:cs="黑体" w:asciiTheme="minorEastAsia" w:hAnsiTheme="minorEastAsia"/>
          <w:color w:val="000000"/>
          <w:kern w:val="0"/>
          <w:szCs w:val="21"/>
          <w:lang w:val="zh-CN"/>
        </w:rPr>
      </w:pPr>
      <w:r>
        <w:rPr>
          <w:rFonts w:hint="eastAsia" w:cs="黑体" w:asciiTheme="minorEastAsia" w:hAnsiTheme="minorEastAsia"/>
          <w:color w:val="000000"/>
          <w:kern w:val="0"/>
          <w:szCs w:val="21"/>
          <w:lang w:val="zh-CN"/>
        </w:rPr>
        <w:t xml:space="preserve">（11）安全基础工作及教育培训情况，特别是生产经营单位主要负责人、安全管理人员和特种作业人员的持证上岗情况和生产一线职工（特别是新上岗职工）的教育培训情况，以及劳动组织、用工等情况；      </w:t>
      </w:r>
    </w:p>
    <w:p>
      <w:pPr>
        <w:widowControl/>
        <w:shd w:val="clear" w:color="auto" w:fill="FFFFFF"/>
        <w:spacing w:line="360" w:lineRule="auto"/>
        <w:contextualSpacing/>
        <w:jc w:val="left"/>
        <w:rPr>
          <w:rFonts w:hint="eastAsia" w:cs="黑体" w:asciiTheme="minorEastAsia" w:hAnsiTheme="minorEastAsia"/>
          <w:color w:val="000000"/>
          <w:kern w:val="0"/>
          <w:szCs w:val="21"/>
          <w:lang w:val="zh-CN"/>
        </w:rPr>
      </w:pPr>
      <w:r>
        <w:rPr>
          <w:rFonts w:hint="eastAsia" w:cs="黑体" w:asciiTheme="minorEastAsia" w:hAnsiTheme="minorEastAsia"/>
          <w:color w:val="000000"/>
          <w:kern w:val="0"/>
          <w:szCs w:val="21"/>
          <w:lang w:val="zh-CN"/>
        </w:rPr>
        <w:t>（12）职业病危害因素及危害后果警示、告知情况；</w:t>
      </w:r>
    </w:p>
    <w:p>
      <w:pPr>
        <w:widowControl/>
        <w:shd w:val="clear" w:color="auto" w:fill="FFFFFF"/>
        <w:spacing w:line="360" w:lineRule="auto"/>
        <w:contextualSpacing/>
        <w:jc w:val="left"/>
        <w:rPr>
          <w:rFonts w:hint="eastAsia" w:cs="黑体" w:asciiTheme="minorEastAsia" w:hAnsiTheme="minorEastAsia"/>
          <w:color w:val="000000"/>
          <w:kern w:val="0"/>
          <w:szCs w:val="21"/>
          <w:lang w:val="zh-CN"/>
        </w:rPr>
      </w:pPr>
      <w:r>
        <w:rPr>
          <w:rFonts w:hint="eastAsia" w:cs="黑体" w:asciiTheme="minorEastAsia" w:hAnsiTheme="minorEastAsia"/>
          <w:color w:val="000000"/>
          <w:kern w:val="0"/>
          <w:szCs w:val="21"/>
          <w:lang w:val="zh-CN"/>
        </w:rPr>
        <w:t>（13）对企业周边存在的安全距离不足和易由自然灾害引发的事故的危险点排查、防范和治理情况等；</w:t>
      </w:r>
    </w:p>
    <w:p>
      <w:pPr>
        <w:widowControl/>
        <w:shd w:val="clear" w:color="auto" w:fill="FFFFFF"/>
        <w:spacing w:line="360" w:lineRule="auto"/>
        <w:contextualSpacing/>
        <w:jc w:val="left"/>
        <w:rPr>
          <w:rFonts w:hint="eastAsia" w:cs="黑体" w:asciiTheme="minorEastAsia" w:hAnsiTheme="minorEastAsia"/>
          <w:color w:val="000000"/>
          <w:kern w:val="0"/>
          <w:szCs w:val="21"/>
          <w:lang w:val="zh-CN"/>
        </w:rPr>
      </w:pPr>
      <w:r>
        <w:rPr>
          <w:rFonts w:hint="eastAsia" w:cs="黑体" w:asciiTheme="minorEastAsia" w:hAnsiTheme="minorEastAsia"/>
          <w:color w:val="000000"/>
          <w:kern w:val="0"/>
          <w:szCs w:val="21"/>
          <w:lang w:val="zh-CN"/>
        </w:rPr>
        <w:t>（14）安全生产应急预案制定、备案、演练和应急救援物资、设备配备及维护情况；</w:t>
      </w:r>
    </w:p>
    <w:p>
      <w:pPr>
        <w:widowControl/>
        <w:shd w:val="clear" w:color="auto" w:fill="FFFFFF"/>
        <w:spacing w:line="360" w:lineRule="auto"/>
        <w:contextualSpacing/>
        <w:jc w:val="left"/>
        <w:rPr>
          <w:rFonts w:hint="eastAsia" w:cs="黑体" w:asciiTheme="minorEastAsia" w:hAnsiTheme="minorEastAsia"/>
          <w:color w:val="000000"/>
          <w:kern w:val="0"/>
          <w:szCs w:val="21"/>
          <w:lang w:val="zh-CN"/>
        </w:rPr>
      </w:pPr>
      <w:r>
        <w:rPr>
          <w:rFonts w:hint="eastAsia" w:cs="黑体" w:asciiTheme="minorEastAsia" w:hAnsiTheme="minorEastAsia"/>
          <w:color w:val="000000"/>
          <w:kern w:val="0"/>
          <w:szCs w:val="21"/>
          <w:lang w:val="zh-CN"/>
        </w:rPr>
        <w:t>（15）安全生产事故报告、处理情况；</w:t>
      </w:r>
    </w:p>
    <w:p>
      <w:pPr>
        <w:widowControl/>
        <w:shd w:val="clear" w:color="auto" w:fill="FFFFFF"/>
        <w:spacing w:line="360" w:lineRule="auto"/>
        <w:contextualSpacing/>
        <w:jc w:val="left"/>
        <w:rPr>
          <w:rFonts w:hint="eastAsia" w:cs="黑体" w:asciiTheme="minorEastAsia" w:hAnsiTheme="minorEastAsia"/>
          <w:color w:val="000000"/>
          <w:kern w:val="0"/>
          <w:szCs w:val="21"/>
          <w:lang w:val="zh-CN"/>
        </w:rPr>
      </w:pPr>
      <w:r>
        <w:rPr>
          <w:rFonts w:hint="eastAsia" w:cs="黑体" w:asciiTheme="minorEastAsia" w:hAnsiTheme="minorEastAsia"/>
          <w:color w:val="000000"/>
          <w:kern w:val="0"/>
          <w:szCs w:val="21"/>
          <w:lang w:val="zh-CN"/>
        </w:rPr>
        <w:t>（16）依法应当监督检查的其他情况。</w:t>
      </w:r>
    </w:p>
    <w:p>
      <w:pPr>
        <w:widowControl/>
        <w:shd w:val="clear" w:color="auto" w:fill="FFFFFF"/>
        <w:spacing w:line="360" w:lineRule="auto"/>
        <w:contextualSpacing/>
        <w:jc w:val="left"/>
        <w:rPr>
          <w:rFonts w:hint="eastAsia" w:cs="黑体" w:asciiTheme="minorEastAsia" w:hAnsiTheme="minorEastAsia"/>
          <w:color w:val="000000"/>
          <w:kern w:val="0"/>
          <w:szCs w:val="21"/>
          <w:lang w:val="zh-CN"/>
        </w:rPr>
      </w:pPr>
      <w:r>
        <w:rPr>
          <w:rFonts w:hint="eastAsia" w:cs="黑体" w:asciiTheme="minorEastAsia" w:hAnsiTheme="minorEastAsia"/>
          <w:color w:val="000000"/>
          <w:kern w:val="0"/>
          <w:szCs w:val="21"/>
          <w:lang w:val="zh-CN"/>
        </w:rPr>
        <w:t>5、工作要求</w:t>
      </w:r>
    </w:p>
    <w:p>
      <w:pPr>
        <w:widowControl/>
        <w:shd w:val="clear" w:color="auto" w:fill="FFFFFF"/>
        <w:spacing w:line="360" w:lineRule="auto"/>
        <w:contextualSpacing/>
        <w:jc w:val="left"/>
        <w:rPr>
          <w:rFonts w:hint="eastAsia" w:cs="黑体" w:asciiTheme="minorEastAsia" w:hAnsiTheme="minorEastAsia"/>
          <w:color w:val="000000"/>
          <w:kern w:val="0"/>
          <w:szCs w:val="21"/>
          <w:lang w:val="zh-CN"/>
        </w:rPr>
      </w:pPr>
      <w:r>
        <w:rPr>
          <w:rFonts w:hint="eastAsia" w:cs="黑体" w:asciiTheme="minorEastAsia" w:hAnsiTheme="minorEastAsia"/>
          <w:color w:val="000000"/>
          <w:kern w:val="0"/>
          <w:szCs w:val="21"/>
          <w:lang w:val="zh-CN"/>
        </w:rPr>
        <w:t>（1）确定中标后10日内，中标中介机构应将详细排查方案递交采购单位，并按照方案时间逐家进行隐患排查；</w:t>
      </w:r>
    </w:p>
    <w:p>
      <w:pPr>
        <w:widowControl/>
        <w:shd w:val="clear" w:color="auto" w:fill="FFFFFF"/>
        <w:spacing w:line="360" w:lineRule="auto"/>
        <w:contextualSpacing/>
        <w:jc w:val="left"/>
        <w:rPr>
          <w:rFonts w:hint="eastAsia" w:cs="黑体" w:asciiTheme="minorEastAsia" w:hAnsiTheme="minorEastAsia"/>
          <w:color w:val="000000"/>
          <w:kern w:val="0"/>
          <w:szCs w:val="21"/>
          <w:lang w:val="zh-CN"/>
        </w:rPr>
      </w:pPr>
      <w:r>
        <w:rPr>
          <w:rFonts w:hint="eastAsia" w:cs="黑体" w:asciiTheme="minorEastAsia" w:hAnsiTheme="minorEastAsia"/>
          <w:color w:val="000000"/>
          <w:kern w:val="0"/>
          <w:szCs w:val="21"/>
          <w:lang w:val="zh-CN"/>
        </w:rPr>
        <w:t>（2）每家公司排查复查过后应对隐患排查整改的信息进行统计，并分别对每家单位编制隐患排查报告、本标段综合分析报告、现场检查记录及相关影相资料等，及时上报采购单位；企业整改后，要及时进行复查，并编制隐患整改复查报告、本标段隐患整改复查综合分析报告、现场复查记录及相关影相资料时上报采购单位。</w:t>
      </w:r>
    </w:p>
    <w:p>
      <w:pPr>
        <w:widowControl/>
        <w:shd w:val="clear" w:color="auto" w:fill="FFFFFF"/>
        <w:spacing w:line="360" w:lineRule="auto"/>
        <w:contextualSpacing/>
        <w:jc w:val="left"/>
        <w:rPr>
          <w:rFonts w:hint="eastAsia" w:cs="黑体" w:asciiTheme="minorEastAsia" w:hAnsiTheme="minorEastAsia"/>
          <w:color w:val="000000"/>
          <w:kern w:val="0"/>
          <w:szCs w:val="21"/>
          <w:lang w:val="zh-CN"/>
        </w:rPr>
      </w:pPr>
      <w:r>
        <w:rPr>
          <w:rFonts w:hint="eastAsia" w:cs="黑体" w:asciiTheme="minorEastAsia" w:hAnsiTheme="minorEastAsia"/>
          <w:color w:val="000000"/>
          <w:kern w:val="0"/>
          <w:szCs w:val="21"/>
          <w:lang w:val="zh-CN"/>
        </w:rPr>
        <w:t>（3）严格按照国家相关规定进行隐患排查。</w:t>
      </w:r>
    </w:p>
    <w:p>
      <w:pPr>
        <w:widowControl/>
        <w:shd w:val="clear" w:color="auto" w:fill="FFFFFF"/>
        <w:spacing w:line="360" w:lineRule="auto"/>
        <w:contextualSpacing/>
        <w:jc w:val="left"/>
        <w:rPr>
          <w:rFonts w:hint="eastAsia" w:cs="黑体" w:asciiTheme="minorEastAsia" w:hAnsiTheme="minorEastAsia"/>
          <w:color w:val="000000"/>
          <w:kern w:val="0"/>
          <w:szCs w:val="21"/>
          <w:lang w:val="zh-CN"/>
        </w:rPr>
      </w:pPr>
      <w:r>
        <w:rPr>
          <w:rFonts w:hint="eastAsia" w:cs="黑体" w:asciiTheme="minorEastAsia" w:hAnsiTheme="minorEastAsia"/>
          <w:color w:val="000000"/>
          <w:kern w:val="0"/>
          <w:szCs w:val="21"/>
          <w:lang w:val="zh-CN"/>
        </w:rPr>
        <w:t>（4）对中小型企业（含加油站）进行隐患排查、复查服务时，一般组织专家不少于2名；对大型企业进行隐患排查、复查服务时，一般组织专家不少于3名；对高危企业进行隐患排查、复查服务时，一般组织专家3—5名（不少于3名）。</w:t>
      </w:r>
    </w:p>
    <w:p>
      <w:pPr>
        <w:widowControl/>
        <w:shd w:val="clear" w:color="auto" w:fill="FFFFFF"/>
        <w:spacing w:line="360" w:lineRule="auto"/>
        <w:contextualSpacing/>
        <w:jc w:val="left"/>
        <w:rPr>
          <w:rFonts w:hint="eastAsia" w:cs="黑体" w:asciiTheme="minorEastAsia" w:hAnsiTheme="minorEastAsia"/>
          <w:color w:val="000000"/>
          <w:kern w:val="0"/>
          <w:szCs w:val="21"/>
          <w:lang w:val="zh-CN"/>
        </w:rPr>
      </w:pPr>
      <w:r>
        <w:rPr>
          <w:rFonts w:hint="eastAsia" w:cs="黑体" w:asciiTheme="minorEastAsia" w:hAnsiTheme="minorEastAsia"/>
          <w:color w:val="000000"/>
          <w:kern w:val="0"/>
          <w:szCs w:val="21"/>
          <w:lang w:val="zh-CN"/>
        </w:rPr>
        <w:t>（5）专家资格要求：国家注册安全评价师、或国家注册安全工程师、或河南省范围内省市专家库专家，具备三者之一且具有证书。</w:t>
      </w:r>
    </w:p>
    <w:p>
      <w:pPr>
        <w:widowControl/>
        <w:shd w:val="clear" w:color="auto" w:fill="FFFFFF"/>
        <w:spacing w:line="360" w:lineRule="auto"/>
        <w:contextualSpacing/>
        <w:jc w:val="left"/>
        <w:rPr>
          <w:rFonts w:hint="eastAsia" w:cs="黑体" w:asciiTheme="minorEastAsia" w:hAnsiTheme="minorEastAsia"/>
          <w:color w:val="000000"/>
          <w:kern w:val="0"/>
          <w:szCs w:val="21"/>
          <w:lang w:val="zh-CN"/>
        </w:rPr>
      </w:pPr>
      <w:r>
        <w:rPr>
          <w:rFonts w:hint="eastAsia" w:cs="黑体" w:asciiTheme="minorEastAsia" w:hAnsiTheme="minorEastAsia"/>
          <w:color w:val="000000"/>
          <w:kern w:val="0"/>
          <w:szCs w:val="21"/>
          <w:lang w:val="zh-CN"/>
        </w:rPr>
        <w:t>★二、采购标的执行标准</w:t>
      </w:r>
    </w:p>
    <w:p>
      <w:pPr>
        <w:widowControl/>
        <w:shd w:val="clear" w:color="auto" w:fill="FFFFFF"/>
        <w:spacing w:line="360" w:lineRule="auto"/>
        <w:contextualSpacing/>
        <w:jc w:val="left"/>
        <w:rPr>
          <w:rFonts w:hint="eastAsia" w:cs="黑体" w:asciiTheme="minorEastAsia" w:hAnsiTheme="minorEastAsia"/>
          <w:color w:val="000000"/>
          <w:kern w:val="0"/>
          <w:szCs w:val="21"/>
          <w:lang w:val="zh-CN"/>
        </w:rPr>
      </w:pPr>
      <w:r>
        <w:rPr>
          <w:rFonts w:hint="eastAsia" w:cs="黑体" w:asciiTheme="minorEastAsia" w:hAnsiTheme="minorEastAsia"/>
          <w:color w:val="000000"/>
          <w:kern w:val="0"/>
          <w:szCs w:val="21"/>
          <w:lang w:val="zh-CN"/>
        </w:rPr>
        <w:t>1、国家标准或要求：《国务院安全生产委员会关于加快推进安全生产社会化服务体系建设的指导意见》 安委（2016）11号</w:t>
      </w:r>
    </w:p>
    <w:p>
      <w:pPr>
        <w:widowControl/>
        <w:shd w:val="clear" w:color="auto" w:fill="FFFFFF"/>
        <w:spacing w:line="360" w:lineRule="auto"/>
        <w:contextualSpacing/>
        <w:jc w:val="left"/>
        <w:rPr>
          <w:rFonts w:hint="eastAsia" w:cs="黑体" w:asciiTheme="minorEastAsia" w:hAnsiTheme="minorEastAsia"/>
          <w:color w:val="000000"/>
          <w:kern w:val="0"/>
          <w:szCs w:val="21"/>
          <w:lang w:val="zh-CN"/>
        </w:rPr>
      </w:pPr>
      <w:r>
        <w:rPr>
          <w:rFonts w:hint="eastAsia" w:cs="黑体" w:asciiTheme="minorEastAsia" w:hAnsiTheme="minorEastAsia"/>
          <w:color w:val="000000"/>
          <w:kern w:val="0"/>
          <w:szCs w:val="21"/>
          <w:lang w:val="zh-CN"/>
        </w:rPr>
        <w:t>2、行业标准或要求：</w:t>
      </w:r>
    </w:p>
    <w:p>
      <w:pPr>
        <w:widowControl/>
        <w:shd w:val="clear" w:color="auto" w:fill="FFFFFF"/>
        <w:spacing w:line="360" w:lineRule="auto"/>
        <w:contextualSpacing/>
        <w:jc w:val="left"/>
        <w:rPr>
          <w:rFonts w:hint="eastAsia" w:cs="黑体" w:asciiTheme="minorEastAsia" w:hAnsiTheme="minorEastAsia"/>
          <w:color w:val="000000"/>
          <w:kern w:val="0"/>
          <w:szCs w:val="21"/>
          <w:lang w:val="zh-CN"/>
        </w:rPr>
      </w:pPr>
      <w:r>
        <w:rPr>
          <w:rFonts w:hint="eastAsia" w:cs="黑体" w:asciiTheme="minorEastAsia" w:hAnsiTheme="minorEastAsia"/>
          <w:color w:val="000000"/>
          <w:kern w:val="0"/>
          <w:szCs w:val="21"/>
          <w:lang w:val="en-US" w:eastAsia="zh-CN"/>
        </w:rPr>
        <w:t>2.1</w:t>
      </w:r>
      <w:r>
        <w:rPr>
          <w:rFonts w:hint="eastAsia" w:cs="黑体" w:asciiTheme="minorEastAsia" w:hAnsiTheme="minorEastAsia"/>
          <w:color w:val="000000"/>
          <w:kern w:val="0"/>
          <w:szCs w:val="21"/>
          <w:lang w:val="zh-CN"/>
        </w:rPr>
        <w:t>国家安全生产监督管理总局关于印发《工贸行业重大生产安全事故隐患判定标准（2017版）》的通知</w:t>
      </w:r>
    </w:p>
    <w:p>
      <w:pPr>
        <w:widowControl/>
        <w:shd w:val="clear" w:color="auto" w:fill="FFFFFF"/>
        <w:spacing w:line="360" w:lineRule="auto"/>
        <w:contextualSpacing/>
        <w:jc w:val="left"/>
        <w:rPr>
          <w:rFonts w:hint="eastAsia" w:cs="黑体" w:asciiTheme="minorEastAsia" w:hAnsiTheme="minorEastAsia"/>
          <w:color w:val="000000"/>
          <w:kern w:val="0"/>
          <w:szCs w:val="21"/>
          <w:lang w:val="zh-CN"/>
        </w:rPr>
      </w:pPr>
      <w:r>
        <w:rPr>
          <w:rFonts w:hint="eastAsia" w:cs="黑体" w:asciiTheme="minorEastAsia" w:hAnsiTheme="minorEastAsia"/>
          <w:color w:val="000000"/>
          <w:kern w:val="0"/>
          <w:szCs w:val="21"/>
          <w:lang w:val="en-US" w:eastAsia="zh-CN"/>
        </w:rPr>
        <w:t>2.2</w:t>
      </w:r>
      <w:r>
        <w:rPr>
          <w:rFonts w:hint="eastAsia" w:cs="黑体" w:asciiTheme="minorEastAsia" w:hAnsiTheme="minorEastAsia"/>
          <w:color w:val="000000"/>
          <w:kern w:val="0"/>
          <w:szCs w:val="21"/>
          <w:lang w:val="zh-CN"/>
        </w:rPr>
        <w:t>国家安监总局关于印发《化工和危险化学品生产经营单位重大生产安全事故隐患判定标准（试行）》和《烟花爆竹生产经营单位重大生产安全事故隐患判定标准（试行）》的通知</w:t>
      </w:r>
    </w:p>
    <w:p>
      <w:pPr>
        <w:widowControl/>
        <w:shd w:val="clear" w:color="auto" w:fill="FFFFFF"/>
        <w:spacing w:line="360" w:lineRule="auto"/>
        <w:contextualSpacing/>
        <w:jc w:val="left"/>
        <w:rPr>
          <w:rFonts w:hint="eastAsia" w:cs="黑体" w:asciiTheme="minorEastAsia" w:hAnsiTheme="minorEastAsia"/>
          <w:color w:val="000000"/>
          <w:kern w:val="0"/>
          <w:szCs w:val="21"/>
          <w:lang w:val="zh-CN"/>
        </w:rPr>
      </w:pPr>
      <w:r>
        <w:rPr>
          <w:rFonts w:hint="eastAsia" w:cs="黑体" w:asciiTheme="minorEastAsia" w:hAnsiTheme="minorEastAsia"/>
          <w:color w:val="000000"/>
          <w:kern w:val="0"/>
          <w:szCs w:val="21"/>
          <w:lang w:val="zh-CN"/>
        </w:rPr>
        <w:t>3、地方标准或要求：河南省人民政府令《河南省生产安全事故隐患排查治理办法》第173号（自2016年4月1日起施行）</w:t>
      </w:r>
    </w:p>
    <w:p>
      <w:pPr>
        <w:widowControl/>
        <w:shd w:val="clear" w:color="auto" w:fill="FFFFFF"/>
        <w:spacing w:line="360" w:lineRule="auto"/>
        <w:contextualSpacing/>
        <w:jc w:val="left"/>
        <w:rPr>
          <w:rFonts w:hint="eastAsia" w:cs="黑体" w:asciiTheme="minorEastAsia" w:hAnsiTheme="minorEastAsia"/>
          <w:color w:val="000000"/>
          <w:kern w:val="0"/>
          <w:szCs w:val="21"/>
          <w:lang w:val="zh-CN"/>
        </w:rPr>
      </w:pPr>
      <w:r>
        <w:rPr>
          <w:rFonts w:hint="eastAsia" w:cs="黑体" w:asciiTheme="minorEastAsia" w:hAnsiTheme="minorEastAsia"/>
          <w:color w:val="000000"/>
          <w:kern w:val="0"/>
          <w:szCs w:val="21"/>
          <w:lang w:val="zh-CN"/>
        </w:rPr>
        <w:t>★三、验收标准</w:t>
      </w:r>
    </w:p>
    <w:p>
      <w:pPr>
        <w:widowControl/>
        <w:shd w:val="clear" w:color="auto" w:fill="FFFFFF"/>
        <w:spacing w:line="360" w:lineRule="auto"/>
        <w:contextualSpacing/>
        <w:jc w:val="left"/>
        <w:rPr>
          <w:rFonts w:hint="eastAsia" w:cs="黑体" w:asciiTheme="minorEastAsia" w:hAnsiTheme="minorEastAsia"/>
          <w:color w:val="000000"/>
          <w:kern w:val="0"/>
          <w:szCs w:val="21"/>
          <w:lang w:val="zh-CN"/>
        </w:rPr>
      </w:pPr>
      <w:r>
        <w:rPr>
          <w:rFonts w:hint="eastAsia" w:cs="黑体" w:asciiTheme="minorEastAsia" w:hAnsiTheme="minorEastAsia"/>
          <w:color w:val="000000"/>
          <w:kern w:val="0"/>
          <w:szCs w:val="21"/>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contextualSpacing/>
        <w:jc w:val="left"/>
        <w:rPr>
          <w:rFonts w:hint="eastAsia" w:cs="黑体" w:asciiTheme="minorEastAsia" w:hAnsiTheme="minorEastAsia"/>
          <w:color w:val="000000"/>
          <w:kern w:val="0"/>
          <w:szCs w:val="21"/>
          <w:lang w:val="zh-CN"/>
        </w:rPr>
      </w:pPr>
      <w:r>
        <w:rPr>
          <w:rFonts w:hint="eastAsia" w:cs="黑体" w:asciiTheme="minorEastAsia" w:hAnsiTheme="minorEastAsia"/>
          <w:color w:val="000000"/>
          <w:kern w:val="0"/>
          <w:szCs w:val="21"/>
          <w:lang w:val="zh-CN"/>
        </w:rPr>
        <w:t>2、按照招标文件要求、投标文件响应和承诺验收；</w:t>
      </w:r>
    </w:p>
    <w:p>
      <w:pPr>
        <w:widowControl/>
        <w:shd w:val="clear" w:color="auto" w:fill="FFFFFF"/>
        <w:spacing w:line="360" w:lineRule="auto"/>
        <w:contextualSpacing/>
        <w:jc w:val="left"/>
        <w:rPr>
          <w:rFonts w:hint="eastAsia" w:cs="黑体" w:asciiTheme="minorEastAsia" w:hAnsiTheme="minorEastAsia"/>
          <w:color w:val="000000"/>
          <w:kern w:val="0"/>
          <w:szCs w:val="21"/>
          <w:lang w:val="zh-CN"/>
        </w:rPr>
      </w:pPr>
      <w:r>
        <w:rPr>
          <w:rFonts w:hint="eastAsia" w:cs="黑体" w:asciiTheme="minorEastAsia" w:hAnsiTheme="minorEastAsia"/>
          <w:color w:val="000000"/>
          <w:kern w:val="0"/>
          <w:szCs w:val="21"/>
          <w:lang w:val="zh-CN"/>
        </w:rPr>
        <w:t>3、按照河南省人民政府令《河南省生产安全事故隐患排查治理办法》第173号（自2016年4月1日起施行）验收。</w:t>
      </w:r>
    </w:p>
    <w:p>
      <w:pPr>
        <w:widowControl/>
        <w:shd w:val="clear" w:color="auto" w:fill="FFFFFF"/>
        <w:spacing w:line="360" w:lineRule="auto"/>
        <w:contextualSpacing/>
        <w:jc w:val="left"/>
        <w:rPr>
          <w:rFonts w:hint="eastAsia" w:cs="黑体" w:asciiTheme="minorEastAsia" w:hAnsiTheme="minorEastAsia"/>
          <w:color w:val="000000"/>
          <w:kern w:val="0"/>
          <w:szCs w:val="21"/>
          <w:lang w:val="zh-CN"/>
        </w:rPr>
      </w:pPr>
      <w:r>
        <w:rPr>
          <w:rFonts w:hint="eastAsia" w:cs="黑体" w:asciiTheme="minorEastAsia" w:hAnsiTheme="minorEastAsia"/>
          <w:color w:val="000000"/>
          <w:kern w:val="0"/>
          <w:szCs w:val="21"/>
          <w:lang w:val="zh-CN"/>
        </w:rPr>
        <w:t>★七、本项目预算金额960000元。最高限价960000元。超出最高限价的投标无效。</w:t>
      </w:r>
    </w:p>
    <w:p>
      <w:pPr>
        <w:widowControl/>
        <w:shd w:val="clear" w:color="auto" w:fill="FFFFFF"/>
        <w:spacing w:line="360" w:lineRule="auto"/>
        <w:contextualSpacing/>
        <w:jc w:val="left"/>
        <w:rPr>
          <w:rFonts w:hint="eastAsia" w:cs="黑体" w:asciiTheme="minorEastAsia" w:hAnsiTheme="minorEastAsia"/>
          <w:color w:val="000000"/>
          <w:kern w:val="0"/>
          <w:szCs w:val="21"/>
          <w:lang w:val="zh-CN"/>
        </w:rPr>
      </w:pPr>
      <w:r>
        <w:rPr>
          <w:rFonts w:hint="eastAsia" w:cs="黑体" w:asciiTheme="minorEastAsia" w:hAnsiTheme="minorEastAsia"/>
          <w:color w:val="000000"/>
          <w:kern w:val="0"/>
          <w:szCs w:val="21"/>
          <w:lang w:val="zh-CN"/>
        </w:rPr>
        <w:t>★八、资金支付</w:t>
      </w:r>
    </w:p>
    <w:p>
      <w:pPr>
        <w:widowControl/>
        <w:shd w:val="clear" w:color="auto" w:fill="FFFFFF"/>
        <w:spacing w:line="360" w:lineRule="auto"/>
        <w:contextualSpacing/>
        <w:jc w:val="left"/>
        <w:rPr>
          <w:rFonts w:hint="eastAsia" w:cs="黑体" w:asciiTheme="minorEastAsia" w:hAnsiTheme="minorEastAsia"/>
          <w:color w:val="000000"/>
          <w:kern w:val="0"/>
          <w:szCs w:val="21"/>
          <w:lang w:val="zh-CN"/>
        </w:rPr>
      </w:pPr>
      <w:r>
        <w:rPr>
          <w:rFonts w:hint="eastAsia" w:cs="黑体" w:asciiTheme="minorEastAsia" w:hAnsiTheme="minorEastAsia"/>
          <w:color w:val="000000"/>
          <w:kern w:val="0"/>
          <w:szCs w:val="21"/>
          <w:lang w:val="zh-CN"/>
        </w:rPr>
        <w:t>1、支付方式：银行转账</w:t>
      </w:r>
    </w:p>
    <w:p>
      <w:pPr>
        <w:widowControl/>
        <w:shd w:val="clear" w:color="auto" w:fill="FFFFFF"/>
        <w:spacing w:line="360" w:lineRule="auto"/>
        <w:contextualSpacing/>
        <w:jc w:val="left"/>
        <w:rPr>
          <w:rFonts w:cs="黑体" w:asciiTheme="minorEastAsia" w:hAnsiTheme="minorEastAsia"/>
          <w:color w:val="000000"/>
          <w:kern w:val="0"/>
          <w:szCs w:val="21"/>
          <w:lang w:val="zh-CN"/>
        </w:rPr>
      </w:pPr>
      <w:r>
        <w:rPr>
          <w:rFonts w:hint="eastAsia" w:cs="黑体" w:asciiTheme="minorEastAsia" w:hAnsiTheme="minorEastAsia"/>
          <w:color w:val="000000"/>
          <w:kern w:val="0"/>
          <w:szCs w:val="21"/>
          <w:lang w:val="zh-CN"/>
        </w:rPr>
        <w:t>2、支付时间及条件：安全隐患排查结束并提交安全隐患排查报告后10日内支付合同款的50%，隐患整改复查报告提交后的30日内结清余款。</w:t>
      </w: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br w:type="page"/>
      </w: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招标文件中凡标有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条款均为实质性要求条款，投标文件须完全响应，未实质响应的，按照无效投标处理。</w:t>
      </w:r>
    </w:p>
    <w:tbl>
      <w:tblPr>
        <w:tblStyle w:val="24"/>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color w:val="auto"/>
                <w:szCs w:val="21"/>
              </w:rPr>
            </w:pPr>
            <w:r>
              <w:rPr>
                <w:rFonts w:hint="eastAsia" w:cs="仿宋_GB2312" w:asciiTheme="minorEastAsia" w:hAnsiTheme="minorEastAsia"/>
                <w:color w:val="auto"/>
                <w:szCs w:val="21"/>
              </w:rPr>
              <w:t>项目名称：许昌经济技术开发区法制与社会服务局“安全生产隐患排查第三方方服务项目”</w:t>
            </w:r>
          </w:p>
          <w:p>
            <w:pPr>
              <w:autoSpaceDE w:val="0"/>
              <w:autoSpaceDN w:val="0"/>
              <w:adjustRightInd w:val="0"/>
              <w:spacing w:line="360" w:lineRule="auto"/>
              <w:jc w:val="left"/>
              <w:rPr>
                <w:rFonts w:hint="eastAsia" w:cs="仿宋_GB2312" w:asciiTheme="minorEastAsia" w:hAnsiTheme="minorEastAsia" w:eastAsiaTheme="minorEastAsia"/>
                <w:color w:val="auto"/>
                <w:szCs w:val="21"/>
                <w:lang w:eastAsia="zh-CN"/>
              </w:rPr>
            </w:pPr>
            <w:r>
              <w:rPr>
                <w:rFonts w:hint="eastAsia" w:cs="仿宋_GB2312" w:asciiTheme="minorEastAsia" w:hAnsiTheme="minorEastAsia"/>
                <w:color w:val="auto"/>
                <w:szCs w:val="21"/>
              </w:rPr>
              <w:t>项目编号：</w:t>
            </w:r>
            <w:r>
              <w:rPr>
                <w:rFonts w:hint="eastAsia" w:cs="仿宋_GB2312" w:asciiTheme="minorEastAsia" w:hAnsiTheme="minorEastAsia"/>
                <w:color w:val="auto"/>
                <w:szCs w:val="21"/>
                <w:lang w:eastAsia="zh-CN"/>
              </w:rPr>
              <w:t>JZFCG-G2018063-1号</w:t>
            </w:r>
          </w:p>
          <w:p>
            <w:pPr>
              <w:autoSpaceDE w:val="0"/>
              <w:autoSpaceDN w:val="0"/>
              <w:adjustRightInd w:val="0"/>
              <w:spacing w:line="360" w:lineRule="auto"/>
              <w:jc w:val="left"/>
              <w:rPr>
                <w:rFonts w:hint="eastAsia" w:cs="仿宋_GB2312" w:asciiTheme="minorEastAsia" w:hAnsiTheme="minorEastAsia"/>
                <w:color w:val="auto"/>
                <w:szCs w:val="21"/>
              </w:rPr>
            </w:pPr>
            <w:r>
              <w:rPr>
                <w:rFonts w:hint="eastAsia" w:cs="仿宋_GB2312" w:asciiTheme="minorEastAsia" w:hAnsiTheme="minorEastAsia"/>
                <w:color w:val="auto"/>
                <w:szCs w:val="21"/>
              </w:rPr>
              <w:t>项目内容：安全生产隐患排查第三方服务</w:t>
            </w:r>
          </w:p>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项目地址：许昌经济技术开发区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TimesNewRomanPSMT" w:asciiTheme="minorEastAsia" w:hAnsiTheme="minorEastAsia"/>
                <w:color w:val="auto"/>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color w:val="auto"/>
                <w:szCs w:val="21"/>
              </w:rPr>
            </w:pPr>
            <w:r>
              <w:rPr>
                <w:rFonts w:hint="eastAsia" w:cs="仿宋_GB2312" w:asciiTheme="minorEastAsia" w:hAnsiTheme="minorEastAsia"/>
                <w:color w:val="auto"/>
                <w:szCs w:val="21"/>
              </w:rPr>
              <w:t>名称：许昌经济技术开发区法制与社会服务局</w:t>
            </w:r>
          </w:p>
          <w:p>
            <w:pPr>
              <w:autoSpaceDE w:val="0"/>
              <w:autoSpaceDN w:val="0"/>
              <w:adjustRightInd w:val="0"/>
              <w:spacing w:line="360" w:lineRule="auto"/>
              <w:jc w:val="left"/>
              <w:rPr>
                <w:rFonts w:hint="eastAsia" w:cs="仿宋_GB2312" w:asciiTheme="minorEastAsia" w:hAnsiTheme="minorEastAsia"/>
                <w:color w:val="auto"/>
                <w:szCs w:val="21"/>
              </w:rPr>
            </w:pPr>
            <w:r>
              <w:rPr>
                <w:rFonts w:hint="eastAsia" w:cs="仿宋_GB2312" w:asciiTheme="minorEastAsia" w:hAnsiTheme="minorEastAsia"/>
                <w:color w:val="auto"/>
                <w:szCs w:val="21"/>
              </w:rPr>
              <w:t>地址：许昌经济技术开发区管理委员会（瑞祥路中段）</w:t>
            </w:r>
          </w:p>
          <w:p>
            <w:pPr>
              <w:autoSpaceDE w:val="0"/>
              <w:autoSpaceDN w:val="0"/>
              <w:adjustRightInd w:val="0"/>
              <w:spacing w:line="360" w:lineRule="auto"/>
              <w:jc w:val="left"/>
              <w:rPr>
                <w:rFonts w:hint="eastAsia" w:cs="仿宋_GB2312" w:asciiTheme="minorEastAsia" w:hAnsiTheme="minorEastAsia"/>
                <w:color w:val="auto"/>
                <w:szCs w:val="21"/>
              </w:rPr>
            </w:pPr>
            <w:r>
              <w:rPr>
                <w:rFonts w:hint="eastAsia" w:cs="仿宋_GB2312" w:asciiTheme="minorEastAsia" w:hAnsiTheme="minorEastAsia"/>
                <w:color w:val="auto"/>
                <w:szCs w:val="21"/>
              </w:rPr>
              <w:t xml:space="preserve">联系人：张志端                    </w:t>
            </w:r>
          </w:p>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电话：15939908710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代理机构</w:t>
            </w:r>
          </w:p>
        </w:tc>
        <w:tc>
          <w:tcPr>
            <w:tcW w:w="6813" w:type="dxa"/>
            <w:vAlign w:val="center"/>
          </w:tcPr>
          <w:p>
            <w:pPr>
              <w:autoSpaceDE w:val="0"/>
              <w:autoSpaceDN w:val="0"/>
              <w:adjustRightInd w:val="0"/>
              <w:spacing w:line="360" w:lineRule="auto"/>
              <w:jc w:val="left"/>
              <w:rPr>
                <w:rFonts w:hint="eastAsia" w:cs="仿宋_GB2312" w:asciiTheme="minorEastAsia" w:hAnsiTheme="minorEastAsia"/>
                <w:color w:val="auto"/>
                <w:szCs w:val="21"/>
              </w:rPr>
            </w:pPr>
            <w:r>
              <w:rPr>
                <w:rFonts w:hint="eastAsia" w:cs="仿宋_GB2312" w:asciiTheme="minorEastAsia" w:hAnsiTheme="minorEastAsia"/>
                <w:color w:val="auto"/>
                <w:szCs w:val="21"/>
              </w:rPr>
              <w:t>名称：河南鼎华招标代理有限公司</w:t>
            </w:r>
          </w:p>
          <w:p>
            <w:pPr>
              <w:autoSpaceDE w:val="0"/>
              <w:autoSpaceDN w:val="0"/>
              <w:adjustRightInd w:val="0"/>
              <w:spacing w:line="360" w:lineRule="auto"/>
              <w:jc w:val="left"/>
              <w:rPr>
                <w:rFonts w:hint="eastAsia" w:cs="仿宋_GB2312" w:asciiTheme="minorEastAsia" w:hAnsiTheme="minorEastAsia"/>
                <w:color w:val="auto"/>
                <w:szCs w:val="21"/>
              </w:rPr>
            </w:pPr>
            <w:r>
              <w:rPr>
                <w:rFonts w:hint="eastAsia" w:cs="仿宋_GB2312" w:asciiTheme="minorEastAsia" w:hAnsiTheme="minorEastAsia"/>
                <w:color w:val="auto"/>
                <w:szCs w:val="21"/>
              </w:rPr>
              <w:t>地址：新许路中段</w:t>
            </w:r>
          </w:p>
          <w:p>
            <w:pPr>
              <w:autoSpaceDE w:val="0"/>
              <w:autoSpaceDN w:val="0"/>
              <w:adjustRightInd w:val="0"/>
              <w:spacing w:line="360" w:lineRule="auto"/>
              <w:jc w:val="left"/>
              <w:rPr>
                <w:rFonts w:hint="eastAsia" w:cs="仿宋_GB2312" w:asciiTheme="minorEastAsia" w:hAnsiTheme="minorEastAsia"/>
                <w:color w:val="auto"/>
                <w:szCs w:val="21"/>
              </w:rPr>
            </w:pPr>
            <w:r>
              <w:rPr>
                <w:rFonts w:hint="eastAsia" w:cs="仿宋_GB2312" w:asciiTheme="minorEastAsia" w:hAnsiTheme="minorEastAsia"/>
                <w:color w:val="auto"/>
                <w:szCs w:val="21"/>
              </w:rPr>
              <w:t>联系人：</w:t>
            </w:r>
            <w:r>
              <w:rPr>
                <w:rFonts w:hint="eastAsia" w:cs="仿宋_GB2312" w:asciiTheme="minorEastAsia" w:hAnsiTheme="minorEastAsia"/>
                <w:color w:val="auto"/>
                <w:szCs w:val="21"/>
                <w:lang w:eastAsia="zh-CN"/>
              </w:rPr>
              <w:t>冯建伟</w:t>
            </w:r>
            <w:r>
              <w:rPr>
                <w:rFonts w:hint="eastAsia" w:cs="仿宋_GB2312" w:asciiTheme="minorEastAsia" w:hAnsiTheme="minorEastAsia"/>
                <w:color w:val="auto"/>
                <w:szCs w:val="21"/>
              </w:rPr>
              <w:t xml:space="preserve">                   </w:t>
            </w:r>
          </w:p>
          <w:p>
            <w:pPr>
              <w:autoSpaceDE w:val="0"/>
              <w:autoSpaceDN w:val="0"/>
              <w:adjustRightInd w:val="0"/>
              <w:spacing w:line="360" w:lineRule="auto"/>
              <w:jc w:val="left"/>
              <w:rPr>
                <w:rFonts w:hint="eastAsia" w:cs="仿宋_GB2312" w:asciiTheme="minorEastAsia" w:hAnsiTheme="minorEastAsia" w:eastAsiaTheme="minorEastAsia"/>
                <w:color w:val="auto"/>
                <w:szCs w:val="21"/>
                <w:lang w:val="en-US" w:eastAsia="zh-CN"/>
              </w:rPr>
            </w:pPr>
            <w:r>
              <w:rPr>
                <w:rFonts w:hint="eastAsia" w:cs="仿宋_GB2312" w:asciiTheme="minorEastAsia" w:hAnsiTheme="minorEastAsia"/>
                <w:color w:val="auto"/>
                <w:szCs w:val="21"/>
              </w:rPr>
              <w:t>电话：</w:t>
            </w:r>
            <w:r>
              <w:rPr>
                <w:rFonts w:hint="eastAsia" w:cs="仿宋_GB2312" w:asciiTheme="minorEastAsia" w:hAnsiTheme="minorEastAsia"/>
                <w:color w:val="auto"/>
                <w:szCs w:val="21"/>
                <w:lang w:val="en-US" w:eastAsia="zh-CN"/>
              </w:rPr>
              <w:t>0374-5219779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微软雅黑" w:asciiTheme="minorEastAsia" w:hAnsiTheme="minorEastAsia"/>
                <w:b/>
                <w:color w:val="auto"/>
                <w:szCs w:val="21"/>
              </w:rPr>
              <w:t>★</w:t>
            </w:r>
            <w:r>
              <w:rPr>
                <w:rFonts w:hint="eastAsia" w:cs="仿宋_GB2312" w:asciiTheme="minorEastAsia" w:hAnsiTheme="minorEastAsia"/>
                <w:color w:val="auto"/>
                <w:szCs w:val="21"/>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一、</w:t>
            </w:r>
            <w:r>
              <w:rPr>
                <w:rFonts w:cs="宋体" w:asciiTheme="minorEastAsia" w:hAnsiTheme="minorEastAsia"/>
                <w:b/>
                <w:bCs/>
                <w:color w:val="auto"/>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3、执业许可证。（非专业服务机构投标提供）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color w:val="auto"/>
                <w:szCs w:val="21"/>
              </w:rPr>
            </w:pPr>
            <w:r>
              <w:rPr>
                <w:rFonts w:hint="eastAsia" w:cs="宋体" w:asciiTheme="minorEastAsia" w:hAnsiTheme="minorEastAsia"/>
                <w:bCs/>
                <w:color w:val="auto"/>
                <w:szCs w:val="21"/>
                <w:lang w:val="zh-CN"/>
              </w:rPr>
              <w:t>5、自然人身份证明。（自然人投标提供）</w:t>
            </w:r>
          </w:p>
          <w:p>
            <w:pPr>
              <w:autoSpaceDE w:val="0"/>
              <w:autoSpaceDN w:val="0"/>
              <w:adjustRightInd w:val="0"/>
              <w:spacing w:line="360" w:lineRule="auto"/>
              <w:jc w:val="left"/>
              <w:rPr>
                <w:rFonts w:cs="仿宋_GB2312" w:asciiTheme="minorEastAsia" w:hAnsiTheme="minorEastAsia"/>
                <w:b/>
                <w:color w:val="auto"/>
                <w:szCs w:val="21"/>
              </w:rPr>
            </w:pPr>
            <w:r>
              <w:rPr>
                <w:rFonts w:hint="eastAsia" w:cs="仿宋_GB2312" w:asciiTheme="minorEastAsia" w:hAnsiTheme="minorEastAsia"/>
                <w:b/>
                <w:color w:val="auto"/>
                <w:szCs w:val="21"/>
              </w:rPr>
              <w:t>二、财务状况报告相关材料</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仿宋_GB2312" w:asciiTheme="minorEastAsia" w:hAnsiTheme="minorEastAsia"/>
                <w:color w:val="auto"/>
                <w:szCs w:val="21"/>
              </w:rPr>
              <w:t>1、</w:t>
            </w:r>
            <w:r>
              <w:rPr>
                <w:rFonts w:hint="eastAsia" w:cs="宋体" w:asciiTheme="minorEastAsia" w:hAnsiTheme="minorEastAsia"/>
                <w:bCs/>
                <w:color w:val="auto"/>
                <w:szCs w:val="21"/>
                <w:lang w:val="zh-CN"/>
              </w:rPr>
              <w:t>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仿宋_GB2312" w:asciiTheme="minorEastAsia" w:hAnsiTheme="minorEastAsia"/>
                <w:color w:val="auto"/>
                <w:szCs w:val="21"/>
              </w:rPr>
              <w:t>2、</w:t>
            </w:r>
            <w:r>
              <w:rPr>
                <w:rFonts w:hint="eastAsia" w:cs="宋体" w:asciiTheme="minorEastAsia" w:hAnsiTheme="minorEastAsia"/>
                <w:bCs/>
                <w:color w:val="auto"/>
                <w:szCs w:val="21"/>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color w:val="auto"/>
                <w:szCs w:val="21"/>
              </w:rPr>
            </w:pPr>
            <w:r>
              <w:rPr>
                <w:rFonts w:hint="eastAsia" w:cs="仿宋_GB2312" w:asciiTheme="minorEastAsia" w:hAnsiTheme="minorEastAsia"/>
                <w:b/>
                <w:color w:val="auto"/>
                <w:szCs w:val="21"/>
              </w:rPr>
              <w:t>三、依法缴纳税收相关材料</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color w:val="auto"/>
                <w:kern w:val="0"/>
                <w:szCs w:val="21"/>
              </w:rPr>
            </w:pPr>
            <w:r>
              <w:rPr>
                <w:rFonts w:hint="eastAsia" w:cs="宋体" w:asciiTheme="minorEastAsia" w:hAnsiTheme="minorEastAsia"/>
                <w:bCs/>
                <w:color w:val="auto"/>
                <w:szCs w:val="21"/>
                <w:lang w:val="zh-CN"/>
              </w:rPr>
              <w:t>相关设备的购置发票、专业技术人员职称证书、用工合同等或者</w:t>
            </w:r>
            <w:r>
              <w:rPr>
                <w:rFonts w:hint="eastAsia" w:cs="宋体" w:asciiTheme="minorEastAsia" w:hAnsiTheme="minorEastAsia"/>
                <w:color w:val="auto"/>
                <w:kern w:val="0"/>
                <w:szCs w:val="21"/>
              </w:rPr>
              <w:t>附投标人相关承诺函或声明。</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color w:val="auto"/>
                <w:kern w:val="0"/>
                <w:szCs w:val="21"/>
              </w:rPr>
              <w:t>六、</w:t>
            </w:r>
            <w:r>
              <w:rPr>
                <w:rFonts w:cs="宋体" w:asciiTheme="minorEastAsia" w:hAnsiTheme="minorEastAsia"/>
                <w:b/>
                <w:bCs/>
                <w:color w:val="auto"/>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投标人“</w:t>
            </w:r>
            <w:r>
              <w:rPr>
                <w:rFonts w:cs="宋体" w:asciiTheme="minorEastAsia" w:hAnsiTheme="minorEastAsia"/>
                <w:bCs/>
                <w:color w:val="auto"/>
                <w:szCs w:val="21"/>
                <w:lang w:val="zh-CN"/>
              </w:rPr>
              <w:t>参加政府采购活动前3年内在经营活动中没有重大违法记录的书面声明</w:t>
            </w:r>
            <w:r>
              <w:rPr>
                <w:rFonts w:hint="eastAsia" w:cs="宋体" w:asciiTheme="minorEastAsia" w:hAnsiTheme="minorEastAsia"/>
                <w:bCs/>
                <w:color w:val="auto"/>
                <w:szCs w:val="21"/>
                <w:lang w:val="zh-CN"/>
              </w:rPr>
              <w:t>”。 重大违法记录，是指投标人因违法经营受到刑事处罚或者责令停产停业、吊销许可证或者执照、较大数额罚款等行政处罚。</w:t>
            </w:r>
          </w:p>
          <w:p>
            <w:pPr>
              <w:autoSpaceDE w:val="0"/>
              <w:autoSpaceDN w:val="0"/>
              <w:adjustRightInd w:val="0"/>
              <w:spacing w:line="360" w:lineRule="auto"/>
              <w:ind w:right="-11"/>
              <w:rPr>
                <w:rFonts w:cs="宋体" w:asciiTheme="minorEastAsia" w:hAnsiTheme="minorEastAsia"/>
                <w:b/>
                <w:color w:val="auto"/>
                <w:kern w:val="0"/>
                <w:szCs w:val="21"/>
                <w:lang w:val="zh-CN"/>
              </w:rPr>
            </w:pPr>
            <w:r>
              <w:rPr>
                <w:rFonts w:hint="eastAsia" w:cs="宋体" w:asciiTheme="minorEastAsia" w:hAnsiTheme="minorEastAsia"/>
                <w:b/>
                <w:color w:val="auto"/>
                <w:kern w:val="0"/>
                <w:szCs w:val="21"/>
                <w:lang w:val="zh-CN"/>
              </w:rPr>
              <w:t>七、投标单位必须是中华人民共和国境内注册、具有独立法人资格的安全生产中介服务机构（外省企业需在豫备案）。</w:t>
            </w:r>
          </w:p>
          <w:p>
            <w:pPr>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b/>
                <w:bCs/>
                <w:color w:val="auto"/>
                <w:szCs w:val="21"/>
                <w:lang w:val="zh-CN"/>
              </w:rPr>
              <w:t>八、</w:t>
            </w:r>
            <w:r>
              <w:rPr>
                <w:rFonts w:cs="仿宋_GB2312" w:asciiTheme="minorEastAsia" w:hAnsiTheme="minorEastAsia"/>
                <w:b/>
                <w:color w:val="auto"/>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中国政府采购网</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 xml:space="preserve"> (www.ccgp.gov.cn)政府采购严重违法失信行为记录名单的投标人</w:t>
            </w:r>
            <w:r>
              <w:rPr>
                <w:rFonts w:hint="eastAsia" w:cs="宋体" w:asciiTheme="minorEastAsia" w:hAnsiTheme="minorEastAsia"/>
                <w:b/>
                <w:bCs/>
                <w:color w:val="auto"/>
                <w:szCs w:val="21"/>
                <w:lang w:val="zh-CN"/>
              </w:rPr>
              <w:t>。</w:t>
            </w:r>
            <w:r>
              <w:rPr>
                <w:rFonts w:hint="eastAsia" w:cs="宋体" w:asciiTheme="minorEastAsia" w:hAnsiTheme="minorEastAsia"/>
                <w:color w:val="auto"/>
                <w:kern w:val="0"/>
                <w:szCs w:val="21"/>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1、查询渠道：“信用中国”网站（</w:t>
            </w:r>
            <w:r>
              <w:rPr>
                <w:rFonts w:cs="宋体" w:asciiTheme="minorEastAsia" w:hAnsiTheme="minorEastAsia"/>
                <w:color w:val="auto"/>
                <w:kern w:val="0"/>
                <w:szCs w:val="21"/>
              </w:rPr>
              <w:t>www.creditchina.gov.cn</w:t>
            </w:r>
            <w:r>
              <w:rPr>
                <w:rFonts w:hint="eastAsia" w:cs="宋体" w:asciiTheme="minorEastAsia" w:hAnsiTheme="minorEastAsia"/>
                <w:color w:val="auto"/>
                <w:kern w:val="0"/>
                <w:szCs w:val="21"/>
              </w:rPr>
              <w:t>）和“中国政府采购网”（</w:t>
            </w:r>
            <w:r>
              <w:rPr>
                <w:rFonts w:cs="宋体" w:asciiTheme="minorEastAsia" w:hAnsiTheme="minorEastAsia"/>
                <w:color w:val="auto"/>
                <w:kern w:val="0"/>
                <w:szCs w:val="21"/>
              </w:rPr>
              <w:t>www.ccgp.gov.cn</w:t>
            </w:r>
            <w:r>
              <w:rPr>
                <w:rFonts w:hint="eastAsia" w:cs="宋体" w:asciiTheme="minorEastAsia" w:hAnsiTheme="minorEastAsia"/>
                <w:color w:val="auto"/>
                <w:kern w:val="0"/>
                <w:szCs w:val="21"/>
              </w:rPr>
              <w:t>）；</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2、截止时间：同投标截止时间；</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color w:val="auto"/>
                <w:szCs w:val="21"/>
              </w:rPr>
            </w:pPr>
            <w:r>
              <w:rPr>
                <w:rFonts w:hint="eastAsia" w:cs="宋体" w:asciiTheme="minorEastAsia" w:hAnsiTheme="minorEastAsia"/>
                <w:color w:val="auto"/>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微软雅黑" w:asciiTheme="minorEastAsia" w:hAnsiTheme="minorEastAsia"/>
                <w:b/>
                <w:color w:val="auto"/>
                <w:szCs w:val="21"/>
              </w:rPr>
              <w:t>★</w:t>
            </w:r>
            <w:r>
              <w:rPr>
                <w:rFonts w:hint="eastAsia" w:cs="宋体" w:asciiTheme="minorEastAsia" w:hAnsiTheme="minorEastAsia"/>
                <w:bCs/>
                <w:color w:val="auto"/>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color w:val="auto"/>
                <w:szCs w:val="21"/>
                <w:lang w:val="zh-CN"/>
              </w:rPr>
            </w:pPr>
            <w:r>
              <w:rPr>
                <w:rFonts w:hint="eastAsia" w:cs="宋体" w:asciiTheme="minorEastAsia" w:hAnsiTheme="minorEastAsia"/>
                <w:color w:val="auto"/>
                <w:kern w:val="0"/>
                <w:szCs w:val="21"/>
              </w:rPr>
              <w:t>本项目</w:t>
            </w: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color w:val="auto"/>
                <w:kern w:val="0"/>
                <w:szCs w:val="21"/>
              </w:rPr>
              <w:t>不接受</w:t>
            </w:r>
            <w:r>
              <w:rPr>
                <w:rFonts w:hint="eastAsia" w:cs="宋体" w:asciiTheme="minorEastAsia" w:hAnsiTheme="minorEastAsia"/>
                <w:bCs/>
                <w:color w:val="auto"/>
                <w:szCs w:val="21"/>
                <w:lang w:val="zh-CN"/>
              </w:rPr>
              <w:t>□接受</w:t>
            </w:r>
            <w:r>
              <w:rPr>
                <w:rFonts w:hint="eastAsia" w:cs="宋体" w:asciiTheme="minorEastAsia" w:hAnsiTheme="minorEastAsia"/>
                <w:color w:val="auto"/>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微软雅黑" w:asciiTheme="minorEastAsia" w:hAnsiTheme="minorEastAsia"/>
                <w:b/>
                <w:color w:val="auto"/>
                <w:szCs w:val="21"/>
              </w:rPr>
              <w:t>★</w:t>
            </w:r>
            <w:r>
              <w:rPr>
                <w:rFonts w:hint="eastAsia" w:cs="宋体" w:asciiTheme="minorEastAsia" w:hAnsiTheme="minorEastAsia"/>
                <w:bCs/>
                <w:color w:val="auto"/>
                <w:szCs w:val="21"/>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en-US" w:eastAsia="zh-CN"/>
              </w:rPr>
              <w:t>960000</w:t>
            </w:r>
            <w:r>
              <w:rPr>
                <w:rFonts w:hint="eastAsia" w:cs="宋体" w:asciiTheme="minorEastAsia" w:hAnsiTheme="minorEastAsia"/>
                <w:bCs/>
                <w:color w:val="auto"/>
                <w:szCs w:val="21"/>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cs="宋体" w:asciiTheme="minorEastAsia" w:hAnsiTheme="minorEastAsia"/>
                <w:bCs/>
                <w:color w:val="auto"/>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不组织</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
                <w:bCs/>
                <w:color w:val="auto"/>
                <w:szCs w:val="21"/>
                <w:lang w:val="zh-CN"/>
              </w:rPr>
              <w:t>□</w:t>
            </w:r>
            <w:r>
              <w:rPr>
                <w:rFonts w:hint="eastAsia" w:cs="宋体" w:asciiTheme="minorEastAsia" w:hAnsiTheme="minorEastAsia"/>
                <w:bCs/>
                <w:color w:val="auto"/>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cs="宋体" w:asciiTheme="minorEastAsia" w:hAnsiTheme="minorEastAsia"/>
                <w:bCs/>
                <w:color w:val="auto"/>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不召开</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进口产品参与</w:t>
            </w:r>
          </w:p>
        </w:tc>
        <w:tc>
          <w:tcPr>
            <w:tcW w:w="6813" w:type="dxa"/>
            <w:vAlign w:val="center"/>
          </w:tcPr>
          <w:p>
            <w:pPr>
              <w:autoSpaceDE w:val="0"/>
              <w:autoSpaceDN w:val="0"/>
              <w:adjustRightInd w:val="0"/>
              <w:spacing w:line="276" w:lineRule="auto"/>
              <w:rPr>
                <w:rFonts w:asciiTheme="minorEastAsia" w:hAnsiTheme="minorEastAsia"/>
                <w:color w:val="auto"/>
                <w:szCs w:val="21"/>
              </w:rPr>
            </w:pP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 xml:space="preserve">不允许    </w:t>
            </w:r>
            <w:r>
              <w:rPr>
                <w:rFonts w:hint="eastAsia" w:cs="宋体" w:asciiTheme="minorEastAsia" w:hAnsiTheme="minorEastAsia"/>
                <w:b/>
                <w:bCs/>
                <w:color w:val="auto"/>
                <w:szCs w:val="21"/>
                <w:lang w:val="zh-CN"/>
              </w:rPr>
              <w:t>□</w:t>
            </w:r>
            <w:r>
              <w:rPr>
                <w:rFonts w:hint="eastAsia" w:asciiTheme="minorEastAsia" w:hAnsiTheme="minorEastAsia"/>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微软雅黑" w:asciiTheme="minorEastAsia" w:hAnsiTheme="minorEastAsia"/>
                <w:b/>
                <w:color w:val="auto"/>
                <w:szCs w:val="21"/>
              </w:rPr>
              <w:t>★</w:t>
            </w:r>
            <w:r>
              <w:rPr>
                <w:rFonts w:hint="eastAsia" w:cs="仿宋_GB2312" w:asciiTheme="minorEastAsia" w:hAnsiTheme="minorEastAsia"/>
                <w:color w:val="auto"/>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color w:val="auto"/>
                <w:szCs w:val="21"/>
              </w:rPr>
            </w:pPr>
            <w:r>
              <w:rPr>
                <w:rFonts w:hint="eastAsia" w:cs="仿宋_GB2312" w:asciiTheme="minorEastAsia" w:hAnsiTheme="minorEastAsia"/>
                <w:color w:val="auto"/>
                <w:szCs w:val="21"/>
              </w:rPr>
              <w:t>60天（自</w:t>
            </w:r>
            <w:r>
              <w:rPr>
                <w:rFonts w:hint="eastAsia" w:cs="宋体" w:asciiTheme="minorEastAsia" w:hAnsiTheme="minorEastAsia"/>
                <w:color w:val="auto"/>
                <w:kern w:val="0"/>
                <w:szCs w:val="21"/>
              </w:rPr>
              <w:t>提交投标文件的截止之日起算</w:t>
            </w:r>
            <w:r>
              <w:rPr>
                <w:rFonts w:hint="eastAsia" w:cs="仿宋_GB2312" w:asciiTheme="minorEastAsia" w:hAnsiTheme="minorEastAsia"/>
                <w:color w:val="auto"/>
                <w:szCs w:val="21"/>
              </w:rPr>
              <w:t>）</w:t>
            </w:r>
          </w:p>
          <w:p>
            <w:pPr>
              <w:autoSpaceDE w:val="0"/>
              <w:autoSpaceDN w:val="0"/>
              <w:adjustRightInd w:val="0"/>
              <w:spacing w:line="360" w:lineRule="auto"/>
              <w:rPr>
                <w:rFonts w:cs="仿宋_GB2312" w:asciiTheme="minorEastAsia" w:hAnsiTheme="minorEastAsia"/>
                <w:color w:val="auto"/>
                <w:szCs w:val="21"/>
              </w:rPr>
            </w:pPr>
            <w:r>
              <w:rPr>
                <w:rFonts w:cs="仿宋_GB2312" w:asciiTheme="minorEastAsia" w:hAnsiTheme="minorEastAsia"/>
                <w:color w:val="auto"/>
                <w:szCs w:val="21"/>
                <w:lang w:val="zh-CN"/>
              </w:rPr>
              <w:t>中标</w:t>
            </w:r>
            <w:r>
              <w:rPr>
                <w:rFonts w:hint="eastAsia" w:cs="仿宋_GB2312" w:asciiTheme="minorEastAsia" w:hAnsiTheme="minorEastAsia"/>
                <w:color w:val="auto"/>
                <w:szCs w:val="21"/>
                <w:lang w:val="zh-CN"/>
              </w:rPr>
              <w:t>人投标</w:t>
            </w:r>
            <w:r>
              <w:rPr>
                <w:rFonts w:cs="仿宋_GB2312" w:asciiTheme="minorEastAsia" w:hAnsiTheme="minorEastAsia"/>
                <w:color w:val="auto"/>
                <w:szCs w:val="21"/>
                <w:lang w:val="zh-CN"/>
              </w:rPr>
              <w:t>有效期延</w:t>
            </w:r>
            <w:r>
              <w:rPr>
                <w:rFonts w:hint="eastAsia" w:cs="仿宋_GB2312" w:asciiTheme="minorEastAsia" w:hAnsiTheme="minorEastAsia"/>
                <w:color w:val="auto"/>
                <w:szCs w:val="21"/>
                <w:lang w:val="zh-CN"/>
              </w:rPr>
              <w:t>至合同</w:t>
            </w:r>
            <w:r>
              <w:rPr>
                <w:rFonts w:cs="仿宋_GB2312" w:asciiTheme="minorEastAsia" w:hAnsiTheme="minorEastAsia"/>
                <w:color w:val="auto"/>
                <w:szCs w:val="21"/>
                <w:lang w:val="zh-CN"/>
              </w:rPr>
              <w:t>验收之日</w:t>
            </w:r>
            <w:r>
              <w:rPr>
                <w:rFonts w:hint="eastAsia" w:cs="仿宋_GB2312" w:asciiTheme="minorEastAsia" w:hAnsiTheme="minorEastAsia"/>
                <w:color w:val="auto"/>
                <w:szCs w:val="21"/>
                <w:lang w:val="zh-CN"/>
              </w:rPr>
              <w:t>，</w:t>
            </w:r>
            <w:r>
              <w:rPr>
                <w:rFonts w:hint="eastAsia" w:cs="宋体" w:asciiTheme="minorEastAsia" w:hAnsiTheme="minorEastAsia"/>
                <w:color w:val="auto"/>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11</w:t>
            </w:r>
          </w:p>
        </w:tc>
        <w:tc>
          <w:tcPr>
            <w:tcW w:w="2268" w:type="dxa"/>
            <w:vAlign w:val="center"/>
          </w:tcPr>
          <w:p>
            <w:pPr>
              <w:autoSpaceDE w:val="0"/>
              <w:autoSpaceDN w:val="0"/>
              <w:adjustRightInd w:val="0"/>
              <w:spacing w:line="360" w:lineRule="auto"/>
              <w:rPr>
                <w:rFonts w:cs="仿宋_GB2312" w:asciiTheme="minorEastAsia" w:hAnsiTheme="minorEastAsia"/>
                <w:color w:val="auto"/>
                <w:szCs w:val="21"/>
              </w:rPr>
            </w:pPr>
            <w:r>
              <w:rPr>
                <w:rFonts w:cs="宋体" w:asciiTheme="minorEastAsia" w:hAnsiTheme="minorEastAsia"/>
                <w:bCs/>
                <w:color w:val="auto"/>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color w:val="auto"/>
                <w:szCs w:val="21"/>
              </w:rPr>
            </w:pP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 xml:space="preserve">不允许   </w:t>
            </w:r>
            <w:r>
              <w:rPr>
                <w:rFonts w:hint="eastAsia" w:cs="宋体" w:asciiTheme="minorEastAsia" w:hAnsiTheme="minorEastAsia"/>
                <w:b/>
                <w:bCs/>
                <w:color w:val="auto"/>
                <w:szCs w:val="21"/>
                <w:lang w:val="zh-CN"/>
              </w:rPr>
              <w:t>□</w:t>
            </w:r>
            <w:r>
              <w:rPr>
                <w:rFonts w:hint="eastAsia" w:cs="仿宋_GB2312" w:asciiTheme="minorEastAsia" w:hAnsiTheme="minorEastAsia"/>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投标截止及开标时间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en-US" w:eastAsia="zh-CN"/>
              </w:rPr>
              <w:t>2018</w:t>
            </w:r>
            <w:r>
              <w:rPr>
                <w:rFonts w:hint="eastAsia" w:cs="宋体" w:asciiTheme="minorEastAsia" w:hAnsiTheme="minorEastAsia"/>
                <w:bCs/>
                <w:color w:val="auto"/>
                <w:szCs w:val="21"/>
                <w:lang w:val="zh-CN"/>
              </w:rPr>
              <w:t>年</w:t>
            </w:r>
            <w:r>
              <w:rPr>
                <w:rFonts w:hint="eastAsia" w:cs="宋体" w:asciiTheme="minorEastAsia" w:hAnsiTheme="minorEastAsia"/>
                <w:bCs/>
                <w:color w:val="auto"/>
                <w:szCs w:val="21"/>
                <w:lang w:val="en-US" w:eastAsia="zh-CN"/>
              </w:rPr>
              <w:t>9</w:t>
            </w:r>
            <w:r>
              <w:rPr>
                <w:rFonts w:hint="eastAsia" w:cs="宋体" w:asciiTheme="minorEastAsia" w:hAnsiTheme="minorEastAsia"/>
                <w:bCs/>
                <w:color w:val="auto"/>
                <w:szCs w:val="21"/>
                <w:lang w:val="zh-CN"/>
              </w:rPr>
              <w:t>月</w:t>
            </w:r>
            <w:r>
              <w:rPr>
                <w:rFonts w:hint="eastAsia" w:cs="宋体" w:asciiTheme="minorEastAsia" w:hAnsiTheme="minorEastAsia"/>
                <w:bCs/>
                <w:color w:val="auto"/>
                <w:szCs w:val="21"/>
                <w:lang w:val="en-US" w:eastAsia="zh-CN"/>
              </w:rPr>
              <w:t>26</w:t>
            </w:r>
            <w:r>
              <w:rPr>
                <w:rFonts w:hint="eastAsia" w:cs="宋体" w:asciiTheme="minorEastAsia" w:hAnsiTheme="minorEastAsia"/>
                <w:bCs/>
                <w:color w:val="auto"/>
                <w:szCs w:val="21"/>
                <w:lang w:val="zh-CN"/>
              </w:rPr>
              <w:t>日</w:t>
            </w:r>
            <w:r>
              <w:rPr>
                <w:rFonts w:hint="eastAsia" w:cs="宋体" w:asciiTheme="minorEastAsia" w:hAnsiTheme="minorEastAsia"/>
                <w:bCs/>
                <w:color w:val="auto"/>
                <w:szCs w:val="21"/>
                <w:lang w:val="en-US" w:eastAsia="zh-CN"/>
              </w:rPr>
              <w:t>10</w:t>
            </w:r>
            <w:r>
              <w:rPr>
                <w:rFonts w:hint="eastAsia" w:cs="宋体" w:asciiTheme="minorEastAsia" w:hAnsiTheme="minorEastAsia"/>
                <w:bCs/>
                <w:color w:val="auto"/>
                <w:szCs w:val="21"/>
                <w:lang w:val="zh-CN"/>
              </w:rPr>
              <w:t>时</w:t>
            </w:r>
            <w:r>
              <w:rPr>
                <w:rFonts w:hint="eastAsia" w:cs="宋体" w:asciiTheme="minorEastAsia" w:hAnsiTheme="minorEastAsia"/>
                <w:bCs/>
                <w:color w:val="auto"/>
                <w:szCs w:val="21"/>
                <w:lang w:val="en-US" w:eastAsia="zh-CN"/>
              </w:rPr>
              <w:t>30</w:t>
            </w:r>
            <w:r>
              <w:rPr>
                <w:rFonts w:hint="eastAsia" w:cs="宋体" w:asciiTheme="minorEastAsia" w:hAnsiTheme="minorEastAsia"/>
                <w:bCs/>
                <w:color w:val="auto"/>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递交投标文件</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及开标地点</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许昌市公共资源交易中心三楼开标</w:t>
            </w:r>
            <w:r>
              <w:rPr>
                <w:rFonts w:hint="eastAsia" w:cs="宋体" w:asciiTheme="minorEastAsia" w:hAnsiTheme="minorEastAsia"/>
                <w:bCs/>
                <w:color w:val="auto"/>
                <w:szCs w:val="21"/>
                <w:u w:val="single"/>
                <w:lang w:val="en-US" w:eastAsia="zh-CN"/>
              </w:rPr>
              <w:t>三</w:t>
            </w:r>
            <w:r>
              <w:rPr>
                <w:rFonts w:hint="eastAsia" w:cs="宋体" w:asciiTheme="minorEastAsia" w:hAnsiTheme="minorEastAsia"/>
                <w:bCs/>
                <w:color w:val="auto"/>
                <w:szCs w:val="21"/>
                <w:lang w:val="zh-CN"/>
              </w:rPr>
              <w:t>室（</w:t>
            </w:r>
            <w:r>
              <w:rPr>
                <w:rFonts w:cs="宋体" w:asciiTheme="minorEastAsia" w:hAnsiTheme="minorEastAsia"/>
                <w:bCs/>
                <w:color w:val="auto"/>
                <w:szCs w:val="21"/>
                <w:lang w:val="zh-CN"/>
              </w:rPr>
              <w:t>龙兴路与竹林路交汇处</w:t>
            </w:r>
            <w:r>
              <w:rPr>
                <w:rFonts w:hint="eastAsia" w:cs="宋体" w:asciiTheme="minorEastAsia" w:hAnsiTheme="minorEastAsia"/>
                <w:bCs/>
                <w:color w:val="auto"/>
                <w:szCs w:val="21"/>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宋体" w:asciiTheme="minorEastAsia" w:hAnsiTheme="minorEastAsia"/>
                <w:color w:val="auto"/>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金额：壹万捌仟元整（¥</w:t>
            </w:r>
            <w:r>
              <w:rPr>
                <w:rFonts w:hint="eastAsia" w:cs="仿宋_GB2312" w:asciiTheme="minorEastAsia" w:hAnsiTheme="minorEastAsia"/>
                <w:color w:val="auto"/>
                <w:szCs w:val="21"/>
                <w:lang w:val="en-US" w:eastAsia="zh-CN"/>
              </w:rPr>
              <w:t>18000</w:t>
            </w:r>
            <w:r>
              <w:rPr>
                <w:rFonts w:hint="eastAsia" w:cs="仿宋_GB2312" w:asciiTheme="minorEastAsia" w:hAnsiTheme="minorEastAsia"/>
                <w:color w:val="auto"/>
                <w:szCs w:val="21"/>
                <w:lang w:val="zh-CN"/>
              </w:rPr>
              <w:t>）</w:t>
            </w:r>
          </w:p>
          <w:p>
            <w:pPr>
              <w:tabs>
                <w:tab w:val="left" w:pos="1260"/>
              </w:tabs>
              <w:autoSpaceDE w:val="0"/>
              <w:autoSpaceDN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三、投标保证金缴纳方式：</w:t>
            </w:r>
          </w:p>
          <w:p>
            <w:pPr>
              <w:tabs>
                <w:tab w:val="left" w:pos="1260"/>
              </w:tabs>
              <w:autoSpaceDE w:val="0"/>
              <w:autoSpaceDN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1、投标人网上下载招标文件后，登录</w:t>
            </w:r>
            <w:r>
              <w:rPr>
                <w:color w:val="auto"/>
              </w:rPr>
              <w:fldChar w:fldCharType="begin"/>
            </w:r>
            <w:r>
              <w:rPr>
                <w:color w:val="auto"/>
              </w:rPr>
              <w:instrText xml:space="preserve"> HYPERLINK "http://221.14.6.70:8088/ggzy" </w:instrText>
            </w:r>
            <w:r>
              <w:rPr>
                <w:color w:val="auto"/>
              </w:rPr>
              <w:fldChar w:fldCharType="separate"/>
            </w:r>
            <w:r>
              <w:rPr>
                <w:rFonts w:hint="eastAsia" w:cs="仿宋_GB2312" w:asciiTheme="minorEastAsia" w:hAnsiTheme="minorEastAsia"/>
                <w:color w:val="auto"/>
                <w:szCs w:val="21"/>
                <w:lang w:val="zh-CN"/>
              </w:rPr>
              <w:t>http://221.14.6.70:8088/ggzy</w:t>
            </w:r>
            <w:r>
              <w:rPr>
                <w:rFonts w:hint="eastAsia" w:cs="仿宋_GB2312" w:asciiTheme="minorEastAsia" w:hAnsiTheme="minorEastAsia"/>
                <w:color w:val="auto"/>
                <w:szCs w:val="21"/>
                <w:lang w:val="zh-CN"/>
              </w:rPr>
              <w:fldChar w:fldCharType="end"/>
            </w:r>
            <w:r>
              <w:rPr>
                <w:rFonts w:hint="eastAsia" w:cs="仿宋_GB2312" w:asciiTheme="minorEastAsia" w:hAnsiTheme="minorEastAsia"/>
                <w:color w:val="auto"/>
                <w:szCs w:val="21"/>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color w:val="auto"/>
                <w:szCs w:val="21"/>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采购人澄清或修改</w:t>
            </w:r>
          </w:p>
          <w:p>
            <w:pPr>
              <w:autoSpaceDE w:val="0"/>
              <w:autoSpaceDN w:val="0"/>
              <w:adjustRightInd w:val="0"/>
              <w:spacing w:line="360" w:lineRule="auto"/>
              <w:jc w:val="center"/>
              <w:rPr>
                <w:rFonts w:cs="黑体" w:asciiTheme="minorEastAsia" w:hAnsiTheme="minorEastAsia"/>
                <w:color w:val="auto"/>
                <w:szCs w:val="21"/>
              </w:rPr>
            </w:pPr>
            <w:r>
              <w:rPr>
                <w:rFonts w:hint="eastAsia" w:cs="仿宋_GB2312" w:asciiTheme="minorEastAsia" w:hAnsiTheme="minorEastAsia"/>
                <w:color w:val="auto"/>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投标截止时间15日前（</w:t>
            </w:r>
            <w:r>
              <w:rPr>
                <w:rFonts w:hint="eastAsia" w:cs="仿宋_GB2312" w:asciiTheme="minorEastAsia" w:hAnsiTheme="minorEastAsia"/>
                <w:color w:val="auto"/>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投标人对采购文件</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auto"/>
                <w:szCs w:val="21"/>
              </w:rPr>
            </w:pPr>
            <w:r>
              <w:rPr>
                <w:rFonts w:ascii="新宋体" w:hAnsi="新宋体" w:eastAsia="新宋体"/>
                <w:b/>
                <w:color w:val="auto"/>
                <w:szCs w:val="21"/>
              </w:rPr>
              <w:fldChar w:fldCharType="begin"/>
            </w:r>
            <w:r>
              <w:rPr>
                <w:rFonts w:ascii="新宋体" w:hAnsi="新宋体" w:eastAsia="新宋体"/>
                <w:b/>
                <w:color w:val="auto"/>
                <w:szCs w:val="21"/>
              </w:rPr>
              <w:instrText xml:space="preserve"> </w:instrText>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电子投标文件：成功上传至《全国公共资源交易平台（河南省·许昌市）》公共资源交易系统加密电子投标文件1份</w:t>
            </w:r>
            <w:r>
              <w:rPr>
                <w:rFonts w:hint="eastAsia" w:hAnsi="宋体" w:cs="宋体"/>
                <w:color w:val="auto"/>
                <w:szCs w:val="21"/>
                <w:lang w:val="zh-CN"/>
              </w:rPr>
              <w:t>（文件格式为： XXX公司XXX项目编号.file）。</w:t>
            </w:r>
            <w:r>
              <w:rPr>
                <w:rFonts w:hint="eastAsia" w:ascii="新宋体" w:hAnsi="新宋体" w:eastAsia="新宋体"/>
                <w:color w:val="auto"/>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color w:val="auto"/>
                <w:szCs w:val="21"/>
              </w:rPr>
            </w:pPr>
            <w:r>
              <w:rPr>
                <w:rFonts w:ascii="新宋体" w:hAnsi="新宋体" w:eastAsia="新宋体"/>
                <w:b/>
                <w:color w:val="auto"/>
                <w:szCs w:val="21"/>
              </w:rPr>
              <w:fldChar w:fldCharType="begin"/>
            </w:r>
            <w:r>
              <w:rPr>
                <w:rFonts w:ascii="新宋体" w:hAnsi="新宋体" w:eastAsia="新宋体"/>
                <w:b/>
                <w:color w:val="auto"/>
                <w:szCs w:val="21"/>
              </w:rPr>
              <w:instrText xml:space="preserve"> </w:instrText>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纸质投标文件：</w:t>
            </w:r>
            <w:r>
              <w:rPr>
                <w:rFonts w:hint="eastAsia" w:cs="仿宋_GB2312" w:asciiTheme="minorEastAsia" w:hAnsiTheme="minorEastAsia"/>
                <w:color w:val="auto"/>
                <w:szCs w:val="21"/>
              </w:rPr>
              <w:t>正本</w:t>
            </w:r>
            <w:r>
              <w:rPr>
                <w:rFonts w:hint="eastAsia" w:cs="仿宋_GB2312" w:asciiTheme="minorEastAsia" w:hAnsiTheme="minorEastAsia"/>
                <w:b/>
                <w:color w:val="auto"/>
                <w:szCs w:val="21"/>
              </w:rPr>
              <w:t>一</w:t>
            </w:r>
            <w:r>
              <w:rPr>
                <w:rFonts w:hint="eastAsia" w:cs="仿宋_GB2312" w:asciiTheme="minorEastAsia" w:hAnsiTheme="minorEastAsia"/>
                <w:color w:val="auto"/>
                <w:szCs w:val="21"/>
              </w:rPr>
              <w:t>份，副本</w:t>
            </w:r>
            <w:r>
              <w:rPr>
                <w:rFonts w:hint="eastAsia" w:cs="仿宋_GB2312" w:asciiTheme="minorEastAsia" w:hAnsiTheme="minorEastAsia"/>
                <w:color w:val="auto"/>
                <w:szCs w:val="21"/>
                <w:u w:val="single"/>
                <w:lang w:eastAsia="zh-CN"/>
              </w:rPr>
              <w:t>一</w:t>
            </w:r>
            <w:r>
              <w:rPr>
                <w:rFonts w:hint="eastAsia" w:cs="仿宋_GB2312" w:asciiTheme="minorEastAsia" w:hAnsiTheme="minorEastAsia"/>
                <w:color w:val="auto"/>
                <w:szCs w:val="21"/>
              </w:rPr>
              <w:t>份。使用</w:t>
            </w:r>
            <w:r>
              <w:rPr>
                <w:rFonts w:hint="eastAsia" w:ascii="新宋体" w:hAnsi="新宋体" w:eastAsia="新宋体"/>
                <w:color w:val="auto"/>
                <w:szCs w:val="21"/>
              </w:rPr>
              <w:t>格式为“投标文件（供打印）.PDF”的文件</w:t>
            </w:r>
          </w:p>
          <w:p>
            <w:pPr>
              <w:autoSpaceDE w:val="0"/>
              <w:autoSpaceDN w:val="0"/>
              <w:adjustRightInd w:val="0"/>
              <w:spacing w:line="360" w:lineRule="auto"/>
              <w:rPr>
                <w:rFonts w:cs="宋体" w:asciiTheme="minorEastAsia" w:hAnsiTheme="minorEastAsia"/>
                <w:bCs/>
                <w:color w:val="auto"/>
                <w:szCs w:val="21"/>
                <w:highlight w:val="lightGray"/>
                <w:lang w:val="zh-CN"/>
              </w:rPr>
            </w:pPr>
            <w:r>
              <w:rPr>
                <w:rFonts w:hint="eastAsia" w:ascii="新宋体" w:hAnsi="新宋体" w:eastAsia="新宋体"/>
                <w:color w:val="auto"/>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投标文件的</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签署盖章</w:t>
            </w:r>
          </w:p>
        </w:tc>
        <w:tc>
          <w:tcPr>
            <w:tcW w:w="6813" w:type="dxa"/>
            <w:vAlign w:val="center"/>
          </w:tcPr>
          <w:p>
            <w:pPr>
              <w:autoSpaceDE w:val="0"/>
              <w:autoSpaceDN w:val="0"/>
              <w:adjustRightInd w:val="0"/>
              <w:spacing w:line="420" w:lineRule="exact"/>
              <w:rPr>
                <w:rFonts w:ascii="新宋体" w:hAnsi="新宋体" w:eastAsia="新宋体"/>
                <w:color w:val="auto"/>
                <w:szCs w:val="21"/>
              </w:rPr>
            </w:pPr>
            <w:r>
              <w:rPr>
                <w:rFonts w:ascii="新宋体" w:hAnsi="新宋体" w:eastAsia="新宋体"/>
                <w:b/>
                <w:color w:val="auto"/>
                <w:szCs w:val="21"/>
              </w:rPr>
              <w:fldChar w:fldCharType="begin"/>
            </w:r>
            <w:r>
              <w:rPr>
                <w:rFonts w:ascii="新宋体" w:hAnsi="新宋体" w:eastAsia="新宋体"/>
                <w:b/>
                <w:color w:val="auto"/>
                <w:szCs w:val="21"/>
              </w:rPr>
              <w:instrText xml:space="preserve"> </w:instrText>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color w:val="auto"/>
                <w:szCs w:val="21"/>
                <w:highlight w:val="lightGray"/>
              </w:rPr>
            </w:pPr>
            <w:r>
              <w:rPr>
                <w:rFonts w:ascii="新宋体" w:hAnsi="新宋体" w:eastAsia="新宋体"/>
                <w:b/>
                <w:color w:val="auto"/>
                <w:szCs w:val="21"/>
              </w:rPr>
              <w:fldChar w:fldCharType="begin"/>
            </w:r>
            <w:r>
              <w:rPr>
                <w:rFonts w:ascii="新宋体" w:hAnsi="新宋体" w:eastAsia="新宋体"/>
                <w:b/>
                <w:color w:val="auto"/>
                <w:szCs w:val="21"/>
              </w:rPr>
              <w:instrText xml:space="preserve"> </w:instrText>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纸质投标文件：投标文件封面加盖投标人公章（投标文件是指投标人电子投标文件制作完成后生成的后缀名为</w:t>
            </w:r>
            <w:r>
              <w:rPr>
                <w:rFonts w:hint="eastAsia" w:hAnsi="宋体"/>
                <w:color w:val="auto"/>
                <w:szCs w:val="21"/>
              </w:rPr>
              <w:t>“.PDF”的文件</w:t>
            </w:r>
            <w:r>
              <w:rPr>
                <w:rFonts w:hint="eastAsia" w:ascii="新宋体" w:hAnsi="新宋体" w:eastAsia="新宋体"/>
                <w:color w:val="auto"/>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TimesNewRomanPSMT" w:asciiTheme="minorEastAsia" w:hAnsiTheme="minorEastAsia"/>
                <w:color w:val="auto"/>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Cs w:val="21"/>
              </w:rPr>
            </w:pPr>
            <w:r>
              <w:rPr>
                <w:rFonts w:hint="eastAsia" w:cs="黑体" w:asciiTheme="minorEastAsia" w:hAnsiTheme="minorEastAsia"/>
                <w:color w:val="auto"/>
                <w:szCs w:val="21"/>
              </w:rPr>
              <w:t>评标委员会组建</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仿宋_GB2312" w:asciiTheme="minorEastAsia" w:hAnsiTheme="minorEastAsia"/>
                <w:color w:val="auto"/>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综合评分法</w:t>
            </w:r>
            <w:r>
              <w:rPr>
                <w:rFonts w:hint="eastAsia" w:cs="宋体" w:asciiTheme="minorEastAsia" w:hAnsiTheme="minorEastAsia"/>
                <w:color w:val="auto"/>
                <w:kern w:val="0"/>
                <w:szCs w:val="21"/>
                <w:lang w:val="zh-CN"/>
              </w:rPr>
              <w:t xml:space="preserve">  </w:t>
            </w:r>
            <w:r>
              <w:rPr>
                <w:rFonts w:hint="eastAsia" w:cs="宋体" w:asciiTheme="minorEastAsia" w:hAnsiTheme="minorEastAsia"/>
                <w:b/>
                <w:bCs/>
                <w:color w:val="auto"/>
                <w:szCs w:val="21"/>
                <w:lang w:val="zh-CN"/>
              </w:rPr>
              <w:t>□</w:t>
            </w:r>
            <w:r>
              <w:rPr>
                <w:rFonts w:hint="eastAsia" w:cs="仿宋_GB2312" w:asciiTheme="minorEastAsia" w:hAnsiTheme="minorEastAsia"/>
                <w:color w:val="auto"/>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无要求</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
                <w:bCs/>
                <w:color w:val="auto"/>
                <w:szCs w:val="21"/>
                <w:lang w:val="zh-CN"/>
              </w:rPr>
              <w:t>□</w:t>
            </w:r>
            <w:r>
              <w:rPr>
                <w:rFonts w:hint="eastAsia" w:cs="宋体" w:asciiTheme="minorEastAsia" w:hAnsiTheme="minorEastAsia"/>
                <w:color w:val="auto"/>
                <w:szCs w:val="21"/>
              </w:rPr>
              <w:t>要求提交。履约保证金的数额为合同金额的</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color w:val="auto"/>
                <w:szCs w:val="21"/>
                <w:lang w:val="zh-CN"/>
              </w:rPr>
            </w:pPr>
            <w:r>
              <w:rPr>
                <w:rFonts w:hint="eastAsia" w:cs="宋体" w:asciiTheme="minorEastAsia" w:hAnsiTheme="minorEastAsia"/>
                <w:b/>
                <w:bCs/>
                <w:color w:val="auto"/>
                <w:szCs w:val="21"/>
                <w:lang w:val="zh-CN"/>
              </w:rPr>
              <w:t>□</w:t>
            </w:r>
            <w:r>
              <w:rPr>
                <w:rFonts w:hint="eastAsia" w:cs="宋体" w:asciiTheme="minorEastAsia" w:hAnsiTheme="minorEastAsia"/>
                <w:bCs/>
                <w:color w:val="auto"/>
                <w:szCs w:val="21"/>
                <w:lang w:val="zh-CN"/>
              </w:rPr>
              <w:t>不收取</w:t>
            </w:r>
          </w:p>
          <w:p>
            <w:pPr>
              <w:autoSpaceDE w:val="0"/>
              <w:autoSpaceDN w:val="0"/>
              <w:spacing w:line="360" w:lineRule="auto"/>
              <w:contextualSpacing/>
              <w:rPr>
                <w:rFonts w:cs="宋体" w:asciiTheme="minorEastAsia" w:hAnsiTheme="minorEastAsia"/>
                <w:bCs/>
                <w:color w:val="auto"/>
                <w:szCs w:val="21"/>
                <w:lang w:val="zh-CN"/>
              </w:rPr>
            </w:pP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收取中标人。</w:t>
            </w:r>
            <w:r>
              <w:rPr>
                <w:rFonts w:hint="eastAsia" w:cs="宋体" w:asciiTheme="minorEastAsia" w:hAnsiTheme="minorEastAsia"/>
                <w:b/>
                <w:bCs/>
                <w:color w:val="auto"/>
                <w:szCs w:val="21"/>
                <w:lang w:val="zh-CN"/>
              </w:rPr>
              <w:t>□</w:t>
            </w:r>
            <w:r>
              <w:rPr>
                <w:rFonts w:hint="eastAsia" w:cs="宋体" w:asciiTheme="minorEastAsia" w:hAnsiTheme="minorEastAsia"/>
                <w:bCs/>
                <w:color w:val="auto"/>
                <w:szCs w:val="21"/>
                <w:lang w:val="zh-CN"/>
              </w:rPr>
              <w:t>收取采购人。</w:t>
            </w:r>
            <w:r>
              <w:rPr>
                <w:rFonts w:hint="eastAsia" w:cs="宋体" w:asciiTheme="minorEastAsia" w:hAnsiTheme="minorEastAsia"/>
                <w:color w:val="auto"/>
                <w:szCs w:val="21"/>
              </w:rPr>
              <w:t>收取标准:中标合同金额的</w:t>
            </w:r>
            <w:r>
              <w:rPr>
                <w:rFonts w:hint="eastAsia" w:cs="宋体" w:asciiTheme="minorEastAsia" w:hAnsiTheme="minorEastAsia"/>
                <w:color w:val="auto"/>
                <w:szCs w:val="21"/>
                <w:u w:val="single"/>
                <w:lang w:val="en-US" w:eastAsia="zh-CN"/>
              </w:rPr>
              <w:t>1.5</w:t>
            </w:r>
            <w:r>
              <w:rPr>
                <w:rFonts w:hint="eastAsia" w:cs="宋体" w:asciiTheme="minorEastAsia" w:hAnsiTheme="minorEastAsia"/>
                <w:color w:val="auto"/>
                <w:szCs w:val="21"/>
              </w:rPr>
              <w:t>%。一次性以银行划账、电汇、汇票或支票的形式支付。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中标人需提交</w:t>
            </w:r>
          </w:p>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中标人在接到中标通知时，须向代理机构发送投标报价及分项报价一览表（包含主要中标标的的名称、规格型号、数量、单价、服务要求等）电子文档，并同时通知代理机构联系人。代理机构邮箱：</w:t>
            </w:r>
            <w:r>
              <w:rPr>
                <w:rFonts w:hint="eastAsia" w:cs="宋体" w:asciiTheme="minorEastAsia" w:hAnsiTheme="minorEastAsia"/>
                <w:bCs/>
                <w:color w:val="auto"/>
                <w:szCs w:val="21"/>
                <w:lang w:val="en-US" w:eastAsia="zh-CN"/>
              </w:rPr>
              <w:t>614955098@qq.com</w:t>
            </w:r>
            <w:r>
              <w:rPr>
                <w:rFonts w:hint="eastAsia" w:cs="宋体" w:asciiTheme="minorEastAsia" w:hAnsiTheme="minorEastAsia"/>
                <w:bCs/>
                <w:color w:val="auto"/>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color w:val="auto"/>
                <w:szCs w:val="21"/>
                <w:lang w:val="zh-CN"/>
              </w:rPr>
            </w:pP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是。</w:t>
            </w:r>
            <w:r>
              <w:rPr>
                <w:rFonts w:hint="eastAsia" w:hAnsi="宋体" w:cs="宋体"/>
                <w:color w:val="auto"/>
                <w:szCs w:val="21"/>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color w:val="auto"/>
                <w:szCs w:val="21"/>
                <w:lang w:val="zh-CN"/>
              </w:rPr>
            </w:pPr>
            <w:r>
              <w:rPr>
                <w:rFonts w:hint="eastAsia" w:hAnsi="宋体" w:cs="宋体"/>
                <w:color w:val="auto"/>
                <w:szCs w:val="21"/>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36"/>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36"/>
        <w:autoSpaceDE w:val="0"/>
        <w:autoSpaceDN w:val="0"/>
        <w:spacing w:line="360" w:lineRule="auto"/>
        <w:ind w:left="780" w:firstLine="0" w:firstLineChars="0"/>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36"/>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“潜在投标人”指符合《中华人民共和国政府采购法》及相关法律法规和本招标文件的各项规定，且按照本项目招标公告及招标文件规定的方式获取招标文件的法人、其他组织或者自然人。</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“节能产品”或者“环保产品”：财政部发布的《节能产品政府采购清单》或者《环境标志产品政府采购清单》的产品。</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pStyle w:val="36"/>
        <w:numPr>
          <w:ilvl w:val="1"/>
          <w:numId w:val="7"/>
        </w:numPr>
        <w:autoSpaceDE w:val="0"/>
        <w:autoSpaceDN w:val="0"/>
        <w:spacing w:line="360" w:lineRule="auto"/>
        <w:ind w:left="1327" w:hanging="907" w:firstLineChars="0"/>
        <w:contextualSpacing/>
        <w:rPr>
          <w:rFonts w:cs="宋体" w:asciiTheme="minorEastAsia" w:hAnsiTheme="minorEastAsia"/>
          <w:kern w:val="0"/>
          <w:szCs w:val="21"/>
        </w:rPr>
      </w:pPr>
      <w:r>
        <w:rPr>
          <w:rFonts w:cs="宋体" w:asciiTheme="minorEastAsia" w:hAnsiTheme="minorEastAsia"/>
          <w:kern w:val="0"/>
          <w:szCs w:val="21"/>
        </w:rPr>
        <w:t>招标文件列明不允许或未列明允许进口产品参加投标的，均视为拒绝进口产品参加投标。</w:t>
      </w:r>
    </w:p>
    <w:p>
      <w:pPr>
        <w:pStyle w:val="36"/>
        <w:numPr>
          <w:ilvl w:val="1"/>
          <w:numId w:val="8"/>
        </w:numPr>
        <w:autoSpaceDE w:val="0"/>
        <w:autoSpaceDN w:val="0"/>
        <w:spacing w:line="360" w:lineRule="auto"/>
        <w:ind w:left="1327" w:hanging="907" w:firstLineChars="0"/>
        <w:contextualSpacing/>
        <w:rPr>
          <w:rFonts w:cs="宋体" w:asciiTheme="minorEastAsia" w:hAnsiTheme="minorEastAsia"/>
          <w:kern w:val="0"/>
          <w:szCs w:val="21"/>
        </w:rPr>
      </w:pP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招标文件中凡标有“★”的条款均系实质性要求条款。</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36"/>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政府采购严重违法失信行为记录名单（联合体形式投标的，联合体成员存在不良信用记录，视同联合体存在不良信用记录）。</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单位负责人为同一人或者存在直接控股、管理关系的不同供应商，不得参加同一合同项下的政府采购活动；</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除单一来源采购项目外，为采购项目提供整体设计、规范编制或者项目管理、监理、检测等服务的供应商，不得再参加该采购项目的其他采购活动。</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（1）在投标文件中向采购人提交联合体协议书，明确联合体各方承担的工作和义务；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（2）联合体中有同类资质的供应商按联合体分工承担相同工作的，应当按照资质等级较低的供应商确定资质等级；</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（3）招标人根据采购项目的特殊要求规定投标人特定条件的，联合体各方中至少应当有一方符合采购规定的特定条件。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（4）联合体各方不得再单独参加或者与其他供应商另外组成联合体参加同一合同项下的政府采购活动。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HYPERLINK "https://baike.baidu.com/item/%E6%89%BF%E6%8B%85%E8%BF%9E%E5%B8%A6%E8%B4%A3%E4%BB%BB" \t "_blank"</w:instrText>
      </w:r>
      <w:r>
        <w:fldChar w:fldCharType="separate"/>
      </w:r>
      <w:r>
        <w:rPr>
          <w:rFonts w:cs="宋体" w:asciiTheme="minorEastAsia" w:hAnsiTheme="minorEastAsia"/>
          <w:kern w:val="0"/>
          <w:szCs w:val="21"/>
        </w:rPr>
        <w:t>承担连带责任</w:t>
      </w:r>
      <w:r>
        <w:fldChar w:fldCharType="end"/>
      </w:r>
      <w:r>
        <w:rPr>
          <w:rFonts w:cs="宋体" w:asciiTheme="minorEastAsia" w:hAnsiTheme="minorEastAsia"/>
          <w:kern w:val="0"/>
          <w:szCs w:val="21"/>
        </w:rPr>
        <w:t>。</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36"/>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如采购人所采购产品为政府强制采购的节能产品，投标人所投产品的品牌及型号必须为《节能产品政府采购清单（投标截止时间前最新一期）》中的产品，并提供证明文件，否则其投标将被拒绝。</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投标人所投产品如被列入财政部与国家主管部门颁发的节能产品目录或环境标志产品目录，应提供相关证明，在评标时予以优先采购。</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pStyle w:val="36"/>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收取标准:按照中标合同金额的比例收取。详见投标人须知前附表。</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收取方式：一次性以银行划账、电汇、汇票或支票的形式支付。</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36"/>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36"/>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36"/>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36"/>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r>
        <w:rPr>
          <w:rFonts w:cs="宋体" w:asciiTheme="minorEastAsia" w:hAnsiTheme="minorEastAsia"/>
          <w:b/>
          <w:kern w:val="0"/>
          <w:szCs w:val="21"/>
        </w:rPr>
        <w:t xml:space="preserve"> </w:t>
      </w:r>
    </w:p>
    <w:p>
      <w:pPr>
        <w:pStyle w:val="36"/>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36"/>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投标有效期内投标人撤销投标文件的，招标人将不退还投标保证金。</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36"/>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投标人登录许昌公共资源交易系统下载“许昌投标文件制作系统SEARUN V1.0”，按招标文件要求根据所投标段制作电子投标文件。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36"/>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36"/>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投标保证金的缴纳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（1）投标人应按“投标人须知前附表”规定时间及金额提交投标保证金，并作为其投标的一部分。未按要求提交投标保证金的投标文件为无效投标。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（2）投标保证金用于避免和减少本次招标由于投标人的行为而给采购人带来的损失。</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（5）投标保证金缴纳方式：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投标人网上下载招标文件后，登录</w:t>
      </w:r>
      <w:r>
        <w:fldChar w:fldCharType="begin"/>
      </w:r>
      <w:r>
        <w:instrText xml:space="preserve">HYPERLINK "http://221.14.6.70:8088/ggzy"</w:instrText>
      </w:r>
      <w:r>
        <w:fldChar w:fldCharType="separate"/>
      </w:r>
      <w:r>
        <w:rPr>
          <w:rFonts w:hint="eastAsia" w:cs="宋体" w:asciiTheme="minorEastAsia" w:hAnsiTheme="minorEastAsia"/>
          <w:kern w:val="0"/>
          <w:szCs w:val="21"/>
        </w:rPr>
        <w:t>http://221.14.6.70:8088/ggzy</w:t>
      </w:r>
      <w:r>
        <w:fldChar w:fldCharType="end"/>
      </w:r>
      <w:r>
        <w:rPr>
          <w:rFonts w:hint="eastAsia" w:cs="宋体" w:asciiTheme="minorEastAsia" w:hAnsiTheme="minorEastAsia"/>
          <w:kern w:val="0"/>
          <w:szCs w:val="21"/>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成功缴纳后重新登录前述系统，依次点击“会员向导”→“参与投标”→“保证金绑定”→“绑定”进行投标保证金绑定。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《保证金缴纳绑定操作指南》获取方法：登录许昌公共资源交易系统-组件下载-《保证金缴纳绑定操作指南》。</w:t>
      </w:r>
    </w:p>
    <w:p>
      <w:pPr>
        <w:autoSpaceDE w:val="0"/>
        <w:autoSpaceDN w:val="0"/>
        <w:spacing w:line="360" w:lineRule="auto"/>
        <w:ind w:left="964"/>
        <w:contextualSpacing/>
        <w:rPr>
          <w:rFonts w:cs="仿宋_GB2312" w:asciiTheme="minorEastAsia" w:hAnsiTheme="minorEastAsia"/>
          <w:szCs w:val="21"/>
          <w:lang w:val="zh-CN"/>
        </w:rPr>
      </w:pPr>
      <w:r>
        <w:rPr>
          <w:rFonts w:hint="eastAsia" w:cs="宋体" w:asciiTheme="minorEastAsia" w:hAnsiTheme="minorEastAsia"/>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每个投标人每个项目每个标段只有唯一缴纳账号，切勿重复缴纳或错误缴纳。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投标人所提交的投标保证金仅限当次投标项目（标段）有效，不得重复替代使用。一个招标项目有多个标段或者有多个项目同时招标的，投标人必须按项目、标段分别提交投标保证金。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 不同投标人的投标保证金不得从同一单位或者个人的账户转出。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 未按上述规定操作引起的无效投标，由投标人自行负责。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（10） 汇款凭证无需备注项目编号和项目名称。</w:t>
      </w:r>
    </w:p>
    <w:p>
      <w:pPr>
        <w:pStyle w:val="36"/>
        <w:numPr>
          <w:ilvl w:val="1"/>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投标保证金的退还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退还投标保证金时，区别中标与否，按不同时序由银行按来款途径退还原账户。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自中标通知书发出之日起</w:t>
      </w:r>
      <w:r>
        <w:rPr>
          <w:rFonts w:cs="宋体" w:asciiTheme="minorEastAsia" w:hAnsiTheme="minorEastAsia"/>
          <w:kern w:val="0"/>
          <w:szCs w:val="21"/>
        </w:rPr>
        <w:t>5</w:t>
      </w:r>
      <w:r>
        <w:rPr>
          <w:rFonts w:hint="eastAsia" w:cs="宋体" w:asciiTheme="minorEastAsia" w:hAnsiTheme="minorEastAsia"/>
          <w:kern w:val="0"/>
          <w:szCs w:val="21"/>
        </w:rPr>
        <w:t>个工作日内退还未中标人的投标保证金。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自采购合同签订之日起</w:t>
      </w:r>
      <w:r>
        <w:rPr>
          <w:rFonts w:cs="宋体" w:asciiTheme="minorEastAsia" w:hAnsiTheme="minorEastAsia"/>
          <w:kern w:val="0"/>
          <w:szCs w:val="21"/>
        </w:rPr>
        <w:t>5</w:t>
      </w:r>
      <w:r>
        <w:rPr>
          <w:rFonts w:hint="eastAsia" w:cs="宋体" w:asciiTheme="minorEastAsia" w:hAnsiTheme="minorEastAsia"/>
          <w:kern w:val="0"/>
          <w:szCs w:val="21"/>
        </w:rPr>
        <w:t>个工作日内退还中标人的投标保证金。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因投标人自身原因无法及时退还投标保证金，滞留三年以上的，投标保证金上缴财政。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有下列情形之一的，投标保证金不予退还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投标有效期内投标人撤销投标文件的；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投标人在投标文件中提供虚假材料的；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除因不可抗力或招标文件认可的情形以外，中标人不与采购人签订合同的；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投标人与采购人、其他投标人或者采购代理机构恶意串通的；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e. 法律法规及招标文件规定的其他情形。</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36"/>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字样；一旦正本和副本内容不一致时，以正本为准。纸质投标文件的正本及所有副本的封面均须由投标人加盖投标人公章。</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四、投标文件的递交</w:t>
      </w: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投标文件的密封</w:t>
      </w:r>
    </w:p>
    <w:p>
      <w:pPr>
        <w:pStyle w:val="36"/>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投标人应将纸质投标文件“正本”、“ 副本”密封包装。使用电子介质存储的投标文件单独密封包装，并随纸质投标文件一并提交。</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36"/>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投标人必须在“投标邀请”和“投标人须知前附表”中规定的投标截止时间前，将所有投标文件送达招标文件指定的开标地点。</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招标人收到投标文件后，应当如实记载投标文件的送达时间和密封情况，签收保存，并向投标人出具签收回执。任何单位和个人不得在开标前开启投标文件。</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36"/>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投标人应当在投标截止时间前完成电子投标文件的提交，可以补充、修改或撤回。投标截止时间前未完成电子投标文件提交、取得“投标文件提交回执单”的，视为撤回投标文件。</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投标人在递交纸质投标文件后，可以撤回其投标，但投标人必须在规定的投标截止时间前以书面形式告知招标人。</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投标人不得在投标有效期内撤销投标文件，否则招标人将不退还其投标保证金。</w:t>
      </w:r>
    </w:p>
    <w:p>
      <w:pPr>
        <w:autoSpaceDE w:val="0"/>
        <w:autoSpaceDN w:val="0"/>
        <w:spacing w:line="360" w:lineRule="auto"/>
        <w:ind w:left="420"/>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36"/>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招标人将按招标文件规定的时间和地点组织公开开标。开标由代理机构主持，邀请投标人参加。评标委员会成员不得参加开标活动。</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（1）电子投标文件的解密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全流程电子化交易项目电子投标文件采用双重加密。解密需分标段进行两次解密。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投标人解密：投标人使用本单位CA数字证书远程或现场进行解密。需开标现场使用一体机进行解密的，请在代理机构引导下进行。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电子投标文件解密异常情况处理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因电子交易系统异常无法解密电子投标文件的，使用纸质投标文件以人工方式进行。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开标过程由采购代理机构负责记录，由参加开标的各投标人代表和相关工作人员签字确认后随采购文件一并存档。</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投标人未参加开标的，视同认可开标结果。</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pPr>
        <w:pStyle w:val="36"/>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采购项目符合下列情形之一的，评标委员会成员人数应当为7人以上单数：</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（1）采购预算金额在1000万元以上；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（2）技术复杂；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（3）社会影响较大。</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（1）参加采购活动前三年内,与供应商存在劳动关系,或者担任过供应商的董事、监事,或者是供应商的控股股东或实际控制人；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（3）与供应商有其他可能影响政府采购活动公平、公正进行的关系。</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36"/>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36"/>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（1）投标文件中开标一览表(报价表)内容与投标文件中相应内容不一致的，以开标一览表(报价表)为准；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（2）大写金额和小写金额不一致的，以大写金额为准；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单价金额小数点或者百分比有明显错位的，以开标一览表的总价为准，并修改单价；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36"/>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（1）未按照招标文件的规定提交投标保证金的；</w:t>
      </w:r>
      <w:r>
        <w:rPr>
          <w:rFonts w:cs="宋体" w:asciiTheme="minorEastAsia" w:hAnsiTheme="minorEastAsia"/>
          <w:kern w:val="0"/>
          <w:szCs w:val="21"/>
        </w:rPr>
        <w:t xml:space="preserve">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投标文件未按招标文件要求签署、盖章的；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不具备招标文件中规定的资格要求的；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报价超过招标文件中规定的预算金额或者最高限价的；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（5） </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不同投标人的投标文件由同一单位或者个人编制；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不同投标人委托同一单位或者个人办理投标事宜；</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不同投标人的投标文件异常一致或者投标报价呈规律性差异；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不同投标人的投标文件相互混装；</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不同投标人的投标保证金从同一单位或者个人的账户转出。</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法律、法规和招标文件规定的其他无效情形。</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p>
    <w:p>
      <w:pPr>
        <w:pStyle w:val="36"/>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36"/>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最低评标价法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最低评标价法，是指投标文件满足招标文件全部实质性要求，且投标报价最低的投标人为中标候选人的评标方法。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综合评分法，是指投标文件满足招标文件全部实质性要求，且按照评审因素的量化指标评审得分最高的投标人为中标候选人的评标方法。</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评标过程中，不得去掉报价中的最高报价和最低报价。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因落实政府采购政策进行价格调整的，以调整后的价格计算评标基准价和投标报价。</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36"/>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确定参与评标至评标结束前私自接触投标人；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违反评标纪律发表倾向性意见或者征询采购人的倾向性意见；</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对需要专业判断的主观评审因素协商评分；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在评标过程中擅离职守，影响评标程序正常进行的；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记录、复制或者带走任何评标资料；</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其他不遵守评标纪律的行为。</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36"/>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36"/>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36"/>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36"/>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供应商认为采购文件、采购过程和中标结果使自己的权益受到损害的，可以依法向采购人、采购代理机构提出质疑。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通过《全国公共资源交易平台（河南省·许昌市）》一次性提出，如未提出视为全面接受；</w:t>
      </w:r>
      <w:r>
        <w:rPr>
          <w:rFonts w:hint="eastAsia" w:cs="宋体" w:asciiTheme="minorEastAsia" w:hAnsiTheme="minorEastAsia"/>
          <w:kern w:val="0"/>
          <w:szCs w:val="21"/>
        </w:rPr>
        <w:br w:type="textWrapping"/>
      </w:r>
      <w:r>
        <w:rPr>
          <w:rFonts w:hint="eastAsia" w:cs="宋体" w:asciiTheme="minorEastAsia" w:hAnsiTheme="minorEastAsia"/>
          <w:kern w:val="0"/>
          <w:szCs w:val="21"/>
        </w:rPr>
        <w:t>（2） 对采购过程提出质疑的，为各采购程序环节结束之日起七个工作日内，以书面形式向采购人和采购代理机构一次性提出；</w:t>
      </w:r>
      <w:r>
        <w:rPr>
          <w:rFonts w:hint="eastAsia" w:cs="宋体" w:asciiTheme="minorEastAsia" w:hAnsiTheme="minorEastAsia"/>
          <w:kern w:val="0"/>
          <w:szCs w:val="21"/>
        </w:rPr>
        <w:br w:type="textWrapping"/>
      </w:r>
      <w:r>
        <w:rPr>
          <w:rFonts w:hint="eastAsia" w:cs="宋体" w:asciiTheme="minorEastAsia" w:hAnsiTheme="minorEastAsia"/>
          <w:kern w:val="0"/>
          <w:szCs w:val="21"/>
        </w:rPr>
        <w:t>（3） 对中标结果提出质疑的，为中标结果公告期限届满之日起七个工作日内，以书面形式向采购人和采购代理机构一次性提出。</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（2） </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3"/>
        <w:spacing w:line="360" w:lineRule="auto"/>
        <w:ind w:firstLine="420" w:firstLineChars="200"/>
        <w:contextualSpacing/>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sz w:val="21"/>
          <w:szCs w:val="21"/>
        </w:rPr>
        <w:t>并加盖投标人公章的原件扫描件（或图片）</w:t>
      </w:r>
      <w:r>
        <w:rPr>
          <w:rFonts w:hint="eastAsia" w:cs="仿宋_GB2312" w:asciiTheme="minorEastAsia" w:hAnsiTheme="minorEastAsia" w:eastAsiaTheme="minorEastAsia"/>
          <w:sz w:val="21"/>
          <w:szCs w:val="21"/>
          <w:lang w:val="zh-CN"/>
        </w:rPr>
        <w:t>。投标人所投其他产品若属于“节能产品政府采购清单”优先采购产品，在同等条件下，优先采购清单中的产品。</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3、对于同时列入环保清单和节能产品政府采购清单的产品，应当优先于只列入其中一个清单的产品。</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4、上述“节能产品政府采购清单”、“环境标志产品政府采购清单”，在采购公告发布前已经过期的以及尚在公示期的均不得作为评标时的依据。</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二、促进中小企业发展</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0" w:name="OLE_LINK6"/>
      <w:r>
        <w:rPr>
          <w:rFonts w:hint="eastAsia" w:cs="仿宋_GB2312" w:asciiTheme="minorEastAsia" w:hAnsiTheme="minorEastAsia"/>
          <w:szCs w:val="21"/>
          <w:lang w:val="zh-CN"/>
        </w:rPr>
        <w:t>财库[2014]68号</w:t>
      </w:r>
      <w:bookmarkEnd w:id="0"/>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eastAsiaTheme="minorEastAsia"/>
          <w:b/>
          <w:sz w:val="21"/>
          <w:szCs w:val="21"/>
          <w:lang w:val="zh-CN"/>
        </w:rPr>
      </w:pPr>
      <w:r>
        <w:rPr>
          <w:rFonts w:cs="仿宋_GB2312" w:asciiTheme="minorEastAsia" w:hAnsiTheme="minorEastAsia" w:eastAsiaTheme="minorEastAsia"/>
          <w:b/>
          <w:sz w:val="21"/>
          <w:szCs w:val="21"/>
          <w:lang w:val="zh-CN"/>
        </w:rPr>
        <w:t>一、资格审查</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（一）</w:t>
      </w:r>
      <w:r>
        <w:rPr>
          <w:rFonts w:cs="仿宋_GB2312" w:asciiTheme="minorEastAsia" w:hAnsiTheme="minorEastAsia" w:eastAsiaTheme="minorEastAsia"/>
          <w:sz w:val="21"/>
          <w:szCs w:val="21"/>
          <w:lang w:val="zh-CN"/>
        </w:rPr>
        <w:t>开标结束后，</w:t>
      </w:r>
      <w:r>
        <w:rPr>
          <w:rFonts w:hint="eastAsia" w:cs="仿宋_GB2312" w:asciiTheme="minorEastAsia" w:hAnsiTheme="minorEastAsia" w:eastAsiaTheme="minorEastAsia"/>
          <w:sz w:val="21"/>
          <w:szCs w:val="21"/>
          <w:lang w:val="zh-CN"/>
        </w:rPr>
        <w:t>采购人依法对投标人资格进行审查</w:t>
      </w:r>
      <w:r>
        <w:rPr>
          <w:rFonts w:cs="仿宋_GB2312" w:asciiTheme="minorEastAsia" w:hAnsiTheme="minorEastAsia" w:eastAsiaTheme="minorEastAsia"/>
          <w:sz w:val="21"/>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4"/>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Cs w:val="21"/>
              </w:rPr>
            </w:pPr>
            <w:r>
              <w:rPr>
                <w:rFonts w:hint="eastAsia" w:asciiTheme="minorEastAsia" w:hAnsiTheme="minorEastAsia"/>
                <w:b/>
                <w:szCs w:val="21"/>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Cs w:val="21"/>
              </w:rPr>
            </w:pPr>
            <w:r>
              <w:rPr>
                <w:rFonts w:hint="eastAsia" w:asciiTheme="minorEastAsia" w:hAnsiTheme="minorEastAsia"/>
                <w:b/>
                <w:bCs/>
                <w:szCs w:val="21"/>
              </w:rPr>
              <w:t>2、法人或者其他组织的营业执照等证明文件，自然人的身份证明</w:t>
            </w:r>
          </w:p>
          <w:p>
            <w:pPr>
              <w:spacing w:line="360" w:lineRule="auto"/>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rPr>
                <w:rFonts w:asciiTheme="minorEastAsia" w:hAnsiTheme="minorEastAsia"/>
                <w:bCs/>
                <w:szCs w:val="21"/>
              </w:rPr>
            </w:pPr>
            <w:r>
              <w:rPr>
                <w:rFonts w:hint="eastAsia" w:asciiTheme="minorEastAsia" w:hAnsiTheme="minorEastAsia"/>
                <w:bCs/>
                <w:szCs w:val="21"/>
              </w:rPr>
              <w:t>（3）执业许可证。（非专业服务机构投标提供）</w:t>
            </w:r>
          </w:p>
          <w:p>
            <w:pPr>
              <w:spacing w:line="360" w:lineRule="auto"/>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rPr>
                <w:rFonts w:asciiTheme="minorEastAsia" w:hAnsiTheme="minorEastAsia"/>
                <w:b/>
                <w:szCs w:val="21"/>
              </w:rPr>
            </w:pPr>
            <w:r>
              <w:rPr>
                <w:rFonts w:hint="eastAsia" w:asciiTheme="minorEastAsia" w:hAnsiTheme="minorEastAsia"/>
                <w:bCs/>
                <w:szCs w:val="21"/>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Cs w:val="21"/>
              </w:rPr>
            </w:pPr>
            <w:r>
              <w:rPr>
                <w:rFonts w:hint="eastAsia" w:asciiTheme="minorEastAsia" w:hAnsiTheme="minorEastAsia"/>
                <w:b/>
                <w:bCs/>
                <w:szCs w:val="21"/>
              </w:rPr>
              <w:t>3、财务状况报告相关材料</w:t>
            </w:r>
          </w:p>
          <w:p>
            <w:pPr>
              <w:spacing w:line="360" w:lineRule="auto"/>
              <w:rPr>
                <w:rFonts w:asciiTheme="minorEastAsia" w:hAnsiTheme="minorEastAsia"/>
                <w:bCs/>
                <w:szCs w:val="21"/>
              </w:rPr>
            </w:pPr>
            <w:r>
              <w:rPr>
                <w:rFonts w:hint="eastAsia" w:asciiTheme="minorEastAsia" w:hAnsiTheme="minorEastAsia"/>
                <w:bCs/>
                <w:szCs w:val="21"/>
              </w:rPr>
              <w:t>（1）2016年度经审计的财务报告，包括资产负债表、利润表、现金流量表、所有者权益变动表及其附注；</w:t>
            </w:r>
            <w:r>
              <w:rPr>
                <w:rFonts w:hint="eastAsia" w:asciiTheme="minorEastAsia" w:hAnsiTheme="minorEastAsia"/>
                <w:bCs/>
                <w:color w:val="FF0000"/>
                <w:szCs w:val="21"/>
              </w:rPr>
              <w:t>或</w:t>
            </w:r>
            <w:r>
              <w:rPr>
                <w:rFonts w:hint="eastAsia" w:asciiTheme="minorEastAsia" w:hAnsiTheme="minorEastAsia"/>
                <w:bCs/>
                <w:szCs w:val="21"/>
              </w:rPr>
              <w:t>基本开户银行出具的资信证明；</w:t>
            </w:r>
            <w:r>
              <w:rPr>
                <w:rFonts w:hint="eastAsia" w:asciiTheme="minorEastAsia" w:hAnsiTheme="minorEastAsia"/>
                <w:bCs/>
                <w:color w:val="FF0000"/>
                <w:szCs w:val="21"/>
              </w:rPr>
              <w:t>或</w:t>
            </w:r>
            <w:r>
              <w:rPr>
                <w:rFonts w:hint="eastAsia" w:asciiTheme="minorEastAsia" w:hAnsiTheme="minorEastAsia"/>
                <w:bCs/>
                <w:szCs w:val="21"/>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Cs w:val="21"/>
              </w:rPr>
            </w:pPr>
            <w:r>
              <w:rPr>
                <w:rFonts w:hint="eastAsia" w:asciiTheme="minorEastAsia" w:hAnsiTheme="minorEastAsia"/>
                <w:bCs/>
                <w:szCs w:val="21"/>
              </w:rPr>
              <w:t>（2）银行出具的资信证明；</w:t>
            </w:r>
            <w:r>
              <w:rPr>
                <w:rFonts w:hint="eastAsia" w:asciiTheme="minorEastAsia" w:hAnsiTheme="minorEastAsia"/>
                <w:bCs/>
                <w:color w:val="FF0000"/>
                <w:szCs w:val="21"/>
              </w:rPr>
              <w:t>或</w:t>
            </w:r>
            <w:r>
              <w:rPr>
                <w:rFonts w:hint="eastAsia" w:asciiTheme="minorEastAsia" w:hAnsiTheme="minorEastAsia"/>
                <w:bCs/>
                <w:szCs w:val="21"/>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Cs w:val="21"/>
              </w:rPr>
            </w:pPr>
            <w:r>
              <w:rPr>
                <w:rFonts w:hint="eastAsia" w:asciiTheme="minorEastAsia" w:hAnsiTheme="minorEastAsia"/>
                <w:b/>
                <w:bCs/>
                <w:szCs w:val="21"/>
              </w:rPr>
              <w:t>4、依法缴纳税收相关材料</w:t>
            </w:r>
          </w:p>
          <w:p>
            <w:pPr>
              <w:spacing w:line="360" w:lineRule="auto"/>
              <w:rPr>
                <w:rFonts w:asciiTheme="minorEastAsia" w:hAnsiTheme="minorEastAsia"/>
                <w:b/>
                <w:szCs w:val="21"/>
              </w:rPr>
            </w:pPr>
            <w:r>
              <w:rPr>
                <w:rFonts w:hint="eastAsia" w:asciiTheme="minorEastAsia" w:hAnsiTheme="minorEastAsia"/>
                <w:bCs/>
                <w:szCs w:val="21"/>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Cs w:val="21"/>
              </w:rPr>
            </w:pPr>
            <w:r>
              <w:rPr>
                <w:rFonts w:hint="eastAsia" w:asciiTheme="minorEastAsia" w:hAnsiTheme="minorEastAsia"/>
                <w:b/>
                <w:bCs/>
                <w:szCs w:val="21"/>
              </w:rPr>
              <w:t>5、依法缴纳社会保障资金的证明材料</w:t>
            </w:r>
          </w:p>
          <w:p>
            <w:pPr>
              <w:spacing w:line="360" w:lineRule="auto"/>
              <w:rPr>
                <w:rFonts w:asciiTheme="minorEastAsia" w:hAnsiTheme="minorEastAsia"/>
                <w:bCs/>
                <w:szCs w:val="21"/>
              </w:rPr>
            </w:pPr>
            <w:r>
              <w:rPr>
                <w:rFonts w:hint="eastAsia" w:asciiTheme="minorEastAsia" w:hAnsiTheme="minorEastAsia"/>
                <w:bCs/>
                <w:szCs w:val="21"/>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Cs w:val="21"/>
              </w:rPr>
            </w:pPr>
            <w:r>
              <w:rPr>
                <w:rFonts w:hint="eastAsia" w:asciiTheme="minorEastAsia" w:hAnsiTheme="minorEastAsia"/>
                <w:b/>
                <w:bCs/>
                <w:szCs w:val="21"/>
              </w:rPr>
              <w:t>6、履行合同所必须的设备和专业技术能力的证明材料</w:t>
            </w:r>
          </w:p>
          <w:p>
            <w:pPr>
              <w:spacing w:line="360" w:lineRule="auto"/>
              <w:rPr>
                <w:rFonts w:asciiTheme="minorEastAsia" w:hAnsiTheme="minorEastAsia"/>
                <w:b/>
                <w:szCs w:val="21"/>
              </w:rPr>
            </w:pPr>
            <w:r>
              <w:rPr>
                <w:rFonts w:hint="eastAsia" w:asciiTheme="minorEastAsia" w:hAnsiTheme="minorEastAsia"/>
                <w:bCs/>
                <w:szCs w:val="21"/>
              </w:rPr>
              <w:t>相关设备的购置发票、专业技术人员职称证书、用工合同等</w:t>
            </w:r>
            <w:r>
              <w:rPr>
                <w:rFonts w:hint="eastAsia" w:asciiTheme="minorEastAsia" w:hAnsiTheme="minorEastAsia"/>
                <w:bCs/>
                <w:color w:val="FF0000"/>
                <w:szCs w:val="21"/>
              </w:rPr>
              <w:t>或者</w:t>
            </w:r>
            <w:r>
              <w:rPr>
                <w:rFonts w:hint="eastAsia" w:asciiTheme="minorEastAsia" w:hAnsiTheme="minorEastAsia"/>
                <w:bCs/>
                <w:szCs w:val="21"/>
              </w:rPr>
              <w:t>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Cs w:val="21"/>
              </w:rPr>
            </w:pPr>
            <w:r>
              <w:rPr>
                <w:rFonts w:hint="eastAsia" w:asciiTheme="minorEastAsia" w:hAnsiTheme="minorEastAsia"/>
                <w:b/>
                <w:bCs/>
                <w:szCs w:val="21"/>
              </w:rPr>
              <w:t>7、参加政府采购活动前3年内在经营活动中没有重大违法记录的声明</w:t>
            </w:r>
          </w:p>
          <w:p>
            <w:pPr>
              <w:spacing w:line="360" w:lineRule="auto"/>
              <w:rPr>
                <w:rFonts w:asciiTheme="minorEastAsia" w:hAnsiTheme="minorEastAsia"/>
                <w:bCs/>
                <w:szCs w:val="21"/>
              </w:rPr>
            </w:pP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Cs w:val="21"/>
              </w:rPr>
            </w:pPr>
            <w:r>
              <w:rPr>
                <w:rFonts w:hint="eastAsia" w:asciiTheme="minorEastAsia" w:hAnsiTheme="minorEastAsia"/>
                <w:b/>
                <w:bCs/>
                <w:szCs w:val="21"/>
              </w:rPr>
              <w:t>8、</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(www.ccgp.gov.cn)政府采购严重违法失信行为记录名单的投标人</w:t>
            </w:r>
            <w:r>
              <w:rPr>
                <w:rFonts w:hint="eastAsia" w:asciiTheme="minorEastAsia" w:hAnsiTheme="minorEastAsia"/>
                <w:b/>
                <w:bCs/>
                <w:szCs w:val="21"/>
              </w:rPr>
              <w:t>。</w:t>
            </w:r>
          </w:p>
          <w:p>
            <w:pPr>
              <w:spacing w:line="360" w:lineRule="auto"/>
              <w:rPr>
                <w:rFonts w:asciiTheme="minorEastAsia" w:hAnsiTheme="minorEastAsia"/>
                <w:bCs/>
                <w:szCs w:val="21"/>
              </w:rPr>
            </w:pPr>
            <w:r>
              <w:rPr>
                <w:rFonts w:hint="eastAsia" w:asciiTheme="minorEastAsia" w:hAnsiTheme="minorEastAsia"/>
                <w:bCs/>
                <w:szCs w:val="21"/>
              </w:rPr>
              <w:t>注：政府采购活动中查询及使用投标人信用记录的具体要求为：投标人未被列入失信被执行人、重大税收违法案件当事人名单、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、政府采购严重违法失信行为记录名单（联合体形式投标的，联合体成员存在不良信用记录，视同联合体存在不良信用记录）。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（1）查询渠道：“信用中国”网站（www.creditchina.gov.cn）和“中国政府采购网”（www.ccgp.gov.cn）；</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Cs w:val="21"/>
              </w:rPr>
            </w:pPr>
            <w:r>
              <w:rPr>
                <w:rFonts w:hint="eastAsia" w:asciiTheme="minorEastAsia" w:hAnsiTheme="minorEastAsia"/>
                <w:bCs/>
                <w:szCs w:val="21"/>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Cs w:val="21"/>
                <w:lang w:val="zh-CN"/>
              </w:rPr>
            </w:pPr>
            <w:r>
              <w:rPr>
                <w:rFonts w:hint="eastAsia" w:asciiTheme="minorEastAsia" w:hAnsiTheme="minorEastAsia"/>
                <w:b/>
                <w:bCs/>
                <w:szCs w:val="21"/>
              </w:rPr>
              <w:t>9、</w:t>
            </w:r>
            <w:r>
              <w:rPr>
                <w:rFonts w:hint="eastAsia" w:cs="仿宋_GB2312" w:asciiTheme="minorEastAsia" w:hAnsiTheme="minorEastAsia"/>
                <w:b/>
                <w:szCs w:val="21"/>
                <w:lang w:val="zh-CN"/>
              </w:rPr>
              <w:t>报价</w:t>
            </w:r>
          </w:p>
          <w:p>
            <w:pPr>
              <w:spacing w:line="360" w:lineRule="auto"/>
              <w:rPr>
                <w:rFonts w:asciiTheme="minorEastAsia" w:hAnsiTheme="minorEastAsia"/>
                <w:b/>
                <w:bCs/>
                <w:szCs w:val="21"/>
              </w:rPr>
            </w:pPr>
            <w:r>
              <w:rPr>
                <w:rFonts w:hint="eastAsia" w:cs="仿宋_GB2312" w:asciiTheme="minorEastAsia" w:hAnsiTheme="minorEastAsia"/>
                <w:szCs w:val="21"/>
                <w:lang w:val="zh-CN"/>
              </w:rPr>
              <w:t>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Cs w:val="21"/>
              </w:rPr>
            </w:pPr>
            <w:r>
              <w:rPr>
                <w:rFonts w:hint="eastAsia" w:asciiTheme="minorEastAsia" w:hAnsiTheme="minorEastAsia"/>
                <w:b/>
                <w:bCs/>
                <w:szCs w:val="21"/>
              </w:rPr>
              <w:t>10、联合体协议</w:t>
            </w:r>
          </w:p>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Cs w:val="21"/>
              </w:rPr>
            </w:pPr>
            <w:r>
              <w:rPr>
                <w:rFonts w:hint="eastAsia" w:asciiTheme="minorEastAsia" w:hAnsiTheme="minorEastAsia"/>
                <w:b/>
                <w:szCs w:val="21"/>
              </w:rPr>
              <w:t>11、投标保证金</w:t>
            </w:r>
          </w:p>
          <w:p>
            <w:pPr>
              <w:spacing w:line="360" w:lineRule="auto"/>
              <w:rPr>
                <w:rFonts w:asciiTheme="minorEastAsia" w:hAnsiTheme="minorEastAsia"/>
                <w:szCs w:val="21"/>
              </w:rPr>
            </w:pPr>
            <w:r>
              <w:rPr>
                <w:rFonts w:hint="eastAsia" w:asciiTheme="minorEastAsia" w:hAnsiTheme="minorEastAsia"/>
                <w:szCs w:val="21"/>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12、法定代表人身份证明或提供法定代表人授权委托书及被授权人身份证明。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hint="eastAsia" w:asciiTheme="minorEastAsia" w:hAnsiTheme="minorEastAsia" w:eastAsiaTheme="minorEastAsia"/>
                <w:b/>
                <w:szCs w:val="21"/>
                <w:lang w:val="en-US" w:eastAsia="zh-CN"/>
              </w:rPr>
            </w:pPr>
            <w:r>
              <w:rPr>
                <w:rFonts w:hint="eastAsia" w:asciiTheme="minorEastAsia" w:hAnsiTheme="minorEastAsia"/>
                <w:b/>
                <w:szCs w:val="21"/>
                <w:lang w:val="en-US" w:eastAsia="zh-CN"/>
              </w:rPr>
              <w:t>13、投标单位必须是中华人民共和国境内注册、具有独立法人资格的安全生产中介服务机构（外省企业需在豫备案）。</w:t>
            </w:r>
            <w:bookmarkStart w:id="9" w:name="_GoBack"/>
            <w:bookmarkEnd w:id="9"/>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3"/>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投标人所投其他产品若属于“节能产品政府采购清单”优先采购产品，</w:t>
      </w:r>
      <w:r>
        <w:rPr>
          <w:rFonts w:hint="eastAsia" w:cs="仿宋_GB2312" w:asciiTheme="minorEastAsia" w:hAnsiTheme="minorEastAsia"/>
          <w:sz w:val="21"/>
          <w:szCs w:val="21"/>
          <w:lang w:val="zh-CN"/>
        </w:rPr>
        <w:t>投标文件中须提供最新一期《节能产品政府采购清单》中产品所在页并加盖投标人公章的原件扫描件（或图片），评标委员会根据本项目评标标准予以判定并赋分。</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sz w:val="21"/>
          <w:szCs w:val="21"/>
          <w:lang w:val="zh-CN"/>
        </w:rPr>
        <w:t>评标委员会根据本项目评标标准予以判定并赋分。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关于相同品牌产品</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（4）关于强制性产品认证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）产品查询结果截图并加盖投标人公章或中国信息安全认证中心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（5）投标无效情形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（6）评标标准</w:t>
      </w:r>
    </w:p>
    <w:tbl>
      <w:tblPr>
        <w:tblStyle w:val="24"/>
        <w:tblW w:w="89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3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1762" w:type="dxa"/>
            <w:vAlign w:val="center"/>
          </w:tcPr>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分值构成</w:t>
            </w:r>
          </w:p>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(总分100分)</w:t>
            </w:r>
          </w:p>
        </w:tc>
        <w:tc>
          <w:tcPr>
            <w:tcW w:w="7204" w:type="dxa"/>
            <w:gridSpan w:val="2"/>
            <w:vAlign w:val="center"/>
          </w:tcPr>
          <w:p>
            <w:pPr>
              <w:spacing w:line="360" w:lineRule="auto"/>
              <w:rPr>
                <w:rFonts w:ascii="宋体" w:hAnsi="宋体" w:eastAsia="宋体" w:cs="宋体"/>
                <w:color w:val="000000" w:themeColor="text1"/>
                <w:szCs w:val="21"/>
              </w:rPr>
            </w:pPr>
            <w:r>
              <w:rPr>
                <w:rFonts w:hint="eastAsia" w:ascii="宋体" w:hAnsi="宋体" w:eastAsia="宋体" w:cs="宋体"/>
                <w:color w:val="000000" w:themeColor="text1"/>
                <w:szCs w:val="21"/>
              </w:rPr>
              <w:t>价格分值：30分</w:t>
            </w:r>
          </w:p>
          <w:p>
            <w:pPr>
              <w:spacing w:line="360" w:lineRule="auto"/>
              <w:rPr>
                <w:rFonts w:ascii="宋体" w:hAnsi="宋体" w:eastAsia="宋体" w:cs="宋体"/>
                <w:color w:val="000000" w:themeColor="text1"/>
                <w:szCs w:val="21"/>
              </w:rPr>
            </w:pPr>
            <w:r>
              <w:rPr>
                <w:rFonts w:hint="eastAsia" w:ascii="宋体" w:hAnsi="宋体" w:eastAsia="宋体" w:cs="宋体"/>
                <w:color w:val="000000" w:themeColor="text1"/>
                <w:szCs w:val="21"/>
              </w:rPr>
              <w:t>商务部分：30分</w:t>
            </w:r>
          </w:p>
          <w:p>
            <w:pPr>
              <w:spacing w:line="360" w:lineRule="auto"/>
              <w:rPr>
                <w:rFonts w:ascii="宋体" w:hAnsi="宋体" w:eastAsia="宋体" w:cs="宋体"/>
                <w:color w:val="000000" w:themeColor="text1"/>
                <w:szCs w:val="21"/>
              </w:rPr>
            </w:pPr>
            <w:r>
              <w:rPr>
                <w:rFonts w:hint="eastAsia" w:ascii="宋体" w:hAnsi="宋体" w:eastAsia="宋体" w:cs="宋体"/>
                <w:color w:val="000000" w:themeColor="text1"/>
                <w:szCs w:val="21"/>
              </w:rPr>
              <w:t>技术部分：40分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966" w:type="dxa"/>
            <w:gridSpan w:val="3"/>
            <w:tcBorders>
              <w:bottom w:val="single" w:color="auto" w:sz="4" w:space="0"/>
            </w:tcBorders>
            <w:vAlign w:val="center"/>
          </w:tcPr>
          <w:p>
            <w:pPr>
              <w:spacing w:line="360" w:lineRule="auto"/>
              <w:rPr>
                <w:rFonts w:ascii="宋体" w:hAnsi="宋体" w:eastAsia="宋体" w:cs="宋体"/>
                <w:color w:val="000000" w:themeColor="text1"/>
                <w:szCs w:val="21"/>
              </w:rPr>
            </w:pPr>
            <w:r>
              <w:rPr>
                <w:rFonts w:hint="eastAsia" w:ascii="宋体" w:hAnsi="宋体" w:eastAsia="宋体" w:cs="宋体"/>
                <w:color w:val="000000" w:themeColor="text1"/>
                <w:szCs w:val="21"/>
              </w:rPr>
              <w:t>价格部分（满分30分）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62" w:type="dxa"/>
            <w:tcBorders>
              <w:top w:val="single" w:color="auto" w:sz="4" w:space="0"/>
            </w:tcBorders>
            <w:vAlign w:val="center"/>
          </w:tcPr>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评分因素</w:t>
            </w:r>
          </w:p>
        </w:tc>
        <w:tc>
          <w:tcPr>
            <w:tcW w:w="6237" w:type="dxa"/>
            <w:tcBorders>
              <w:top w:val="single" w:color="auto" w:sz="4" w:space="0"/>
            </w:tcBorders>
            <w:vAlign w:val="center"/>
          </w:tcPr>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评标标准</w:t>
            </w:r>
          </w:p>
        </w:tc>
        <w:tc>
          <w:tcPr>
            <w:tcW w:w="967" w:type="dxa"/>
            <w:tcBorders>
              <w:top w:val="single" w:color="auto" w:sz="4" w:space="0"/>
            </w:tcBorders>
            <w:vAlign w:val="center"/>
          </w:tcPr>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trPr>
        <w:tc>
          <w:tcPr>
            <w:tcW w:w="1762" w:type="dxa"/>
            <w:tcBorders>
              <w:top w:val="single" w:color="auto" w:sz="4" w:space="0"/>
            </w:tcBorders>
            <w:vAlign w:val="center"/>
          </w:tcPr>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投标报价</w:t>
            </w:r>
          </w:p>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评分标准</w:t>
            </w:r>
          </w:p>
        </w:tc>
        <w:tc>
          <w:tcPr>
            <w:tcW w:w="6237" w:type="dxa"/>
            <w:tcBorders>
              <w:top w:val="single" w:color="auto" w:sz="4" w:space="0"/>
            </w:tcBorders>
            <w:vAlign w:val="center"/>
          </w:tcPr>
          <w:p>
            <w:pPr>
              <w:spacing w:line="360" w:lineRule="auto"/>
              <w:rPr>
                <w:rFonts w:ascii="宋体" w:hAnsi="宋体" w:eastAsia="宋体" w:cs="宋体"/>
                <w:color w:val="000000" w:themeColor="text1"/>
                <w:szCs w:val="21"/>
              </w:rPr>
            </w:pPr>
            <w:r>
              <w:rPr>
                <w:rFonts w:hint="eastAsia" w:ascii="宋体" w:hAnsi="宋体" w:eastAsia="宋体" w:cs="宋体"/>
                <w:color w:val="000000" w:themeColor="text1"/>
                <w:szCs w:val="21"/>
              </w:rPr>
              <w:t>评标基准价：满足招标文件要求的有效投标报价中，最低的投标报价为评标基准价。</w:t>
            </w:r>
          </w:p>
          <w:p>
            <w:pPr>
              <w:spacing w:line="360" w:lineRule="auto"/>
              <w:rPr>
                <w:rFonts w:ascii="宋体" w:hAnsi="宋体" w:eastAsia="宋体" w:cs="宋体"/>
                <w:color w:val="000000" w:themeColor="text1"/>
                <w:szCs w:val="21"/>
              </w:rPr>
            </w:pPr>
            <w:r>
              <w:rPr>
                <w:rFonts w:hint="eastAsia" w:ascii="宋体" w:hAnsi="宋体" w:eastAsia="宋体" w:cs="宋体"/>
                <w:color w:val="000000" w:themeColor="text1"/>
                <w:szCs w:val="21"/>
              </w:rPr>
              <w:t>投标报价得分=（评标基准价/投标报价）×30</w:t>
            </w:r>
          </w:p>
        </w:tc>
        <w:tc>
          <w:tcPr>
            <w:tcW w:w="967" w:type="dxa"/>
            <w:tcBorders>
              <w:top w:val="single" w:color="auto" w:sz="4" w:space="0"/>
            </w:tcBorders>
            <w:vAlign w:val="center"/>
          </w:tcPr>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966" w:type="dxa"/>
            <w:gridSpan w:val="3"/>
            <w:vAlign w:val="center"/>
          </w:tcPr>
          <w:p>
            <w:pPr>
              <w:spacing w:line="360" w:lineRule="auto"/>
              <w:rPr>
                <w:rFonts w:ascii="宋体" w:hAnsi="宋体" w:eastAsia="宋体" w:cs="宋体"/>
                <w:color w:val="000000" w:themeColor="text1"/>
                <w:szCs w:val="21"/>
              </w:rPr>
            </w:pPr>
            <w:r>
              <w:rPr>
                <w:rFonts w:hint="eastAsia" w:ascii="宋体" w:hAnsi="宋体" w:eastAsia="宋体" w:cs="宋体"/>
                <w:color w:val="000000" w:themeColor="text1"/>
                <w:szCs w:val="21"/>
              </w:rPr>
              <w:t>商务部分（满分30分）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62" w:type="dxa"/>
            <w:tcBorders>
              <w:bottom w:val="single" w:color="auto" w:sz="4" w:space="0"/>
            </w:tcBorders>
            <w:vAlign w:val="center"/>
          </w:tcPr>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评分因素</w:t>
            </w:r>
          </w:p>
        </w:tc>
        <w:tc>
          <w:tcPr>
            <w:tcW w:w="6237" w:type="dxa"/>
            <w:vAlign w:val="center"/>
          </w:tcPr>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评标标准</w:t>
            </w:r>
          </w:p>
        </w:tc>
        <w:tc>
          <w:tcPr>
            <w:tcW w:w="967" w:type="dxa"/>
            <w:vAlign w:val="center"/>
          </w:tcPr>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62" w:type="dxa"/>
            <w:vAlign w:val="center"/>
          </w:tcPr>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企业业绩</w:t>
            </w:r>
          </w:p>
        </w:tc>
        <w:tc>
          <w:tcPr>
            <w:tcW w:w="6237" w:type="dxa"/>
            <w:vAlign w:val="center"/>
          </w:tcPr>
          <w:p>
            <w:pPr>
              <w:spacing w:line="360" w:lineRule="auto"/>
              <w:rPr>
                <w:rFonts w:ascii="宋体" w:hAnsi="宋体" w:eastAsia="宋体" w:cs="宋体"/>
                <w:color w:val="000000" w:themeColor="text1"/>
                <w:szCs w:val="21"/>
                <w:lang w:val="en-GB"/>
              </w:rPr>
            </w:pPr>
            <w:r>
              <w:rPr>
                <w:rFonts w:hint="eastAsia" w:ascii="宋体" w:hAnsi="宋体" w:eastAsia="宋体" w:cs="宋体"/>
                <w:color w:val="000000" w:themeColor="text1"/>
                <w:szCs w:val="21"/>
                <w:lang w:val="en-GB"/>
              </w:rPr>
              <w:t>201</w:t>
            </w:r>
            <w:r>
              <w:rPr>
                <w:rFonts w:hint="eastAsia" w:ascii="宋体" w:hAnsi="宋体" w:eastAsia="宋体" w:cs="宋体"/>
                <w:color w:val="000000" w:themeColor="text1"/>
                <w:szCs w:val="21"/>
              </w:rPr>
              <w:t>5</w:t>
            </w:r>
            <w:r>
              <w:rPr>
                <w:rFonts w:hint="eastAsia" w:ascii="宋体" w:hAnsi="宋体" w:eastAsia="宋体" w:cs="宋体"/>
                <w:color w:val="000000" w:themeColor="text1"/>
                <w:szCs w:val="21"/>
                <w:lang w:val="en-GB"/>
              </w:rPr>
              <w:t>年以来承担过类似项目业绩的，每个合同得</w:t>
            </w:r>
            <w:r>
              <w:rPr>
                <w:rFonts w:hint="eastAsia" w:ascii="宋体" w:hAnsi="宋体" w:eastAsia="宋体" w:cs="宋体"/>
                <w:color w:val="000000" w:themeColor="text1"/>
                <w:szCs w:val="21"/>
              </w:rPr>
              <w:t>3</w:t>
            </w:r>
            <w:r>
              <w:rPr>
                <w:rFonts w:hint="eastAsia" w:ascii="宋体" w:hAnsi="宋体" w:eastAsia="宋体" w:cs="宋体"/>
                <w:color w:val="000000" w:themeColor="text1"/>
                <w:szCs w:val="21"/>
                <w:lang w:val="en-GB"/>
              </w:rPr>
              <w:t>分，最多得</w:t>
            </w:r>
            <w:r>
              <w:rPr>
                <w:rFonts w:hint="eastAsia" w:ascii="宋体" w:hAnsi="宋体" w:eastAsia="宋体" w:cs="宋体"/>
                <w:color w:val="000000" w:themeColor="text1"/>
                <w:szCs w:val="21"/>
              </w:rPr>
              <w:t>15</w:t>
            </w:r>
            <w:r>
              <w:rPr>
                <w:rFonts w:hint="eastAsia" w:ascii="宋体" w:hAnsi="宋体" w:eastAsia="宋体" w:cs="宋体"/>
                <w:color w:val="000000" w:themeColor="text1"/>
                <w:szCs w:val="21"/>
                <w:lang w:val="en-GB"/>
              </w:rPr>
              <w:t>分，须提供真实有效的合同，以合同签订日期为准；</w:t>
            </w:r>
          </w:p>
          <w:p>
            <w:pPr>
              <w:spacing w:line="360" w:lineRule="auto"/>
              <w:rPr>
                <w:rFonts w:ascii="宋体" w:hAnsi="宋体" w:eastAsia="宋体" w:cs="宋体"/>
                <w:color w:val="000000" w:themeColor="text1"/>
                <w:szCs w:val="21"/>
                <w:lang w:val="en-GB"/>
              </w:rPr>
            </w:pPr>
            <w:r>
              <w:rPr>
                <w:rFonts w:hint="eastAsia" w:ascii="宋体" w:hAnsi="宋体" w:eastAsia="宋体" w:cs="宋体"/>
                <w:color w:val="000000" w:themeColor="text1"/>
                <w:szCs w:val="21"/>
                <w:lang w:val="en-GB"/>
              </w:rPr>
              <w:t>注：以上涉及到的项目业绩必须将其复印件附入投标文件中并加盖投标人公章方为有效。</w:t>
            </w:r>
          </w:p>
        </w:tc>
        <w:tc>
          <w:tcPr>
            <w:tcW w:w="967" w:type="dxa"/>
            <w:vAlign w:val="center"/>
          </w:tcPr>
          <w:p>
            <w:pPr>
              <w:spacing w:line="360" w:lineRule="auto"/>
              <w:jc w:val="center"/>
              <w:rPr>
                <w:rFonts w:ascii="宋体" w:hAnsi="宋体" w:eastAsia="宋体" w:cs="宋体"/>
                <w:color w:val="000000" w:themeColor="text1"/>
                <w:szCs w:val="21"/>
                <w:lang w:val="en-GB"/>
              </w:rPr>
            </w:pPr>
            <w:r>
              <w:rPr>
                <w:rFonts w:hint="eastAsia" w:ascii="宋体" w:hAnsi="宋体" w:eastAsia="宋体" w:cs="宋体"/>
                <w:color w:val="000000" w:themeColor="text1"/>
                <w:szCs w:val="21"/>
              </w:rPr>
              <w:t>15</w:t>
            </w:r>
            <w:r>
              <w:rPr>
                <w:rFonts w:hint="eastAsia" w:ascii="宋体" w:hAnsi="宋体" w:eastAsia="宋体" w:cs="宋体"/>
                <w:color w:val="000000" w:themeColor="text1"/>
                <w:szCs w:val="21"/>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62" w:type="dxa"/>
            <w:vAlign w:val="center"/>
          </w:tcPr>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人员资格</w:t>
            </w:r>
          </w:p>
        </w:tc>
        <w:tc>
          <w:tcPr>
            <w:tcW w:w="6237" w:type="dxa"/>
            <w:vAlign w:val="center"/>
          </w:tcPr>
          <w:p>
            <w:pPr>
              <w:spacing w:line="360" w:lineRule="auto"/>
              <w:rPr>
                <w:rFonts w:ascii="宋体" w:hAnsi="宋体" w:eastAsia="宋体" w:cs="宋体"/>
                <w:color w:val="000000" w:themeColor="text1"/>
                <w:szCs w:val="21"/>
                <w:lang w:val="en-GB"/>
              </w:rPr>
            </w:pPr>
            <w:r>
              <w:rPr>
                <w:rFonts w:hint="eastAsia" w:ascii="宋体" w:hAnsi="宋体" w:eastAsia="宋体" w:cs="宋体"/>
                <w:color w:val="000000" w:themeColor="text1"/>
                <w:szCs w:val="21"/>
              </w:rPr>
              <w:t>每配备1名市专家库专家得1分；每配备1名省专家库专家得3分；每配备1名安全评价师资格人员得3分；每配备1名注册安全工程师资格人员得2分。</w:t>
            </w:r>
            <w:r>
              <w:rPr>
                <w:rFonts w:hint="eastAsia" w:ascii="宋体" w:hAnsi="宋体" w:eastAsia="宋体" w:cs="宋体"/>
                <w:color w:val="000000" w:themeColor="text1"/>
                <w:szCs w:val="21"/>
                <w:lang w:val="en-GB"/>
              </w:rPr>
              <w:t>注：每名人员同时具备三项证书的只计最高一项证书得分，不累计得分。以上涉及到的人员证书</w:t>
            </w:r>
            <w:r>
              <w:rPr>
                <w:rFonts w:hint="eastAsia" w:ascii="宋体" w:hAnsi="宋体" w:eastAsia="宋体" w:cs="宋体"/>
                <w:color w:val="000000" w:themeColor="text1"/>
                <w:szCs w:val="21"/>
              </w:rPr>
              <w:t>（省、市专家聘用证书或安全评价师资格证书或注册安全工程师资格证书）</w:t>
            </w:r>
            <w:r>
              <w:rPr>
                <w:rFonts w:hint="eastAsia" w:ascii="宋体" w:hAnsi="宋体" w:eastAsia="宋体" w:cs="宋体"/>
                <w:color w:val="000000" w:themeColor="text1"/>
                <w:szCs w:val="21"/>
                <w:lang w:val="en-GB"/>
              </w:rPr>
              <w:t>必须将其复印件附入投标文件中并加盖投标人公章方为有效，并保证其证明材料的真实性。</w:t>
            </w:r>
          </w:p>
        </w:tc>
        <w:tc>
          <w:tcPr>
            <w:tcW w:w="967" w:type="dxa"/>
            <w:vAlign w:val="center"/>
          </w:tcPr>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8966" w:type="dxa"/>
            <w:gridSpan w:val="3"/>
            <w:vAlign w:val="center"/>
          </w:tcPr>
          <w:p>
            <w:pPr>
              <w:spacing w:line="360" w:lineRule="auto"/>
              <w:rPr>
                <w:rFonts w:ascii="宋体" w:hAnsi="宋体" w:eastAsia="宋体" w:cs="宋体"/>
                <w:color w:val="000000" w:themeColor="text1"/>
                <w:szCs w:val="21"/>
              </w:rPr>
            </w:pPr>
            <w:r>
              <w:rPr>
                <w:rFonts w:hint="eastAsia" w:ascii="宋体" w:hAnsi="宋体" w:eastAsia="宋体" w:cs="宋体"/>
                <w:color w:val="000000" w:themeColor="text1"/>
                <w:szCs w:val="21"/>
              </w:rPr>
              <w:t>技术部分（满分40分）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62" w:type="dxa"/>
            <w:vAlign w:val="center"/>
          </w:tcPr>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评分因素</w:t>
            </w:r>
          </w:p>
        </w:tc>
        <w:tc>
          <w:tcPr>
            <w:tcW w:w="6237" w:type="dxa"/>
            <w:vAlign w:val="center"/>
          </w:tcPr>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评标标准</w:t>
            </w:r>
          </w:p>
        </w:tc>
        <w:tc>
          <w:tcPr>
            <w:tcW w:w="967" w:type="dxa"/>
            <w:vAlign w:val="center"/>
          </w:tcPr>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762" w:type="dxa"/>
            <w:vAlign w:val="center"/>
          </w:tcPr>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服务方案</w:t>
            </w:r>
          </w:p>
        </w:tc>
        <w:tc>
          <w:tcPr>
            <w:tcW w:w="6237" w:type="dxa"/>
            <w:vAlign w:val="center"/>
          </w:tcPr>
          <w:p>
            <w:pPr>
              <w:spacing w:line="360" w:lineRule="auto"/>
              <w:rPr>
                <w:rFonts w:ascii="宋体" w:hAnsi="宋体" w:eastAsia="宋体" w:cs="宋体"/>
                <w:color w:val="000000" w:themeColor="text1"/>
                <w:szCs w:val="21"/>
              </w:rPr>
            </w:pPr>
            <w:r>
              <w:rPr>
                <w:rFonts w:hint="eastAsia" w:ascii="宋体" w:hAnsi="宋体" w:eastAsia="宋体" w:cs="宋体"/>
                <w:color w:val="000000" w:themeColor="text1"/>
                <w:szCs w:val="21"/>
              </w:rPr>
              <w:t>对项目的理解、以及服务方案编制的整体思路符合项目本质内容且提供具体方案的得16分，有相关描述的得8分，不提供不得分。</w:t>
            </w:r>
          </w:p>
        </w:tc>
        <w:tc>
          <w:tcPr>
            <w:tcW w:w="967" w:type="dxa"/>
            <w:vAlign w:val="center"/>
          </w:tcPr>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16分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rPr>
        <w:tc>
          <w:tcPr>
            <w:tcW w:w="1762" w:type="dxa"/>
            <w:vAlign w:val="center"/>
          </w:tcPr>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服务方案的实施</w:t>
            </w:r>
          </w:p>
        </w:tc>
        <w:tc>
          <w:tcPr>
            <w:tcW w:w="6237" w:type="dxa"/>
            <w:vAlign w:val="center"/>
          </w:tcPr>
          <w:p>
            <w:pPr>
              <w:spacing w:line="360" w:lineRule="auto"/>
              <w:rPr>
                <w:rFonts w:ascii="宋体" w:hAnsi="宋体" w:eastAsia="宋体" w:cs="宋体"/>
                <w:color w:val="000000" w:themeColor="text1"/>
                <w:szCs w:val="21"/>
              </w:rPr>
            </w:pPr>
            <w:r>
              <w:rPr>
                <w:rFonts w:hint="eastAsia" w:ascii="宋体" w:hAnsi="宋体" w:eastAsia="宋体" w:cs="宋体"/>
                <w:color w:val="000000" w:themeColor="text1"/>
                <w:szCs w:val="21"/>
              </w:rPr>
              <w:t>项目实施计划及项目进度措施，服务方案编制的质量及保证措施，有相关的具体描述及安排情况得10分,，有相关描述的得5分，不提供不得分。</w:t>
            </w:r>
          </w:p>
        </w:tc>
        <w:tc>
          <w:tcPr>
            <w:tcW w:w="967" w:type="dxa"/>
            <w:vAlign w:val="center"/>
          </w:tcPr>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62" w:type="dxa"/>
            <w:vAlign w:val="center"/>
          </w:tcPr>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服务及承诺</w:t>
            </w:r>
          </w:p>
        </w:tc>
        <w:tc>
          <w:tcPr>
            <w:tcW w:w="6237" w:type="dxa"/>
            <w:vAlign w:val="center"/>
          </w:tcPr>
          <w:p>
            <w:pPr>
              <w:spacing w:line="360" w:lineRule="auto"/>
              <w:rPr>
                <w:rFonts w:ascii="宋体" w:hAnsi="宋体" w:eastAsia="宋体" w:cs="宋体"/>
                <w:color w:val="000000" w:themeColor="text1"/>
                <w:szCs w:val="21"/>
              </w:rPr>
            </w:pPr>
            <w:r>
              <w:rPr>
                <w:rFonts w:hint="eastAsia" w:ascii="宋体" w:hAnsi="宋体" w:eastAsia="宋体" w:cs="宋体"/>
                <w:color w:val="000000" w:themeColor="text1"/>
                <w:szCs w:val="21"/>
              </w:rPr>
              <w:t>在项目实施期间，能接受甲方合理的安排和建议，并积极配合有相关的承诺及优惠措施的得10分，有相关的承诺的得5分，不提供不得分。</w:t>
            </w:r>
          </w:p>
        </w:tc>
        <w:tc>
          <w:tcPr>
            <w:tcW w:w="967" w:type="dxa"/>
            <w:vAlign w:val="center"/>
          </w:tcPr>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62" w:type="dxa"/>
            <w:vAlign w:val="center"/>
          </w:tcPr>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投标文件的规范程度</w:t>
            </w:r>
          </w:p>
        </w:tc>
        <w:tc>
          <w:tcPr>
            <w:tcW w:w="6237" w:type="dxa"/>
            <w:vAlign w:val="center"/>
          </w:tcPr>
          <w:p>
            <w:pPr>
              <w:spacing w:line="360" w:lineRule="auto"/>
              <w:rPr>
                <w:rFonts w:ascii="宋体" w:hAnsi="宋体" w:eastAsia="宋体" w:cs="宋体"/>
                <w:color w:val="000000" w:themeColor="text1"/>
                <w:szCs w:val="21"/>
              </w:rPr>
            </w:pPr>
            <w:r>
              <w:rPr>
                <w:rFonts w:hint="eastAsia" w:ascii="宋体" w:hAnsi="宋体" w:eastAsia="宋体" w:cs="宋体"/>
                <w:color w:val="000000" w:themeColor="text1"/>
                <w:szCs w:val="21"/>
              </w:rPr>
              <w:t>1、投标文件的编制符合招标文件的规定，装订整齐规范的，得2分；不满足不得分。</w:t>
            </w:r>
          </w:p>
          <w:p>
            <w:pPr>
              <w:spacing w:line="360" w:lineRule="auto"/>
              <w:rPr>
                <w:rFonts w:ascii="宋体" w:hAnsi="宋体" w:eastAsia="宋体" w:cs="宋体"/>
                <w:color w:val="000000" w:themeColor="text1"/>
                <w:szCs w:val="21"/>
              </w:rPr>
            </w:pPr>
            <w:r>
              <w:rPr>
                <w:rFonts w:hint="eastAsia" w:ascii="宋体" w:hAnsi="宋体" w:eastAsia="宋体" w:cs="宋体"/>
                <w:color w:val="000000" w:themeColor="text1"/>
                <w:szCs w:val="21"/>
              </w:rPr>
              <w:t>2、投标人编制投标文件逻辑严紧、描述规范、无文字错误的，得2分；不满足不得分。</w:t>
            </w:r>
          </w:p>
        </w:tc>
        <w:tc>
          <w:tcPr>
            <w:tcW w:w="967" w:type="dxa"/>
            <w:vAlign w:val="center"/>
          </w:tcPr>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4分</w:t>
            </w:r>
          </w:p>
        </w:tc>
      </w:tr>
    </w:tbl>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4"/>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非联合体投标人</w:t>
            </w:r>
          </w:p>
          <w:p>
            <w:pPr>
              <w:jc w:val="center"/>
              <w:rPr>
                <w:rFonts w:ascii="宋体" w:hAnsi="宋体"/>
                <w:b/>
                <w:color w:val="000000"/>
                <w:szCs w:val="21"/>
                <w:lang w:val="en-GB"/>
              </w:rPr>
            </w:pPr>
            <w:r>
              <w:rPr>
                <w:rFonts w:hint="eastAsia" w:ascii="宋体" w:hAnsi="宋体"/>
                <w:color w:val="000000"/>
                <w:szCs w:val="21"/>
                <w:lang w:val="en-GB"/>
              </w:rPr>
              <w:t>（投标人须为中小企业）</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评标价格＝投标报价×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color w:val="FF0000"/>
          <w:szCs w:val="21"/>
          <w:lang w:val="en-GB"/>
        </w:rPr>
      </w:pPr>
      <w:r>
        <w:rPr>
          <w:rFonts w:hint="eastAsia" w:ascii="宋体" w:hAnsi="宋体"/>
          <w:bCs/>
          <w:color w:val="FF0000"/>
          <w:szCs w:val="21"/>
          <w:lang w:val="en-GB"/>
        </w:rPr>
        <w:t>备注：</w:t>
      </w:r>
    </w:p>
    <w:p>
      <w:pPr>
        <w:spacing w:line="360" w:lineRule="auto"/>
        <w:ind w:firstLine="420" w:firstLineChars="200"/>
        <w:rPr>
          <w:rFonts w:ascii="宋体" w:hAnsi="宋体"/>
          <w:bCs/>
          <w:color w:val="FF0000"/>
          <w:szCs w:val="21"/>
          <w:lang w:val="en-GB"/>
        </w:rPr>
      </w:pPr>
      <w:r>
        <w:rPr>
          <w:rFonts w:hint="eastAsia" w:ascii="宋体" w:hAnsi="宋体"/>
          <w:bCs/>
          <w:color w:val="FF0000"/>
          <w:szCs w:val="21"/>
          <w:lang w:val="en-GB"/>
        </w:rPr>
        <w:t>a、不接受联合体投标的项目，本表中第2项、第3项情形不适用。</w:t>
      </w:r>
    </w:p>
    <w:p>
      <w:pPr>
        <w:spacing w:line="360" w:lineRule="auto"/>
        <w:ind w:firstLine="420" w:firstLineChars="200"/>
        <w:rPr>
          <w:rFonts w:ascii="宋体" w:hAnsi="宋体"/>
          <w:bCs/>
          <w:color w:val="FF0000"/>
          <w:szCs w:val="21"/>
          <w:lang w:val="en-GB"/>
        </w:rPr>
      </w:pPr>
      <w:r>
        <w:rPr>
          <w:rFonts w:hint="eastAsia" w:ascii="宋体" w:hAnsi="宋体"/>
          <w:bCs/>
          <w:color w:val="FF0000"/>
          <w:szCs w:val="21"/>
          <w:lang w:val="en-GB"/>
        </w:rPr>
        <w:t>b、小型和微型企业产品包括货物及其提供的服务与工程。</w:t>
      </w:r>
    </w:p>
    <w:p>
      <w:pPr>
        <w:spacing w:line="360" w:lineRule="auto"/>
        <w:ind w:firstLine="420" w:firstLineChars="200"/>
        <w:rPr>
          <w:rFonts w:ascii="宋体" w:hAnsi="宋体"/>
          <w:bCs/>
          <w:color w:val="FF0000"/>
          <w:szCs w:val="21"/>
          <w:lang w:val="en-GB"/>
        </w:rPr>
      </w:pPr>
      <w:r>
        <w:rPr>
          <w:rFonts w:hint="eastAsia" w:ascii="宋体" w:hAnsi="宋体"/>
          <w:bCs/>
          <w:color w:val="FF0000"/>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color w:val="FF0000"/>
          <w:szCs w:val="21"/>
          <w:lang w:val="en-GB"/>
        </w:rPr>
      </w:pPr>
      <w:r>
        <w:rPr>
          <w:rFonts w:hint="eastAsia" w:ascii="宋体" w:hAnsi="宋体"/>
          <w:bCs/>
          <w:color w:val="FF0000"/>
          <w:szCs w:val="21"/>
          <w:lang w:val="en-GB"/>
        </w:rPr>
        <w:t>d、残疾人福利性单位属于小型、微型企业的，不重复享受政策。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（7）</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（8）</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pStyle w:val="13"/>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项目名称：                               项目编号：</w:t>
      </w:r>
    </w:p>
    <w:p>
      <w:pPr>
        <w:pStyle w:val="13"/>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甲方：</w:t>
      </w:r>
    </w:p>
    <w:p>
      <w:pPr>
        <w:pStyle w:val="13"/>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乙方：</w:t>
      </w:r>
    </w:p>
    <w:p>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甲、乙双方根据《中华人民共和国采购法》、《中华人民共和国合同法》等法律法规的规定，按照</w:t>
      </w:r>
      <w:r>
        <w:rPr>
          <w:rFonts w:hint="eastAsia" w:ascii="宋体" w:hAnsi="宋体" w:eastAsia="宋体" w:cs="宋体"/>
          <w:sz w:val="24"/>
          <w:szCs w:val="24"/>
          <w:u w:val="single"/>
        </w:rPr>
        <w:t xml:space="preserve">             （</w:t>
      </w:r>
      <w:r>
        <w:rPr>
          <w:rFonts w:hint="eastAsia" w:ascii="宋体" w:hAnsi="宋体" w:eastAsia="宋体" w:cs="宋体"/>
          <w:sz w:val="24"/>
          <w:szCs w:val="24"/>
        </w:rPr>
        <w:t>招标编号）的招标结果签订本合同。</w:t>
      </w:r>
    </w:p>
    <w:p>
      <w:pPr>
        <w:pStyle w:val="13"/>
        <w:keepNext w:val="0"/>
        <w:keepLines w:val="0"/>
        <w:pageBreakBefore w:val="0"/>
        <w:widowControl w:val="0"/>
        <w:kinsoku/>
        <w:wordWrap/>
        <w:overflowPunct/>
        <w:topLinePunct w:val="0"/>
        <w:autoSpaceDE/>
        <w:autoSpaceDN/>
        <w:bidi w:val="0"/>
        <w:adjustRightInd/>
        <w:snapToGrid w:val="0"/>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1、项目内容、范围和要求</w:t>
      </w:r>
    </w:p>
    <w:p>
      <w:pPr>
        <w:pStyle w:val="13"/>
        <w:keepNext w:val="0"/>
        <w:keepLines w:val="0"/>
        <w:pageBreakBefore w:val="0"/>
        <w:widowControl w:val="0"/>
        <w:kinsoku/>
        <w:wordWrap/>
        <w:overflowPunct/>
        <w:topLinePunct w:val="0"/>
        <w:autoSpaceDE/>
        <w:autoSpaceDN/>
        <w:bidi w:val="0"/>
        <w:adjustRightInd/>
        <w:snapToGrid w:val="0"/>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bCs/>
          <w:sz w:val="24"/>
          <w:szCs w:val="24"/>
        </w:rPr>
        <w:t>1.1项目内容。</w:t>
      </w:r>
      <w:r>
        <w:rPr>
          <w:rFonts w:hint="eastAsia" w:ascii="宋体" w:hAnsi="宋体" w:eastAsia="宋体" w:cs="宋体"/>
          <w:sz w:val="24"/>
          <w:szCs w:val="24"/>
        </w:rPr>
        <w:t>甲方委托乙方根据《中华人民共和国安全生产法》、《中华人民共和国职业病防治法》及国家、河南省现行安全生产、职业卫生法规、规程、标准、规范和</w:t>
      </w:r>
      <w:r>
        <w:rPr>
          <w:rFonts w:hint="eastAsia" w:ascii="宋体" w:hAnsi="宋体" w:eastAsia="宋体" w:cs="宋体"/>
          <w:sz w:val="24"/>
          <w:szCs w:val="24"/>
          <w:lang w:eastAsia="zh-CN"/>
        </w:rPr>
        <w:t>招标文件</w:t>
      </w:r>
      <w:r>
        <w:rPr>
          <w:rFonts w:hint="eastAsia" w:ascii="宋体" w:hAnsi="宋体" w:eastAsia="宋体" w:cs="宋体"/>
          <w:sz w:val="24"/>
          <w:szCs w:val="24"/>
        </w:rPr>
        <w:t>的相关要求对</w:t>
      </w:r>
      <w:r>
        <w:rPr>
          <w:rFonts w:hint="eastAsia" w:ascii="宋体" w:hAnsi="宋体" w:eastAsia="宋体" w:cs="宋体"/>
          <w:sz w:val="24"/>
          <w:szCs w:val="24"/>
          <w:lang w:eastAsia="zh-CN"/>
        </w:rPr>
        <w:t>许昌经济技术开发区</w:t>
      </w:r>
      <w:r>
        <w:rPr>
          <w:rFonts w:hint="eastAsia" w:ascii="宋体" w:hAnsi="宋体" w:eastAsia="宋体" w:cs="宋体"/>
          <w:sz w:val="24"/>
          <w:szCs w:val="24"/>
        </w:rPr>
        <w:t>管辖范围内的企业、单位、工程等对其工艺系统、基础设施、技术装备、工作环境、防控手段等方面存在的薄弱环节，以及在执行安全生产规章和操作规程、建立安全生产管理体系、落实安全生产责任制等方面存在的突出问题和事故隐患进行隐患排查服务。</w:t>
      </w:r>
    </w:p>
    <w:p>
      <w:pPr>
        <w:pStyle w:val="13"/>
        <w:keepNext w:val="0"/>
        <w:keepLines w:val="0"/>
        <w:pageBreakBefore w:val="0"/>
        <w:widowControl w:val="0"/>
        <w:kinsoku/>
        <w:wordWrap/>
        <w:overflowPunct/>
        <w:topLinePunct w:val="0"/>
        <w:autoSpaceDE/>
        <w:autoSpaceDN/>
        <w:bidi w:val="0"/>
        <w:adjustRightInd/>
        <w:snapToGrid w:val="0"/>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bCs/>
          <w:sz w:val="24"/>
          <w:szCs w:val="24"/>
        </w:rPr>
        <w:t>1.2项目范围。</w:t>
      </w:r>
      <w:r>
        <w:rPr>
          <w:rFonts w:hint="eastAsia" w:ascii="宋体" w:hAnsi="宋体" w:eastAsia="宋体" w:cs="宋体"/>
          <w:sz w:val="24"/>
          <w:szCs w:val="24"/>
        </w:rPr>
        <w:t>对</w:t>
      </w:r>
      <w:r>
        <w:rPr>
          <w:rFonts w:hint="eastAsia" w:ascii="宋体" w:hAnsi="宋体" w:eastAsia="宋体" w:cs="宋体"/>
          <w:sz w:val="24"/>
          <w:szCs w:val="24"/>
          <w:lang w:eastAsia="zh-CN"/>
        </w:rPr>
        <w:t>许昌经济技术开发区</w:t>
      </w:r>
      <w:r>
        <w:rPr>
          <w:rFonts w:hint="eastAsia" w:ascii="宋体" w:hAnsi="宋体" w:eastAsia="宋体" w:cs="宋体"/>
          <w:sz w:val="24"/>
          <w:szCs w:val="24"/>
        </w:rPr>
        <w:t>相关部门管辖范围内的企业、单位按照所排查内容进行逐家逐项隐患排查复查。</w:t>
      </w:r>
    </w:p>
    <w:p>
      <w:pPr>
        <w:pStyle w:val="13"/>
        <w:keepNext w:val="0"/>
        <w:keepLines w:val="0"/>
        <w:pageBreakBefore w:val="0"/>
        <w:widowControl w:val="0"/>
        <w:kinsoku/>
        <w:wordWrap/>
        <w:overflowPunct/>
        <w:topLinePunct w:val="0"/>
        <w:autoSpaceDE/>
        <w:autoSpaceDN/>
        <w:bidi w:val="0"/>
        <w:adjustRightInd/>
        <w:snapToGrid w:val="0"/>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bCs/>
          <w:sz w:val="24"/>
          <w:szCs w:val="24"/>
        </w:rPr>
        <w:t>1.3项目要求。</w:t>
      </w:r>
      <w:r>
        <w:rPr>
          <w:rFonts w:hint="eastAsia" w:ascii="宋体" w:hAnsi="宋体" w:eastAsia="宋体" w:cs="宋体"/>
          <w:sz w:val="24"/>
          <w:szCs w:val="24"/>
        </w:rPr>
        <w:t>乙方要严格依据国家相关规定编制隐患排查方案并报甲方审查同意后，按照方案要求逐家进行隐患排查，每家企业排查过后编制隐患排查报告，及时上报采购单位。甲方根据乙方上报的隐患排查报告，监督企业及时整改，整改后，甲方应通知乙方进行复查，并编制隐患整改报告并及时上报甲方。</w:t>
      </w:r>
    </w:p>
    <w:p>
      <w:pPr>
        <w:pStyle w:val="13"/>
        <w:keepNext w:val="0"/>
        <w:keepLines w:val="0"/>
        <w:pageBreakBefore w:val="0"/>
        <w:widowControl w:val="0"/>
        <w:kinsoku/>
        <w:wordWrap/>
        <w:overflowPunct/>
        <w:topLinePunct w:val="0"/>
        <w:autoSpaceDE/>
        <w:autoSpaceDN/>
        <w:bidi w:val="0"/>
        <w:adjustRightInd/>
        <w:snapToGrid w:val="0"/>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2、合同金额及付费方式</w:t>
      </w:r>
    </w:p>
    <w:p>
      <w:pPr>
        <w:pStyle w:val="13"/>
        <w:keepNext w:val="0"/>
        <w:keepLines w:val="0"/>
        <w:pageBreakBefore w:val="0"/>
        <w:widowControl w:val="0"/>
        <w:kinsoku/>
        <w:wordWrap/>
        <w:overflowPunct/>
        <w:topLinePunct w:val="0"/>
        <w:autoSpaceDE/>
        <w:autoSpaceDN/>
        <w:bidi w:val="0"/>
        <w:adjustRightInd/>
        <w:snapToGrid w:val="0"/>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本合同金额为人民币（大写）：</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p>
    <w:p>
      <w:pPr>
        <w:pStyle w:val="13"/>
        <w:keepNext w:val="0"/>
        <w:keepLines w:val="0"/>
        <w:pageBreakBefore w:val="0"/>
        <w:widowControl w:val="0"/>
        <w:kinsoku/>
        <w:wordWrap/>
        <w:overflowPunct/>
        <w:topLinePunct w:val="0"/>
        <w:autoSpaceDE/>
        <w:autoSpaceDN/>
        <w:bidi w:val="0"/>
        <w:adjustRightInd/>
        <w:snapToGrid w:val="0"/>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合同签订后，在约定范围内企业、单位安全生产隐患排查工作结束并提交排查报告、综合分析报告、现场检查记录及相关影像资料等，经甲方审查符合编制要求后十五个工作日内支付合同总金额的50%;剩余合同金额的50%款项，在隐患排查复查工作全部结束并提交复查报告、综合分析报告、现场复查记录、相关影像资料等</w:t>
      </w:r>
      <w:r>
        <w:rPr>
          <w:rFonts w:hint="eastAsia" w:ascii="宋体" w:hAnsi="宋体" w:eastAsia="宋体" w:cs="宋体"/>
          <w:sz w:val="24"/>
          <w:szCs w:val="24"/>
          <w:lang w:eastAsia="zh-CN"/>
        </w:rPr>
        <w:t>，</w:t>
      </w:r>
      <w:r>
        <w:rPr>
          <w:rFonts w:hint="eastAsia" w:ascii="宋体" w:hAnsi="宋体" w:eastAsia="宋体" w:cs="宋体"/>
          <w:sz w:val="24"/>
          <w:szCs w:val="24"/>
        </w:rPr>
        <w:t>经甲方审查符合编制要求后，十五个工作日内一次性付清。</w:t>
      </w:r>
    </w:p>
    <w:p>
      <w:pPr>
        <w:pStyle w:val="13"/>
        <w:keepNext w:val="0"/>
        <w:keepLines w:val="0"/>
        <w:pageBreakBefore w:val="0"/>
        <w:widowControl w:val="0"/>
        <w:kinsoku/>
        <w:wordWrap/>
        <w:overflowPunct/>
        <w:topLinePunct w:val="0"/>
        <w:autoSpaceDE/>
        <w:autoSpaceDN/>
        <w:bidi w:val="0"/>
        <w:adjustRightInd/>
        <w:snapToGrid w:val="0"/>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3、履行合同的计划、进度和方式</w:t>
      </w:r>
    </w:p>
    <w:p>
      <w:pPr>
        <w:pStyle w:val="13"/>
        <w:keepNext w:val="0"/>
        <w:keepLines w:val="0"/>
        <w:pageBreakBefore w:val="0"/>
        <w:widowControl w:val="0"/>
        <w:kinsoku/>
        <w:wordWrap/>
        <w:overflowPunct/>
        <w:topLinePunct w:val="0"/>
        <w:autoSpaceDE/>
        <w:autoSpaceDN/>
        <w:bidi w:val="0"/>
        <w:adjustRightInd/>
        <w:snapToGrid w:val="0"/>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3.1 合同签订后,乙方到企业进行现场隐患排查服务时，甲方负责监督和督促相关单位按要求及时提供相关资料。</w:t>
      </w:r>
    </w:p>
    <w:p>
      <w:pPr>
        <w:pStyle w:val="13"/>
        <w:keepNext w:val="0"/>
        <w:keepLines w:val="0"/>
        <w:pageBreakBefore w:val="0"/>
        <w:widowControl w:val="0"/>
        <w:kinsoku/>
        <w:wordWrap/>
        <w:overflowPunct/>
        <w:topLinePunct w:val="0"/>
        <w:autoSpaceDE/>
        <w:autoSpaceDN/>
        <w:bidi w:val="0"/>
        <w:adjustRightInd/>
        <w:snapToGrid w:val="0"/>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3.2 乙方工作时间及内容：</w:t>
      </w:r>
    </w:p>
    <w:p>
      <w:pPr>
        <w:pStyle w:val="13"/>
        <w:keepNext w:val="0"/>
        <w:keepLines w:val="0"/>
        <w:pageBreakBefore w:val="0"/>
        <w:widowControl w:val="0"/>
        <w:kinsoku/>
        <w:wordWrap/>
        <w:overflowPunct/>
        <w:topLinePunct w:val="0"/>
        <w:autoSpaceDE/>
        <w:autoSpaceDN/>
        <w:bidi w:val="0"/>
        <w:adjustRightInd/>
        <w:snapToGrid w:val="0"/>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201</w:t>
      </w:r>
      <w:r>
        <w:rPr>
          <w:rFonts w:hint="eastAsia" w:ascii="宋体" w:hAnsi="宋体" w:eastAsia="宋体" w:cs="宋体"/>
          <w:sz w:val="24"/>
          <w:szCs w:val="24"/>
          <w:lang w:val="en-US" w:eastAsia="zh-CN"/>
        </w:rPr>
        <w:t>8</w:t>
      </w:r>
      <w:r>
        <w:rPr>
          <w:rFonts w:hint="eastAsia" w:ascii="宋体" w:hAnsi="宋体" w:eastAsia="宋体" w:cs="宋体"/>
          <w:sz w:val="24"/>
          <w:szCs w:val="24"/>
        </w:rPr>
        <w:t>年  月  日--201</w:t>
      </w:r>
      <w:r>
        <w:rPr>
          <w:rFonts w:hint="eastAsia" w:ascii="宋体" w:hAnsi="宋体" w:eastAsia="宋体" w:cs="宋体"/>
          <w:sz w:val="24"/>
          <w:szCs w:val="24"/>
          <w:lang w:val="en-US" w:eastAsia="zh-CN"/>
        </w:rPr>
        <w:t>8</w:t>
      </w:r>
      <w:r>
        <w:rPr>
          <w:rFonts w:hint="eastAsia" w:ascii="宋体" w:hAnsi="宋体" w:eastAsia="宋体" w:cs="宋体"/>
          <w:sz w:val="24"/>
          <w:szCs w:val="24"/>
        </w:rPr>
        <w:t>年  月 日隐患现场排查，编制隐患排查报告。</w:t>
      </w:r>
    </w:p>
    <w:p>
      <w:pPr>
        <w:pStyle w:val="13"/>
        <w:keepNext w:val="0"/>
        <w:keepLines w:val="0"/>
        <w:pageBreakBefore w:val="0"/>
        <w:widowControl w:val="0"/>
        <w:kinsoku/>
        <w:wordWrap/>
        <w:overflowPunct/>
        <w:topLinePunct w:val="0"/>
        <w:autoSpaceDE/>
        <w:autoSpaceDN/>
        <w:bidi w:val="0"/>
        <w:adjustRightInd/>
        <w:snapToGrid w:val="0"/>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4、技术情报和资料的保密</w:t>
      </w:r>
    </w:p>
    <w:p>
      <w:pPr>
        <w:pStyle w:val="13"/>
        <w:keepNext w:val="0"/>
        <w:keepLines w:val="0"/>
        <w:pageBreakBefore w:val="0"/>
        <w:widowControl w:val="0"/>
        <w:kinsoku/>
        <w:wordWrap/>
        <w:overflowPunct/>
        <w:topLinePunct w:val="0"/>
        <w:autoSpaceDE/>
        <w:autoSpaceDN/>
        <w:bidi w:val="0"/>
        <w:adjustRightInd/>
        <w:snapToGrid w:val="0"/>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乙方对相关企业提供的技术、商务、财务及其它有关资料、信息予以保密，未经相关企业许可不得向第三方泄露。</w:t>
      </w:r>
    </w:p>
    <w:p>
      <w:pPr>
        <w:pStyle w:val="13"/>
        <w:keepNext w:val="0"/>
        <w:keepLines w:val="0"/>
        <w:pageBreakBefore w:val="0"/>
        <w:widowControl w:val="0"/>
        <w:kinsoku/>
        <w:wordWrap/>
        <w:overflowPunct/>
        <w:topLinePunct w:val="0"/>
        <w:autoSpaceDE/>
        <w:autoSpaceDN/>
        <w:bidi w:val="0"/>
        <w:adjustRightInd/>
        <w:snapToGrid w:val="0"/>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5、甲方承担的工作</w:t>
      </w:r>
    </w:p>
    <w:p>
      <w:pPr>
        <w:pStyle w:val="13"/>
        <w:keepNext w:val="0"/>
        <w:keepLines w:val="0"/>
        <w:pageBreakBefore w:val="0"/>
        <w:widowControl w:val="0"/>
        <w:kinsoku/>
        <w:wordWrap/>
        <w:overflowPunct/>
        <w:topLinePunct w:val="0"/>
        <w:autoSpaceDE/>
        <w:autoSpaceDN/>
        <w:bidi w:val="0"/>
        <w:adjustRightInd/>
        <w:snapToGrid w:val="0"/>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甲方应在合同签订后，在乙方到相关企业进行隐患排查时，甲方督促相关单位做好配合。</w:t>
      </w:r>
    </w:p>
    <w:p>
      <w:pPr>
        <w:pStyle w:val="13"/>
        <w:keepNext w:val="0"/>
        <w:keepLines w:val="0"/>
        <w:pageBreakBefore w:val="0"/>
        <w:widowControl w:val="0"/>
        <w:kinsoku/>
        <w:wordWrap/>
        <w:overflowPunct/>
        <w:topLinePunct w:val="0"/>
        <w:autoSpaceDE/>
        <w:autoSpaceDN/>
        <w:bidi w:val="0"/>
        <w:adjustRightInd/>
        <w:snapToGrid w:val="0"/>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6、乙方承担的工作</w:t>
      </w:r>
    </w:p>
    <w:p>
      <w:pPr>
        <w:pStyle w:val="13"/>
        <w:keepNext w:val="0"/>
        <w:keepLines w:val="0"/>
        <w:pageBreakBefore w:val="0"/>
        <w:widowControl w:val="0"/>
        <w:kinsoku/>
        <w:wordWrap/>
        <w:overflowPunct/>
        <w:topLinePunct w:val="0"/>
        <w:autoSpaceDE/>
        <w:autoSpaceDN/>
        <w:bidi w:val="0"/>
        <w:adjustRightInd/>
        <w:snapToGrid w:val="0"/>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6.1 乙方应在合同规定的时间内对合同约定的企业范围和内容进行隐患排查服务及整改复查服务，按时提交隐患排查报告和企业整改复查报告。</w:t>
      </w:r>
    </w:p>
    <w:p>
      <w:pPr>
        <w:pStyle w:val="13"/>
        <w:keepNext w:val="0"/>
        <w:keepLines w:val="0"/>
        <w:pageBreakBefore w:val="0"/>
        <w:widowControl w:val="0"/>
        <w:kinsoku/>
        <w:wordWrap/>
        <w:overflowPunct/>
        <w:topLinePunct w:val="0"/>
        <w:autoSpaceDE/>
        <w:autoSpaceDN/>
        <w:bidi w:val="0"/>
        <w:adjustRightInd/>
        <w:snapToGrid w:val="0"/>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6.2 对</w:t>
      </w:r>
      <w:r>
        <w:rPr>
          <w:rFonts w:hint="eastAsia" w:ascii="宋体" w:hAnsi="宋体" w:eastAsia="宋体" w:cs="宋体"/>
          <w:b/>
          <w:bCs/>
          <w:color w:val="FF0000"/>
          <w:sz w:val="24"/>
          <w:szCs w:val="24"/>
          <w:lang w:eastAsia="zh-CN"/>
        </w:rPr>
        <w:t>中</w:t>
      </w:r>
      <w:r>
        <w:rPr>
          <w:rFonts w:hint="eastAsia" w:ascii="宋体" w:hAnsi="宋体" w:eastAsia="宋体" w:cs="宋体"/>
          <w:b/>
          <w:bCs/>
          <w:color w:val="FF0000"/>
          <w:sz w:val="24"/>
          <w:szCs w:val="24"/>
        </w:rPr>
        <w:t>小型</w:t>
      </w:r>
      <w:r>
        <w:rPr>
          <w:rFonts w:hint="eastAsia" w:ascii="宋体" w:hAnsi="宋体" w:eastAsia="宋体" w:cs="宋体"/>
          <w:sz w:val="24"/>
          <w:szCs w:val="24"/>
        </w:rPr>
        <w:t>企业</w:t>
      </w:r>
      <w:r>
        <w:rPr>
          <w:rFonts w:hint="eastAsia" w:ascii="宋体" w:hAnsi="宋体" w:eastAsia="宋体" w:cs="宋体"/>
          <w:b/>
          <w:bCs/>
          <w:color w:val="FF0000"/>
          <w:sz w:val="24"/>
          <w:szCs w:val="24"/>
          <w:lang w:eastAsia="zh-CN"/>
        </w:rPr>
        <w:t>（含加油站）</w:t>
      </w:r>
      <w:r>
        <w:rPr>
          <w:rFonts w:hint="eastAsia" w:ascii="宋体" w:hAnsi="宋体" w:eastAsia="宋体" w:cs="宋体"/>
          <w:sz w:val="24"/>
          <w:szCs w:val="24"/>
        </w:rPr>
        <w:t>进行隐患排查及整改复查服务时，一般组织专家不少于2名。</w:t>
      </w:r>
    </w:p>
    <w:p>
      <w:pPr>
        <w:pStyle w:val="13"/>
        <w:keepNext w:val="0"/>
        <w:keepLines w:val="0"/>
        <w:pageBreakBefore w:val="0"/>
        <w:widowControl w:val="0"/>
        <w:kinsoku/>
        <w:wordWrap/>
        <w:overflowPunct/>
        <w:topLinePunct w:val="0"/>
        <w:autoSpaceDE/>
        <w:autoSpaceDN/>
        <w:bidi w:val="0"/>
        <w:adjustRightInd/>
        <w:snapToGrid w:val="0"/>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6.3 对</w:t>
      </w:r>
      <w:r>
        <w:rPr>
          <w:rFonts w:hint="eastAsia" w:ascii="宋体" w:hAnsi="宋体" w:eastAsia="宋体" w:cs="宋体"/>
          <w:b/>
          <w:bCs/>
          <w:color w:val="FF0000"/>
          <w:sz w:val="24"/>
          <w:szCs w:val="24"/>
        </w:rPr>
        <w:t>大型企业</w:t>
      </w:r>
      <w:r>
        <w:rPr>
          <w:rFonts w:hint="eastAsia" w:ascii="宋体" w:hAnsi="宋体" w:eastAsia="宋体" w:cs="宋体"/>
          <w:sz w:val="24"/>
          <w:szCs w:val="24"/>
        </w:rPr>
        <w:t>进行隐患排查及整改复查服务时，一般组织专家不少于3名专家。</w:t>
      </w:r>
    </w:p>
    <w:p>
      <w:pPr>
        <w:pStyle w:val="13"/>
        <w:keepNext w:val="0"/>
        <w:keepLines w:val="0"/>
        <w:pageBreakBefore w:val="0"/>
        <w:widowControl w:val="0"/>
        <w:kinsoku/>
        <w:wordWrap/>
        <w:overflowPunct/>
        <w:topLinePunct w:val="0"/>
        <w:autoSpaceDE/>
        <w:autoSpaceDN/>
        <w:bidi w:val="0"/>
        <w:adjustRightInd/>
        <w:snapToGrid w:val="0"/>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6.4 对高危企业进行隐患排查及整改复查服务时，一般派出专家3—5名（不少于3名专家）。</w:t>
      </w:r>
    </w:p>
    <w:p>
      <w:pPr>
        <w:pStyle w:val="13"/>
        <w:keepNext w:val="0"/>
        <w:keepLines w:val="0"/>
        <w:pageBreakBefore w:val="0"/>
        <w:widowControl w:val="0"/>
        <w:kinsoku/>
        <w:wordWrap/>
        <w:overflowPunct/>
        <w:topLinePunct w:val="0"/>
        <w:autoSpaceDE/>
        <w:autoSpaceDN/>
        <w:bidi w:val="0"/>
        <w:adjustRightInd/>
        <w:snapToGrid w:val="0"/>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6.5  组织参加隐患排查服务的专家人员应是省、市专家库的人员或安全评价师或注册安全工程师且专业对口，配置结构合理；原则上是谁检查、谁负责。</w:t>
      </w:r>
    </w:p>
    <w:p>
      <w:pPr>
        <w:pStyle w:val="13"/>
        <w:keepNext w:val="0"/>
        <w:keepLines w:val="0"/>
        <w:pageBreakBefore w:val="0"/>
        <w:widowControl w:val="0"/>
        <w:kinsoku/>
        <w:wordWrap/>
        <w:overflowPunct/>
        <w:topLinePunct w:val="0"/>
        <w:autoSpaceDE/>
        <w:autoSpaceDN/>
        <w:bidi w:val="0"/>
        <w:adjustRightInd/>
        <w:snapToGrid w:val="0"/>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6.6 因为隐患排查、复查时遗漏安全隐患而造成安全事故的，应承担相应的责任。</w:t>
      </w:r>
    </w:p>
    <w:p>
      <w:pPr>
        <w:pStyle w:val="13"/>
        <w:keepNext w:val="0"/>
        <w:keepLines w:val="0"/>
        <w:pageBreakBefore w:val="0"/>
        <w:widowControl w:val="0"/>
        <w:kinsoku/>
        <w:wordWrap/>
        <w:overflowPunct/>
        <w:topLinePunct w:val="0"/>
        <w:autoSpaceDE/>
        <w:autoSpaceDN/>
        <w:bidi w:val="0"/>
        <w:adjustRightInd/>
        <w:snapToGrid w:val="0"/>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6.7  隐患排查、复查应符合国家相关的法律法规和行业标准。检查人员要对检查现场发现的隐患和复查时隐患整改情况形成现场检查、复查记录及影像资料，并整理汇总。</w:t>
      </w:r>
    </w:p>
    <w:p>
      <w:pPr>
        <w:pStyle w:val="13"/>
        <w:keepNext w:val="0"/>
        <w:keepLines w:val="0"/>
        <w:pageBreakBefore w:val="0"/>
        <w:widowControl w:val="0"/>
        <w:kinsoku/>
        <w:wordWrap/>
        <w:overflowPunct/>
        <w:topLinePunct w:val="0"/>
        <w:autoSpaceDE/>
        <w:autoSpaceDN/>
        <w:bidi w:val="0"/>
        <w:adjustRightInd/>
        <w:snapToGrid w:val="0"/>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6.8  乙方按国家、省、市有关法律、法规、标准及规范对每家企业编制隐患排查报告及整改复查报告及排查、复查综合分析报告，并向甲方提供</w:t>
      </w:r>
      <w:r>
        <w:rPr>
          <w:rFonts w:hint="eastAsia" w:ascii="宋体" w:hAnsi="宋体" w:eastAsia="宋体" w:cs="宋体"/>
          <w:sz w:val="24"/>
          <w:szCs w:val="24"/>
          <w:u w:val="single"/>
        </w:rPr>
        <w:t xml:space="preserve"> 3 </w:t>
      </w:r>
      <w:r>
        <w:rPr>
          <w:rFonts w:hint="eastAsia" w:ascii="宋体" w:hAnsi="宋体" w:eastAsia="宋体" w:cs="宋体"/>
          <w:sz w:val="24"/>
          <w:szCs w:val="24"/>
        </w:rPr>
        <w:t>份正本报告书。</w:t>
      </w:r>
    </w:p>
    <w:p>
      <w:pPr>
        <w:pStyle w:val="13"/>
        <w:keepNext w:val="0"/>
        <w:keepLines w:val="0"/>
        <w:pageBreakBefore w:val="0"/>
        <w:widowControl w:val="0"/>
        <w:kinsoku/>
        <w:wordWrap/>
        <w:overflowPunct/>
        <w:topLinePunct w:val="0"/>
        <w:autoSpaceDE/>
        <w:autoSpaceDN/>
        <w:bidi w:val="0"/>
        <w:adjustRightInd/>
        <w:snapToGrid w:val="0"/>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7、隐患排查、复查服务报送方式</w:t>
      </w:r>
    </w:p>
    <w:p>
      <w:pPr>
        <w:pStyle w:val="13"/>
        <w:keepNext w:val="0"/>
        <w:keepLines w:val="0"/>
        <w:pageBreakBefore w:val="0"/>
        <w:widowControl w:val="0"/>
        <w:kinsoku/>
        <w:wordWrap/>
        <w:overflowPunct/>
        <w:topLinePunct w:val="0"/>
        <w:autoSpaceDE/>
        <w:autoSpaceDN/>
        <w:bidi w:val="0"/>
        <w:adjustRightInd/>
        <w:snapToGrid w:val="0"/>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乙方完成隐患排查、复查报告后，根据临颍县企业安全生产隐患排查服务招标文件以及本合同要求，及时提交给甲方。</w:t>
      </w:r>
    </w:p>
    <w:p>
      <w:pPr>
        <w:pStyle w:val="13"/>
        <w:keepNext w:val="0"/>
        <w:keepLines w:val="0"/>
        <w:pageBreakBefore w:val="0"/>
        <w:widowControl w:val="0"/>
        <w:kinsoku/>
        <w:wordWrap/>
        <w:overflowPunct/>
        <w:topLinePunct w:val="0"/>
        <w:autoSpaceDE/>
        <w:autoSpaceDN/>
        <w:bidi w:val="0"/>
        <w:adjustRightInd/>
        <w:snapToGrid w:val="0"/>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8、违约金或者损失赔偿</w:t>
      </w:r>
    </w:p>
    <w:p>
      <w:pPr>
        <w:pStyle w:val="13"/>
        <w:keepNext w:val="0"/>
        <w:keepLines w:val="0"/>
        <w:pageBreakBefore w:val="0"/>
        <w:widowControl w:val="0"/>
        <w:kinsoku/>
        <w:wordWrap/>
        <w:overflowPunct/>
        <w:topLinePunct w:val="0"/>
        <w:autoSpaceDE/>
        <w:autoSpaceDN/>
        <w:bidi w:val="0"/>
        <w:adjustRightInd/>
        <w:snapToGrid w:val="0"/>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违反本合同规定，违约方应当按照《中华人民共和国合同法》有关条款的规定，承担违约责任。</w:t>
      </w:r>
    </w:p>
    <w:p>
      <w:pPr>
        <w:pStyle w:val="13"/>
        <w:keepNext w:val="0"/>
        <w:keepLines w:val="0"/>
        <w:pageBreakBefore w:val="0"/>
        <w:widowControl w:val="0"/>
        <w:kinsoku/>
        <w:wordWrap/>
        <w:overflowPunct/>
        <w:topLinePunct w:val="0"/>
        <w:autoSpaceDE/>
        <w:autoSpaceDN/>
        <w:bidi w:val="0"/>
        <w:adjustRightInd/>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9、转包或分包</w:t>
      </w:r>
    </w:p>
    <w:p>
      <w:pPr>
        <w:pStyle w:val="13"/>
        <w:keepNext w:val="0"/>
        <w:keepLines w:val="0"/>
        <w:pageBreakBefore w:val="0"/>
        <w:widowControl w:val="0"/>
        <w:kinsoku/>
        <w:wordWrap/>
        <w:overflowPunct/>
        <w:topLinePunct w:val="0"/>
        <w:autoSpaceDE/>
        <w:autoSpaceDN/>
        <w:bidi w:val="0"/>
        <w:adjustRightInd/>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9.1本合同范围的服务，由乙方直接提供，不得转让他人供应。</w:t>
      </w:r>
    </w:p>
    <w:p>
      <w:pPr>
        <w:pStyle w:val="13"/>
        <w:keepNext w:val="0"/>
        <w:keepLines w:val="0"/>
        <w:pageBreakBefore w:val="0"/>
        <w:widowControl w:val="0"/>
        <w:kinsoku/>
        <w:wordWrap/>
        <w:overflowPunct/>
        <w:topLinePunct w:val="0"/>
        <w:autoSpaceDE/>
        <w:autoSpaceDN/>
        <w:bidi w:val="0"/>
        <w:adjustRightInd/>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9.2除非得到甲方的书面同意，乙方不得部分分包给他人供应。</w:t>
      </w:r>
    </w:p>
    <w:p>
      <w:pPr>
        <w:pStyle w:val="13"/>
        <w:keepNext w:val="0"/>
        <w:keepLines w:val="0"/>
        <w:pageBreakBefore w:val="0"/>
        <w:widowControl w:val="0"/>
        <w:kinsoku/>
        <w:wordWrap/>
        <w:overflowPunct/>
        <w:topLinePunct w:val="0"/>
        <w:autoSpaceDE/>
        <w:autoSpaceDN/>
        <w:bidi w:val="0"/>
        <w:adjustRightInd/>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9.3如有转让和未经甲方同意的分包行为，甲方有权给予终止合同。</w:t>
      </w:r>
    </w:p>
    <w:p>
      <w:pPr>
        <w:pStyle w:val="13"/>
        <w:keepNext w:val="0"/>
        <w:keepLines w:val="0"/>
        <w:pageBreakBefore w:val="0"/>
        <w:widowControl w:val="0"/>
        <w:kinsoku/>
        <w:wordWrap/>
        <w:overflowPunct/>
        <w:topLinePunct w:val="0"/>
        <w:autoSpaceDE/>
        <w:autoSpaceDN/>
        <w:bidi w:val="0"/>
        <w:adjustRightInd/>
        <w:snapToGrid w:val="0"/>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10、合同纠纷处理</w:t>
      </w:r>
    </w:p>
    <w:p>
      <w:pPr>
        <w:pStyle w:val="13"/>
        <w:keepNext w:val="0"/>
        <w:keepLines w:val="0"/>
        <w:pageBreakBefore w:val="0"/>
        <w:widowControl w:val="0"/>
        <w:kinsoku/>
        <w:wordWrap/>
        <w:overflowPunct/>
        <w:topLinePunct w:val="0"/>
        <w:autoSpaceDE/>
        <w:autoSpaceDN/>
        <w:bidi w:val="0"/>
        <w:adjustRightInd/>
        <w:snapToGrid w:val="0"/>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本合同发生纠纷时，由双方友好协商解决。协商不成的，任何一方均可选择以下方式解决：一是向甲方所在地仲裁委员会申请仲裁；二是向合同签订地人民法院提起诉讼。</w:t>
      </w:r>
    </w:p>
    <w:p>
      <w:pPr>
        <w:pStyle w:val="13"/>
        <w:keepNext w:val="0"/>
        <w:keepLines w:val="0"/>
        <w:pageBreakBefore w:val="0"/>
        <w:widowControl w:val="0"/>
        <w:kinsoku/>
        <w:wordWrap/>
        <w:overflowPunct/>
        <w:topLinePunct w:val="0"/>
        <w:autoSpaceDE/>
        <w:autoSpaceDN/>
        <w:bidi w:val="0"/>
        <w:adjustRightInd/>
        <w:snapToGrid w:val="0"/>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11、违约解除合同</w:t>
      </w:r>
    </w:p>
    <w:p>
      <w:pPr>
        <w:pStyle w:val="13"/>
        <w:keepNext w:val="0"/>
        <w:keepLines w:val="0"/>
        <w:pageBreakBefore w:val="0"/>
        <w:widowControl w:val="0"/>
        <w:kinsoku/>
        <w:wordWrap/>
        <w:overflowPunct/>
        <w:topLinePunct w:val="0"/>
        <w:autoSpaceDE/>
        <w:autoSpaceDN/>
        <w:bidi w:val="0"/>
        <w:adjustRightInd/>
        <w:snapToGrid w:val="0"/>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在乙方违约的情况下，甲方可向乙方发出书面通知，终止合同，同时保留向对方追诉的权利。</w:t>
      </w:r>
    </w:p>
    <w:p>
      <w:pPr>
        <w:pStyle w:val="13"/>
        <w:keepNext w:val="0"/>
        <w:keepLines w:val="0"/>
        <w:pageBreakBefore w:val="0"/>
        <w:widowControl w:val="0"/>
        <w:kinsoku/>
        <w:wordWrap/>
        <w:overflowPunct/>
        <w:topLinePunct w:val="0"/>
        <w:autoSpaceDE/>
        <w:autoSpaceDN/>
        <w:bidi w:val="0"/>
        <w:adjustRightInd/>
        <w:snapToGrid w:val="0"/>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11.1 乙方未能在合同规定的限期或甲方同意延长的限期内提供全部服务的。</w:t>
      </w:r>
    </w:p>
    <w:p>
      <w:pPr>
        <w:pStyle w:val="13"/>
        <w:keepNext w:val="0"/>
        <w:keepLines w:val="0"/>
        <w:pageBreakBefore w:val="0"/>
        <w:widowControl w:val="0"/>
        <w:kinsoku/>
        <w:wordWrap/>
        <w:overflowPunct/>
        <w:topLinePunct w:val="0"/>
        <w:autoSpaceDE/>
        <w:autoSpaceDN/>
        <w:bidi w:val="0"/>
        <w:adjustRightInd/>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11.2 乙方有转让和未经甲方同意的分包行为的。</w:t>
      </w:r>
    </w:p>
    <w:p>
      <w:pPr>
        <w:pStyle w:val="13"/>
        <w:keepNext w:val="0"/>
        <w:keepLines w:val="0"/>
        <w:pageBreakBefore w:val="0"/>
        <w:widowControl w:val="0"/>
        <w:kinsoku/>
        <w:wordWrap/>
        <w:overflowPunct/>
        <w:topLinePunct w:val="0"/>
        <w:autoSpaceDE/>
        <w:autoSpaceDN/>
        <w:bidi w:val="0"/>
        <w:adjustRightInd/>
        <w:snapToGrid w:val="0"/>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11.3 乙方未能履行合同规定的其它主要义务的。</w:t>
      </w:r>
    </w:p>
    <w:p>
      <w:pPr>
        <w:pStyle w:val="13"/>
        <w:keepNext w:val="0"/>
        <w:keepLines w:val="0"/>
        <w:pageBreakBefore w:val="0"/>
        <w:widowControl w:val="0"/>
        <w:kinsoku/>
        <w:wordWrap/>
        <w:overflowPunct/>
        <w:topLinePunct w:val="0"/>
        <w:autoSpaceDE/>
        <w:autoSpaceDN/>
        <w:bidi w:val="0"/>
        <w:adjustRightInd/>
        <w:snapToGrid w:val="0"/>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11.4 在本合同履行过程中有欺诈行为的。</w:t>
      </w:r>
    </w:p>
    <w:p>
      <w:pPr>
        <w:pStyle w:val="13"/>
        <w:keepNext w:val="0"/>
        <w:keepLines w:val="0"/>
        <w:pageBreakBefore w:val="0"/>
        <w:widowControl w:val="0"/>
        <w:kinsoku/>
        <w:wordWrap/>
        <w:overflowPunct/>
        <w:topLinePunct w:val="0"/>
        <w:autoSpaceDE/>
        <w:autoSpaceDN/>
        <w:bidi w:val="0"/>
        <w:adjustRightInd/>
        <w:snapToGrid w:val="0"/>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12、其他约定</w:t>
      </w:r>
    </w:p>
    <w:p>
      <w:pPr>
        <w:pStyle w:val="13"/>
        <w:keepNext w:val="0"/>
        <w:keepLines w:val="0"/>
        <w:pageBreakBefore w:val="0"/>
        <w:widowControl w:val="0"/>
        <w:kinsoku/>
        <w:wordWrap/>
        <w:overflowPunct/>
        <w:topLinePunct w:val="0"/>
        <w:autoSpaceDE/>
        <w:autoSpaceDN/>
        <w:bidi w:val="0"/>
        <w:adjustRightInd/>
        <w:snapToGrid w:val="0"/>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12.1本采购项目的招标文件、投标单位的响应性文件以及相关的澄清确认函（如果有的话）均为本合同不可分割的一部分，与本合同具有同等法律效力。</w:t>
      </w:r>
    </w:p>
    <w:p>
      <w:pPr>
        <w:pStyle w:val="13"/>
        <w:keepNext w:val="0"/>
        <w:keepLines w:val="0"/>
        <w:pageBreakBefore w:val="0"/>
        <w:widowControl w:val="0"/>
        <w:kinsoku/>
        <w:wordWrap/>
        <w:overflowPunct/>
        <w:topLinePunct w:val="0"/>
        <w:autoSpaceDE/>
        <w:autoSpaceDN/>
        <w:bidi w:val="0"/>
        <w:adjustRightInd/>
        <w:snapToGrid w:val="0"/>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12.2 本合同未尽事宜，双方另行补充。</w:t>
      </w:r>
    </w:p>
    <w:p>
      <w:pPr>
        <w:pStyle w:val="13"/>
        <w:keepNext w:val="0"/>
        <w:keepLines w:val="0"/>
        <w:pageBreakBefore w:val="0"/>
        <w:widowControl w:val="0"/>
        <w:kinsoku/>
        <w:wordWrap/>
        <w:overflowPunct/>
        <w:topLinePunct w:val="0"/>
        <w:autoSpaceDE/>
        <w:autoSpaceDN/>
        <w:bidi w:val="0"/>
        <w:adjustRightInd/>
        <w:snapToGrid w:val="0"/>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12.3本合同正本一式四份，具有同等法律效力，甲、乙、丙三方各执</w:t>
      </w:r>
      <w:r>
        <w:rPr>
          <w:rFonts w:hint="eastAsia" w:ascii="宋体" w:hAnsi="宋体" w:eastAsia="宋体" w:cs="宋体"/>
          <w:sz w:val="24"/>
          <w:szCs w:val="24"/>
          <w:u w:val="single"/>
        </w:rPr>
        <w:t xml:space="preserve">     </w:t>
      </w:r>
      <w:r>
        <w:rPr>
          <w:rFonts w:hint="eastAsia" w:ascii="宋体" w:hAnsi="宋体" w:eastAsia="宋体" w:cs="宋体"/>
          <w:sz w:val="24"/>
          <w:szCs w:val="24"/>
        </w:rPr>
        <w:t>份。自采购合同签订之日起7个工作日内，甲方按照有关规定将本合同其中一份报同级财政部门备案。</w:t>
      </w:r>
    </w:p>
    <w:p>
      <w:pPr>
        <w:pStyle w:val="13"/>
        <w:keepNext w:val="0"/>
        <w:keepLines w:val="0"/>
        <w:pageBreakBefore w:val="0"/>
        <w:widowControl w:val="0"/>
        <w:kinsoku/>
        <w:wordWrap/>
        <w:overflowPunct/>
        <w:topLinePunct w:val="0"/>
        <w:autoSpaceDE/>
        <w:autoSpaceDN/>
        <w:bidi w:val="0"/>
        <w:adjustRightInd/>
        <w:snapToGrid w:val="0"/>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12.4签定地点: </w:t>
      </w:r>
    </w:p>
    <w:p>
      <w:pPr>
        <w:pStyle w:val="13"/>
        <w:keepNext w:val="0"/>
        <w:keepLines w:val="0"/>
        <w:pageBreakBefore w:val="0"/>
        <w:widowControl w:val="0"/>
        <w:kinsoku/>
        <w:wordWrap/>
        <w:overflowPunct/>
        <w:topLinePunct w:val="0"/>
        <w:autoSpaceDE/>
        <w:autoSpaceDN/>
        <w:bidi w:val="0"/>
        <w:adjustRightInd/>
        <w:snapToGrid w:val="0"/>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甲方（</w:t>
      </w:r>
      <w:r>
        <w:rPr>
          <w:rFonts w:hint="eastAsia" w:ascii="宋体" w:hAnsi="宋体" w:eastAsia="宋体" w:cs="宋体"/>
          <w:sz w:val="24"/>
          <w:szCs w:val="24"/>
          <w:lang w:eastAsia="zh-CN"/>
        </w:rPr>
        <w:t>采购人</w:t>
      </w:r>
      <w:r>
        <w:rPr>
          <w:rFonts w:hint="eastAsia" w:ascii="宋体" w:hAnsi="宋体" w:eastAsia="宋体" w:cs="宋体"/>
          <w:sz w:val="24"/>
          <w:szCs w:val="24"/>
        </w:rPr>
        <w:t>）：                             乙   方（中标</w:t>
      </w:r>
      <w:r>
        <w:rPr>
          <w:rFonts w:hint="eastAsia" w:ascii="宋体" w:hAnsi="宋体" w:eastAsia="宋体" w:cs="宋体"/>
          <w:sz w:val="24"/>
          <w:szCs w:val="24"/>
          <w:lang w:eastAsia="zh-CN"/>
        </w:rPr>
        <w:t>单位</w:t>
      </w:r>
      <w:r>
        <w:rPr>
          <w:rFonts w:hint="eastAsia" w:ascii="宋体" w:hAnsi="宋体" w:eastAsia="宋体" w:cs="宋体"/>
          <w:sz w:val="24"/>
          <w:szCs w:val="24"/>
        </w:rPr>
        <w:t>）</w:t>
      </w:r>
    </w:p>
    <w:p>
      <w:pPr>
        <w:pStyle w:val="13"/>
        <w:keepNext w:val="0"/>
        <w:keepLines w:val="0"/>
        <w:pageBreakBefore w:val="0"/>
        <w:widowControl w:val="0"/>
        <w:kinsoku/>
        <w:wordWrap/>
        <w:overflowPunct/>
        <w:topLinePunct w:val="0"/>
        <w:autoSpaceDE/>
        <w:autoSpaceDN/>
        <w:bidi w:val="0"/>
        <w:adjustRightInd/>
        <w:snapToGrid w:val="0"/>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单位地址：                                             单位地址：</w:t>
      </w:r>
    </w:p>
    <w:p>
      <w:pPr>
        <w:pStyle w:val="13"/>
        <w:keepNext w:val="0"/>
        <w:keepLines w:val="0"/>
        <w:pageBreakBefore w:val="0"/>
        <w:widowControl w:val="0"/>
        <w:kinsoku/>
        <w:wordWrap/>
        <w:overflowPunct/>
        <w:topLinePunct w:val="0"/>
        <w:autoSpaceDE/>
        <w:autoSpaceDN/>
        <w:bidi w:val="0"/>
        <w:adjustRightInd/>
        <w:snapToGrid w:val="0"/>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法定代表人：                                           法定代表人：</w:t>
      </w:r>
    </w:p>
    <w:p>
      <w:pPr>
        <w:pStyle w:val="13"/>
        <w:keepNext w:val="0"/>
        <w:keepLines w:val="0"/>
        <w:pageBreakBefore w:val="0"/>
        <w:widowControl w:val="0"/>
        <w:kinsoku/>
        <w:wordWrap/>
        <w:overflowPunct/>
        <w:topLinePunct w:val="0"/>
        <w:autoSpaceDE/>
        <w:autoSpaceDN/>
        <w:bidi w:val="0"/>
        <w:adjustRightInd/>
        <w:snapToGrid w:val="0"/>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或委托理人：                                           或委托代理人：</w:t>
      </w:r>
    </w:p>
    <w:p>
      <w:pPr>
        <w:pStyle w:val="13"/>
        <w:keepNext w:val="0"/>
        <w:keepLines w:val="0"/>
        <w:pageBreakBefore w:val="0"/>
        <w:widowControl w:val="0"/>
        <w:kinsoku/>
        <w:wordWrap/>
        <w:overflowPunct/>
        <w:topLinePunct w:val="0"/>
        <w:autoSpaceDE/>
        <w:autoSpaceDN/>
        <w:bidi w:val="0"/>
        <w:adjustRightInd/>
        <w:snapToGrid w:val="0"/>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w:t>
      </w:r>
    </w:p>
    <w:p>
      <w:pPr>
        <w:pStyle w:val="13"/>
        <w:keepNext w:val="0"/>
        <w:keepLines w:val="0"/>
        <w:pageBreakBefore w:val="0"/>
        <w:widowControl w:val="0"/>
        <w:kinsoku/>
        <w:wordWrap/>
        <w:overflowPunct/>
        <w:topLinePunct w:val="0"/>
        <w:autoSpaceDE/>
        <w:autoSpaceDN/>
        <w:bidi w:val="0"/>
        <w:adjustRightInd/>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w:t>
      </w:r>
    </w:p>
    <w:p>
      <w:pPr>
        <w:pStyle w:val="13"/>
        <w:keepNext w:val="0"/>
        <w:keepLines w:val="0"/>
        <w:pageBreakBefore w:val="0"/>
        <w:widowControl w:val="0"/>
        <w:kinsoku/>
        <w:wordWrap/>
        <w:overflowPunct/>
        <w:topLinePunct w:val="0"/>
        <w:autoSpaceDE/>
        <w:autoSpaceDN/>
        <w:bidi w:val="0"/>
        <w:adjustRightInd/>
        <w:snapToGrid w:val="0"/>
        <w:spacing w:before="120" w:after="120"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签订日期：      年      月      日</w:t>
      </w:r>
    </w:p>
    <w:p>
      <w:pPr>
        <w:spacing w:line="360" w:lineRule="auto"/>
        <w:jc w:val="center"/>
        <w:rPr>
          <w:rFonts w:ascii="宋体" w:hAnsi="宋体" w:cs="微软雅黑"/>
          <w:b/>
          <w:bCs/>
          <w:szCs w:val="21"/>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pStyle w:val="47"/>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1" w:name="_Toc186274126"/>
      <w:bookmarkStart w:id="2" w:name="_Toc184023138"/>
      <w:bookmarkStart w:id="3" w:name="_Toc174185203"/>
      <w:r>
        <w:rPr>
          <w:rFonts w:hint="eastAsia" w:cs="黑体" w:asciiTheme="minorEastAsia" w:hAnsiTheme="minorEastAsia" w:eastAsiaTheme="minorEastAsia"/>
          <w:color w:val="auto"/>
          <w:kern w:val="2"/>
          <w:sz w:val="28"/>
          <w:szCs w:val="28"/>
          <w:lang w:val="zh-CN"/>
        </w:rPr>
        <w:t>一、投标人应答索引表</w:t>
      </w:r>
      <w:bookmarkEnd w:id="1"/>
      <w:bookmarkEnd w:id="2"/>
      <w:bookmarkEnd w:id="3"/>
    </w:p>
    <w:tbl>
      <w:tblPr>
        <w:tblStyle w:val="24"/>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kern w:val="0"/>
                <w:sz w:val="21"/>
                <w:szCs w:val="21"/>
              </w:rPr>
            </w:pPr>
            <w:r>
              <w:rPr>
                <w:rFonts w:hint="eastAsia" w:hAnsi="宋体"/>
                <w:kern w:val="0"/>
                <w:sz w:val="21"/>
                <w:szCs w:val="21"/>
              </w:rPr>
              <w:t>纳税证明</w:t>
            </w: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纳税凭据复印件</w:t>
            </w:r>
          </w:p>
        </w:tc>
        <w:tc>
          <w:tcPr>
            <w:tcW w:w="1559" w:type="dxa"/>
            <w:vAlign w:val="center"/>
          </w:tcPr>
          <w:p>
            <w:pPr>
              <w:pStyle w:val="13"/>
              <w:rPr>
                <w:rFonts w:ascii="宋体" w:hAnsi="宋体" w:cs="微软雅黑"/>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投标保证金缴纳回执</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强制节能产品政府采购清单情况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环境标志产品政府采购清单情况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4"/>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cs="宋体" w:asciiTheme="minorEastAsia" w:hAnsiTheme="minorEastAsia"/>
          <w:szCs w:val="21"/>
          <w:lang w:val="zh-CN"/>
        </w:rPr>
        <w:t xml:space="preserve">    </w:t>
      </w:r>
      <w:r>
        <w:rPr>
          <w:rFonts w:hint="eastAsia" w:cs="宋体" w:asciiTheme="minorEastAsia" w:hAnsiTheme="minorEastAsia"/>
          <w:szCs w:val="21"/>
          <w:lang w:val="zh-CN"/>
        </w:rPr>
        <w:t>年</w:t>
      </w:r>
      <w:r>
        <w:rPr>
          <w:rFonts w:cs="宋体" w:asciiTheme="minorEastAsia" w:hAnsiTheme="minorEastAsia"/>
          <w:szCs w:val="21"/>
          <w:lang w:val="zh-CN"/>
        </w:rPr>
        <w:t xml:space="preserve">    </w:t>
      </w:r>
      <w:r>
        <w:rPr>
          <w:rFonts w:hint="eastAsia" w:cs="宋体" w:asciiTheme="minorEastAsia" w:hAnsiTheme="minorEastAsia"/>
          <w:szCs w:val="21"/>
          <w:lang w:val="zh-CN"/>
        </w:rPr>
        <w:t>月</w:t>
      </w:r>
      <w:r>
        <w:rPr>
          <w:rFonts w:cs="宋体" w:asciiTheme="minorEastAsia" w:hAnsiTheme="minorEastAsia"/>
          <w:szCs w:val="21"/>
          <w:lang w:val="zh-CN"/>
        </w:rPr>
        <w:t xml:space="preserve">    </w:t>
      </w:r>
      <w:r>
        <w:rPr>
          <w:rFonts w:hint="eastAsia" w:cs="宋体" w:asciiTheme="minorEastAsia" w:hAnsiTheme="minorEastAsia"/>
          <w:szCs w:val="21"/>
          <w:lang w:val="zh-CN"/>
        </w:rPr>
        <w:t>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（投标人名称、地址）提交。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（项目名称、招标编号）招标文件的全部内容。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三、我方明白并同意，在规定的开标日之后，投标有效期之内撤销投标的，则贵方将不予退还投标保证金。</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19"/>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w:t>
      </w:r>
      <w:r>
        <w:rPr>
          <w:rFonts w:hint="eastAsia" w:cs="宋体" w:asciiTheme="minorEastAsia" w:hAnsiTheme="minorEastAsia"/>
          <w:szCs w:val="21"/>
          <w:u w:val="single"/>
        </w:rPr>
        <w:t xml:space="preserve">               </w:t>
      </w:r>
      <w:r>
        <w:rPr>
          <w:rFonts w:hint="eastAsia" w:cs="宋体" w:asciiTheme="minorEastAsia" w:hAnsiTheme="minorEastAsia"/>
          <w:szCs w:val="21"/>
        </w:rPr>
        <w:t>.  职    务：</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投标人法定代表人（或法定代表人授权代表）签字或盖章：</w:t>
      </w:r>
      <w:r>
        <w:rPr>
          <w:rFonts w:hint="eastAsia" w:cs="宋体" w:asciiTheme="minorEastAsia" w:hAnsiTheme="minorEastAsia"/>
          <w:szCs w:val="21"/>
          <w:u w:val="single"/>
        </w:rPr>
        <w:t xml:space="preserve">         </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38"/>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38"/>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38"/>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38"/>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color w:val="000000"/>
          <w:sz w:val="21"/>
          <w:szCs w:val="21"/>
          <w:u w:val="single"/>
        </w:rPr>
        <w:t xml:space="preserve">  </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i/>
          <w:snapToGrid w:val="0"/>
          <w:sz w:val="21"/>
          <w:szCs w:val="21"/>
          <w:u w:val="single"/>
        </w:rPr>
        <w:t xml:space="preserve">  </w:t>
      </w:r>
      <w:r>
        <w:rPr>
          <w:rFonts w:hint="eastAsia" w:asciiTheme="minorEastAsia" w:hAnsiTheme="minorEastAsia"/>
          <w:color w:val="000000"/>
          <w:sz w:val="21"/>
          <w:szCs w:val="21"/>
        </w:rPr>
        <w:t>的法定代表人。就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项目编号</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的</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38"/>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38"/>
        <w:spacing w:line="480" w:lineRule="auto"/>
        <w:ind w:firstLine="472" w:firstLineChars="225"/>
        <w:jc w:val="left"/>
        <w:rPr>
          <w:rFonts w:asciiTheme="minorEastAsia" w:hAnsiTheme="minorEastAsia"/>
          <w:color w:val="000000"/>
          <w:sz w:val="21"/>
          <w:szCs w:val="21"/>
        </w:rPr>
      </w:pPr>
    </w:p>
    <w:p>
      <w:pPr>
        <w:pStyle w:val="38"/>
        <w:spacing w:line="480" w:lineRule="auto"/>
        <w:ind w:firstLine="472" w:firstLineChars="225"/>
        <w:jc w:val="left"/>
        <w:rPr>
          <w:rFonts w:asciiTheme="minorEastAsia" w:hAnsiTheme="minorEastAsia"/>
          <w:color w:val="000000"/>
          <w:sz w:val="21"/>
          <w:szCs w:val="21"/>
        </w:rPr>
      </w:pPr>
    </w:p>
    <w:p>
      <w:pPr>
        <w:pStyle w:val="38"/>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38"/>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1"/>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0"/>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asciiTheme="minorEastAsia" w:hAnsiTheme="minorEastAsia"/>
          <w:szCs w:val="21"/>
        </w:rPr>
        <w:t xml:space="preserve"> </w:t>
      </w: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u w:val="single"/>
        </w:rPr>
        <w:t xml:space="preserve">  </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u w:val="single"/>
        </w:rPr>
        <w:t xml:space="preserve"> </w:t>
      </w:r>
      <w:r>
        <w:rPr>
          <w:rFonts w:hint="eastAsia" w:cs="Arial" w:asciiTheme="minorEastAsia" w:hAnsiTheme="minorEastAsia"/>
          <w:szCs w:val="21"/>
        </w:rPr>
        <w:t>的法定代表人，现委托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u w:val="single"/>
        </w:rPr>
        <w:t xml:space="preserve">    </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法定代表人： </w:t>
      </w:r>
      <w:r>
        <w:rPr>
          <w:rFonts w:hint="eastAsia" w:asciiTheme="minorEastAsia" w:hAnsiTheme="minorEastAsia"/>
          <w:szCs w:val="21"/>
          <w:u w:val="single"/>
        </w:rPr>
        <w:t xml:space="preserve">            </w:t>
      </w:r>
      <w:r>
        <w:rPr>
          <w:rFonts w:hint="eastAsia" w:asciiTheme="minorEastAsia" w:hAnsiTheme="minorEastAsia"/>
          <w:szCs w:val="21"/>
        </w:rPr>
        <w:t xml:space="preserve"> （签字或加盖名章）</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法定代表人授权代表： </w:t>
      </w:r>
      <w:r>
        <w:rPr>
          <w:rFonts w:hint="eastAsia" w:asciiTheme="minorEastAsia" w:hAnsiTheme="minorEastAsia"/>
          <w:szCs w:val="21"/>
          <w:u w:val="single"/>
        </w:rPr>
        <w:t xml:space="preserve">         </w:t>
      </w:r>
      <w:r>
        <w:rPr>
          <w:rFonts w:hint="eastAsia" w:asciiTheme="minorEastAsia" w:hAnsiTheme="minorEastAsia"/>
          <w:szCs w:val="21"/>
        </w:rPr>
        <w:t xml:space="preserve"> （签字或加盖名章）</w:t>
      </w:r>
    </w:p>
    <w:tbl>
      <w:tblPr>
        <w:tblStyle w:val="24"/>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4" w:name="_资格证明文件"/>
            <w:bookmarkEnd w:id="4"/>
            <w:bookmarkStart w:id="5" w:name="_Toc364329026"/>
            <w:r>
              <w:rPr>
                <w:rFonts w:hint="eastAsia" w:asciiTheme="minorEastAsia" w:hAnsiTheme="minorEastAsia"/>
                <w:szCs w:val="21"/>
              </w:rPr>
              <w:t>法定代表人授权代表身份证（正面）</w:t>
            </w:r>
            <w:bookmarkEnd w:id="5"/>
          </w:p>
        </w:tc>
        <w:tc>
          <w:tcPr>
            <w:tcW w:w="4492" w:type="dxa"/>
            <w:gridSpan w:val="2"/>
            <w:vAlign w:val="center"/>
          </w:tcPr>
          <w:p>
            <w:pPr>
              <w:jc w:val="center"/>
              <w:rPr>
                <w:rFonts w:asciiTheme="minorEastAsia" w:hAnsiTheme="minorEastAsia"/>
                <w:szCs w:val="21"/>
              </w:rPr>
            </w:pPr>
            <w:bookmarkStart w:id="6" w:name="_Toc364329027"/>
            <w:r>
              <w:rPr>
                <w:rFonts w:hint="eastAsia" w:asciiTheme="minorEastAsia" w:hAnsiTheme="minorEastAsia"/>
                <w:szCs w:val="21"/>
              </w:rPr>
              <w:t>法定代表人授权代表身份证（反面）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许昌公共资源交易中心保证金缴纳回执</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r>
        <w:rPr>
          <w:rFonts w:hint="eastAsia" w:ascii="宋体" w:cs="宋体"/>
          <w:szCs w:val="21"/>
          <w:lang w:val="zh-CN"/>
        </w:rPr>
        <w:t>（注：开标现场单独提供一份“许昌公共资源交易中心保证金缴纳回执”以备查询）</w:t>
      </w: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4"/>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w:t>
            </w:r>
            <w:r>
              <w:rPr>
                <w:rFonts w:cs="宋体" w:asciiTheme="minorEastAsia" w:hAnsiTheme="minorEastAsia"/>
                <w:b/>
                <w:szCs w:val="21"/>
                <w:lang w:val="zh-CN"/>
              </w:rPr>
              <w:t xml:space="preserve"> </w:t>
            </w:r>
            <w:r>
              <w:rPr>
                <w:rFonts w:hint="eastAsia" w:cs="宋体" w:asciiTheme="minorEastAsia" w:hAnsiTheme="minorEastAsia"/>
                <w:b/>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w:t>
            </w:r>
            <w:r>
              <w:rPr>
                <w:rFonts w:cs="宋体" w:asciiTheme="minorEastAsia" w:hAnsiTheme="minorEastAsia"/>
                <w:b/>
                <w:szCs w:val="21"/>
                <w:lang w:val="zh-CN"/>
              </w:rPr>
              <w:t xml:space="preserve"> </w:t>
            </w:r>
            <w:r>
              <w:rPr>
                <w:rFonts w:hint="eastAsia" w:cs="宋体" w:asciiTheme="minorEastAsia" w:hAnsiTheme="minorEastAsia"/>
                <w:b/>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w:t>
            </w:r>
            <w:r>
              <w:rPr>
                <w:rFonts w:cs="宋体" w:asciiTheme="minorEastAsia" w:hAnsiTheme="minorEastAsia"/>
                <w:b/>
                <w:szCs w:val="21"/>
                <w:lang w:val="zh-CN"/>
              </w:rPr>
              <w:t xml:space="preserve"> </w:t>
            </w:r>
            <w:r>
              <w:rPr>
                <w:rFonts w:hint="eastAsia" w:cs="宋体" w:asciiTheme="minorEastAsia" w:hAnsiTheme="minorEastAsia"/>
                <w:b/>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w:t>
            </w:r>
            <w:r>
              <w:rPr>
                <w:rFonts w:asciiTheme="minorEastAsia" w:hAnsiTheme="minorEastAsia"/>
                <w:szCs w:val="21"/>
              </w:rPr>
              <w:t xml:space="preserve">  </w:t>
            </w:r>
            <w:r>
              <w:rPr>
                <w:rFonts w:hint="eastAsia" w:cs="宋体" w:asciiTheme="minorEastAsia" w:hAnsiTheme="minorEastAsia"/>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w:t>
            </w:r>
            <w:r>
              <w:rPr>
                <w:rFonts w:asciiTheme="minorEastAsia" w:hAnsiTheme="minorEastAsia"/>
                <w:szCs w:val="21"/>
              </w:rPr>
              <w:t xml:space="preserve">              </w:t>
            </w:r>
            <w:r>
              <w:rPr>
                <w:rFonts w:hint="eastAsia" w:cs="宋体" w:asciiTheme="minorEastAsia" w:hAnsiTheme="minorEastAsia"/>
                <w:szCs w:val="21"/>
                <w:lang w:val="zh-CN"/>
              </w:rPr>
              <w:t>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w:t>
      </w:r>
      <w:r>
        <w:rPr>
          <w:rFonts w:cs="宋体" w:asciiTheme="minorEastAsia" w:hAnsiTheme="minorEastAsia"/>
          <w:szCs w:val="21"/>
          <w:lang w:val="zh-CN"/>
        </w:rPr>
        <w:t xml:space="preserve"> </w:t>
      </w:r>
      <w:r>
        <w:rPr>
          <w:rFonts w:hint="eastAsia" w:cs="宋体" w:asciiTheme="minorEastAsia" w:hAnsiTheme="minorEastAsia"/>
          <w:szCs w:val="21"/>
          <w:lang w:val="zh-CN"/>
        </w:rPr>
        <w:t>（或授权代表）签字：</w:t>
      </w: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4"/>
        <w:tblW w:w="9322" w:type="dxa"/>
        <w:tblInd w:w="0" w:type="dxa"/>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6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9"/>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9"/>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偏离情况说明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autoSpaceDE w:val="0"/>
        <w:autoSpaceDN w:val="0"/>
        <w:adjustRightInd w:val="0"/>
        <w:spacing w:line="360" w:lineRule="auto"/>
        <w:jc w:val="center"/>
        <w:outlineLvl w:val="0"/>
        <w:rPr>
          <w:rFonts w:hint="eastAsia" w:ascii="宋体" w:hAnsi="宋体"/>
          <w:b/>
          <w:bCs/>
          <w:color w:val="000000"/>
          <w:sz w:val="24"/>
          <w:szCs w:val="24"/>
        </w:rPr>
      </w:pPr>
      <w:r>
        <w:rPr>
          <w:rFonts w:hint="eastAsia"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4"/>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Cs w:val="21"/>
        </w:rPr>
        <w:t>项目名称：</w:t>
      </w:r>
    </w:p>
    <w:tbl>
      <w:tblPr>
        <w:tblStyle w:val="2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制造商</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提供节能产品所在页</w:t>
            </w:r>
          </w:p>
          <w:p>
            <w:pPr>
              <w:pStyle w:val="9"/>
              <w:jc w:val="center"/>
              <w:rPr>
                <w:rFonts w:ascii="宋体" w:hAnsi="宋体" w:eastAsia="宋体" w:cs="宋体"/>
                <w:b/>
                <w:bCs/>
                <w:sz w:val="21"/>
                <w:szCs w:val="21"/>
              </w:rPr>
            </w:pPr>
            <w:r>
              <w:rPr>
                <w:rFonts w:hint="eastAsia" w:ascii="宋体" w:hAnsi="宋体" w:eastAsia="宋体" w:cs="宋体"/>
                <w:b/>
                <w:bCs/>
                <w:sz w:val="21"/>
                <w:szCs w:val="21"/>
              </w:rPr>
              <w:t>复印件</w:t>
            </w:r>
          </w:p>
          <w:p>
            <w:pPr>
              <w:pStyle w:val="9"/>
              <w:jc w:val="center"/>
              <w:rPr>
                <w:rFonts w:ascii="宋体" w:hAnsi="宋体" w:eastAsia="宋体" w:cs="宋体"/>
                <w:b/>
                <w:bCs/>
                <w:sz w:val="21"/>
                <w:szCs w:val="21"/>
              </w:rPr>
            </w:pPr>
            <w:r>
              <w:rPr>
                <w:rFonts w:hint="eastAsia" w:ascii="宋体" w:hAnsi="宋体" w:eastAsia="宋体" w:cs="宋体"/>
                <w:b/>
                <w:bCs/>
                <w:sz w:val="21"/>
                <w:szCs w:val="21"/>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说明：所投产品节能清单所在页复印件并加盖投标人公章须附后。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r>
        <w:rPr>
          <w:rFonts w:hint="eastAsia"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“节能产品政府采购清单”优先采购产品情况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Cs w:val="21"/>
        </w:rPr>
        <w:t>项目名称：</w:t>
      </w:r>
    </w:p>
    <w:tbl>
      <w:tblPr>
        <w:tblStyle w:val="2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制造商</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提供节能产品所在页</w:t>
            </w:r>
          </w:p>
          <w:p>
            <w:pPr>
              <w:pStyle w:val="9"/>
              <w:jc w:val="center"/>
              <w:rPr>
                <w:rFonts w:ascii="宋体" w:hAnsi="宋体" w:eastAsia="宋体" w:cs="宋体"/>
                <w:b/>
                <w:bCs/>
                <w:sz w:val="21"/>
                <w:szCs w:val="21"/>
              </w:rPr>
            </w:pPr>
            <w:r>
              <w:rPr>
                <w:rFonts w:hint="eastAsia" w:ascii="宋体" w:hAnsi="宋体" w:eastAsia="宋体" w:cs="宋体"/>
                <w:b/>
                <w:bCs/>
                <w:sz w:val="21"/>
                <w:szCs w:val="21"/>
              </w:rPr>
              <w:t>复印件</w:t>
            </w:r>
          </w:p>
          <w:p>
            <w:pPr>
              <w:pStyle w:val="9"/>
              <w:jc w:val="center"/>
              <w:rPr>
                <w:rFonts w:ascii="宋体" w:hAnsi="宋体" w:eastAsia="宋体" w:cs="宋体"/>
                <w:b/>
                <w:bCs/>
                <w:sz w:val="21"/>
                <w:szCs w:val="21"/>
              </w:rPr>
            </w:pPr>
            <w:r>
              <w:rPr>
                <w:rFonts w:hint="eastAsia" w:ascii="宋体" w:hAnsi="宋体" w:eastAsia="宋体" w:cs="宋体"/>
                <w:b/>
                <w:bCs/>
                <w:sz w:val="21"/>
                <w:szCs w:val="21"/>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autoSpaceDE w:val="0"/>
        <w:autoSpaceDN w:val="0"/>
        <w:adjustRightInd w:val="0"/>
        <w:spacing w:line="360" w:lineRule="auto"/>
        <w:jc w:val="center"/>
        <w:outlineLvl w:val="0"/>
        <w:rPr>
          <w:rFonts w:hint="eastAsia" w:ascii="宋体" w:hAnsi="宋体"/>
          <w:b/>
          <w:bCs/>
          <w:color w:val="000000"/>
          <w:sz w:val="24"/>
          <w:szCs w:val="24"/>
        </w:rPr>
      </w:pPr>
      <w:r>
        <w:rPr>
          <w:rFonts w:hint="eastAsia"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Cs w:val="21"/>
        </w:rPr>
        <w:t>项目名称：</w:t>
      </w:r>
    </w:p>
    <w:tbl>
      <w:tblPr>
        <w:tblStyle w:val="2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制造商</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中国环境标志认证证书编号</w:t>
            </w:r>
          </w:p>
        </w:tc>
        <w:tc>
          <w:tcPr>
            <w:tcW w:w="1439"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提供环境标志产品所在页复印件</w:t>
            </w:r>
          </w:p>
          <w:p>
            <w:pPr>
              <w:pStyle w:val="9"/>
              <w:jc w:val="center"/>
              <w:rPr>
                <w:rFonts w:ascii="宋体" w:hAnsi="宋体" w:eastAsia="宋体" w:cs="宋体"/>
                <w:b/>
                <w:bCs/>
                <w:sz w:val="21"/>
                <w:szCs w:val="21"/>
              </w:rPr>
            </w:pPr>
            <w:r>
              <w:rPr>
                <w:rFonts w:hint="eastAsia" w:ascii="宋体" w:hAnsi="宋体" w:eastAsia="宋体" w:cs="宋体"/>
                <w:b/>
                <w:bCs/>
                <w:sz w:val="21"/>
                <w:szCs w:val="21"/>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ind w:left="630" w:hanging="630" w:hangingChars="300"/>
        <w:rPr>
          <w:rFonts w:cs="宋体" w:asciiTheme="minorEastAsia" w:hAnsiTheme="minorEastAsia"/>
          <w:szCs w:val="21"/>
          <w:lang w:val="zh-CN"/>
        </w:rPr>
      </w:pPr>
      <w:r>
        <w:rPr>
          <w:rFonts w:hint="eastAsia" w:cs="宋体" w:asciiTheme="minorEastAsia" w:hAnsiTheme="minorEastAsia"/>
          <w:szCs w:val="21"/>
          <w:lang w:val="zh-CN"/>
        </w:rPr>
        <w:t>说明：所投产品“环境标志产品政府采购清单”所在页复印件并加盖投标人公章须附后。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jc w:val="left"/>
        <w:rPr>
          <w:rFonts w:ascii="宋体" w:hAnsi="宋体"/>
          <w:color w:val="000000"/>
          <w:szCs w:val="21"/>
        </w:rPr>
      </w:pPr>
    </w:p>
    <w:p>
      <w:pPr>
        <w:widowControl/>
        <w:spacing w:before="100" w:beforeAutospacing="1" w:after="100" w:afterAutospacing="1" w:line="360" w:lineRule="auto"/>
        <w:jc w:val="left"/>
        <w:rPr>
          <w:rFonts w:ascii="宋体" w:hAnsi="宋体"/>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bookmarkStart w:id="7" w:name="OLE_LINK13"/>
      <w:bookmarkStart w:id="8" w:name="OLE_LINK14"/>
      <w:r>
        <w:rPr>
          <w:rFonts w:hint="eastAsia" w:ascii="宋体" w:hAnsi="宋体"/>
          <w:b/>
          <w:bCs/>
          <w:color w:val="000000"/>
          <w:sz w:val="24"/>
          <w:szCs w:val="24"/>
        </w:rPr>
        <w:t>4.10 残疾人福利性单位声明函</w:t>
      </w:r>
    </w:p>
    <w:bookmarkEnd w:id="7"/>
    <w:bookmarkEnd w:id="8"/>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25" o:spid="_x0000_s1025"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5"/>
                </w:pPr>
                <w:r>
                  <w:fldChar w:fldCharType="begin"/>
                </w:r>
                <w:r>
                  <w:instrText xml:space="preserve"> PAGE  \* MERGEFORMAT </w:instrText>
                </w:r>
                <w:r>
                  <w:fldChar w:fldCharType="separate"/>
                </w:r>
                <w:r>
                  <w:t>35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2"/>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6207351"/>
    <w:multiLevelType w:val="multilevel"/>
    <w:tmpl w:val="46207351"/>
    <w:lvl w:ilvl="0" w:tentative="0">
      <w:start w:val="2"/>
      <w:numFmt w:val="decimal"/>
      <w:lvlText w:val="%1."/>
      <w:lvlJc w:val="left"/>
      <w:pPr>
        <w:ind w:left="420" w:hanging="420"/>
      </w:pPr>
      <w:rPr>
        <w:rFonts w:hint="eastAsia"/>
      </w:rPr>
    </w:lvl>
    <w:lvl w:ilvl="1" w:tentative="0">
      <w:start w:val="2"/>
      <w:numFmt w:val="decimal"/>
      <w:lvlText w:val="%2.8.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2">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9F817C2"/>
    <w:multiLevelType w:val="singleLevel"/>
    <w:tmpl w:val="59F817C2"/>
    <w:lvl w:ilvl="0" w:tentative="0">
      <w:start w:val="2"/>
      <w:numFmt w:val="chineseCounting"/>
      <w:suff w:val="space"/>
      <w:lvlText w:val="第%1章"/>
      <w:lvlJc w:val="left"/>
    </w:lvl>
  </w:abstractNum>
  <w:abstractNum w:abstractNumId="14">
    <w:nsid w:val="59F817E8"/>
    <w:multiLevelType w:val="singleLevel"/>
    <w:tmpl w:val="59F817E8"/>
    <w:lvl w:ilvl="0" w:tentative="0">
      <w:start w:val="1"/>
      <w:numFmt w:val="chineseCounting"/>
      <w:pStyle w:val="47"/>
      <w:suff w:val="nothing"/>
      <w:lvlText w:val="%1、"/>
      <w:lvlJc w:val="left"/>
    </w:lvl>
  </w:abstractNum>
  <w:abstractNum w:abstractNumId="15">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707C01F4"/>
    <w:multiLevelType w:val="multilevel"/>
    <w:tmpl w:val="707C01F4"/>
    <w:lvl w:ilvl="0" w:tentative="0">
      <w:start w:val="2"/>
      <w:numFmt w:val="decimal"/>
      <w:lvlText w:val="%1."/>
      <w:lvlJc w:val="left"/>
      <w:pPr>
        <w:ind w:left="420" w:hanging="420"/>
      </w:pPr>
      <w:rPr>
        <w:rFonts w:hint="eastAsia"/>
      </w:rPr>
    </w:lvl>
    <w:lvl w:ilvl="1" w:tentative="0">
      <w:start w:val="2"/>
      <w:numFmt w:val="decimal"/>
      <w:lvlText w:val="%2.8.1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7">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4"/>
  </w:num>
  <w:num w:numId="4">
    <w:abstractNumId w:val="13"/>
  </w:num>
  <w:num w:numId="5">
    <w:abstractNumId w:val="7"/>
  </w:num>
  <w:num w:numId="6">
    <w:abstractNumId w:val="15"/>
  </w:num>
  <w:num w:numId="7">
    <w:abstractNumId w:val="16"/>
  </w:num>
  <w:num w:numId="8">
    <w:abstractNumId w:val="11"/>
  </w:num>
  <w:num w:numId="9">
    <w:abstractNumId w:val="8"/>
  </w:num>
  <w:num w:numId="10">
    <w:abstractNumId w:val="4"/>
  </w:num>
  <w:num w:numId="11">
    <w:abstractNumId w:val="5"/>
  </w:num>
  <w:num w:numId="12">
    <w:abstractNumId w:val="18"/>
  </w:num>
  <w:num w:numId="13">
    <w:abstractNumId w:val="10"/>
  </w:num>
  <w:num w:numId="14">
    <w:abstractNumId w:val="17"/>
  </w:num>
  <w:num w:numId="15">
    <w:abstractNumId w:val="3"/>
  </w:num>
  <w:num w:numId="16">
    <w:abstractNumId w:val="6"/>
  </w:num>
  <w:num w:numId="17">
    <w:abstractNumId w:val="12"/>
  </w:num>
  <w:num w:numId="18">
    <w:abstractNumId w:val="9"/>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D20A3"/>
    <w:rsid w:val="00000A27"/>
    <w:rsid w:val="000043E4"/>
    <w:rsid w:val="00012712"/>
    <w:rsid w:val="000178D4"/>
    <w:rsid w:val="00020353"/>
    <w:rsid w:val="00022000"/>
    <w:rsid w:val="00022021"/>
    <w:rsid w:val="000300B0"/>
    <w:rsid w:val="000318E9"/>
    <w:rsid w:val="00033D27"/>
    <w:rsid w:val="00034324"/>
    <w:rsid w:val="000554D6"/>
    <w:rsid w:val="00061EBD"/>
    <w:rsid w:val="00066076"/>
    <w:rsid w:val="00074086"/>
    <w:rsid w:val="00086AFB"/>
    <w:rsid w:val="000938BE"/>
    <w:rsid w:val="000A7A0E"/>
    <w:rsid w:val="000B0639"/>
    <w:rsid w:val="000B76FE"/>
    <w:rsid w:val="000C15AC"/>
    <w:rsid w:val="000C5472"/>
    <w:rsid w:val="000D0962"/>
    <w:rsid w:val="000D24B4"/>
    <w:rsid w:val="000D3714"/>
    <w:rsid w:val="000D4F8E"/>
    <w:rsid w:val="000D56C3"/>
    <w:rsid w:val="000E102E"/>
    <w:rsid w:val="000F3964"/>
    <w:rsid w:val="00113A6C"/>
    <w:rsid w:val="00114F7B"/>
    <w:rsid w:val="001309C7"/>
    <w:rsid w:val="0013622E"/>
    <w:rsid w:val="001413B0"/>
    <w:rsid w:val="0014292A"/>
    <w:rsid w:val="001453AC"/>
    <w:rsid w:val="00157BFD"/>
    <w:rsid w:val="0016162A"/>
    <w:rsid w:val="00162961"/>
    <w:rsid w:val="001729F5"/>
    <w:rsid w:val="00175E00"/>
    <w:rsid w:val="001812E3"/>
    <w:rsid w:val="001A1B6C"/>
    <w:rsid w:val="001A3DE4"/>
    <w:rsid w:val="001B3201"/>
    <w:rsid w:val="001B3B1F"/>
    <w:rsid w:val="001B3FA7"/>
    <w:rsid w:val="001C128F"/>
    <w:rsid w:val="001D1F28"/>
    <w:rsid w:val="001D2862"/>
    <w:rsid w:val="001D6D29"/>
    <w:rsid w:val="001E3E55"/>
    <w:rsid w:val="00212A04"/>
    <w:rsid w:val="00220A8C"/>
    <w:rsid w:val="00234499"/>
    <w:rsid w:val="00235DB3"/>
    <w:rsid w:val="002373EF"/>
    <w:rsid w:val="002408D3"/>
    <w:rsid w:val="002447F3"/>
    <w:rsid w:val="00247D4B"/>
    <w:rsid w:val="00247EBC"/>
    <w:rsid w:val="00251DBD"/>
    <w:rsid w:val="0025438E"/>
    <w:rsid w:val="002557F6"/>
    <w:rsid w:val="00257170"/>
    <w:rsid w:val="00257C0C"/>
    <w:rsid w:val="00257C27"/>
    <w:rsid w:val="002644FB"/>
    <w:rsid w:val="00274792"/>
    <w:rsid w:val="00274F8B"/>
    <w:rsid w:val="00282D0F"/>
    <w:rsid w:val="002A4363"/>
    <w:rsid w:val="002A4A94"/>
    <w:rsid w:val="002D5CAA"/>
    <w:rsid w:val="002E3710"/>
    <w:rsid w:val="002F56B1"/>
    <w:rsid w:val="002F68B9"/>
    <w:rsid w:val="00300379"/>
    <w:rsid w:val="00301814"/>
    <w:rsid w:val="00304216"/>
    <w:rsid w:val="00307037"/>
    <w:rsid w:val="003103B1"/>
    <w:rsid w:val="00313750"/>
    <w:rsid w:val="00315BEB"/>
    <w:rsid w:val="00322385"/>
    <w:rsid w:val="00323B0A"/>
    <w:rsid w:val="00325EC7"/>
    <w:rsid w:val="003315A3"/>
    <w:rsid w:val="00333DA4"/>
    <w:rsid w:val="0033593F"/>
    <w:rsid w:val="00336C58"/>
    <w:rsid w:val="00337220"/>
    <w:rsid w:val="00355A48"/>
    <w:rsid w:val="00361029"/>
    <w:rsid w:val="00361EF7"/>
    <w:rsid w:val="00365D02"/>
    <w:rsid w:val="0037403C"/>
    <w:rsid w:val="00380D7C"/>
    <w:rsid w:val="00383B76"/>
    <w:rsid w:val="003B47AA"/>
    <w:rsid w:val="003B602C"/>
    <w:rsid w:val="003B6371"/>
    <w:rsid w:val="003D2B2F"/>
    <w:rsid w:val="003D3FB5"/>
    <w:rsid w:val="003E149A"/>
    <w:rsid w:val="003E2DBE"/>
    <w:rsid w:val="0041124B"/>
    <w:rsid w:val="00412829"/>
    <w:rsid w:val="00414486"/>
    <w:rsid w:val="00415A4E"/>
    <w:rsid w:val="00417373"/>
    <w:rsid w:val="004212CB"/>
    <w:rsid w:val="0042172E"/>
    <w:rsid w:val="004226E9"/>
    <w:rsid w:val="00425942"/>
    <w:rsid w:val="00436090"/>
    <w:rsid w:val="00445971"/>
    <w:rsid w:val="00447141"/>
    <w:rsid w:val="00453CFB"/>
    <w:rsid w:val="00471D9E"/>
    <w:rsid w:val="0048788B"/>
    <w:rsid w:val="004A3EBE"/>
    <w:rsid w:val="004B2239"/>
    <w:rsid w:val="004B22D3"/>
    <w:rsid w:val="004B6F46"/>
    <w:rsid w:val="004B7646"/>
    <w:rsid w:val="004C3729"/>
    <w:rsid w:val="004C488A"/>
    <w:rsid w:val="004D339F"/>
    <w:rsid w:val="004E2C91"/>
    <w:rsid w:val="004E6481"/>
    <w:rsid w:val="004F1DBB"/>
    <w:rsid w:val="004F5BE4"/>
    <w:rsid w:val="005020CD"/>
    <w:rsid w:val="00512A12"/>
    <w:rsid w:val="00521E2C"/>
    <w:rsid w:val="00522091"/>
    <w:rsid w:val="00522697"/>
    <w:rsid w:val="00544270"/>
    <w:rsid w:val="00547C51"/>
    <w:rsid w:val="005549F8"/>
    <w:rsid w:val="00561C5B"/>
    <w:rsid w:val="00573D06"/>
    <w:rsid w:val="005768AB"/>
    <w:rsid w:val="00577061"/>
    <w:rsid w:val="0058043E"/>
    <w:rsid w:val="005856E5"/>
    <w:rsid w:val="005A0399"/>
    <w:rsid w:val="005A0CBC"/>
    <w:rsid w:val="005A14CE"/>
    <w:rsid w:val="005A3071"/>
    <w:rsid w:val="005E3409"/>
    <w:rsid w:val="005E3F3F"/>
    <w:rsid w:val="005F0B1E"/>
    <w:rsid w:val="005F1DF2"/>
    <w:rsid w:val="0060569D"/>
    <w:rsid w:val="00614304"/>
    <w:rsid w:val="0061792B"/>
    <w:rsid w:val="00622B0B"/>
    <w:rsid w:val="00624843"/>
    <w:rsid w:val="006357B0"/>
    <w:rsid w:val="006369BE"/>
    <w:rsid w:val="00636AAD"/>
    <w:rsid w:val="0063754C"/>
    <w:rsid w:val="0065294F"/>
    <w:rsid w:val="00653D9B"/>
    <w:rsid w:val="00654B93"/>
    <w:rsid w:val="006626FF"/>
    <w:rsid w:val="0067408D"/>
    <w:rsid w:val="00674726"/>
    <w:rsid w:val="006906FE"/>
    <w:rsid w:val="00695567"/>
    <w:rsid w:val="006A7085"/>
    <w:rsid w:val="006B11BB"/>
    <w:rsid w:val="006B59F9"/>
    <w:rsid w:val="006C1ABC"/>
    <w:rsid w:val="006C4A8D"/>
    <w:rsid w:val="006D2F3B"/>
    <w:rsid w:val="006D5390"/>
    <w:rsid w:val="006E6EAB"/>
    <w:rsid w:val="006F0427"/>
    <w:rsid w:val="006F2C6A"/>
    <w:rsid w:val="006F68CC"/>
    <w:rsid w:val="0070010A"/>
    <w:rsid w:val="00704BF9"/>
    <w:rsid w:val="00705BA9"/>
    <w:rsid w:val="00716F27"/>
    <w:rsid w:val="00721711"/>
    <w:rsid w:val="00737DB9"/>
    <w:rsid w:val="007401C3"/>
    <w:rsid w:val="00740E91"/>
    <w:rsid w:val="00746A32"/>
    <w:rsid w:val="007568C2"/>
    <w:rsid w:val="007570E2"/>
    <w:rsid w:val="00760543"/>
    <w:rsid w:val="007727E6"/>
    <w:rsid w:val="0077455F"/>
    <w:rsid w:val="00784774"/>
    <w:rsid w:val="0078780A"/>
    <w:rsid w:val="0079352C"/>
    <w:rsid w:val="00796672"/>
    <w:rsid w:val="007A31F4"/>
    <w:rsid w:val="007A34F1"/>
    <w:rsid w:val="007A48E9"/>
    <w:rsid w:val="007B30DE"/>
    <w:rsid w:val="007B39C7"/>
    <w:rsid w:val="007C07ED"/>
    <w:rsid w:val="007C6705"/>
    <w:rsid w:val="007D2A0A"/>
    <w:rsid w:val="007D2B0C"/>
    <w:rsid w:val="007D3A74"/>
    <w:rsid w:val="007D4BAD"/>
    <w:rsid w:val="007D6D78"/>
    <w:rsid w:val="007E1FE9"/>
    <w:rsid w:val="007E5964"/>
    <w:rsid w:val="007E6183"/>
    <w:rsid w:val="007F0A64"/>
    <w:rsid w:val="007F6FB7"/>
    <w:rsid w:val="0080260F"/>
    <w:rsid w:val="008101FB"/>
    <w:rsid w:val="00811BB1"/>
    <w:rsid w:val="00832E87"/>
    <w:rsid w:val="00833C6A"/>
    <w:rsid w:val="0084302F"/>
    <w:rsid w:val="00847088"/>
    <w:rsid w:val="0085213A"/>
    <w:rsid w:val="0086265C"/>
    <w:rsid w:val="008656DB"/>
    <w:rsid w:val="008734AD"/>
    <w:rsid w:val="008753FE"/>
    <w:rsid w:val="00877C6C"/>
    <w:rsid w:val="008833DC"/>
    <w:rsid w:val="008834FE"/>
    <w:rsid w:val="00884D0F"/>
    <w:rsid w:val="00884F11"/>
    <w:rsid w:val="00887FE7"/>
    <w:rsid w:val="0089369E"/>
    <w:rsid w:val="00893B24"/>
    <w:rsid w:val="00896816"/>
    <w:rsid w:val="008A1EE5"/>
    <w:rsid w:val="008A4543"/>
    <w:rsid w:val="008A5850"/>
    <w:rsid w:val="008B57FF"/>
    <w:rsid w:val="008B5A12"/>
    <w:rsid w:val="008B7AF4"/>
    <w:rsid w:val="008C40A8"/>
    <w:rsid w:val="008C4BEA"/>
    <w:rsid w:val="008C53A7"/>
    <w:rsid w:val="008E62A2"/>
    <w:rsid w:val="008F0E43"/>
    <w:rsid w:val="008F3208"/>
    <w:rsid w:val="00902A7F"/>
    <w:rsid w:val="00905A17"/>
    <w:rsid w:val="00920609"/>
    <w:rsid w:val="00920892"/>
    <w:rsid w:val="009209F7"/>
    <w:rsid w:val="0092409E"/>
    <w:rsid w:val="00930F65"/>
    <w:rsid w:val="00945983"/>
    <w:rsid w:val="00973D36"/>
    <w:rsid w:val="0097535A"/>
    <w:rsid w:val="00985EBA"/>
    <w:rsid w:val="0098622D"/>
    <w:rsid w:val="009A452D"/>
    <w:rsid w:val="009B2B36"/>
    <w:rsid w:val="009B5BC7"/>
    <w:rsid w:val="009B6EA8"/>
    <w:rsid w:val="009C12AB"/>
    <w:rsid w:val="009C5BE8"/>
    <w:rsid w:val="009C5BF0"/>
    <w:rsid w:val="009D1F9C"/>
    <w:rsid w:val="009D203C"/>
    <w:rsid w:val="009D20A3"/>
    <w:rsid w:val="009D3502"/>
    <w:rsid w:val="009E6699"/>
    <w:rsid w:val="00A045C1"/>
    <w:rsid w:val="00A0474D"/>
    <w:rsid w:val="00A159FC"/>
    <w:rsid w:val="00A15F7A"/>
    <w:rsid w:val="00A21DDF"/>
    <w:rsid w:val="00A23F1B"/>
    <w:rsid w:val="00A27AA9"/>
    <w:rsid w:val="00A339F0"/>
    <w:rsid w:val="00A36206"/>
    <w:rsid w:val="00A4096D"/>
    <w:rsid w:val="00A42751"/>
    <w:rsid w:val="00A44605"/>
    <w:rsid w:val="00A52737"/>
    <w:rsid w:val="00A54E5B"/>
    <w:rsid w:val="00A61AF6"/>
    <w:rsid w:val="00A63C44"/>
    <w:rsid w:val="00A678EF"/>
    <w:rsid w:val="00A75A79"/>
    <w:rsid w:val="00A910F1"/>
    <w:rsid w:val="00AA0F1B"/>
    <w:rsid w:val="00AA4CCD"/>
    <w:rsid w:val="00AC49CE"/>
    <w:rsid w:val="00AC4FD2"/>
    <w:rsid w:val="00AE3298"/>
    <w:rsid w:val="00B02024"/>
    <w:rsid w:val="00B05115"/>
    <w:rsid w:val="00B07980"/>
    <w:rsid w:val="00B12A55"/>
    <w:rsid w:val="00B15872"/>
    <w:rsid w:val="00B16E78"/>
    <w:rsid w:val="00B20FA0"/>
    <w:rsid w:val="00B24D17"/>
    <w:rsid w:val="00B277AA"/>
    <w:rsid w:val="00B30127"/>
    <w:rsid w:val="00B32542"/>
    <w:rsid w:val="00B32A03"/>
    <w:rsid w:val="00B4067A"/>
    <w:rsid w:val="00B41493"/>
    <w:rsid w:val="00B42330"/>
    <w:rsid w:val="00B42703"/>
    <w:rsid w:val="00B47396"/>
    <w:rsid w:val="00B5289C"/>
    <w:rsid w:val="00B53BAE"/>
    <w:rsid w:val="00B601A6"/>
    <w:rsid w:val="00B61615"/>
    <w:rsid w:val="00B616DF"/>
    <w:rsid w:val="00B775F1"/>
    <w:rsid w:val="00BA68F5"/>
    <w:rsid w:val="00BB1F82"/>
    <w:rsid w:val="00BB2ACA"/>
    <w:rsid w:val="00BB33D2"/>
    <w:rsid w:val="00BB33E6"/>
    <w:rsid w:val="00BB6706"/>
    <w:rsid w:val="00BC09E9"/>
    <w:rsid w:val="00BC30AC"/>
    <w:rsid w:val="00BC4761"/>
    <w:rsid w:val="00BC548C"/>
    <w:rsid w:val="00BD26E3"/>
    <w:rsid w:val="00BD46B3"/>
    <w:rsid w:val="00BD4844"/>
    <w:rsid w:val="00BD4F16"/>
    <w:rsid w:val="00BD62A9"/>
    <w:rsid w:val="00BD6B19"/>
    <w:rsid w:val="00BD7252"/>
    <w:rsid w:val="00BD77B4"/>
    <w:rsid w:val="00BF1566"/>
    <w:rsid w:val="00BF2BE8"/>
    <w:rsid w:val="00C214C3"/>
    <w:rsid w:val="00C21A0B"/>
    <w:rsid w:val="00C22847"/>
    <w:rsid w:val="00C23C88"/>
    <w:rsid w:val="00C3639D"/>
    <w:rsid w:val="00C41183"/>
    <w:rsid w:val="00C42E82"/>
    <w:rsid w:val="00C44B22"/>
    <w:rsid w:val="00C46BF7"/>
    <w:rsid w:val="00C70AC1"/>
    <w:rsid w:val="00C70FB9"/>
    <w:rsid w:val="00C73B5B"/>
    <w:rsid w:val="00C821C3"/>
    <w:rsid w:val="00C967BD"/>
    <w:rsid w:val="00CA60C0"/>
    <w:rsid w:val="00CB5D80"/>
    <w:rsid w:val="00CC635B"/>
    <w:rsid w:val="00CD0DF3"/>
    <w:rsid w:val="00CD1688"/>
    <w:rsid w:val="00CD275D"/>
    <w:rsid w:val="00CE0D24"/>
    <w:rsid w:val="00CE1F97"/>
    <w:rsid w:val="00CE3B68"/>
    <w:rsid w:val="00CE5C22"/>
    <w:rsid w:val="00D03251"/>
    <w:rsid w:val="00D13B7F"/>
    <w:rsid w:val="00D17952"/>
    <w:rsid w:val="00D22B67"/>
    <w:rsid w:val="00D255E5"/>
    <w:rsid w:val="00D273E8"/>
    <w:rsid w:val="00D276CD"/>
    <w:rsid w:val="00D301AB"/>
    <w:rsid w:val="00D306DE"/>
    <w:rsid w:val="00D37098"/>
    <w:rsid w:val="00D42A85"/>
    <w:rsid w:val="00D50424"/>
    <w:rsid w:val="00D53F80"/>
    <w:rsid w:val="00D615B9"/>
    <w:rsid w:val="00D65B94"/>
    <w:rsid w:val="00D65D54"/>
    <w:rsid w:val="00DB0DE6"/>
    <w:rsid w:val="00DC21F0"/>
    <w:rsid w:val="00DC6509"/>
    <w:rsid w:val="00DE35F4"/>
    <w:rsid w:val="00DF1A9A"/>
    <w:rsid w:val="00DF2776"/>
    <w:rsid w:val="00DF323D"/>
    <w:rsid w:val="00E301A5"/>
    <w:rsid w:val="00E31290"/>
    <w:rsid w:val="00E34343"/>
    <w:rsid w:val="00E533A3"/>
    <w:rsid w:val="00E53E54"/>
    <w:rsid w:val="00E554FC"/>
    <w:rsid w:val="00E57228"/>
    <w:rsid w:val="00E7246F"/>
    <w:rsid w:val="00E81BC8"/>
    <w:rsid w:val="00E970F5"/>
    <w:rsid w:val="00EA678F"/>
    <w:rsid w:val="00EB122F"/>
    <w:rsid w:val="00EC12C7"/>
    <w:rsid w:val="00EC52FD"/>
    <w:rsid w:val="00EC5F8C"/>
    <w:rsid w:val="00EC6291"/>
    <w:rsid w:val="00ED12B1"/>
    <w:rsid w:val="00ED4E2E"/>
    <w:rsid w:val="00ED57DC"/>
    <w:rsid w:val="00EE15D9"/>
    <w:rsid w:val="00EF1B01"/>
    <w:rsid w:val="00EF5261"/>
    <w:rsid w:val="00F001F0"/>
    <w:rsid w:val="00F04FC6"/>
    <w:rsid w:val="00F105D7"/>
    <w:rsid w:val="00F270AE"/>
    <w:rsid w:val="00F2739F"/>
    <w:rsid w:val="00F36EAE"/>
    <w:rsid w:val="00F566F9"/>
    <w:rsid w:val="00F6323A"/>
    <w:rsid w:val="00F6614B"/>
    <w:rsid w:val="00F700DD"/>
    <w:rsid w:val="00F726CB"/>
    <w:rsid w:val="00F771F3"/>
    <w:rsid w:val="00F823FB"/>
    <w:rsid w:val="00F84F9D"/>
    <w:rsid w:val="00F94449"/>
    <w:rsid w:val="00F95117"/>
    <w:rsid w:val="00FA3464"/>
    <w:rsid w:val="00FA69A3"/>
    <w:rsid w:val="00FC5937"/>
    <w:rsid w:val="00FC7550"/>
    <w:rsid w:val="00FD2FE5"/>
    <w:rsid w:val="00FE0F7C"/>
    <w:rsid w:val="00FE6A83"/>
    <w:rsid w:val="00FF2E8B"/>
    <w:rsid w:val="00FF7E23"/>
    <w:rsid w:val="02BC6367"/>
    <w:rsid w:val="068E2BB8"/>
    <w:rsid w:val="09A61BFF"/>
    <w:rsid w:val="0AF84825"/>
    <w:rsid w:val="0C1652AE"/>
    <w:rsid w:val="0D8F348C"/>
    <w:rsid w:val="0F83162E"/>
    <w:rsid w:val="0F8E0BF1"/>
    <w:rsid w:val="148017D2"/>
    <w:rsid w:val="15722B33"/>
    <w:rsid w:val="17520317"/>
    <w:rsid w:val="18EB62EC"/>
    <w:rsid w:val="192128FF"/>
    <w:rsid w:val="1F4A5F9E"/>
    <w:rsid w:val="24532920"/>
    <w:rsid w:val="25880262"/>
    <w:rsid w:val="2C3F22C0"/>
    <w:rsid w:val="2F236073"/>
    <w:rsid w:val="3201020C"/>
    <w:rsid w:val="32DE556E"/>
    <w:rsid w:val="36CE38BB"/>
    <w:rsid w:val="3D7D4F6D"/>
    <w:rsid w:val="48AD00F7"/>
    <w:rsid w:val="54617847"/>
    <w:rsid w:val="5A601200"/>
    <w:rsid w:val="5B0932AE"/>
    <w:rsid w:val="5B406552"/>
    <w:rsid w:val="5ED54B3C"/>
    <w:rsid w:val="62D37533"/>
    <w:rsid w:val="663029A8"/>
    <w:rsid w:val="6BE66A88"/>
    <w:rsid w:val="6C6A7441"/>
    <w:rsid w:val="6CF27057"/>
    <w:rsid w:val="6F7A4850"/>
    <w:rsid w:val="727B31D2"/>
    <w:rsid w:val="737667F0"/>
    <w:rsid w:val="7392384F"/>
    <w:rsid w:val="75330856"/>
    <w:rsid w:val="7A8468D7"/>
    <w:rsid w:val="7AC836C3"/>
    <w:rsid w:val="7BCE4CA8"/>
    <w:rsid w:val="7E4850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6"/>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7"/>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28"/>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0">
    <w:name w:val="Default Paragraph Font"/>
    <w:semiHidden/>
    <w:unhideWhenUsed/>
    <w:qFormat/>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6">
    <w:name w:val="Body Text First Indent"/>
    <w:basedOn w:val="7"/>
    <w:link w:val="49"/>
    <w:qFormat/>
    <w:uiPriority w:val="0"/>
    <w:pPr>
      <w:ind w:firstLine="420" w:firstLineChars="100"/>
    </w:pPr>
    <w:rPr>
      <w:rFonts w:ascii="宋体" w:hAnsi="Times New Roman" w:eastAsia="宋体" w:cs="Times New Roman"/>
      <w:kern w:val="0"/>
      <w:sz w:val="34"/>
      <w:szCs w:val="20"/>
    </w:rPr>
  </w:style>
  <w:style w:type="paragraph" w:styleId="7">
    <w:name w:val="Body Text"/>
    <w:basedOn w:val="1"/>
    <w:link w:val="48"/>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4"/>
    <w:qFormat/>
    <w:uiPriority w:val="0"/>
    <w:rPr>
      <w:rFonts w:ascii="Times New Roman" w:hAnsi="Times New Roman" w:eastAsia="宋体" w:cs="Times New Roman"/>
      <w:color w:val="FF0000"/>
      <w:sz w:val="24"/>
      <w:szCs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29"/>
    <w:qFormat/>
    <w:uiPriority w:val="0"/>
    <w:rPr>
      <w:rFonts w:eastAsia="宋体"/>
      <w:sz w:val="24"/>
    </w:rPr>
  </w:style>
  <w:style w:type="paragraph" w:styleId="14">
    <w:name w:val="Date"/>
    <w:basedOn w:val="1"/>
    <w:next w:val="1"/>
    <w:link w:val="30"/>
    <w:unhideWhenUsed/>
    <w:qFormat/>
    <w:uiPriority w:val="99"/>
    <w:pPr>
      <w:ind w:left="100" w:leftChars="2500"/>
    </w:pPr>
  </w:style>
  <w:style w:type="paragraph" w:styleId="15">
    <w:name w:val="footer"/>
    <w:basedOn w:val="1"/>
    <w:link w:val="31"/>
    <w:unhideWhenUsed/>
    <w:qFormat/>
    <w:uiPriority w:val="99"/>
    <w:pPr>
      <w:tabs>
        <w:tab w:val="center" w:pos="4153"/>
        <w:tab w:val="right" w:pos="8306"/>
      </w:tabs>
      <w:snapToGrid w:val="0"/>
      <w:jc w:val="left"/>
    </w:pPr>
    <w:rPr>
      <w:sz w:val="18"/>
      <w:szCs w:val="18"/>
    </w:rPr>
  </w:style>
  <w:style w:type="paragraph" w:styleId="16">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HTML Preformatted"/>
    <w:basedOn w:val="1"/>
    <w:link w:val="5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character" w:styleId="21">
    <w:name w:val="Strong"/>
    <w:basedOn w:val="20"/>
    <w:qFormat/>
    <w:uiPriority w:val="22"/>
    <w:rPr>
      <w:b/>
      <w:bCs/>
    </w:rPr>
  </w:style>
  <w:style w:type="character" w:styleId="22">
    <w:name w:val="FollowedHyperlink"/>
    <w:basedOn w:val="20"/>
    <w:semiHidden/>
    <w:unhideWhenUsed/>
    <w:qFormat/>
    <w:uiPriority w:val="99"/>
    <w:rPr>
      <w:color w:val="800080" w:themeColor="followedHyperlink"/>
      <w:u w:val="single"/>
    </w:rPr>
  </w:style>
  <w:style w:type="character" w:styleId="23">
    <w:name w:val="Hyperlink"/>
    <w:basedOn w:val="20"/>
    <w:unhideWhenUsed/>
    <w:qFormat/>
    <w:uiPriority w:val="99"/>
    <w:rPr>
      <w:color w:val="0000FF"/>
      <w:u w:val="single"/>
    </w:rPr>
  </w:style>
  <w:style w:type="character" w:customStyle="1" w:styleId="25">
    <w:name w:val="标题 1 Char"/>
    <w:basedOn w:val="20"/>
    <w:link w:val="2"/>
    <w:qFormat/>
    <w:uiPriority w:val="0"/>
    <w:rPr>
      <w:rFonts w:ascii="Calibri" w:hAnsi="Calibri" w:eastAsia="宋体" w:cs="Times New Roman"/>
      <w:b/>
      <w:bCs/>
      <w:kern w:val="44"/>
      <w:sz w:val="44"/>
      <w:szCs w:val="44"/>
    </w:rPr>
  </w:style>
  <w:style w:type="character" w:customStyle="1" w:styleId="26">
    <w:name w:val="标题 2 Char"/>
    <w:basedOn w:val="20"/>
    <w:link w:val="3"/>
    <w:qFormat/>
    <w:uiPriority w:val="0"/>
    <w:rPr>
      <w:rFonts w:ascii="Arial" w:hAnsi="Arial" w:eastAsia="黑体" w:cs="Times New Roman"/>
      <w:b/>
      <w:bCs/>
      <w:kern w:val="0"/>
      <w:sz w:val="32"/>
      <w:szCs w:val="32"/>
    </w:rPr>
  </w:style>
  <w:style w:type="character" w:customStyle="1" w:styleId="27">
    <w:name w:val="标题 3 Char"/>
    <w:basedOn w:val="20"/>
    <w:link w:val="4"/>
    <w:qFormat/>
    <w:uiPriority w:val="0"/>
    <w:rPr>
      <w:rFonts w:ascii="宋体" w:hAnsi="宋体" w:eastAsia="宋体" w:cs="Times New Roman"/>
      <w:b/>
      <w:color w:val="000000"/>
      <w:kern w:val="0"/>
      <w:sz w:val="24"/>
      <w:szCs w:val="20"/>
      <w:lang w:val="en-GB"/>
    </w:rPr>
  </w:style>
  <w:style w:type="character" w:customStyle="1" w:styleId="28">
    <w:name w:val="标题 4 Char"/>
    <w:basedOn w:val="20"/>
    <w:link w:val="5"/>
    <w:qFormat/>
    <w:uiPriority w:val="0"/>
    <w:rPr>
      <w:rFonts w:ascii="Arial" w:hAnsi="Arial" w:eastAsia="黑体" w:cs="Times New Roman"/>
      <w:b/>
      <w:bCs/>
      <w:kern w:val="0"/>
      <w:sz w:val="28"/>
      <w:szCs w:val="28"/>
    </w:rPr>
  </w:style>
  <w:style w:type="character" w:customStyle="1" w:styleId="29">
    <w:name w:val="纯文本 Char"/>
    <w:basedOn w:val="20"/>
    <w:link w:val="13"/>
    <w:qFormat/>
    <w:uiPriority w:val="0"/>
    <w:rPr>
      <w:rFonts w:eastAsia="宋体"/>
      <w:sz w:val="24"/>
    </w:rPr>
  </w:style>
  <w:style w:type="character" w:customStyle="1" w:styleId="30">
    <w:name w:val="日期 Char"/>
    <w:basedOn w:val="20"/>
    <w:link w:val="14"/>
    <w:qFormat/>
    <w:uiPriority w:val="99"/>
  </w:style>
  <w:style w:type="character" w:customStyle="1" w:styleId="31">
    <w:name w:val="页脚 Char"/>
    <w:basedOn w:val="20"/>
    <w:link w:val="15"/>
    <w:qFormat/>
    <w:uiPriority w:val="99"/>
    <w:rPr>
      <w:sz w:val="18"/>
      <w:szCs w:val="18"/>
    </w:rPr>
  </w:style>
  <w:style w:type="character" w:customStyle="1" w:styleId="32">
    <w:name w:val="页眉 Char"/>
    <w:basedOn w:val="20"/>
    <w:link w:val="16"/>
    <w:qFormat/>
    <w:uiPriority w:val="99"/>
    <w:rPr>
      <w:sz w:val="18"/>
      <w:szCs w:val="18"/>
    </w:rPr>
  </w:style>
  <w:style w:type="character" w:customStyle="1" w:styleId="33">
    <w:name w:val="纯文本 Char1"/>
    <w:qFormat/>
    <w:uiPriority w:val="0"/>
    <w:rPr>
      <w:rFonts w:eastAsia="宋体"/>
      <w:sz w:val="24"/>
    </w:rPr>
  </w:style>
  <w:style w:type="paragraph" w:customStyle="1" w:styleId="34">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35">
    <w:name w:val="列出段落1"/>
    <w:basedOn w:val="1"/>
    <w:qFormat/>
    <w:uiPriority w:val="34"/>
    <w:pPr>
      <w:ind w:firstLine="420" w:firstLineChars="200"/>
    </w:pPr>
  </w:style>
  <w:style w:type="paragraph" w:styleId="36">
    <w:name w:val="List Paragraph"/>
    <w:basedOn w:val="1"/>
    <w:unhideWhenUsed/>
    <w:qFormat/>
    <w:uiPriority w:val="99"/>
    <w:pPr>
      <w:ind w:firstLine="420" w:firstLineChars="200"/>
    </w:pPr>
  </w:style>
  <w:style w:type="character" w:customStyle="1" w:styleId="37">
    <w:name w:val="正文文本缩进 Char Char"/>
    <w:link w:val="38"/>
    <w:qFormat/>
    <w:uiPriority w:val="0"/>
    <w:rPr>
      <w:rFonts w:ascii="宋体"/>
      <w:sz w:val="24"/>
    </w:rPr>
  </w:style>
  <w:style w:type="paragraph" w:customStyle="1" w:styleId="38">
    <w:name w:val="正文文本缩进1"/>
    <w:basedOn w:val="1"/>
    <w:link w:val="37"/>
    <w:qFormat/>
    <w:uiPriority w:val="0"/>
    <w:pPr>
      <w:spacing w:line="360" w:lineRule="auto"/>
      <w:ind w:firstLine="480" w:firstLineChars="200"/>
    </w:pPr>
    <w:rPr>
      <w:rFonts w:ascii="宋体"/>
      <w:sz w:val="24"/>
    </w:rPr>
  </w:style>
  <w:style w:type="character" w:customStyle="1" w:styleId="39">
    <w:name w:val="日期 Char Char"/>
    <w:link w:val="40"/>
    <w:qFormat/>
    <w:uiPriority w:val="0"/>
    <w:rPr>
      <w:sz w:val="24"/>
    </w:rPr>
  </w:style>
  <w:style w:type="paragraph" w:customStyle="1" w:styleId="40">
    <w:name w:val="日期1"/>
    <w:basedOn w:val="1"/>
    <w:next w:val="1"/>
    <w:link w:val="39"/>
    <w:qFormat/>
    <w:uiPriority w:val="0"/>
    <w:rPr>
      <w:sz w:val="24"/>
    </w:rPr>
  </w:style>
  <w:style w:type="paragraph" w:customStyle="1" w:styleId="41">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2">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3">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4">
    <w:name w:val="正文文本 3 Char"/>
    <w:basedOn w:val="20"/>
    <w:link w:val="10"/>
    <w:qFormat/>
    <w:uiPriority w:val="0"/>
    <w:rPr>
      <w:rFonts w:ascii="Times New Roman" w:hAnsi="Times New Roman" w:eastAsia="宋体" w:cs="Times New Roman"/>
      <w:color w:val="FF0000"/>
      <w:sz w:val="24"/>
      <w:szCs w:val="24"/>
    </w:rPr>
  </w:style>
  <w:style w:type="character" w:customStyle="1" w:styleId="45">
    <w:name w:val="edittexttarea"/>
    <w:basedOn w:val="20"/>
    <w:qFormat/>
    <w:uiPriority w:val="0"/>
  </w:style>
  <w:style w:type="paragraph" w:customStyle="1" w:styleId="46">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7">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8">
    <w:name w:val="正文文本 Char"/>
    <w:basedOn w:val="20"/>
    <w:link w:val="7"/>
    <w:semiHidden/>
    <w:qFormat/>
    <w:uiPriority w:val="99"/>
  </w:style>
  <w:style w:type="character" w:customStyle="1" w:styleId="49">
    <w:name w:val="正文首行缩进 Char"/>
    <w:basedOn w:val="48"/>
    <w:link w:val="6"/>
    <w:qFormat/>
    <w:uiPriority w:val="0"/>
    <w:rPr>
      <w:rFonts w:ascii="宋体" w:hAnsi="Times New Roman" w:eastAsia="宋体" w:cs="Times New Roman"/>
      <w:kern w:val="0"/>
      <w:sz w:val="34"/>
      <w:szCs w:val="20"/>
    </w:rPr>
  </w:style>
  <w:style w:type="character" w:customStyle="1" w:styleId="50">
    <w:name w:val="HTML 预设格式 Char"/>
    <w:basedOn w:val="20"/>
    <w:link w:val="18"/>
    <w:semiHidden/>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68</Pages>
  <Words>5258</Words>
  <Characters>29972</Characters>
  <Lines>249</Lines>
  <Paragraphs>70</Paragraphs>
  <TotalTime>25</TotalTime>
  <ScaleCrop>false</ScaleCrop>
  <LinksUpToDate>false</LinksUpToDate>
  <CharactersWithSpaces>35160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2018-05-16T03:22:00Z</dcterms:created>
  <dc:creator>许昌市公共资源交易中心:孟莉</dc:creator>
  <cp:lastModifiedBy>甛╚＞</cp:lastModifiedBy>
  <cp:lastPrinted>2018-09-04T08:51:09Z</cp:lastPrinted>
  <dcterms:modified xsi:type="dcterms:W3CDTF">2018-09-04T09:05:37Z</dcterms:modified>
  <cp:revision>444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