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jc w:val="center"/>
        <w:rPr>
          <w:rStyle w:val="8"/>
          <w:rFonts w:ascii="宋体" w:hAnsi="宋体" w:eastAsia="宋体"/>
          <w:b/>
          <w:sz w:val="36"/>
          <w:szCs w:val="36"/>
        </w:rPr>
      </w:pPr>
      <w:bookmarkStart w:id="0" w:name="_Toc6831"/>
      <w:bookmarkStart w:id="1" w:name="_Toc8191"/>
      <w:bookmarkStart w:id="2" w:name="_Toc523122271"/>
      <w:bookmarkStart w:id="3" w:name="_Toc522814446"/>
      <w:bookmarkStart w:id="4" w:name="_Toc523122033"/>
      <w:bookmarkStart w:id="5" w:name="_Toc522887458"/>
      <w:bookmarkStart w:id="6" w:name="_Toc523122615"/>
      <w:r>
        <w:rPr>
          <w:rStyle w:val="8"/>
          <w:rFonts w:hint="eastAsia" w:ascii="宋体" w:hAnsi="宋体" w:eastAsia="宋体"/>
          <w:b/>
          <w:sz w:val="36"/>
          <w:szCs w:val="36"/>
        </w:rPr>
        <w:t>三、（十标段）开标一览表</w:t>
      </w:r>
      <w:bookmarkEnd w:id="0"/>
      <w:bookmarkEnd w:id="1"/>
      <w:bookmarkEnd w:id="2"/>
      <w:bookmarkEnd w:id="3"/>
      <w:bookmarkEnd w:id="4"/>
      <w:bookmarkEnd w:id="5"/>
      <w:bookmarkEnd w:id="6"/>
    </w:p>
    <w:p>
      <w:pPr>
        <w:autoSpaceDE w:val="0"/>
        <w:autoSpaceDN w:val="0"/>
        <w:adjustRightInd w:val="0"/>
        <w:spacing w:line="140" w:lineRule="exact"/>
        <w:rPr>
          <w:rFonts w:ascii="宋体" w:hAnsi="宋体" w:eastAsia="宋体" w:cs="宋体"/>
          <w:b/>
          <w:bCs/>
          <w:szCs w:val="24"/>
          <w:lang w:val="zh-CN"/>
        </w:rPr>
      </w:pPr>
    </w:p>
    <w:tbl>
      <w:tblPr>
        <w:tblStyle w:val="7"/>
        <w:tblW w:w="978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05"/>
        <w:gridCol w:w="1746"/>
        <w:gridCol w:w="3579"/>
        <w:gridCol w:w="2215"/>
        <w:gridCol w:w="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2" w:hRule="atLeast"/>
          <w:jc w:val="center"/>
        </w:trPr>
        <w:tc>
          <w:tcPr>
            <w:tcW w:w="15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宋体"/>
                <w:szCs w:val="24"/>
                <w:lang w:val="zh-CN"/>
              </w:rPr>
            </w:pPr>
            <w:r>
              <w:rPr>
                <w:rFonts w:hint="eastAsia" w:ascii="宋体" w:hAnsi="宋体" w:eastAsia="宋体" w:cs="宋体"/>
                <w:szCs w:val="24"/>
                <w:lang w:val="zh-CN"/>
              </w:rPr>
              <w:t>标段</w:t>
            </w:r>
          </w:p>
        </w:tc>
        <w:tc>
          <w:tcPr>
            <w:tcW w:w="174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宋体"/>
                <w:szCs w:val="24"/>
                <w:lang w:val="zh-CN"/>
              </w:rPr>
            </w:pPr>
            <w:r>
              <w:rPr>
                <w:rFonts w:hint="eastAsia" w:ascii="宋体" w:hAnsi="宋体" w:eastAsia="宋体" w:cs="宋体"/>
                <w:szCs w:val="24"/>
                <w:lang w:val="zh-CN"/>
              </w:rPr>
              <w:t>项目名称</w:t>
            </w:r>
          </w:p>
        </w:tc>
        <w:tc>
          <w:tcPr>
            <w:tcW w:w="357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宋体"/>
                <w:szCs w:val="24"/>
                <w:lang w:val="zh-CN"/>
              </w:rPr>
            </w:pPr>
            <w:r>
              <w:rPr>
                <w:rFonts w:hint="eastAsia" w:ascii="宋体" w:hAnsi="宋体" w:eastAsia="宋体" w:cs="宋体"/>
                <w:szCs w:val="24"/>
                <w:lang w:val="zh-CN"/>
              </w:rPr>
              <w:t>投标报价</w:t>
            </w:r>
          </w:p>
        </w:tc>
        <w:tc>
          <w:tcPr>
            <w:tcW w:w="221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宋体"/>
                <w:szCs w:val="24"/>
                <w:lang w:val="zh-CN"/>
              </w:rPr>
            </w:pPr>
            <w:r>
              <w:rPr>
                <w:rFonts w:hint="eastAsia" w:ascii="宋体" w:hAnsi="宋体" w:eastAsia="宋体" w:cs="宋体"/>
                <w:szCs w:val="24"/>
                <w:lang w:val="zh-CN"/>
              </w:rPr>
              <w:t>工期</w:t>
            </w:r>
          </w:p>
        </w:tc>
        <w:tc>
          <w:tcPr>
            <w:tcW w:w="73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cs="宋体"/>
                <w:szCs w:val="24"/>
                <w:lang w:val="zh-CN"/>
              </w:rPr>
            </w:pPr>
            <w:r>
              <w:rPr>
                <w:rFonts w:hint="eastAsia" w:ascii="宋体" w:hAnsi="宋体" w:eastAsia="宋体" w:cs="宋体"/>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8" w:hRule="atLeast"/>
          <w:jc w:val="center"/>
        </w:trPr>
        <w:tc>
          <w:tcPr>
            <w:tcW w:w="15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eastAsia="宋体"/>
                <w:szCs w:val="24"/>
              </w:rPr>
            </w:pPr>
            <w:r>
              <w:rPr>
                <w:rFonts w:hint="eastAsia" w:ascii="宋体" w:hAnsi="宋体" w:eastAsia="宋体"/>
                <w:szCs w:val="24"/>
              </w:rPr>
              <w:t>第十标段</w:t>
            </w:r>
          </w:p>
        </w:tc>
        <w:tc>
          <w:tcPr>
            <w:tcW w:w="174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eastAsia="宋体"/>
                <w:szCs w:val="24"/>
              </w:rPr>
            </w:pPr>
            <w:r>
              <w:rPr>
                <w:rFonts w:hint="eastAsia" w:ascii="宋体" w:hAnsi="宋体" w:eastAsia="宋体"/>
                <w:szCs w:val="24"/>
              </w:rPr>
              <w:t>禹州市农村房屋不动产登记项目（十至十二标段）</w:t>
            </w:r>
          </w:p>
        </w:tc>
        <w:tc>
          <w:tcPr>
            <w:tcW w:w="357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jc w:val="left"/>
              <w:rPr>
                <w:rFonts w:hint="eastAsia" w:ascii="宋体" w:hAnsi="宋体" w:eastAsia="宋体" w:cs="宋体"/>
                <w:szCs w:val="24"/>
                <w:lang w:val="zh-CN"/>
              </w:rPr>
            </w:pPr>
          </w:p>
          <w:p>
            <w:pPr>
              <w:pStyle w:val="2"/>
              <w:rPr>
                <w:rFonts w:hint="eastAsia"/>
                <w:lang w:val="zh-CN"/>
              </w:rPr>
            </w:pPr>
          </w:p>
          <w:p>
            <w:pPr>
              <w:autoSpaceDE w:val="0"/>
              <w:autoSpaceDN w:val="0"/>
              <w:adjustRightInd w:val="0"/>
              <w:spacing w:line="480" w:lineRule="exact"/>
              <w:jc w:val="left"/>
              <w:rPr>
                <w:rFonts w:ascii="宋体" w:hAnsi="宋体" w:eastAsia="宋体" w:cs="宋体"/>
                <w:szCs w:val="24"/>
                <w:lang w:val="zh-CN"/>
              </w:rPr>
            </w:pPr>
            <w:r>
              <w:rPr>
                <w:rFonts w:hint="eastAsia" w:ascii="宋体" w:hAnsi="宋体" w:eastAsia="宋体" w:cs="宋体"/>
                <w:szCs w:val="24"/>
                <w:lang w:val="zh-CN"/>
              </w:rPr>
              <w:t>大写：</w:t>
            </w:r>
            <w:r>
              <w:rPr>
                <w:rFonts w:hint="eastAsia" w:ascii="黑体" w:hAnsi="黑体" w:eastAsia="黑体" w:cs="黑体"/>
                <w:b/>
                <w:bCs/>
                <w:szCs w:val="24"/>
                <w:lang w:val="zh-CN"/>
              </w:rPr>
              <w:t xml:space="preserve">人民币贰佰肆拾玖万元整  </w:t>
            </w:r>
            <w:r>
              <w:rPr>
                <w:rFonts w:hint="eastAsia" w:ascii="宋体" w:hAnsi="宋体" w:eastAsia="宋体" w:cs="宋体"/>
                <w:szCs w:val="24"/>
                <w:lang w:val="zh-CN"/>
              </w:rPr>
              <w:t xml:space="preserve">    </w:t>
            </w:r>
          </w:p>
          <w:p>
            <w:pPr>
              <w:autoSpaceDE w:val="0"/>
              <w:autoSpaceDN w:val="0"/>
              <w:adjustRightInd w:val="0"/>
              <w:spacing w:line="480" w:lineRule="exact"/>
              <w:rPr>
                <w:rFonts w:ascii="宋体" w:hAnsi="宋体" w:eastAsia="宋体" w:cs="宋体"/>
                <w:szCs w:val="24"/>
                <w:lang w:val="zh-CN"/>
              </w:rPr>
            </w:pPr>
            <w:r>
              <w:rPr>
                <w:rFonts w:hint="eastAsia" w:ascii="宋体" w:hAnsi="宋体" w:eastAsia="宋体" w:cs="宋体"/>
                <w:szCs w:val="24"/>
                <w:lang w:val="zh-CN"/>
              </w:rPr>
              <w:t>小写：</w:t>
            </w:r>
            <w:r>
              <w:rPr>
                <w:rFonts w:hint="eastAsia" w:ascii="黑体" w:hAnsi="黑体" w:eastAsia="黑体" w:cs="黑体"/>
                <w:b/>
                <w:bCs/>
                <w:szCs w:val="24"/>
                <w:lang w:val="zh-CN"/>
              </w:rPr>
              <w:t>¥</w:t>
            </w:r>
            <w:r>
              <w:rPr>
                <w:rFonts w:hint="eastAsia" w:ascii="黑体" w:hAnsi="黑体" w:eastAsia="黑体" w:cs="黑体"/>
                <w:b/>
                <w:bCs/>
                <w:szCs w:val="24"/>
                <w:lang w:val="en-US" w:eastAsia="zh-CN"/>
              </w:rPr>
              <w:t>249.00万元</w:t>
            </w:r>
          </w:p>
        </w:tc>
        <w:tc>
          <w:tcPr>
            <w:tcW w:w="221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eastAsia="宋体"/>
                <w:color w:val="000000"/>
                <w:kern w:val="0"/>
                <w:szCs w:val="24"/>
              </w:rPr>
            </w:pPr>
            <w:r>
              <w:rPr>
                <w:rFonts w:hint="eastAsia" w:ascii="宋体" w:hAnsi="宋体" w:eastAsia="宋体"/>
                <w:color w:val="000000"/>
                <w:kern w:val="0"/>
                <w:szCs w:val="24"/>
              </w:rPr>
              <w:t>2018年12月31日前完成本项目的百分之三十，2019年8月31日完工。（330日历天）</w:t>
            </w:r>
          </w:p>
        </w:tc>
        <w:tc>
          <w:tcPr>
            <w:tcW w:w="73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eastAsia="宋体" w:cs="宋体"/>
                <w:szCs w:val="24"/>
                <w:lang w:val="zh-CN"/>
              </w:rPr>
            </w:pPr>
          </w:p>
        </w:tc>
      </w:tr>
    </w:tbl>
    <w:p>
      <w:pPr>
        <w:autoSpaceDE w:val="0"/>
        <w:autoSpaceDN w:val="0"/>
        <w:adjustRightInd w:val="0"/>
        <w:spacing w:line="360" w:lineRule="auto"/>
        <w:rPr>
          <w:rFonts w:hint="eastAsia" w:ascii="宋体" w:hAnsi="宋体" w:eastAsia="宋体" w:cs="宋体"/>
          <w:szCs w:val="24"/>
          <w:lang w:val="zh-CN"/>
        </w:rPr>
      </w:pPr>
    </w:p>
    <w:p>
      <w:pPr>
        <w:autoSpaceDE w:val="0"/>
        <w:autoSpaceDN w:val="0"/>
        <w:adjustRightInd w:val="0"/>
        <w:spacing w:line="360" w:lineRule="auto"/>
        <w:rPr>
          <w:rFonts w:ascii="宋体" w:hAnsi="宋体" w:eastAsia="宋体" w:cs="宋体"/>
          <w:szCs w:val="24"/>
          <w:lang w:val="zh-CN"/>
        </w:rPr>
      </w:pPr>
      <w:r>
        <w:rPr>
          <w:rFonts w:hint="eastAsia" w:ascii="宋体" w:hAnsi="宋体" w:eastAsia="宋体" w:cs="宋体"/>
          <w:szCs w:val="24"/>
          <w:lang w:val="zh-CN"/>
        </w:rPr>
        <w:t>投标人（公章）：许昌钧州煤炭咨询设计研究院</w:t>
      </w:r>
    </w:p>
    <w:p>
      <w:pPr>
        <w:autoSpaceDE w:val="0"/>
        <w:autoSpaceDN w:val="0"/>
        <w:adjustRightInd w:val="0"/>
        <w:spacing w:line="360" w:lineRule="auto"/>
        <w:rPr>
          <w:rFonts w:hint="eastAsia" w:ascii="宋体" w:hAnsi="宋体" w:eastAsia="宋体" w:cs="宋体"/>
          <w:szCs w:val="24"/>
          <w:lang w:val="zh-CN"/>
        </w:rPr>
      </w:pPr>
    </w:p>
    <w:p>
      <w:pPr>
        <w:autoSpaceDE w:val="0"/>
        <w:autoSpaceDN w:val="0"/>
        <w:adjustRightInd w:val="0"/>
        <w:spacing w:line="360" w:lineRule="auto"/>
        <w:rPr>
          <w:rFonts w:ascii="宋体" w:hAnsi="宋体" w:eastAsia="宋体" w:cs="宋体"/>
          <w:szCs w:val="24"/>
          <w:lang w:val="zh-CN"/>
        </w:rPr>
      </w:pPr>
      <w:r>
        <w:rPr>
          <w:rFonts w:hint="eastAsia" w:ascii="宋体" w:hAnsi="宋体" w:eastAsia="宋体" w:cs="宋体"/>
          <w:szCs w:val="24"/>
          <w:lang w:val="zh-CN"/>
        </w:rPr>
        <w:t>投标人法定代表人（或授权代表）签字：</w:t>
      </w:r>
    </w:p>
    <w:p>
      <w:pPr>
        <w:autoSpaceDE w:val="0"/>
        <w:autoSpaceDN w:val="0"/>
        <w:adjustRightInd w:val="0"/>
        <w:spacing w:line="360" w:lineRule="auto"/>
        <w:rPr>
          <w:rFonts w:hint="eastAsia" w:ascii="宋体" w:hAnsi="宋体" w:eastAsia="宋体" w:cs="宋体"/>
          <w:szCs w:val="24"/>
          <w:lang w:val="zh-CN"/>
        </w:rPr>
      </w:pPr>
    </w:p>
    <w:p>
      <w:pPr>
        <w:autoSpaceDE w:val="0"/>
        <w:autoSpaceDN w:val="0"/>
        <w:adjustRightInd w:val="0"/>
        <w:spacing w:line="360" w:lineRule="auto"/>
        <w:rPr>
          <w:rFonts w:ascii="宋体" w:hAnsi="宋体" w:eastAsia="宋体" w:cs="宋体"/>
          <w:szCs w:val="24"/>
          <w:lang w:val="zh-CN"/>
        </w:rPr>
      </w:pPr>
      <w:r>
        <w:rPr>
          <w:rFonts w:hint="eastAsia" w:ascii="宋体" w:hAnsi="宋体" w:eastAsia="宋体" w:cs="宋体"/>
          <w:szCs w:val="24"/>
          <w:lang w:val="zh-CN"/>
        </w:rPr>
        <w:t>日期：</w:t>
      </w:r>
      <w:r>
        <w:rPr>
          <w:rFonts w:hint="eastAsia" w:ascii="宋体" w:hAnsi="宋体" w:eastAsia="宋体" w:cs="宋体"/>
          <w:szCs w:val="24"/>
          <w:lang w:eastAsia="zh-CN"/>
        </w:rPr>
        <w:t>2018年9月1日</w:t>
      </w:r>
    </w:p>
    <w:p>
      <w:pPr>
        <w:autoSpaceDE w:val="0"/>
        <w:autoSpaceDN w:val="0"/>
        <w:adjustRightInd w:val="0"/>
        <w:spacing w:line="360" w:lineRule="auto"/>
        <w:rPr>
          <w:rFonts w:ascii="宋体" w:hAnsi="宋体" w:eastAsia="宋体" w:cs="宋体"/>
          <w:szCs w:val="24"/>
          <w:lang w:val="zh-CN"/>
        </w:rPr>
      </w:pPr>
      <w:r>
        <w:rPr>
          <w:rFonts w:hint="eastAsia" w:ascii="宋体" w:hAnsi="宋体" w:eastAsia="宋体" w:cs="宋体"/>
          <w:szCs w:val="24"/>
          <w:lang w:val="zh-CN"/>
        </w:rPr>
        <w:t>注：交货期指最终交货时间（日历天）。工期指完成该项目的最终时间（日历天）。</w:t>
      </w:r>
    </w:p>
    <w:p>
      <w:pPr>
        <w:autoSpaceDE w:val="0"/>
        <w:autoSpaceDN w:val="0"/>
        <w:adjustRightInd w:val="0"/>
        <w:spacing w:line="360" w:lineRule="auto"/>
        <w:rPr>
          <w:rFonts w:ascii="宋体" w:hAnsi="宋体" w:eastAsia="宋体" w:cs="宋体"/>
          <w:szCs w:val="24"/>
          <w:lang w:val="zh-CN"/>
        </w:rPr>
      </w:pPr>
    </w:p>
    <w:p>
      <w:pPr>
        <w:pStyle w:val="2"/>
        <w:rPr>
          <w:rFonts w:eastAsia="宋体" w:cs="宋体"/>
          <w:sz w:val="24"/>
          <w:szCs w:val="24"/>
          <w:lang w:val="zh-CN"/>
        </w:rPr>
      </w:pPr>
    </w:p>
    <w:p>
      <w:pPr>
        <w:pStyle w:val="2"/>
        <w:rPr>
          <w:rFonts w:eastAsia="宋体" w:cs="宋体"/>
          <w:sz w:val="24"/>
          <w:szCs w:val="24"/>
          <w:lang w:val="zh-CN"/>
        </w:rPr>
      </w:pPr>
    </w:p>
    <w:p>
      <w:pPr>
        <w:pStyle w:val="2"/>
        <w:rPr>
          <w:rFonts w:eastAsia="宋体" w:cs="宋体"/>
          <w:sz w:val="24"/>
          <w:szCs w:val="24"/>
          <w:lang w:val="zh-CN"/>
        </w:rPr>
      </w:pPr>
    </w:p>
    <w:p>
      <w:pPr>
        <w:pStyle w:val="3"/>
        <w:spacing w:before="0" w:after="0"/>
        <w:jc w:val="center"/>
        <w:rPr>
          <w:rStyle w:val="8"/>
          <w:rFonts w:ascii="宋体" w:hAnsi="宋体" w:eastAsia="宋体"/>
          <w:b/>
          <w:sz w:val="36"/>
          <w:szCs w:val="36"/>
        </w:rPr>
      </w:pPr>
      <w:bookmarkStart w:id="7" w:name="_Toc522814538"/>
      <w:bookmarkStart w:id="8" w:name="_Toc522887549"/>
      <w:bookmarkStart w:id="9" w:name="_Toc523122124"/>
      <w:bookmarkStart w:id="10" w:name="_Toc523122362"/>
      <w:bookmarkStart w:id="11" w:name="_Toc523122706"/>
      <w:bookmarkStart w:id="12" w:name="_Toc7601"/>
      <w:bookmarkStart w:id="13" w:name="_Toc23478"/>
      <w:r>
        <w:rPr>
          <w:rStyle w:val="8"/>
          <w:rFonts w:hint="eastAsia" w:ascii="宋体" w:hAnsi="宋体" w:eastAsia="宋体"/>
          <w:b/>
          <w:sz w:val="36"/>
          <w:szCs w:val="36"/>
        </w:rPr>
        <w:t>五、售后服务方案及培训计划</w:t>
      </w:r>
      <w:bookmarkEnd w:id="7"/>
      <w:bookmarkEnd w:id="8"/>
      <w:bookmarkEnd w:id="9"/>
      <w:bookmarkEnd w:id="10"/>
      <w:bookmarkEnd w:id="11"/>
      <w:bookmarkEnd w:id="12"/>
      <w:bookmarkEnd w:id="13"/>
    </w:p>
    <w:p>
      <w:pPr>
        <w:pStyle w:val="4"/>
        <w:spacing w:before="0" w:after="0" w:line="500" w:lineRule="exact"/>
        <w:rPr>
          <w:rFonts w:ascii="宋体" w:hAnsi="宋体" w:eastAsia="宋体"/>
        </w:rPr>
      </w:pPr>
      <w:bookmarkStart w:id="14" w:name="_Toc522887550"/>
      <w:bookmarkStart w:id="15" w:name="_Toc522814539"/>
      <w:bookmarkStart w:id="16" w:name="_Toc523122125"/>
      <w:bookmarkStart w:id="17" w:name="_Toc523122363"/>
      <w:bookmarkStart w:id="18" w:name="_Toc523122707"/>
      <w:bookmarkStart w:id="19" w:name="_Toc14803"/>
      <w:bookmarkStart w:id="20" w:name="_Toc5285"/>
      <w:r>
        <w:rPr>
          <w:rFonts w:hint="eastAsia" w:ascii="宋体" w:hAnsi="宋体" w:eastAsia="宋体"/>
        </w:rPr>
        <w:t>（一）售后服务方案</w:t>
      </w:r>
      <w:bookmarkEnd w:id="14"/>
      <w:bookmarkEnd w:id="15"/>
      <w:bookmarkEnd w:id="16"/>
      <w:bookmarkEnd w:id="17"/>
      <w:bookmarkEnd w:id="18"/>
      <w:bookmarkEnd w:id="19"/>
      <w:bookmarkEnd w:id="20"/>
    </w:p>
    <w:p>
      <w:pPr>
        <w:spacing w:line="500" w:lineRule="exact"/>
        <w:ind w:firstLine="480" w:firstLineChars="200"/>
        <w:rPr>
          <w:rFonts w:ascii="宋体" w:hAnsi="宋体" w:eastAsia="宋体" w:cs="宋体"/>
          <w:szCs w:val="24"/>
        </w:rPr>
      </w:pPr>
      <w:r>
        <w:rPr>
          <w:rFonts w:hint="eastAsia" w:ascii="宋体" w:hAnsi="宋体" w:eastAsia="宋体" w:cs="宋体"/>
          <w:szCs w:val="24"/>
        </w:rPr>
        <w:t>我院的售后服务体系见下图：</w:t>
      </w:r>
    </w:p>
    <w:p>
      <w:pPr>
        <w:rPr>
          <w:rFonts w:ascii="宋体" w:hAnsi="宋体" w:eastAsia="宋体"/>
        </w:rPr>
      </w:pPr>
      <w:r>
        <w:rPr>
          <w:rFonts w:ascii="宋体" w:hAnsi="宋体" w:eastAsia="宋体" w:cs="Times New Roman"/>
          <w:kern w:val="2"/>
          <w:sz w:val="24"/>
          <w:szCs w:val="32"/>
          <w:lang w:val="en-US" w:eastAsia="zh-CN" w:bidi="ar-SA"/>
        </w:rPr>
        <mc:AlternateContent>
          <mc:Choice Requires="wpg">
            <w:drawing>
              <wp:inline distT="0" distB="0" distL="114300" distR="114300">
                <wp:extent cx="5149850" cy="2637155"/>
                <wp:effectExtent l="4445" t="4445" r="8255" b="6350"/>
                <wp:docPr id="24" name="组合 24"/>
                <wp:cNvGraphicFramePr/>
                <a:graphic xmlns:a="http://schemas.openxmlformats.org/drawingml/2006/main">
                  <a:graphicData uri="http://schemas.microsoft.com/office/word/2010/wordprocessingGroup">
                    <wpg:wgp>
                      <wpg:cNvGrpSpPr/>
                      <wpg:grpSpPr>
                        <a:xfrm>
                          <a:off x="0" y="0"/>
                          <a:ext cx="5149850" cy="2637155"/>
                          <a:chOff x="0" y="0"/>
                          <a:chExt cx="8110" cy="4153"/>
                        </a:xfrm>
                      </wpg:grpSpPr>
                      <wps:wsp>
                        <wps:cNvPr id="1" name="矩形 1"/>
                        <wps:cNvSpPr/>
                        <wps:spPr>
                          <a:xfrm>
                            <a:off x="0" y="0"/>
                            <a:ext cx="8110" cy="4153"/>
                          </a:xfrm>
                          <a:prstGeom prst="rect">
                            <a:avLst/>
                          </a:prstGeom>
                          <a:noFill/>
                          <a:ln w="9525">
                            <a:noFill/>
                          </a:ln>
                        </wps:spPr>
                        <wps:bodyPr upright="1"/>
                      </wps:wsp>
                      <wps:wsp>
                        <wps:cNvPr id="2" name="圆角矩形 2"/>
                        <wps:cNvSpPr/>
                        <wps:spPr>
                          <a:xfrm>
                            <a:off x="3058" y="0"/>
                            <a:ext cx="2685" cy="480"/>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数据成果交付使用</w:t>
                              </w:r>
                            </w:p>
                          </w:txbxContent>
                        </wps:txbx>
                        <wps:bodyPr upright="1"/>
                      </wps:wsp>
                      <wps:wsp>
                        <wps:cNvPr id="3" name="圆角矩形 3"/>
                        <wps:cNvSpPr/>
                        <wps:spPr>
                          <a:xfrm>
                            <a:off x="2020" y="811"/>
                            <a:ext cx="1708" cy="479"/>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常见问题预测</w:t>
                              </w:r>
                            </w:p>
                          </w:txbxContent>
                        </wps:txbx>
                        <wps:bodyPr upright="1"/>
                      </wps:wsp>
                      <wps:wsp>
                        <wps:cNvPr id="4" name="圆角矩形 4"/>
                        <wps:cNvSpPr/>
                        <wps:spPr>
                          <a:xfrm>
                            <a:off x="0" y="811"/>
                            <a:ext cx="1708" cy="479"/>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客户处回访</w:t>
                              </w:r>
                            </w:p>
                          </w:txbxContent>
                        </wps:txbx>
                        <wps:bodyPr upright="1"/>
                      </wps:wsp>
                      <wps:wsp>
                        <wps:cNvPr id="5" name="圆角矩形 5"/>
                        <wps:cNvSpPr/>
                        <wps:spPr>
                          <a:xfrm>
                            <a:off x="4035" y="811"/>
                            <a:ext cx="1708" cy="479"/>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电话回访</w:t>
                              </w:r>
                            </w:p>
                          </w:txbxContent>
                        </wps:txbx>
                        <wps:bodyPr upright="1"/>
                      </wps:wsp>
                      <wps:wsp>
                        <wps:cNvPr id="6" name="圆角矩形 6"/>
                        <wps:cNvSpPr/>
                        <wps:spPr>
                          <a:xfrm>
                            <a:off x="3350" y="1650"/>
                            <a:ext cx="2099" cy="480"/>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信息整理分析</w:t>
                              </w:r>
                            </w:p>
                          </w:txbxContent>
                        </wps:txbx>
                        <wps:bodyPr upright="1"/>
                      </wps:wsp>
                      <wps:wsp>
                        <wps:cNvPr id="7" name="圆角矩形 7"/>
                        <wps:cNvSpPr/>
                        <wps:spPr>
                          <a:xfrm>
                            <a:off x="3350" y="2513"/>
                            <a:ext cx="2099" cy="768"/>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制定处理方案</w:t>
                              </w:r>
                            </w:p>
                            <w:p>
                              <w:pPr>
                                <w:jc w:val="center"/>
                              </w:pPr>
                              <w:r>
                                <w:rPr>
                                  <w:rFonts w:hint="eastAsia"/>
                                </w:rPr>
                                <w:t>进行售后服务</w:t>
                              </w:r>
                            </w:p>
                          </w:txbxContent>
                        </wps:txbx>
                        <wps:bodyPr upright="1"/>
                      </wps:wsp>
                      <wps:wsp>
                        <wps:cNvPr id="8" name="圆角矩形 8"/>
                        <wps:cNvSpPr/>
                        <wps:spPr>
                          <a:xfrm>
                            <a:off x="3350" y="3673"/>
                            <a:ext cx="2099" cy="480"/>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数据成果正常运行</w:t>
                              </w:r>
                            </w:p>
                          </w:txbxContent>
                        </wps:txbx>
                        <wps:bodyPr upright="1"/>
                      </wps:wsp>
                      <wps:wsp>
                        <wps:cNvPr id="9" name="直接箭头连接符 9"/>
                        <wps:cNvCnPr/>
                        <wps:spPr>
                          <a:xfrm>
                            <a:off x="854" y="643"/>
                            <a:ext cx="6231" cy="1"/>
                          </a:xfrm>
                          <a:prstGeom prst="straightConnector1">
                            <a:avLst/>
                          </a:prstGeom>
                          <a:ln w="9525" cap="flat" cmpd="sng">
                            <a:solidFill>
                              <a:srgbClr val="0070C0">
                                <a:alpha val="100000"/>
                              </a:srgbClr>
                            </a:solidFill>
                            <a:prstDash val="solid"/>
                            <a:headEnd type="none" w="med" len="med"/>
                            <a:tailEnd type="none" w="med" len="med"/>
                          </a:ln>
                        </wps:spPr>
                        <wps:bodyPr upright="0"/>
                      </wps:wsp>
                      <wps:wsp>
                        <wps:cNvPr id="10" name="直接箭头连接符 10"/>
                        <wps:cNvCnPr/>
                        <wps:spPr>
                          <a:xfrm>
                            <a:off x="7084" y="643"/>
                            <a:ext cx="1" cy="168"/>
                          </a:xfrm>
                          <a:prstGeom prst="straightConnector1">
                            <a:avLst/>
                          </a:prstGeom>
                          <a:ln w="9525" cap="flat" cmpd="sng">
                            <a:solidFill>
                              <a:srgbClr val="0070C0">
                                <a:alpha val="100000"/>
                              </a:srgbClr>
                            </a:solidFill>
                            <a:prstDash val="solid"/>
                            <a:headEnd type="none" w="med" len="med"/>
                            <a:tailEnd type="triangle" w="med" len="med"/>
                          </a:ln>
                        </wps:spPr>
                        <wps:bodyPr upright="0"/>
                      </wps:wsp>
                      <wps:wsp>
                        <wps:cNvPr id="11" name="直接箭头连接符 11"/>
                        <wps:cNvCnPr/>
                        <wps:spPr>
                          <a:xfrm>
                            <a:off x="854" y="643"/>
                            <a:ext cx="0" cy="168"/>
                          </a:xfrm>
                          <a:prstGeom prst="straightConnector1">
                            <a:avLst/>
                          </a:prstGeom>
                          <a:ln w="9525" cap="flat" cmpd="sng">
                            <a:solidFill>
                              <a:srgbClr val="0070C0">
                                <a:alpha val="100000"/>
                              </a:srgbClr>
                            </a:solidFill>
                            <a:prstDash val="solid"/>
                            <a:headEnd type="none" w="med" len="med"/>
                            <a:tailEnd type="triangle" w="med" len="med"/>
                          </a:ln>
                        </wps:spPr>
                        <wps:bodyPr upright="0"/>
                      </wps:wsp>
                      <wps:wsp>
                        <wps:cNvPr id="12" name="直接箭头连接符 12"/>
                        <wps:cNvCnPr/>
                        <wps:spPr>
                          <a:xfrm>
                            <a:off x="4889" y="643"/>
                            <a:ext cx="0" cy="168"/>
                          </a:xfrm>
                          <a:prstGeom prst="straightConnector1">
                            <a:avLst/>
                          </a:prstGeom>
                          <a:ln w="9525" cap="flat" cmpd="sng">
                            <a:solidFill>
                              <a:srgbClr val="0070C0">
                                <a:alpha val="100000"/>
                              </a:srgbClr>
                            </a:solidFill>
                            <a:prstDash val="solid"/>
                            <a:headEnd type="none" w="med" len="med"/>
                            <a:tailEnd type="triangle" w="med" len="med"/>
                          </a:ln>
                        </wps:spPr>
                        <wps:bodyPr upright="0"/>
                      </wps:wsp>
                      <wps:wsp>
                        <wps:cNvPr id="13" name="直接箭头连接符 13"/>
                        <wps:cNvCnPr/>
                        <wps:spPr>
                          <a:xfrm>
                            <a:off x="4399" y="1459"/>
                            <a:ext cx="1" cy="191"/>
                          </a:xfrm>
                          <a:prstGeom prst="straightConnector1">
                            <a:avLst/>
                          </a:prstGeom>
                          <a:ln w="9525" cap="flat" cmpd="sng">
                            <a:solidFill>
                              <a:srgbClr val="0070C0">
                                <a:alpha val="100000"/>
                              </a:srgbClr>
                            </a:solidFill>
                            <a:prstDash val="solid"/>
                            <a:headEnd type="none" w="med" len="med"/>
                            <a:tailEnd type="triangle" w="med" len="med"/>
                          </a:ln>
                        </wps:spPr>
                        <wps:bodyPr upright="0"/>
                      </wps:wsp>
                      <wps:wsp>
                        <wps:cNvPr id="14" name="直接箭头连接符 14"/>
                        <wps:cNvCnPr/>
                        <wps:spPr>
                          <a:xfrm>
                            <a:off x="854" y="1290"/>
                            <a:ext cx="0" cy="168"/>
                          </a:xfrm>
                          <a:prstGeom prst="straightConnector1">
                            <a:avLst/>
                          </a:prstGeom>
                          <a:ln w="9525" cap="flat" cmpd="sng">
                            <a:solidFill>
                              <a:srgbClr val="0070C0">
                                <a:alpha val="100000"/>
                              </a:srgbClr>
                            </a:solidFill>
                            <a:prstDash val="solid"/>
                            <a:headEnd type="none" w="med" len="med"/>
                            <a:tailEnd type="none" w="med" len="med"/>
                          </a:ln>
                        </wps:spPr>
                        <wps:bodyPr upright="0"/>
                      </wps:wsp>
                      <wps:wsp>
                        <wps:cNvPr id="15" name="直接箭头连接符 15"/>
                        <wps:cNvCnPr/>
                        <wps:spPr>
                          <a:xfrm>
                            <a:off x="4889" y="1291"/>
                            <a:ext cx="1" cy="168"/>
                          </a:xfrm>
                          <a:prstGeom prst="straightConnector1">
                            <a:avLst/>
                          </a:prstGeom>
                          <a:ln w="9525" cap="flat" cmpd="sng">
                            <a:solidFill>
                              <a:srgbClr val="0070C0">
                                <a:alpha val="100000"/>
                              </a:srgbClr>
                            </a:solidFill>
                            <a:prstDash val="solid"/>
                            <a:headEnd type="none" w="med" len="med"/>
                            <a:tailEnd type="none" w="med" len="med"/>
                          </a:ln>
                        </wps:spPr>
                        <wps:bodyPr upright="0"/>
                      </wps:wsp>
                      <wps:wsp>
                        <wps:cNvPr id="16" name="直接箭头连接符 16"/>
                        <wps:cNvCnPr/>
                        <wps:spPr>
                          <a:xfrm>
                            <a:off x="4400" y="2130"/>
                            <a:ext cx="1" cy="383"/>
                          </a:xfrm>
                          <a:prstGeom prst="straightConnector1">
                            <a:avLst/>
                          </a:prstGeom>
                          <a:ln w="9525" cap="flat" cmpd="sng">
                            <a:solidFill>
                              <a:srgbClr val="0070C0">
                                <a:alpha val="100000"/>
                              </a:srgbClr>
                            </a:solidFill>
                            <a:prstDash val="solid"/>
                            <a:headEnd type="none" w="med" len="med"/>
                            <a:tailEnd type="triangle" w="med" len="med"/>
                          </a:ln>
                        </wps:spPr>
                        <wps:bodyPr upright="0"/>
                      </wps:wsp>
                      <wps:wsp>
                        <wps:cNvPr id="17" name="直接箭头连接符 17"/>
                        <wps:cNvCnPr/>
                        <wps:spPr>
                          <a:xfrm>
                            <a:off x="4398" y="3288"/>
                            <a:ext cx="1" cy="390"/>
                          </a:xfrm>
                          <a:prstGeom prst="straightConnector1">
                            <a:avLst/>
                          </a:prstGeom>
                          <a:ln w="9525" cap="flat" cmpd="sng">
                            <a:solidFill>
                              <a:srgbClr val="0070C0">
                                <a:alpha val="100000"/>
                              </a:srgbClr>
                            </a:solidFill>
                            <a:prstDash val="solid"/>
                            <a:headEnd type="none" w="med" len="med"/>
                            <a:tailEnd type="triangle" w="med" len="med"/>
                          </a:ln>
                        </wps:spPr>
                        <wps:bodyPr upright="0"/>
                      </wps:wsp>
                      <wps:wsp>
                        <wps:cNvPr id="18" name="圆角矩形 18"/>
                        <wps:cNvSpPr/>
                        <wps:spPr>
                          <a:xfrm>
                            <a:off x="6059" y="811"/>
                            <a:ext cx="2051" cy="479"/>
                          </a:xfrm>
                          <a:prstGeom prst="roundRect">
                            <a:avLst>
                              <a:gd name="adj" fmla="val 16667"/>
                            </a:avLst>
                          </a:prstGeom>
                          <a:solidFill>
                            <a:srgbClr val="FFFFFF"/>
                          </a:solidFill>
                          <a:ln w="2540" cap="flat" cmpd="sng">
                            <a:solidFill>
                              <a:srgbClr val="0070C0">
                                <a:alpha val="100000"/>
                              </a:srgbClr>
                            </a:solidFill>
                            <a:prstDash val="solid"/>
                            <a:headEnd type="none" w="med" len="med"/>
                            <a:tailEnd type="none" w="med" len="med"/>
                          </a:ln>
                        </wps:spPr>
                        <wps:txbx>
                          <w:txbxContent>
                            <w:p>
                              <w:pPr>
                                <w:jc w:val="center"/>
                              </w:pPr>
                              <w:r>
                                <w:rPr>
                                  <w:rFonts w:hint="eastAsia"/>
                                </w:rPr>
                                <w:t>业主要求售后服务</w:t>
                              </w:r>
                            </w:p>
                          </w:txbxContent>
                        </wps:txbx>
                        <wps:bodyPr upright="1"/>
                      </wps:wsp>
                      <wps:wsp>
                        <wps:cNvPr id="19" name="直接箭头连接符 19"/>
                        <wps:cNvCnPr/>
                        <wps:spPr>
                          <a:xfrm>
                            <a:off x="4401" y="480"/>
                            <a:ext cx="1" cy="163"/>
                          </a:xfrm>
                          <a:prstGeom prst="straightConnector1">
                            <a:avLst/>
                          </a:prstGeom>
                          <a:ln w="9525" cap="flat" cmpd="sng">
                            <a:solidFill>
                              <a:srgbClr val="0070C0">
                                <a:alpha val="100000"/>
                              </a:srgbClr>
                            </a:solidFill>
                            <a:prstDash val="solid"/>
                            <a:headEnd type="none" w="med" len="med"/>
                            <a:tailEnd type="none" w="med" len="med"/>
                          </a:ln>
                        </wps:spPr>
                        <wps:bodyPr upright="0"/>
                      </wps:wsp>
                      <wps:wsp>
                        <wps:cNvPr id="20" name="直接箭头连接符 20"/>
                        <wps:cNvCnPr/>
                        <wps:spPr>
                          <a:xfrm>
                            <a:off x="2873" y="644"/>
                            <a:ext cx="1" cy="168"/>
                          </a:xfrm>
                          <a:prstGeom prst="straightConnector1">
                            <a:avLst/>
                          </a:prstGeom>
                          <a:ln w="9525" cap="flat" cmpd="sng">
                            <a:solidFill>
                              <a:srgbClr val="0070C0">
                                <a:alpha val="100000"/>
                              </a:srgbClr>
                            </a:solidFill>
                            <a:prstDash val="solid"/>
                            <a:headEnd type="none" w="med" len="med"/>
                            <a:tailEnd type="triangle" w="med" len="med"/>
                          </a:ln>
                        </wps:spPr>
                        <wps:bodyPr upright="0"/>
                      </wps:wsp>
                      <wps:wsp>
                        <wps:cNvPr id="21" name="直接箭头连接符 21"/>
                        <wps:cNvCnPr/>
                        <wps:spPr>
                          <a:xfrm>
                            <a:off x="853" y="1457"/>
                            <a:ext cx="6231" cy="1"/>
                          </a:xfrm>
                          <a:prstGeom prst="straightConnector1">
                            <a:avLst/>
                          </a:prstGeom>
                          <a:ln w="9525" cap="flat" cmpd="sng">
                            <a:solidFill>
                              <a:srgbClr val="0070C0">
                                <a:alpha val="100000"/>
                              </a:srgbClr>
                            </a:solidFill>
                            <a:prstDash val="solid"/>
                            <a:headEnd type="none" w="med" len="med"/>
                            <a:tailEnd type="none" w="med" len="med"/>
                          </a:ln>
                        </wps:spPr>
                        <wps:bodyPr upright="0"/>
                      </wps:wsp>
                      <wps:wsp>
                        <wps:cNvPr id="22" name="直接箭头连接符 22"/>
                        <wps:cNvCnPr/>
                        <wps:spPr>
                          <a:xfrm>
                            <a:off x="7083" y="1291"/>
                            <a:ext cx="1" cy="168"/>
                          </a:xfrm>
                          <a:prstGeom prst="straightConnector1">
                            <a:avLst/>
                          </a:prstGeom>
                          <a:ln w="9525" cap="flat" cmpd="sng">
                            <a:solidFill>
                              <a:srgbClr val="0070C0">
                                <a:alpha val="100000"/>
                              </a:srgbClr>
                            </a:solidFill>
                            <a:prstDash val="solid"/>
                            <a:headEnd type="none" w="med" len="med"/>
                            <a:tailEnd type="none" w="med" len="med"/>
                          </a:ln>
                        </wps:spPr>
                        <wps:bodyPr upright="0"/>
                      </wps:wsp>
                      <wps:wsp>
                        <wps:cNvPr id="23" name="直接箭头连接符 23"/>
                        <wps:cNvCnPr/>
                        <wps:spPr>
                          <a:xfrm>
                            <a:off x="2874" y="1291"/>
                            <a:ext cx="1" cy="168"/>
                          </a:xfrm>
                          <a:prstGeom prst="straightConnector1">
                            <a:avLst/>
                          </a:prstGeom>
                          <a:ln w="9525" cap="flat" cmpd="sng">
                            <a:solidFill>
                              <a:srgbClr val="0070C0">
                                <a:alpha val="100000"/>
                              </a:srgbClr>
                            </a:solidFill>
                            <a:prstDash val="solid"/>
                            <a:headEnd type="none" w="med" len="med"/>
                            <a:tailEnd type="none" w="med" len="med"/>
                          </a:ln>
                        </wps:spPr>
                        <wps:bodyPr upright="0"/>
                      </wps:wsp>
                    </wpg:wgp>
                  </a:graphicData>
                </a:graphic>
              </wp:inline>
            </w:drawing>
          </mc:Choice>
          <mc:Fallback>
            <w:pict>
              <v:group id="_x0000_s1026" o:spid="_x0000_s1026" o:spt="203" style="height:207.65pt;width:405.5pt;" coordsize="8110,4153" o:gfxdata="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">
                <o:lock v:ext="edit" position="f" selection="f" grouping="f" rotation="f" cropping="f" text="f" aspectratio="f"/>
                <v:rect id="_x0000_s1026" o:spid="_x0000_s1026" o:spt="1" style="position:absolute;left:0;top:0;height:4153;width:811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f"/>
                </v:rect>
                <v:roundrect id="_x0000_s1026" o:spid="_x0000_s1026" o:spt="2" style="position:absolute;left:3058;top:0;height:480;width:2685;" fillcolor="#FFFFFF" filled="t" stroked="t" coordsize="21600,21600" arcsize="0.166666666666667" o:gfxdata="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81rtvQAA&#10;ANoAAAAPAAAAAAAAAAEAIAAAACIAAABkcnMvZG93bnJldi54bWxQSwECFAAUAAAACACHTuJAMy8F&#10;njsAAAA5AAAAEAAAAAAAAAABACAAAAAMAQAAZHJzL3NoYXBleG1sLnhtbFBLBQYAAAAABgAGAFsB&#10;AAC2AwAAAAA=&#10;">
                  <v:fill on="t" focussize="0,0"/>
                  <v:stroke weight="0.2pt" color="#0070C0" joinstyle="round"/>
                  <v:imagedata o:title=""/>
                  <o:lock v:ext="edit" aspectratio="f"/>
                  <v:textbox>
                    <w:txbxContent>
                      <w:p>
                        <w:pPr>
                          <w:jc w:val="center"/>
                        </w:pPr>
                        <w:r>
                          <w:rPr>
                            <w:rFonts w:hint="eastAsia"/>
                          </w:rPr>
                          <w:t>数据成果交付使用</w:t>
                        </w:r>
                      </w:p>
                    </w:txbxContent>
                  </v:textbox>
                </v:roundrect>
                <v:roundrect id="_x0000_s1026" o:spid="_x0000_s1026" o:spt="2" style="position:absolute;left:2020;top:811;height:479;width:1708;" fillcolor="#FFFFFF" filled="t" stroked="t" coordsize="21600,21600" arcsize="0.166666666666667" o:gfxdata="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m//3a8AAAA&#10;2gAAAA8AAAAAAAAAAQAgAAAAIgAAAGRycy9kb3ducmV2LnhtbFBLAQIUABQAAAAIAIdO4kAzLwWe&#10;OwAAADkAAAAQAAAAAAAAAAEAIAAAAAsBAABkcnMvc2hhcGV4bWwueG1sUEsFBgAAAAAGAAYAWwEA&#10;ALUDAAAAAA==&#10;">
                  <v:fill on="t" focussize="0,0"/>
                  <v:stroke weight="0.2pt" color="#0070C0" joinstyle="round"/>
                  <v:imagedata o:title=""/>
                  <o:lock v:ext="edit" aspectratio="f"/>
                  <v:textbox>
                    <w:txbxContent>
                      <w:p>
                        <w:pPr>
                          <w:jc w:val="center"/>
                        </w:pPr>
                        <w:r>
                          <w:rPr>
                            <w:rFonts w:hint="eastAsia"/>
                          </w:rPr>
                          <w:t>常见问题预测</w:t>
                        </w:r>
                      </w:p>
                    </w:txbxContent>
                  </v:textbox>
                </v:roundrect>
                <v:roundrect id="_x0000_s1026" o:spid="_x0000_s1026" o:spt="2" style="position:absolute;left:0;top:811;height:479;width:1708;" fillcolor="#FFFFFF" filled="t" stroked="t" coordsize="21600,21600" arcsize="0.166666666666667" o:gfxdata="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VmcCugAAANoA&#10;AAAPAAAAAAAAAAEAIAAAACIAAABkcnMvZG93bnJldi54bWxQSwECFAAUAAAACACHTuJAMy8FnjsA&#10;AAA5AAAAEAAAAAAAAAABACAAAAAJAQAAZHJzL3NoYXBleG1sLnhtbFBLBQYAAAAABgAGAFsBAACz&#10;AwAAAAA=&#10;">
                  <v:fill on="t" focussize="0,0"/>
                  <v:stroke weight="0.2pt" color="#0070C0" joinstyle="round"/>
                  <v:imagedata o:title=""/>
                  <o:lock v:ext="edit" aspectratio="f"/>
                  <v:textbox>
                    <w:txbxContent>
                      <w:p>
                        <w:pPr>
                          <w:jc w:val="center"/>
                        </w:pPr>
                        <w:r>
                          <w:rPr>
                            <w:rFonts w:hint="eastAsia"/>
                          </w:rPr>
                          <w:t>客户处回访</w:t>
                        </w:r>
                      </w:p>
                    </w:txbxContent>
                  </v:textbox>
                </v:roundrect>
                <v:roundrect id="_x0000_s1026" o:spid="_x0000_s1026" o:spt="2" style="position:absolute;left:4035;top:811;height:479;width:1708;" fillcolor="#FFFFFF" filled="t" stroked="t" coordsize="21600,21600" arcsize="0.166666666666667" o:gfxdata="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kawpm8AAAA&#10;2gAAAA8AAAAAAAAAAQAgAAAAIgAAAGRycy9kb3ducmV2LnhtbFBLAQIUABQAAAAIAIdO4kAzLwWe&#10;OwAAADkAAAAQAAAAAAAAAAEAIAAAAAsBAABkcnMvc2hhcGV4bWwueG1sUEsFBgAAAAAGAAYAWwEA&#10;ALUDAAAAAA==&#10;">
                  <v:fill on="t" focussize="0,0"/>
                  <v:stroke weight="0.2pt" color="#0070C0" joinstyle="round"/>
                  <v:imagedata o:title=""/>
                  <o:lock v:ext="edit" aspectratio="f"/>
                  <v:textbox>
                    <w:txbxContent>
                      <w:p>
                        <w:pPr>
                          <w:jc w:val="center"/>
                        </w:pPr>
                        <w:r>
                          <w:rPr>
                            <w:rFonts w:hint="eastAsia"/>
                          </w:rPr>
                          <w:t>电话回访</w:t>
                        </w:r>
                      </w:p>
                    </w:txbxContent>
                  </v:textbox>
                </v:roundrect>
                <v:roundrect id="_x0000_s1026" o:spid="_x0000_s1026" o:spt="2" style="position:absolute;left:3350;top:1650;height:480;width:2099;" fillcolor="#FFFFFF" filled="t" stroked="t" coordsize="21600,21600" arcsize="0.166666666666667" o:gfxdata="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IXO68AAAA&#10;2gAAAA8AAAAAAAAAAQAgAAAAIgAAAGRycy9kb3ducmV2LnhtbFBLAQIUABQAAAAIAIdO4kAzLwWe&#10;OwAAADkAAAAQAAAAAAAAAAEAIAAAAAsBAABkcnMvc2hhcGV4bWwueG1sUEsFBgAAAAAGAAYAWwEA&#10;ALUDAAAAAA==&#10;">
                  <v:fill on="t" focussize="0,0"/>
                  <v:stroke weight="0.2pt" color="#0070C0" joinstyle="round"/>
                  <v:imagedata o:title=""/>
                  <o:lock v:ext="edit" aspectratio="f"/>
                  <v:textbox>
                    <w:txbxContent>
                      <w:p>
                        <w:pPr>
                          <w:jc w:val="center"/>
                        </w:pPr>
                        <w:r>
                          <w:rPr>
                            <w:rFonts w:hint="eastAsia"/>
                          </w:rPr>
                          <w:t>信息整理分析</w:t>
                        </w:r>
                      </w:p>
                    </w:txbxContent>
                  </v:textbox>
                </v:roundrect>
                <v:roundrect id="_x0000_s1026" o:spid="_x0000_s1026" o:spt="2" style="position:absolute;left:3350;top:2513;height:768;width:2099;" fillcolor="#FFFFFF" filled="t" stroked="t" coordsize="21600,21600" arcsize="0.166666666666667" o:gfxdata="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aE+XW8AAAA&#10;2gAAAA8AAAAAAAAAAQAgAAAAIgAAAGRycy9kb3ducmV2LnhtbFBLAQIUABQAAAAIAIdO4kAzLwWe&#10;OwAAADkAAAAQAAAAAAAAAAEAIAAAAAsBAABkcnMvc2hhcGV4bWwueG1sUEsFBgAAAAAGAAYAWwEA&#10;ALUDAAAAAA==&#10;">
                  <v:fill on="t" focussize="0,0"/>
                  <v:stroke weight="0.2pt" color="#0070C0" joinstyle="round"/>
                  <v:imagedata o:title=""/>
                  <o:lock v:ext="edit" aspectratio="f"/>
                  <v:textbox>
                    <w:txbxContent>
                      <w:p>
                        <w:pPr>
                          <w:jc w:val="center"/>
                        </w:pPr>
                        <w:r>
                          <w:rPr>
                            <w:rFonts w:hint="eastAsia"/>
                          </w:rPr>
                          <w:t>制定处理方案</w:t>
                        </w:r>
                      </w:p>
                      <w:p>
                        <w:pPr>
                          <w:jc w:val="center"/>
                        </w:pPr>
                        <w:r>
                          <w:rPr>
                            <w:rFonts w:hint="eastAsia"/>
                          </w:rPr>
                          <w:t>进行售后服务</w:t>
                        </w:r>
                      </w:p>
                    </w:txbxContent>
                  </v:textbox>
                </v:roundrect>
                <v:roundrect id="_x0000_s1026" o:spid="_x0000_s1026" o:spt="2" style="position:absolute;left:3350;top:3673;height:480;width:2099;" fillcolor="#FFFFFF" filled="t" stroked="t" coordsize="21600,21600" arcsize="0.166666666666667" o:gfxdata="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XG20HtwAAANoAAAAP&#10;AAAAAAAAAAEAIAAAACIAAABkcnMvZG93bnJldi54bWxQSwECFAAUAAAACACHTuJAMy8FnjsAAAA5&#10;AAAAEAAAAAAAAAABACAAAAAGAQAAZHJzL3NoYXBleG1sLnhtbFBLBQYAAAAABgAGAFsBAACwAwAA&#10;AAA=&#10;">
                  <v:fill on="t" focussize="0,0"/>
                  <v:stroke weight="0.2pt" color="#0070C0" joinstyle="round"/>
                  <v:imagedata o:title=""/>
                  <o:lock v:ext="edit" aspectratio="f"/>
                  <v:textbox>
                    <w:txbxContent>
                      <w:p>
                        <w:pPr>
                          <w:jc w:val="center"/>
                        </w:pPr>
                        <w:r>
                          <w:rPr>
                            <w:rFonts w:hint="eastAsia"/>
                          </w:rPr>
                          <w:t>数据成果正常运行</w:t>
                        </w:r>
                      </w:p>
                    </w:txbxContent>
                  </v:textbox>
                </v:roundrect>
                <v:shape id="_x0000_s1026" o:spid="_x0000_s1026" o:spt="32" type="#_x0000_t32" style="position:absolute;left:854;top:643;height:1;width:6231;" filled="f" stroked="t" coordsize="21600,21600" o:gfxdata="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A+plvQAA&#10;ANoAAAAPAAAAAAAAAAEAIAAAACIAAABkcnMvZG93bnJldi54bWxQSwECFAAUAAAACACHTuJAMy8F&#10;njsAAAA5AAAAEAAAAAAAAAABACAAAAAMAQAAZHJzL3NoYXBleG1sLnhtbFBLBQYAAAAABgAGAFsB&#10;AAC2AwAAAAA=&#10;">
                  <v:fill on="f" focussize="0,0"/>
                  <v:stroke color="#0070C0" joinstyle="round"/>
                  <v:imagedata o:title=""/>
                  <o:lock v:ext="edit" aspectratio="f"/>
                </v:shape>
                <v:shape id="_x0000_s1026" o:spid="_x0000_s1026" o:spt="32" type="#_x0000_t32" style="position:absolute;left:7084;top:643;height:168;width:1;" filled="f" stroked="t" coordsize="21600,21600" o:gfxdata="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9e/r4A&#10;AADbAAAADwAAAAAAAAABACAAAAAiAAAAZHJzL2Rvd25yZXYueG1sUEsBAhQAFAAAAAgAh07iQDMv&#10;BZ47AAAAOQAAABAAAAAAAAAAAQAgAAAADQEAAGRycy9zaGFwZXhtbC54bWxQSwUGAAAAAAYABgBb&#10;AQAAtwMAAAAA&#10;">
                  <v:fill on="f" focussize="0,0"/>
                  <v:stroke color="#0070C0" joinstyle="round" endarrow="block"/>
                  <v:imagedata o:title=""/>
                  <o:lock v:ext="edit" aspectratio="f"/>
                </v:shape>
                <v:shape id="_x0000_s1026" o:spid="_x0000_s1026" o:spt="32" type="#_x0000_t32" style="position:absolute;left:854;top:643;height:168;width:0;" filled="f" stroked="t" coordsize="21600,21600" o:gfxdata="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6T+2W8AAAA&#10;2wAAAA8AAAAAAAAAAQAgAAAAIgAAAGRycy9kb3ducmV2LnhtbFBLAQIUABQAAAAIAIdO4kAzLwWe&#10;OwAAADkAAAAQAAAAAAAAAAEAIAAAAAsBAABkcnMvc2hhcGV4bWwueG1sUEsFBgAAAAAGAAYAWwEA&#10;ALUDAAAAAA==&#10;">
                  <v:fill on="f" focussize="0,0"/>
                  <v:stroke color="#0070C0" joinstyle="round" endarrow="block"/>
                  <v:imagedata o:title=""/>
                  <o:lock v:ext="edit" aspectratio="f"/>
                </v:shape>
                <v:shape id="_x0000_s1026" o:spid="_x0000_s1026" o:spt="32" type="#_x0000_t32" style="position:absolute;left:4889;top:643;height:168;width:0;" filled="f" stroked="t" coordsize="21600,21600" o:gfxdata="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kFlErsAAADb&#10;AAAADwAAAAAAAAABACAAAAAiAAAAZHJzL2Rvd25yZXYueG1sUEsBAhQAFAAAAAgAh07iQDMvBZ47&#10;AAAAOQAAABAAAAAAAAAAAQAgAAAACgEAAGRycy9zaGFwZXhtbC54bWxQSwUGAAAAAAYABgBbAQAA&#10;tAMAAAAA&#10;">
                  <v:fill on="f" focussize="0,0"/>
                  <v:stroke color="#0070C0" joinstyle="round" endarrow="block"/>
                  <v:imagedata o:title=""/>
                  <o:lock v:ext="edit" aspectratio="f"/>
                </v:shape>
                <v:shape id="_x0000_s1026" o:spid="_x0000_s1026" o:spt="32" type="#_x0000_t32" style="position:absolute;left:4399;top:1459;height:191;width:1;" filled="f" stroked="t" coordsize="21600,21600" o:gfxdata="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Q3AibsAAADb&#10;AAAADwAAAAAAAAABACAAAAAiAAAAZHJzL2Rvd25yZXYueG1sUEsBAhQAFAAAAAgAh07iQDMvBZ47&#10;AAAAOQAAABAAAAAAAAAAAQAgAAAACgEAAGRycy9zaGFwZXhtbC54bWxQSwUGAAAAAAYABgBbAQAA&#10;tAMAAAAA&#10;">
                  <v:fill on="f" focussize="0,0"/>
                  <v:stroke color="#0070C0" joinstyle="round" endarrow="block"/>
                  <v:imagedata o:title=""/>
                  <o:lock v:ext="edit" aspectratio="f"/>
                </v:shape>
                <v:shape id="_x0000_s1026" o:spid="_x0000_s1026" o:spt="32" type="#_x0000_t32" style="position:absolute;left:854;top:1290;height:168;width:0;" filled="f" stroked="t" coordsize="21600,21600" o:gfxdata="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WOe8AAAA&#10;2wAAAA8AAAAAAAAAAQAgAAAAIgAAAGRycy9kb3ducmV2LnhtbFBLAQIUABQAAAAIAIdO4kAzLwWe&#10;OwAAADkAAAAQAAAAAAAAAAEAIAAAAAsBAABkcnMvc2hhcGV4bWwueG1sUEsFBgAAAAAGAAYAWwEA&#10;ALUDAAAAAA==&#10;">
                  <v:fill on="f" focussize="0,0"/>
                  <v:stroke color="#0070C0" joinstyle="round"/>
                  <v:imagedata o:title=""/>
                  <o:lock v:ext="edit" aspectratio="f"/>
                </v:shape>
                <v:shape id="_x0000_s1026" o:spid="_x0000_s1026" o:spt="32" type="#_x0000_t32" style="position:absolute;left:4889;top:1291;height:168;width:1;" filled="f" stroked="t" coordsize="21600,21600" o:gfxdata="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y/Xy8AAAA&#10;2wAAAA8AAAAAAAAAAQAgAAAAIgAAAGRycy9kb3ducmV2LnhtbFBLAQIUABQAAAAIAIdO4kAzLwWe&#10;OwAAADkAAAAQAAAAAAAAAAEAIAAAAAsBAABkcnMvc2hhcGV4bWwueG1sUEsFBgAAAAAGAAYAWwEA&#10;ALUDAAAAAA==&#10;">
                  <v:fill on="f" focussize="0,0"/>
                  <v:stroke color="#0070C0" joinstyle="round"/>
                  <v:imagedata o:title=""/>
                  <o:lock v:ext="edit" aspectratio="f"/>
                </v:shape>
                <v:shape id="_x0000_s1026" o:spid="_x0000_s1026" o:spt="32" type="#_x0000_t32" style="position:absolute;left:4400;top:2130;height:383;width:1;" filled="f" stroked="t" coordsize="21600,21600" o:gfxdata="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XpjEbsAAADb&#10;AAAADwAAAAAAAAABACAAAAAiAAAAZHJzL2Rvd25yZXYueG1sUEsBAhQAFAAAAAgAh07iQDMvBZ47&#10;AAAAOQAAABAAAAAAAAAAAQAgAAAACgEAAGRycy9zaGFwZXhtbC54bWxQSwUGAAAAAAYABgBbAQAA&#10;tAMAAAAA&#10;">
                  <v:fill on="f" focussize="0,0"/>
                  <v:stroke color="#0070C0" joinstyle="round" endarrow="block"/>
                  <v:imagedata o:title=""/>
                  <o:lock v:ext="edit" aspectratio="f"/>
                </v:shape>
                <v:shape id="_x0000_s1026" o:spid="_x0000_s1026" o:spt="32" type="#_x0000_t32" style="position:absolute;left:4398;top:3288;height:390;width:1;" filled="f" stroked="t" coordsize="21600,21600" o:gfxdata="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jbGirsAAADb&#10;AAAADwAAAAAAAAABACAAAAAiAAAAZHJzL2Rvd25yZXYueG1sUEsBAhQAFAAAAAgAh07iQDMvBZ47&#10;AAAAOQAAABAAAAAAAAAAAQAgAAAACgEAAGRycy9zaGFwZXhtbC54bWxQSwUGAAAAAAYABgBbAQAA&#10;tAMAAAAA&#10;">
                  <v:fill on="f" focussize="0,0"/>
                  <v:stroke color="#0070C0" joinstyle="round" endarrow="block"/>
                  <v:imagedata o:title=""/>
                  <o:lock v:ext="edit" aspectratio="f"/>
                </v:shape>
                <v:roundrect id="_x0000_s1026" o:spid="_x0000_s1026" o:spt="2" style="position:absolute;left:6059;top:811;height:479;width:2051;" fillcolor="#FFFFFF" filled="t" stroked="t" coordsize="21600,21600" arcsize="0.166666666666667" o:gfxdata="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zhIbvQAA&#10;ANsAAAAPAAAAAAAAAAEAIAAAACIAAABkcnMvZG93bnJldi54bWxQSwECFAAUAAAACACHTuJAMy8F&#10;njsAAAA5AAAAEAAAAAAAAAABACAAAAAMAQAAZHJzL3NoYXBleG1sLnhtbFBLBQYAAAAABgAGAFsB&#10;AAC2AwAAAAA=&#10;">
                  <v:fill on="t" focussize="0,0"/>
                  <v:stroke weight="0.2pt" color="#0070C0" joinstyle="round"/>
                  <v:imagedata o:title=""/>
                  <o:lock v:ext="edit" aspectratio="f"/>
                  <v:textbox>
                    <w:txbxContent>
                      <w:p>
                        <w:pPr>
                          <w:jc w:val="center"/>
                        </w:pPr>
                        <w:r>
                          <w:rPr>
                            <w:rFonts w:hint="eastAsia"/>
                          </w:rPr>
                          <w:t>业主要求售后服务</w:t>
                        </w:r>
                      </w:p>
                    </w:txbxContent>
                  </v:textbox>
                </v:roundrect>
                <v:shape id="_x0000_s1026" o:spid="_x0000_s1026" o:spt="32" type="#_x0000_t32" style="position:absolute;left:4401;top:480;height:163;width:1;" filled="f" stroked="t" coordsize="21600,21600" o:gfxdata="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1/93m8AAAA&#10;2wAAAA8AAAAAAAAAAQAgAAAAIgAAAGRycy9kb3ducmV2LnhtbFBLAQIUABQAAAAIAIdO4kAzLwWe&#10;OwAAADkAAAAQAAAAAAAAAAEAIAAAAAsBAABkcnMvc2hhcGV4bWwueG1sUEsFBgAAAAAGAAYAWwEA&#10;ALUDAAAAAA==&#10;">
                  <v:fill on="f" focussize="0,0"/>
                  <v:stroke color="#0070C0" joinstyle="round"/>
                  <v:imagedata o:title=""/>
                  <o:lock v:ext="edit" aspectratio="f"/>
                </v:shape>
                <v:shape id="_x0000_s1026" o:spid="_x0000_s1026" o:spt="32" type="#_x0000_t32" style="position:absolute;left:2873;top:644;height:168;width:1;" filled="f" stroked="t" coordsize="21600,21600" o:gfxdata="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s5RDugAAANsA&#10;AAAPAAAAAAAAAAEAIAAAACIAAABkcnMvZG93bnJldi54bWxQSwECFAAUAAAACACHTuJAMy8FnjsA&#10;AAA5AAAAEAAAAAAAAAABACAAAAAJAQAAZHJzL3NoYXBleG1sLnhtbFBLBQYAAAAABgAGAFsBAACz&#10;AwAAAAA=&#10;">
                  <v:fill on="f" focussize="0,0"/>
                  <v:stroke color="#0070C0" joinstyle="round" endarrow="block"/>
                  <v:imagedata o:title=""/>
                  <o:lock v:ext="edit" aspectratio="f"/>
                </v:shape>
                <v:shape id="_x0000_s1026" o:spid="_x0000_s1026" o:spt="32" type="#_x0000_t32" style="position:absolute;left:853;top:1457;height:1;width:6231;" filled="f" stroked="t" coordsize="21600,21600" o:gfxdata="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ZTHCvQAA&#10;ANsAAAAPAAAAAAAAAAEAIAAAACIAAABkcnMvZG93bnJldi54bWxQSwECFAAUAAAACACHTuJAMy8F&#10;njsAAAA5AAAAEAAAAAAAAAABACAAAAAMAQAAZHJzL3NoYXBleG1sLnhtbFBLBQYAAAAABgAGAFsB&#10;AAC2AwAAAAA=&#10;">
                  <v:fill on="f" focussize="0,0"/>
                  <v:stroke color="#0070C0" joinstyle="round"/>
                  <v:imagedata o:title=""/>
                  <o:lock v:ext="edit" aspectratio="f"/>
                </v:shape>
                <v:shape id="_x0000_s1026" o:spid="_x0000_s1026" o:spt="32" type="#_x0000_t32" style="position:absolute;left:7083;top:1291;height:168;width:1;" filled="f" stroked="t" coordsize="21600,21600" o:gfxdata="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bevtb4A&#10;AADbAAAADwAAAAAAAAABACAAAAAiAAAAZHJzL2Rvd25yZXYueG1sUEsBAhQAFAAAAAgAh07iQDMv&#10;BZ47AAAAOQAAABAAAAAAAAAAAQAgAAAADQEAAGRycy9zaGFwZXhtbC54bWxQSwUGAAAAAAYABgBb&#10;AQAAtwMAAAAA&#10;">
                  <v:fill on="f" focussize="0,0"/>
                  <v:stroke color="#0070C0" joinstyle="round"/>
                  <v:imagedata o:title=""/>
                  <o:lock v:ext="edit" aspectratio="f"/>
                </v:shape>
                <v:shape id="_x0000_s1026" o:spid="_x0000_s1026" o:spt="32" type="#_x0000_t32" style="position:absolute;left:2874;top:1291;height:168;width:1;" filled="f" stroked="t" coordsize="21600,21600" o:gfxdata="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wouvQAA&#10;ANsAAAAPAAAAAAAAAAEAIAAAACIAAABkcnMvZG93bnJldi54bWxQSwECFAAUAAAACACHTuJAMy8F&#10;njsAAAA5AAAAEAAAAAAAAAABACAAAAAMAQAAZHJzL3NoYXBleG1sLnhtbFBLBQYAAAAABgAGAFsB&#10;AAC2AwAAAAA=&#10;">
                  <v:fill on="f" focussize="0,0"/>
                  <v:stroke color="#0070C0" joinstyle="round"/>
                  <v:imagedata o:title=""/>
                  <o:lock v:ext="edit" aspectratio="f"/>
                </v:shape>
                <w10:wrap type="none"/>
                <w10:anchorlock/>
              </v:group>
            </w:pict>
          </mc:Fallback>
        </mc:AlternateContent>
      </w:r>
    </w:p>
    <w:p>
      <w:pPr>
        <w:spacing w:line="520" w:lineRule="exact"/>
        <w:ind w:firstLine="480" w:firstLineChars="200"/>
        <w:rPr>
          <w:rFonts w:ascii="宋体" w:hAnsi="宋体" w:eastAsia="宋体"/>
          <w:szCs w:val="24"/>
        </w:rPr>
      </w:pPr>
      <w:bookmarkStart w:id="21" w:name="_Toc138646074"/>
      <w:r>
        <w:rPr>
          <w:rFonts w:hint="eastAsia" w:ascii="宋体" w:hAnsi="宋体" w:eastAsia="宋体"/>
          <w:szCs w:val="24"/>
        </w:rPr>
        <w:t>以顾客为关注焦点</w:t>
      </w:r>
      <w:bookmarkEnd w:id="21"/>
      <w:r>
        <w:rPr>
          <w:rFonts w:hint="eastAsia" w:ascii="宋体" w:hAnsi="宋体" w:eastAsia="宋体"/>
          <w:szCs w:val="24"/>
        </w:rPr>
        <w:t>是质量管理体系的要求，也是我院的工作重点，服务意识和社会形象是我院生存与发展的关键。为此，我院充分理解并满足顾客当前及未来的需求和期望，并争取超越这些需求和期望，以实现顾客满意为目标，在工作中我院将做到以下几点：</w:t>
      </w:r>
    </w:p>
    <w:p>
      <w:pPr>
        <w:spacing w:line="520" w:lineRule="exact"/>
        <w:ind w:firstLine="480" w:firstLineChars="200"/>
        <w:rPr>
          <w:rFonts w:ascii="宋体" w:hAnsi="宋体" w:eastAsia="宋体"/>
          <w:szCs w:val="24"/>
        </w:rPr>
      </w:pPr>
      <w:r>
        <w:rPr>
          <w:rFonts w:hint="eastAsia" w:ascii="宋体" w:hAnsi="宋体" w:eastAsia="宋体"/>
          <w:szCs w:val="24"/>
        </w:rPr>
        <w:t>（1）中标后，立即着手组织工作人员学习相关文件，随时准备进驻现场；</w:t>
      </w:r>
    </w:p>
    <w:p>
      <w:pPr>
        <w:spacing w:line="520" w:lineRule="exact"/>
        <w:ind w:firstLine="480" w:firstLineChars="200"/>
        <w:rPr>
          <w:rFonts w:ascii="宋体" w:hAnsi="宋体" w:eastAsia="宋体"/>
          <w:szCs w:val="24"/>
        </w:rPr>
      </w:pPr>
      <w:r>
        <w:rPr>
          <w:rFonts w:hint="eastAsia" w:ascii="宋体" w:hAnsi="宋体" w:eastAsia="宋体"/>
          <w:szCs w:val="24"/>
        </w:rPr>
        <w:t>（2）按规定与招标人签订项目合同书，并严格履行合同的各项条款；</w:t>
      </w:r>
    </w:p>
    <w:p>
      <w:pPr>
        <w:spacing w:line="520" w:lineRule="exact"/>
        <w:ind w:firstLine="480" w:firstLineChars="200"/>
        <w:rPr>
          <w:rFonts w:ascii="宋体" w:hAnsi="宋体" w:eastAsia="宋体"/>
          <w:szCs w:val="24"/>
        </w:rPr>
      </w:pPr>
      <w:r>
        <w:rPr>
          <w:rFonts w:hint="eastAsia" w:ascii="宋体" w:hAnsi="宋体" w:eastAsia="宋体"/>
          <w:szCs w:val="24"/>
        </w:rPr>
        <w:t>（3）保证按照合同工期和产品质量要求，完成项目建设。充分认识并传达顾客的需求和期望，对我院的具体要求为：在项目产品完全达到技术设计精度指标的前提下，实现工期要求；</w:t>
      </w:r>
    </w:p>
    <w:p>
      <w:pPr>
        <w:spacing w:line="520" w:lineRule="exact"/>
        <w:ind w:firstLine="480" w:firstLineChars="200"/>
        <w:rPr>
          <w:rFonts w:ascii="宋体" w:hAnsi="宋体" w:eastAsia="宋体"/>
          <w:szCs w:val="24"/>
        </w:rPr>
      </w:pPr>
      <w:r>
        <w:rPr>
          <w:rFonts w:hint="eastAsia" w:ascii="宋体" w:hAnsi="宋体" w:eastAsia="宋体"/>
          <w:szCs w:val="24"/>
        </w:rPr>
        <w:t>（4）独立完成中标工程，不以任何形式进行工程的分包或转包；</w:t>
      </w:r>
    </w:p>
    <w:p>
      <w:pPr>
        <w:spacing w:line="520" w:lineRule="exact"/>
        <w:ind w:firstLine="480" w:firstLineChars="200"/>
        <w:rPr>
          <w:rFonts w:ascii="宋体" w:hAnsi="宋体" w:eastAsia="宋体"/>
          <w:szCs w:val="24"/>
        </w:rPr>
      </w:pPr>
      <w:r>
        <w:rPr>
          <w:rFonts w:hint="eastAsia" w:ascii="宋体" w:hAnsi="宋体" w:eastAsia="宋体"/>
          <w:szCs w:val="24"/>
        </w:rPr>
        <w:t>（5）严格按照技术设计书作业，有计划、有步骤地进行；</w:t>
      </w:r>
    </w:p>
    <w:p>
      <w:pPr>
        <w:spacing w:line="520" w:lineRule="exact"/>
        <w:ind w:firstLine="480" w:firstLineChars="200"/>
        <w:rPr>
          <w:rFonts w:ascii="宋体" w:hAnsi="宋体" w:eastAsia="宋体"/>
          <w:szCs w:val="24"/>
        </w:rPr>
      </w:pPr>
      <w:r>
        <w:rPr>
          <w:rFonts w:hint="eastAsia" w:ascii="宋体" w:hAnsi="宋体" w:eastAsia="宋体"/>
          <w:szCs w:val="24"/>
        </w:rPr>
        <w:t>（6）保证与顾客进行沟通，建立和确保生产前、生产过程中和产品交付后与顾客进行沟通的渠道。及时将顾客信息、特别是对我院评价的信息报告给院领导层，是每个职工，尤其是每个领导的职责；</w:t>
      </w:r>
    </w:p>
    <w:p>
      <w:pPr>
        <w:spacing w:line="520" w:lineRule="exact"/>
        <w:ind w:firstLine="480" w:firstLineChars="200"/>
        <w:rPr>
          <w:rFonts w:ascii="宋体" w:hAnsi="宋体" w:eastAsia="宋体"/>
          <w:szCs w:val="24"/>
        </w:rPr>
      </w:pPr>
      <w:r>
        <w:rPr>
          <w:rFonts w:hint="eastAsia" w:ascii="宋体" w:hAnsi="宋体" w:eastAsia="宋体"/>
          <w:szCs w:val="24"/>
        </w:rPr>
        <w:t>（7）定期进行客户回访，执行《顾客满意程度测量程序》，了解顾客的期望和需求，认真听取业主对本项目系统运行及成果使用情况的意见，并及时进行整改；</w:t>
      </w:r>
    </w:p>
    <w:p>
      <w:pPr>
        <w:spacing w:line="520" w:lineRule="exact"/>
        <w:ind w:firstLine="480" w:firstLineChars="200"/>
        <w:rPr>
          <w:rFonts w:ascii="宋体" w:hAnsi="宋体" w:eastAsia="宋体"/>
          <w:szCs w:val="24"/>
        </w:rPr>
      </w:pPr>
      <w:r>
        <w:rPr>
          <w:rFonts w:hint="eastAsia" w:ascii="宋体" w:hAnsi="宋体" w:eastAsia="宋体"/>
          <w:szCs w:val="24"/>
          <w:lang w:val="zh-CN"/>
        </w:rPr>
        <w:t>（</w:t>
      </w:r>
      <w:r>
        <w:rPr>
          <w:rFonts w:hint="eastAsia" w:ascii="宋体" w:hAnsi="宋体" w:eastAsia="宋体"/>
          <w:szCs w:val="24"/>
        </w:rPr>
        <w:t>8）</w:t>
      </w:r>
      <w:r>
        <w:rPr>
          <w:rFonts w:hint="eastAsia" w:ascii="宋体" w:hAnsi="宋体" w:eastAsia="宋体"/>
          <w:szCs w:val="24"/>
          <w:lang w:val="zh-CN"/>
        </w:rPr>
        <w:t>工程竣工后，本项目的所有原始资料，过渡成果和最终成果</w:t>
      </w:r>
      <w:r>
        <w:rPr>
          <w:rFonts w:hint="eastAsia" w:ascii="宋体" w:hAnsi="宋体" w:eastAsia="宋体"/>
          <w:szCs w:val="24"/>
        </w:rPr>
        <w:t>资料未经贵方同意，不向任何第三方提供；</w:t>
      </w:r>
    </w:p>
    <w:p>
      <w:pPr>
        <w:spacing w:line="520" w:lineRule="exact"/>
        <w:ind w:firstLine="480" w:firstLineChars="200"/>
        <w:rPr>
          <w:rFonts w:ascii="宋体" w:hAnsi="宋体" w:eastAsia="宋体"/>
          <w:szCs w:val="24"/>
        </w:rPr>
      </w:pPr>
      <w:r>
        <w:rPr>
          <w:rFonts w:hint="eastAsia" w:ascii="宋体" w:hAnsi="宋体" w:eastAsia="宋体"/>
          <w:szCs w:val="24"/>
          <w:lang w:val="zh-CN"/>
        </w:rPr>
        <w:t>（</w:t>
      </w:r>
      <w:r>
        <w:rPr>
          <w:rFonts w:hint="eastAsia" w:ascii="宋体" w:hAnsi="宋体" w:eastAsia="宋体"/>
          <w:szCs w:val="24"/>
        </w:rPr>
        <w:t>9</w:t>
      </w:r>
      <w:r>
        <w:rPr>
          <w:rFonts w:hint="eastAsia" w:ascii="宋体" w:hAnsi="宋体" w:eastAsia="宋体"/>
          <w:szCs w:val="24"/>
          <w:lang w:val="zh-CN"/>
        </w:rPr>
        <w:t>）在成果使用过程中若发现问题，我院技术人员将及时解决，若是因我单位造成的，我单位愿意承担因此而带来的所有责任；</w:t>
      </w:r>
    </w:p>
    <w:p>
      <w:pPr>
        <w:spacing w:line="520" w:lineRule="exact"/>
        <w:ind w:firstLine="480" w:firstLineChars="200"/>
        <w:rPr>
          <w:rFonts w:ascii="宋体" w:hAnsi="宋体" w:eastAsia="宋体"/>
          <w:szCs w:val="24"/>
        </w:rPr>
      </w:pPr>
      <w:bookmarkStart w:id="22" w:name="_Toc262771385"/>
      <w:bookmarkStart w:id="23" w:name="_Toc198270053"/>
      <w:bookmarkStart w:id="24" w:name="_Toc222172841"/>
      <w:bookmarkStart w:id="25" w:name="_Toc166497498"/>
      <w:r>
        <w:rPr>
          <w:rFonts w:hint="eastAsia" w:ascii="宋体" w:hAnsi="宋体" w:eastAsia="宋体"/>
          <w:szCs w:val="24"/>
        </w:rPr>
        <w:t>（10）成果提交后，对招标人提供免费技术维护服务；对甲方的无限量技术人员进行免费技术培训。</w:t>
      </w:r>
    </w:p>
    <w:p>
      <w:pPr>
        <w:pStyle w:val="4"/>
        <w:spacing w:before="0" w:after="0" w:line="500" w:lineRule="exact"/>
        <w:rPr>
          <w:rFonts w:ascii="宋体" w:hAnsi="宋体" w:eastAsia="宋体"/>
        </w:rPr>
      </w:pPr>
      <w:bookmarkStart w:id="26" w:name="_Toc450650395"/>
      <w:bookmarkStart w:id="27" w:name="_Toc447268448"/>
      <w:bookmarkStart w:id="28" w:name="_Toc417372958"/>
      <w:bookmarkStart w:id="29" w:name="_Toc523122708"/>
      <w:bookmarkStart w:id="30" w:name="_Toc522887551"/>
      <w:bookmarkStart w:id="31" w:name="_Toc523122126"/>
      <w:bookmarkStart w:id="32" w:name="_Toc16603"/>
      <w:bookmarkStart w:id="33" w:name="_Toc31798"/>
      <w:bookmarkStart w:id="34" w:name="_Toc522814540"/>
      <w:bookmarkStart w:id="35" w:name="_Toc523122364"/>
      <w:r>
        <w:rPr>
          <w:rFonts w:hint="eastAsia" w:ascii="宋体" w:hAnsi="宋体" w:eastAsia="宋体"/>
        </w:rPr>
        <w:t>（二）售后服务</w:t>
      </w:r>
      <w:bookmarkEnd w:id="26"/>
      <w:bookmarkEnd w:id="27"/>
      <w:bookmarkEnd w:id="28"/>
      <w:r>
        <w:rPr>
          <w:rFonts w:hint="eastAsia" w:ascii="宋体" w:hAnsi="宋体" w:eastAsia="宋体"/>
        </w:rPr>
        <w:t>技术支持体系</w:t>
      </w:r>
      <w:bookmarkEnd w:id="29"/>
      <w:bookmarkEnd w:id="30"/>
      <w:bookmarkEnd w:id="31"/>
      <w:bookmarkEnd w:id="32"/>
      <w:bookmarkEnd w:id="33"/>
      <w:bookmarkEnd w:id="34"/>
      <w:bookmarkEnd w:id="35"/>
    </w:p>
    <w:p>
      <w:pPr>
        <w:spacing w:line="520" w:lineRule="exact"/>
        <w:ind w:firstLine="480" w:firstLineChars="200"/>
        <w:rPr>
          <w:rFonts w:ascii="宋体" w:hAnsi="宋体" w:eastAsia="宋体"/>
          <w:szCs w:val="24"/>
        </w:rPr>
      </w:pPr>
      <w:r>
        <w:rPr>
          <w:rFonts w:hint="eastAsia" w:ascii="宋体" w:hAnsi="宋体" w:eastAsia="宋体"/>
          <w:szCs w:val="24"/>
        </w:rPr>
        <w:t>我单位有一大批专业领域的技术专家及管理专家，有丰富的技术经验的积累和完善的服务质量保证机制，可以为用户提供产品及技术方面高质量的售后支持服务。</w:t>
      </w:r>
      <w:bookmarkStart w:id="36" w:name="_Toc243461669"/>
      <w:bookmarkStart w:id="37" w:name="_Toc278111047"/>
      <w:bookmarkStart w:id="38" w:name="_Toc342980158"/>
      <w:bookmarkStart w:id="39" w:name="_Toc343347723"/>
      <w:bookmarkStart w:id="40" w:name="_Toc311900237"/>
      <w:bookmarkStart w:id="41" w:name="_Toc343347893"/>
      <w:bookmarkStart w:id="42" w:name="_Toc343449961"/>
      <w:bookmarkStart w:id="43" w:name="_Toc343355110"/>
      <w:bookmarkStart w:id="44" w:name="_Toc358119678"/>
      <w:bookmarkStart w:id="45" w:name="_Toc373306940"/>
      <w:r>
        <w:rPr>
          <w:rFonts w:hint="eastAsia" w:ascii="宋体" w:hAnsi="宋体" w:eastAsia="宋体"/>
          <w:szCs w:val="24"/>
        </w:rPr>
        <w:t>具体服务</w:t>
      </w:r>
      <w:bookmarkEnd w:id="36"/>
      <w:bookmarkEnd w:id="37"/>
      <w:r>
        <w:rPr>
          <w:rFonts w:hint="eastAsia" w:ascii="宋体" w:hAnsi="宋体" w:eastAsia="宋体"/>
          <w:szCs w:val="24"/>
        </w:rPr>
        <w:t>范围</w:t>
      </w:r>
      <w:bookmarkEnd w:id="38"/>
      <w:bookmarkEnd w:id="39"/>
      <w:bookmarkEnd w:id="40"/>
      <w:bookmarkEnd w:id="41"/>
      <w:bookmarkEnd w:id="42"/>
      <w:bookmarkEnd w:id="43"/>
      <w:bookmarkEnd w:id="44"/>
      <w:bookmarkEnd w:id="45"/>
      <w:r>
        <w:rPr>
          <w:rFonts w:hint="eastAsia" w:ascii="宋体" w:hAnsi="宋体" w:eastAsia="宋体"/>
          <w:szCs w:val="24"/>
        </w:rPr>
        <w:t>如下：</w:t>
      </w:r>
    </w:p>
    <w:p>
      <w:pPr>
        <w:pStyle w:val="5"/>
        <w:spacing w:before="0" w:after="0" w:line="520" w:lineRule="exact"/>
        <w:rPr>
          <w:rFonts w:ascii="宋体" w:hAnsi="宋体"/>
          <w:sz w:val="30"/>
          <w:szCs w:val="30"/>
        </w:rPr>
      </w:pPr>
      <w:bookmarkStart w:id="46" w:name="_Toc342980159"/>
      <w:bookmarkStart w:id="47" w:name="_Toc522814541"/>
      <w:bookmarkStart w:id="48" w:name="_Toc523122709"/>
      <w:bookmarkStart w:id="49" w:name="_Toc523122127"/>
      <w:bookmarkStart w:id="50" w:name="_Toc523122365"/>
      <w:bookmarkStart w:id="51" w:name="_Toc25516"/>
      <w:bookmarkStart w:id="52" w:name="_Toc28379"/>
      <w:bookmarkStart w:id="53" w:name="_Toc278111048"/>
      <w:bookmarkStart w:id="54" w:name="_Toc522887552"/>
      <w:r>
        <w:rPr>
          <w:rFonts w:hint="eastAsia" w:ascii="宋体" w:hAnsi="宋体"/>
          <w:sz w:val="30"/>
          <w:szCs w:val="30"/>
        </w:rPr>
        <w:t>1、电话支持服务</w:t>
      </w:r>
      <w:bookmarkEnd w:id="46"/>
      <w:bookmarkEnd w:id="47"/>
      <w:bookmarkEnd w:id="48"/>
      <w:bookmarkEnd w:id="49"/>
      <w:bookmarkEnd w:id="50"/>
      <w:bookmarkEnd w:id="51"/>
      <w:bookmarkEnd w:id="52"/>
      <w:bookmarkEnd w:id="53"/>
      <w:bookmarkEnd w:id="54"/>
    </w:p>
    <w:p>
      <w:pPr>
        <w:spacing w:line="520" w:lineRule="exact"/>
        <w:ind w:firstLine="480" w:firstLineChars="200"/>
        <w:rPr>
          <w:rFonts w:ascii="宋体" w:hAnsi="宋体" w:eastAsia="宋体"/>
          <w:szCs w:val="24"/>
        </w:rPr>
      </w:pPr>
      <w:r>
        <w:rPr>
          <w:rFonts w:hint="eastAsia" w:ascii="宋体" w:hAnsi="宋体" w:eastAsia="宋体"/>
          <w:szCs w:val="24"/>
        </w:rPr>
        <w:t>电话支持服务指向客户提供7×24小时电话响应和不限数量的售后电话支持，帮助客户迅速有效地解决问题。电话由本单位的客户代表负责接听，根据客户的要求进行分析判断，并转给适当的技术工程师进行处理，确保对客户的技术请求做出快速满意的解答。</w:t>
      </w:r>
    </w:p>
    <w:p>
      <w:pPr>
        <w:pStyle w:val="5"/>
        <w:spacing w:before="0" w:after="0" w:line="520" w:lineRule="exact"/>
        <w:rPr>
          <w:rFonts w:ascii="宋体" w:hAnsi="宋体"/>
          <w:sz w:val="30"/>
          <w:szCs w:val="30"/>
        </w:rPr>
      </w:pPr>
      <w:bookmarkStart w:id="55" w:name="_Toc523122128"/>
      <w:bookmarkStart w:id="56" w:name="_Toc523122366"/>
      <w:bookmarkStart w:id="57" w:name="_Toc523122710"/>
      <w:bookmarkStart w:id="58" w:name="_Toc278111049"/>
      <w:bookmarkStart w:id="59" w:name="_Toc497843728"/>
      <w:bookmarkStart w:id="60" w:name="_Toc522887553"/>
      <w:bookmarkStart w:id="61" w:name="_Toc488261050"/>
      <w:bookmarkStart w:id="62" w:name="_Toc14738"/>
      <w:bookmarkStart w:id="63" w:name="_Toc517697266"/>
      <w:bookmarkStart w:id="64" w:name="_Toc342980160"/>
      <w:bookmarkStart w:id="65" w:name="_Toc522814542"/>
      <w:bookmarkStart w:id="66" w:name="_Toc456771157"/>
      <w:bookmarkStart w:id="67" w:name="_Toc13549"/>
      <w:bookmarkStart w:id="68" w:name="_Toc487910931"/>
      <w:r>
        <w:rPr>
          <w:rFonts w:hint="eastAsia" w:ascii="宋体" w:hAnsi="宋体"/>
          <w:sz w:val="30"/>
          <w:szCs w:val="30"/>
        </w:rPr>
        <w:t>2、邮件支持服务</w:t>
      </w:r>
      <w:bookmarkEnd w:id="55"/>
      <w:bookmarkEnd w:id="56"/>
      <w:bookmarkEnd w:id="57"/>
      <w:bookmarkEnd w:id="58"/>
      <w:bookmarkEnd w:id="59"/>
      <w:bookmarkEnd w:id="60"/>
      <w:bookmarkEnd w:id="61"/>
      <w:bookmarkEnd w:id="62"/>
      <w:bookmarkEnd w:id="63"/>
      <w:bookmarkEnd w:id="64"/>
      <w:bookmarkEnd w:id="65"/>
      <w:bookmarkEnd w:id="66"/>
      <w:bookmarkEnd w:id="67"/>
      <w:bookmarkEnd w:id="68"/>
    </w:p>
    <w:p>
      <w:pPr>
        <w:spacing w:line="520" w:lineRule="exact"/>
        <w:ind w:firstLine="480" w:firstLineChars="200"/>
        <w:rPr>
          <w:rFonts w:ascii="宋体" w:hAnsi="宋体" w:eastAsia="宋体"/>
          <w:szCs w:val="24"/>
        </w:rPr>
      </w:pPr>
      <w:r>
        <w:rPr>
          <w:rFonts w:hint="eastAsia" w:ascii="宋体" w:hAnsi="宋体" w:eastAsia="宋体"/>
          <w:szCs w:val="24"/>
        </w:rPr>
        <w:t>通过邮件的方式，用户对问题的出现提供详细的描述，我方在8小时内做出问题解决回应，以邮件的形式提供解决方案。</w:t>
      </w:r>
    </w:p>
    <w:bookmarkEnd w:id="22"/>
    <w:bookmarkEnd w:id="23"/>
    <w:bookmarkEnd w:id="24"/>
    <w:bookmarkEnd w:id="25"/>
    <w:p>
      <w:pPr>
        <w:pStyle w:val="5"/>
        <w:spacing w:before="0" w:after="0" w:line="520" w:lineRule="exact"/>
        <w:rPr>
          <w:rFonts w:ascii="宋体" w:hAnsi="宋体"/>
          <w:sz w:val="30"/>
          <w:szCs w:val="30"/>
        </w:rPr>
      </w:pPr>
      <w:bookmarkStart w:id="69" w:name="_Toc522814543"/>
      <w:bookmarkStart w:id="70" w:name="_Toc342980162"/>
      <w:bookmarkStart w:id="71" w:name="_Toc306886562"/>
      <w:bookmarkStart w:id="72" w:name="_Toc142444411"/>
      <w:bookmarkStart w:id="73" w:name="_Toc522887554"/>
      <w:bookmarkStart w:id="74" w:name="_Toc523122129"/>
      <w:bookmarkStart w:id="75" w:name="_Toc523122367"/>
      <w:bookmarkStart w:id="76" w:name="_Toc523122711"/>
      <w:bookmarkStart w:id="77" w:name="_Toc12223"/>
      <w:bookmarkStart w:id="78" w:name="_Toc21860"/>
      <w:r>
        <w:rPr>
          <w:rFonts w:hint="eastAsia" w:ascii="宋体" w:hAnsi="宋体"/>
          <w:sz w:val="30"/>
          <w:szCs w:val="30"/>
        </w:rPr>
        <w:t>3、定期客户巡访服务</w:t>
      </w:r>
      <w:bookmarkEnd w:id="69"/>
      <w:bookmarkEnd w:id="70"/>
      <w:bookmarkEnd w:id="71"/>
      <w:bookmarkEnd w:id="72"/>
      <w:bookmarkEnd w:id="73"/>
      <w:bookmarkEnd w:id="74"/>
      <w:bookmarkEnd w:id="75"/>
      <w:bookmarkEnd w:id="76"/>
      <w:bookmarkEnd w:id="77"/>
      <w:bookmarkEnd w:id="78"/>
    </w:p>
    <w:p>
      <w:pPr>
        <w:spacing w:line="520" w:lineRule="exact"/>
        <w:ind w:firstLine="480" w:firstLineChars="200"/>
        <w:rPr>
          <w:rFonts w:ascii="宋体" w:hAnsi="宋体" w:eastAsia="宋体"/>
          <w:szCs w:val="24"/>
        </w:rPr>
      </w:pPr>
      <w:r>
        <w:rPr>
          <w:rFonts w:hint="eastAsia" w:ascii="宋体" w:hAnsi="宋体" w:eastAsia="宋体"/>
          <w:szCs w:val="24"/>
        </w:rPr>
        <w:t>定期对客户业务系统进行检查、维护、诊断，倾听客户反馈，及时发现问题隐患，提交相应的报告，保证客户系统稳定、高效的运行。每次巡访后，为客户提供巡访报告，巡访报告包括：系统运行报告、系统调整报告。</w:t>
      </w:r>
    </w:p>
    <w:p>
      <w:pPr>
        <w:pStyle w:val="5"/>
        <w:spacing w:before="0" w:after="0" w:line="520" w:lineRule="exact"/>
        <w:rPr>
          <w:rFonts w:ascii="宋体" w:hAnsi="宋体"/>
          <w:sz w:val="30"/>
          <w:szCs w:val="30"/>
        </w:rPr>
      </w:pPr>
      <w:bookmarkStart w:id="79" w:name="_Toc522814544"/>
      <w:bookmarkStart w:id="80" w:name="_Toc342980163"/>
      <w:bookmarkStart w:id="81" w:name="_Toc142444412"/>
      <w:bookmarkStart w:id="82" w:name="_Toc306886563"/>
      <w:bookmarkStart w:id="83" w:name="_Toc522887555"/>
      <w:bookmarkStart w:id="84" w:name="_Toc523122130"/>
      <w:bookmarkStart w:id="85" w:name="_Toc523122368"/>
      <w:bookmarkStart w:id="86" w:name="_Toc523122712"/>
      <w:bookmarkStart w:id="87" w:name="_Toc24693"/>
      <w:bookmarkStart w:id="88" w:name="_Toc8761"/>
      <w:r>
        <w:rPr>
          <w:rFonts w:hint="eastAsia" w:ascii="宋体" w:hAnsi="宋体"/>
          <w:sz w:val="30"/>
          <w:szCs w:val="30"/>
        </w:rPr>
        <w:t>4、现场紧急服务</w:t>
      </w:r>
      <w:bookmarkEnd w:id="79"/>
      <w:bookmarkEnd w:id="80"/>
      <w:bookmarkEnd w:id="81"/>
      <w:bookmarkEnd w:id="82"/>
      <w:bookmarkEnd w:id="83"/>
      <w:bookmarkEnd w:id="84"/>
      <w:bookmarkEnd w:id="85"/>
      <w:bookmarkEnd w:id="86"/>
      <w:bookmarkEnd w:id="87"/>
      <w:bookmarkEnd w:id="88"/>
    </w:p>
    <w:p>
      <w:pPr>
        <w:spacing w:line="520" w:lineRule="exact"/>
        <w:ind w:firstLine="480" w:firstLineChars="200"/>
        <w:rPr>
          <w:rFonts w:ascii="宋体" w:hAnsi="宋体" w:eastAsia="宋体"/>
          <w:szCs w:val="24"/>
        </w:rPr>
      </w:pPr>
      <w:r>
        <w:rPr>
          <w:rFonts w:hint="eastAsia" w:ascii="宋体" w:hAnsi="宋体" w:eastAsia="宋体"/>
          <w:szCs w:val="24"/>
        </w:rPr>
        <w:t>本项服务主要是针对用户系统崩溃，瘫痪等严重问题，系统不能正常运转时，为用户提供现场紧急技术支持和服务，并在最短的时间内恢复系统的正常运转。原则上在维护期内，对影响应用系统正常运行的重大故障，要求</w:t>
      </w:r>
      <w:r>
        <w:rPr>
          <w:rFonts w:ascii="宋体" w:hAnsi="宋体" w:eastAsia="宋体"/>
          <w:szCs w:val="24"/>
        </w:rPr>
        <w:t>8</w:t>
      </w:r>
      <w:r>
        <w:rPr>
          <w:rFonts w:hint="eastAsia" w:ascii="宋体" w:hAnsi="宋体" w:eastAsia="宋体"/>
          <w:szCs w:val="24"/>
        </w:rPr>
        <w:t>小时内赶赴故障现场并提供维护服务。系统出现重大问题时，要求专业技术支持工程师在</w:t>
      </w:r>
      <w:r>
        <w:rPr>
          <w:rFonts w:ascii="宋体" w:hAnsi="宋体" w:eastAsia="宋体"/>
          <w:szCs w:val="24"/>
        </w:rPr>
        <w:t>4</w:t>
      </w:r>
      <w:r>
        <w:rPr>
          <w:rFonts w:hint="eastAsia" w:ascii="宋体" w:hAnsi="宋体" w:eastAsia="宋体"/>
          <w:szCs w:val="24"/>
        </w:rPr>
        <w:t>小时内到达现场解决问题。大停机时间不得超过</w:t>
      </w:r>
      <w:r>
        <w:rPr>
          <w:rFonts w:ascii="宋体" w:hAnsi="宋体" w:eastAsia="宋体"/>
          <w:szCs w:val="24"/>
        </w:rPr>
        <w:t>24</w:t>
      </w:r>
      <w:r>
        <w:rPr>
          <w:rFonts w:hint="eastAsia" w:ascii="宋体" w:hAnsi="宋体" w:eastAsia="宋体"/>
          <w:szCs w:val="24"/>
        </w:rPr>
        <w:t>小时。</w:t>
      </w:r>
      <w:bookmarkStart w:id="89" w:name="_Toc342980164"/>
      <w:bookmarkStart w:id="90" w:name="_Toc306886564"/>
      <w:bookmarkStart w:id="91" w:name="_Toc142444413"/>
    </w:p>
    <w:p>
      <w:pPr>
        <w:pStyle w:val="5"/>
        <w:spacing w:before="0" w:after="0" w:line="520" w:lineRule="exact"/>
        <w:rPr>
          <w:rFonts w:ascii="宋体" w:hAnsi="宋体"/>
          <w:sz w:val="30"/>
          <w:szCs w:val="30"/>
        </w:rPr>
      </w:pPr>
      <w:bookmarkStart w:id="92" w:name="_Toc522814545"/>
      <w:bookmarkStart w:id="93" w:name="_Toc522887556"/>
      <w:bookmarkStart w:id="94" w:name="_Toc523122131"/>
      <w:bookmarkStart w:id="95" w:name="_Toc523122369"/>
      <w:bookmarkStart w:id="96" w:name="_Toc523122713"/>
      <w:bookmarkStart w:id="97" w:name="_Toc25599"/>
      <w:bookmarkStart w:id="98" w:name="_Toc24141"/>
      <w:r>
        <w:rPr>
          <w:rFonts w:hint="eastAsia" w:ascii="宋体" w:hAnsi="宋体"/>
          <w:sz w:val="30"/>
          <w:szCs w:val="30"/>
        </w:rPr>
        <w:t>5、长期的技术支持和服务</w:t>
      </w:r>
      <w:bookmarkEnd w:id="89"/>
      <w:bookmarkEnd w:id="90"/>
      <w:bookmarkEnd w:id="91"/>
      <w:bookmarkEnd w:id="92"/>
      <w:bookmarkEnd w:id="93"/>
      <w:bookmarkEnd w:id="94"/>
      <w:bookmarkEnd w:id="95"/>
      <w:bookmarkEnd w:id="96"/>
      <w:bookmarkEnd w:id="97"/>
      <w:bookmarkEnd w:id="98"/>
    </w:p>
    <w:p>
      <w:pPr>
        <w:spacing w:line="520" w:lineRule="exact"/>
        <w:ind w:firstLine="480" w:firstLineChars="200"/>
        <w:rPr>
          <w:rFonts w:ascii="宋体" w:hAnsi="宋体" w:eastAsia="宋体"/>
          <w:szCs w:val="24"/>
        </w:rPr>
      </w:pPr>
      <w:r>
        <w:rPr>
          <w:rFonts w:hint="eastAsia" w:ascii="宋体" w:hAnsi="宋体" w:eastAsia="宋体"/>
          <w:szCs w:val="24"/>
        </w:rPr>
        <w:t>我们注重与用户长期的合作，在本项目工作中，为确保项目的长期稳定的运行，以及发展的需要，我们提供长期的技术支持和服务。</w:t>
      </w:r>
    </w:p>
    <w:p>
      <w:pPr>
        <w:pStyle w:val="4"/>
        <w:spacing w:before="0" w:after="0" w:line="500" w:lineRule="exact"/>
        <w:rPr>
          <w:rFonts w:ascii="宋体" w:hAnsi="宋体" w:eastAsia="宋体"/>
        </w:rPr>
      </w:pPr>
      <w:bookmarkStart w:id="99" w:name="_Toc522814546"/>
      <w:bookmarkStart w:id="100" w:name="_Toc522887557"/>
      <w:bookmarkStart w:id="101" w:name="_Toc523122132"/>
      <w:bookmarkStart w:id="102" w:name="_Toc523122370"/>
      <w:bookmarkStart w:id="103" w:name="_Toc523122714"/>
      <w:bookmarkStart w:id="104" w:name="_Toc27857"/>
      <w:bookmarkStart w:id="105" w:name="_Toc30730"/>
      <w:r>
        <w:rPr>
          <w:rFonts w:hint="eastAsia" w:ascii="宋体" w:hAnsi="宋体" w:eastAsia="宋体"/>
        </w:rPr>
        <w:t>（三）培训计划</w:t>
      </w:r>
      <w:bookmarkEnd w:id="99"/>
      <w:bookmarkEnd w:id="100"/>
      <w:bookmarkEnd w:id="101"/>
      <w:bookmarkEnd w:id="102"/>
      <w:bookmarkEnd w:id="103"/>
      <w:bookmarkEnd w:id="104"/>
      <w:bookmarkEnd w:id="105"/>
    </w:p>
    <w:p>
      <w:pPr>
        <w:spacing w:line="520" w:lineRule="exact"/>
        <w:ind w:firstLine="420"/>
        <w:rPr>
          <w:rFonts w:ascii="宋体" w:hAnsi="宋体" w:eastAsia="宋体" w:cs="仿宋"/>
          <w:szCs w:val="24"/>
        </w:rPr>
      </w:pPr>
      <w:r>
        <w:rPr>
          <w:rFonts w:hint="eastAsia" w:ascii="宋体" w:hAnsi="宋体" w:eastAsia="宋体" w:cs="仿宋"/>
          <w:szCs w:val="24"/>
        </w:rPr>
        <w:t>针对</w:t>
      </w:r>
      <w:r>
        <w:rPr>
          <w:rFonts w:hint="eastAsia" w:ascii="宋体" w:hAnsi="宋体" w:eastAsia="宋体"/>
          <w:szCs w:val="24"/>
        </w:rPr>
        <w:t>禹州市农村房屋不动产登记项目</w:t>
      </w:r>
      <w:r>
        <w:rPr>
          <w:rFonts w:hint="eastAsia" w:ascii="宋体" w:hAnsi="宋体" w:eastAsia="宋体" w:cs="仿宋"/>
          <w:szCs w:val="24"/>
        </w:rPr>
        <w:t>所有相关系统主管人员、操作人员、系统管理人员的培训采用理论与实践相结合的培训手段，针对不同用户对象，不同培训目标采取的教学方式也不相同。</w:t>
      </w:r>
    </w:p>
    <w:p>
      <w:pPr>
        <w:spacing w:line="520" w:lineRule="exact"/>
        <w:rPr>
          <w:rFonts w:ascii="宋体" w:hAnsi="宋体" w:eastAsia="宋体" w:cs="仿宋"/>
          <w:szCs w:val="24"/>
        </w:rPr>
      </w:pPr>
      <w:r>
        <w:rPr>
          <w:rFonts w:hint="eastAsia" w:ascii="宋体" w:hAnsi="宋体" w:eastAsia="宋体" w:cs="仿宋"/>
          <w:szCs w:val="24"/>
        </w:rPr>
        <w:t>培训可采用以下方式：</w:t>
      </w:r>
    </w:p>
    <w:p>
      <w:pPr>
        <w:widowControl/>
        <w:numPr>
          <w:ilvl w:val="0"/>
          <w:numId w:val="1"/>
        </w:numPr>
        <w:spacing w:line="520" w:lineRule="exact"/>
        <w:ind w:left="0"/>
        <w:rPr>
          <w:rFonts w:ascii="宋体" w:hAnsi="宋体" w:eastAsia="宋体" w:cs="仿宋"/>
          <w:szCs w:val="24"/>
        </w:rPr>
      </w:pPr>
      <w:r>
        <w:rPr>
          <w:rFonts w:hint="eastAsia" w:ascii="宋体" w:hAnsi="宋体" w:eastAsia="宋体" w:cs="仿宋"/>
          <w:szCs w:val="24"/>
        </w:rPr>
        <w:t>内部本地专业培训：在客户认为方便的地点进行。本地专业培训又可分为当地集中培训和现场培训，当地集中培训的培训课程应客户需求设计，具有较强的针对性和时效性；现场培训是在工程安装阶段以及日常维护时，在安装维护现场进行的培训，内容实用且针对性强；</w:t>
      </w:r>
    </w:p>
    <w:p>
      <w:pPr>
        <w:widowControl/>
        <w:numPr>
          <w:ilvl w:val="0"/>
          <w:numId w:val="1"/>
        </w:numPr>
        <w:spacing w:line="520" w:lineRule="exact"/>
        <w:ind w:left="0"/>
        <w:rPr>
          <w:rFonts w:ascii="宋体" w:hAnsi="宋体" w:eastAsia="宋体" w:cs="仿宋"/>
          <w:szCs w:val="24"/>
        </w:rPr>
      </w:pPr>
      <w:r>
        <w:rPr>
          <w:rFonts w:hint="eastAsia" w:ascii="宋体" w:hAnsi="宋体" w:eastAsia="宋体" w:cs="仿宋"/>
          <w:szCs w:val="24"/>
        </w:rPr>
        <w:t>自主式培训：可通过现今流行的网络和多媒体等多种交互式教学方式进行自我学习及考核。</w:t>
      </w:r>
    </w:p>
    <w:p>
      <w:pPr>
        <w:pStyle w:val="5"/>
        <w:spacing w:before="0" w:after="0" w:line="520" w:lineRule="exact"/>
        <w:rPr>
          <w:rFonts w:ascii="宋体" w:hAnsi="宋体" w:cs="仿宋"/>
          <w:sz w:val="30"/>
          <w:szCs w:val="30"/>
        </w:rPr>
      </w:pPr>
      <w:bookmarkStart w:id="106" w:name="_Toc24532"/>
      <w:bookmarkStart w:id="107" w:name="_Toc23225"/>
      <w:bookmarkStart w:id="108" w:name="_Toc514060827"/>
      <w:bookmarkStart w:id="109" w:name="_Toc523122371"/>
      <w:bookmarkStart w:id="110" w:name="_Toc522814547"/>
      <w:bookmarkStart w:id="111" w:name="_Toc523122715"/>
      <w:bookmarkStart w:id="112" w:name="_Toc522887558"/>
      <w:bookmarkStart w:id="113" w:name="_Toc523122133"/>
      <w:r>
        <w:rPr>
          <w:rFonts w:hint="eastAsia" w:ascii="宋体" w:hAnsi="宋体" w:cs="仿宋"/>
          <w:sz w:val="30"/>
          <w:szCs w:val="30"/>
        </w:rPr>
        <w:t>1、培训质量保证</w:t>
      </w:r>
      <w:bookmarkEnd w:id="106"/>
      <w:bookmarkEnd w:id="107"/>
      <w:bookmarkEnd w:id="108"/>
      <w:bookmarkEnd w:id="109"/>
      <w:bookmarkEnd w:id="110"/>
      <w:bookmarkEnd w:id="111"/>
      <w:bookmarkEnd w:id="112"/>
      <w:bookmarkEnd w:id="113"/>
    </w:p>
    <w:p>
      <w:pPr>
        <w:spacing w:line="520" w:lineRule="exact"/>
        <w:ind w:firstLine="504"/>
        <w:rPr>
          <w:rFonts w:ascii="宋体" w:hAnsi="宋体" w:eastAsia="宋体" w:cs="仿宋"/>
          <w:szCs w:val="24"/>
        </w:rPr>
      </w:pPr>
      <w:r>
        <w:rPr>
          <w:rFonts w:hint="eastAsia" w:ascii="宋体" w:hAnsi="宋体" w:eastAsia="宋体" w:cs="仿宋"/>
          <w:szCs w:val="24"/>
        </w:rPr>
        <w:t>为确保</w:t>
      </w:r>
      <w:r>
        <w:rPr>
          <w:rFonts w:hint="eastAsia" w:ascii="宋体" w:hAnsi="宋体" w:eastAsia="宋体"/>
          <w:szCs w:val="24"/>
        </w:rPr>
        <w:t>禹州市农村房屋不动产登记项目</w:t>
      </w:r>
      <w:r>
        <w:rPr>
          <w:rFonts w:hint="eastAsia" w:ascii="宋体" w:hAnsi="宋体" w:eastAsia="宋体" w:cs="仿宋"/>
          <w:szCs w:val="24"/>
        </w:rPr>
        <w:t>建库规范化工具系统建设项目的相关系统主管人员、操作人员、系统管理人员等能达到良好的培训效果，我们采用专业认证的培训方式。</w:t>
      </w:r>
    </w:p>
    <w:p>
      <w:pPr>
        <w:spacing w:line="520" w:lineRule="exact"/>
        <w:ind w:firstLine="504"/>
        <w:rPr>
          <w:rFonts w:ascii="宋体" w:hAnsi="宋体" w:eastAsia="宋体" w:cs="仿宋"/>
          <w:szCs w:val="24"/>
        </w:rPr>
      </w:pPr>
      <w:r>
        <w:rPr>
          <w:rFonts w:hint="eastAsia" w:ascii="宋体" w:hAnsi="宋体" w:eastAsia="宋体" w:cs="仿宋"/>
          <w:szCs w:val="24"/>
        </w:rPr>
        <w:t>所有培训均有相应的文档或演示视频留待以后能够让业务人员在以后反复查看、学习。</w:t>
      </w:r>
    </w:p>
    <w:p>
      <w:pPr>
        <w:pStyle w:val="5"/>
        <w:spacing w:before="0" w:after="0" w:line="520" w:lineRule="exact"/>
        <w:rPr>
          <w:rFonts w:ascii="宋体" w:hAnsi="宋体" w:cs="仿宋"/>
          <w:sz w:val="30"/>
          <w:szCs w:val="30"/>
        </w:rPr>
      </w:pPr>
      <w:bookmarkStart w:id="114" w:name="_Toc28632"/>
      <w:bookmarkStart w:id="115" w:name="_Toc27816"/>
      <w:bookmarkStart w:id="116" w:name="_Toc523122372"/>
      <w:bookmarkStart w:id="117" w:name="_Toc523122716"/>
      <w:bookmarkStart w:id="118" w:name="_Toc522887559"/>
      <w:bookmarkStart w:id="119" w:name="_Toc523122134"/>
      <w:bookmarkStart w:id="120" w:name="_Toc522814548"/>
      <w:bookmarkStart w:id="121" w:name="_Toc514060828"/>
      <w:r>
        <w:rPr>
          <w:rFonts w:hint="eastAsia" w:ascii="宋体" w:hAnsi="宋体" w:cs="仿宋"/>
          <w:sz w:val="30"/>
          <w:szCs w:val="30"/>
        </w:rPr>
        <w:t>2、培训内容</w:t>
      </w:r>
      <w:bookmarkEnd w:id="114"/>
      <w:bookmarkEnd w:id="115"/>
      <w:bookmarkEnd w:id="116"/>
      <w:bookmarkEnd w:id="117"/>
      <w:bookmarkEnd w:id="118"/>
      <w:bookmarkEnd w:id="119"/>
      <w:bookmarkEnd w:id="120"/>
      <w:bookmarkEnd w:id="121"/>
    </w:p>
    <w:p>
      <w:pPr>
        <w:spacing w:line="840" w:lineRule="exact"/>
        <w:ind w:firstLine="504"/>
        <w:rPr>
          <w:rFonts w:ascii="宋体" w:hAnsi="宋体" w:eastAsia="宋体" w:cs="仿宋"/>
          <w:szCs w:val="24"/>
        </w:rPr>
      </w:pPr>
      <w:r>
        <w:rPr>
          <w:rFonts w:hint="eastAsia" w:ascii="宋体" w:hAnsi="宋体" w:eastAsia="宋体" w:cs="仿宋"/>
          <w:szCs w:val="24"/>
        </w:rPr>
        <w:t>本次培训的主要内容有：</w:t>
      </w:r>
    </w:p>
    <w:p>
      <w:pPr>
        <w:spacing w:line="840" w:lineRule="exact"/>
        <w:ind w:firstLine="504"/>
        <w:rPr>
          <w:rFonts w:ascii="宋体" w:hAnsi="宋体" w:eastAsia="宋体" w:cs="仿宋"/>
          <w:szCs w:val="24"/>
        </w:rPr>
      </w:pPr>
      <w:r>
        <w:rPr>
          <w:rFonts w:hint="eastAsia" w:ascii="宋体" w:hAnsi="宋体" w:eastAsia="宋体"/>
          <w:szCs w:val="24"/>
        </w:rPr>
        <w:t>禹州市农村房屋不动产登记项目</w:t>
      </w:r>
      <w:r>
        <w:rPr>
          <w:rFonts w:hint="eastAsia" w:ascii="宋体" w:hAnsi="宋体" w:eastAsia="宋体" w:cs="仿宋"/>
          <w:szCs w:val="24"/>
        </w:rPr>
        <w:t>标准管理系统中的标准配置</w:t>
      </w:r>
    </w:p>
    <w:p>
      <w:pPr>
        <w:spacing w:line="840" w:lineRule="exact"/>
        <w:ind w:firstLine="504"/>
        <w:rPr>
          <w:rFonts w:ascii="宋体" w:hAnsi="宋体" w:eastAsia="宋体" w:cs="仿宋"/>
          <w:szCs w:val="24"/>
        </w:rPr>
      </w:pPr>
      <w:r>
        <w:rPr>
          <w:rFonts w:hint="eastAsia" w:ascii="宋体" w:hAnsi="宋体" w:eastAsia="宋体"/>
          <w:szCs w:val="24"/>
        </w:rPr>
        <w:t>禹州市农村房屋不动产登记项目</w:t>
      </w:r>
      <w:r>
        <w:rPr>
          <w:rFonts w:hint="eastAsia" w:ascii="宋体" w:hAnsi="宋体" w:eastAsia="宋体" w:cs="仿宋"/>
          <w:szCs w:val="24"/>
        </w:rPr>
        <w:t>各种功能使用</w:t>
      </w:r>
    </w:p>
    <w:p>
      <w:pPr>
        <w:pStyle w:val="5"/>
        <w:spacing w:before="0" w:after="0" w:line="840" w:lineRule="exact"/>
        <w:rPr>
          <w:rFonts w:ascii="宋体" w:hAnsi="宋体" w:cs="仿宋"/>
          <w:sz w:val="30"/>
          <w:szCs w:val="30"/>
        </w:rPr>
      </w:pPr>
      <w:bookmarkStart w:id="122" w:name="_Toc17690"/>
      <w:bookmarkStart w:id="123" w:name="_Toc27682"/>
      <w:bookmarkStart w:id="124" w:name="_Toc523122717"/>
      <w:bookmarkStart w:id="125" w:name="_Toc523122373"/>
      <w:bookmarkStart w:id="126" w:name="_Toc523122135"/>
      <w:bookmarkStart w:id="127" w:name="_Toc522887560"/>
      <w:bookmarkStart w:id="128" w:name="_Toc514060829"/>
      <w:bookmarkStart w:id="129" w:name="_Toc522814549"/>
      <w:r>
        <w:rPr>
          <w:rFonts w:hint="eastAsia" w:ascii="宋体" w:hAnsi="宋体" w:cs="仿宋"/>
          <w:sz w:val="30"/>
          <w:szCs w:val="30"/>
        </w:rPr>
        <w:t>3、培训人员</w:t>
      </w:r>
      <w:bookmarkEnd w:id="122"/>
      <w:bookmarkEnd w:id="123"/>
      <w:bookmarkEnd w:id="124"/>
      <w:bookmarkEnd w:id="125"/>
      <w:bookmarkEnd w:id="126"/>
      <w:bookmarkEnd w:id="127"/>
      <w:bookmarkEnd w:id="128"/>
      <w:bookmarkEnd w:id="129"/>
    </w:p>
    <w:p>
      <w:pPr>
        <w:spacing w:line="840" w:lineRule="exact"/>
        <w:ind w:firstLine="504"/>
        <w:rPr>
          <w:rFonts w:ascii="宋体" w:hAnsi="宋体" w:eastAsia="宋体" w:cs="仿宋"/>
          <w:szCs w:val="24"/>
        </w:rPr>
      </w:pPr>
      <w:r>
        <w:rPr>
          <w:rFonts w:hint="eastAsia" w:ascii="宋体" w:hAnsi="宋体" w:eastAsia="宋体"/>
          <w:szCs w:val="24"/>
        </w:rPr>
        <w:t>禹州市农村房屋不动产登记项目</w:t>
      </w:r>
      <w:r>
        <w:rPr>
          <w:rFonts w:hint="eastAsia" w:ascii="宋体" w:hAnsi="宋体" w:eastAsia="宋体" w:cs="仿宋"/>
          <w:szCs w:val="24"/>
        </w:rPr>
        <w:t>的相关系统主管人员、操作人员、系统管理人员等，以及相关人员。</w:t>
      </w:r>
    </w:p>
    <w:p>
      <w:pPr>
        <w:pStyle w:val="5"/>
        <w:spacing w:before="0" w:after="0" w:line="840" w:lineRule="exact"/>
        <w:rPr>
          <w:rFonts w:ascii="宋体" w:hAnsi="宋体" w:cs="仿宋"/>
          <w:sz w:val="30"/>
          <w:szCs w:val="30"/>
        </w:rPr>
      </w:pPr>
      <w:bookmarkStart w:id="130" w:name="_Toc4683"/>
      <w:bookmarkStart w:id="131" w:name="_Toc31680"/>
      <w:bookmarkStart w:id="132" w:name="_Toc523122718"/>
      <w:bookmarkStart w:id="133" w:name="_Toc523122374"/>
      <w:bookmarkStart w:id="134" w:name="_Toc523122136"/>
      <w:bookmarkStart w:id="135" w:name="_Toc522887561"/>
      <w:bookmarkStart w:id="136" w:name="_Toc514060830"/>
      <w:bookmarkStart w:id="137" w:name="_Toc522814550"/>
      <w:r>
        <w:rPr>
          <w:rFonts w:hint="eastAsia" w:ascii="宋体" w:hAnsi="宋体" w:cs="仿宋"/>
          <w:sz w:val="30"/>
          <w:szCs w:val="30"/>
        </w:rPr>
        <w:t>4、培训教材</w:t>
      </w:r>
      <w:bookmarkEnd w:id="130"/>
      <w:bookmarkEnd w:id="131"/>
      <w:bookmarkEnd w:id="132"/>
      <w:bookmarkEnd w:id="133"/>
      <w:bookmarkEnd w:id="134"/>
      <w:bookmarkEnd w:id="135"/>
      <w:bookmarkEnd w:id="136"/>
      <w:bookmarkEnd w:id="137"/>
    </w:p>
    <w:p>
      <w:pPr>
        <w:spacing w:line="840" w:lineRule="exact"/>
        <w:rPr>
          <w:rFonts w:ascii="宋体" w:hAnsi="宋体" w:eastAsia="宋体"/>
        </w:rPr>
      </w:pPr>
      <w:bookmarkStart w:id="138" w:name="_Toc243333456"/>
      <w:bookmarkStart w:id="139" w:name="_Toc243405152"/>
      <w:bookmarkStart w:id="140" w:name="_Toc514060831"/>
      <w:bookmarkStart w:id="141" w:name="_Toc243064853"/>
      <w:r>
        <w:rPr>
          <w:rFonts w:hint="eastAsia" w:ascii="宋体" w:hAnsi="宋体" w:eastAsia="宋体"/>
        </w:rPr>
        <w:t>（1）培训相关手册</w:t>
      </w:r>
      <w:bookmarkEnd w:id="138"/>
      <w:bookmarkEnd w:id="139"/>
      <w:bookmarkEnd w:id="140"/>
      <w:bookmarkEnd w:id="141"/>
    </w:p>
    <w:p>
      <w:pPr>
        <w:spacing w:line="840" w:lineRule="exact"/>
        <w:ind w:firstLine="504"/>
        <w:rPr>
          <w:rFonts w:ascii="宋体" w:hAnsi="宋体" w:eastAsia="宋体" w:cs="仿宋"/>
          <w:szCs w:val="24"/>
        </w:rPr>
      </w:pPr>
      <w:r>
        <w:rPr>
          <w:rFonts w:hint="eastAsia" w:ascii="宋体" w:hAnsi="宋体" w:eastAsia="宋体" w:cs="仿宋"/>
          <w:szCs w:val="24"/>
        </w:rPr>
        <w:t>我们提供简明易懂的培训资料和讲义，所有资料以中文形式提供。每个部门发一个针对该部门的系统操作手册，用于日常查看。</w:t>
      </w:r>
    </w:p>
    <w:p>
      <w:pPr>
        <w:spacing w:line="840" w:lineRule="exact"/>
        <w:ind w:firstLine="504"/>
        <w:rPr>
          <w:rFonts w:ascii="宋体" w:hAnsi="宋体" w:eastAsia="宋体" w:cs="仿宋"/>
          <w:szCs w:val="24"/>
        </w:rPr>
      </w:pPr>
      <w:r>
        <w:rPr>
          <w:rFonts w:hint="eastAsia" w:ascii="宋体" w:hAnsi="宋体" w:eastAsia="宋体" w:cs="仿宋"/>
          <w:szCs w:val="24"/>
        </w:rPr>
        <w:t>在培训之前，我们将向用户提交以下文件，一方面方便用户快速了解掌握视频信息综合应用系统，同时也通过文档向用户广泛的征求意见，另一方面也有利于系统进行完整、准确分析验证，促进系统功能结构体系不断完善。</w:t>
      </w:r>
    </w:p>
    <w:p>
      <w:pPr>
        <w:spacing w:line="840" w:lineRule="exact"/>
        <w:rPr>
          <w:rFonts w:ascii="宋体" w:hAnsi="宋体" w:eastAsia="宋体"/>
        </w:rPr>
      </w:pPr>
      <w:bookmarkStart w:id="142" w:name="_Toc514060832"/>
      <w:r>
        <w:rPr>
          <w:rFonts w:hint="eastAsia" w:ascii="宋体" w:hAnsi="宋体" w:eastAsia="宋体"/>
        </w:rPr>
        <w:t>（2）文档包括：</w:t>
      </w:r>
      <w:bookmarkEnd w:id="142"/>
    </w:p>
    <w:p>
      <w:pPr>
        <w:spacing w:line="840" w:lineRule="exact"/>
        <w:ind w:firstLine="504"/>
        <w:rPr>
          <w:rFonts w:ascii="宋体" w:hAnsi="宋体" w:eastAsia="宋体" w:cs="仿宋"/>
          <w:szCs w:val="24"/>
        </w:rPr>
      </w:pPr>
      <w:r>
        <w:rPr>
          <w:rFonts w:hint="eastAsia" w:ascii="宋体" w:hAnsi="宋体" w:eastAsia="宋体" w:cs="仿宋"/>
          <w:szCs w:val="24"/>
        </w:rPr>
        <w:t>《</w:t>
      </w:r>
      <w:r>
        <w:rPr>
          <w:rFonts w:hint="eastAsia" w:ascii="宋体" w:hAnsi="宋体" w:eastAsia="宋体"/>
          <w:szCs w:val="24"/>
        </w:rPr>
        <w:t>禹州市农村房屋不动产登记项目</w:t>
      </w:r>
      <w:r>
        <w:rPr>
          <w:rFonts w:hint="eastAsia" w:ascii="宋体" w:hAnsi="宋体" w:eastAsia="宋体" w:cs="仿宋"/>
          <w:szCs w:val="24"/>
        </w:rPr>
        <w:t>标准管理系统标准配置方式使用说明书》</w:t>
      </w:r>
    </w:p>
    <w:p>
      <w:pPr>
        <w:spacing w:line="840" w:lineRule="exact"/>
        <w:ind w:firstLine="504"/>
        <w:rPr>
          <w:rFonts w:ascii="宋体" w:hAnsi="宋体" w:eastAsia="宋体" w:cs="仿宋"/>
          <w:szCs w:val="24"/>
        </w:rPr>
      </w:pPr>
      <w:r>
        <w:rPr>
          <w:rFonts w:hint="eastAsia" w:ascii="宋体" w:hAnsi="宋体" w:eastAsia="宋体" w:cs="仿宋"/>
          <w:szCs w:val="24"/>
        </w:rPr>
        <w:t>《</w:t>
      </w:r>
      <w:r>
        <w:rPr>
          <w:rFonts w:hint="eastAsia" w:ascii="宋体" w:hAnsi="宋体" w:eastAsia="宋体"/>
          <w:szCs w:val="24"/>
        </w:rPr>
        <w:t>禹州市农村房屋不动产登记项目</w:t>
      </w:r>
      <w:r>
        <w:rPr>
          <w:rFonts w:hint="eastAsia" w:ascii="宋体" w:hAnsi="宋体" w:eastAsia="宋体" w:cs="仿宋"/>
          <w:szCs w:val="24"/>
        </w:rPr>
        <w:t>使用说明书》</w:t>
      </w:r>
    </w:p>
    <w:p>
      <w:pPr>
        <w:spacing w:line="840" w:lineRule="exact"/>
        <w:ind w:firstLine="504"/>
        <w:rPr>
          <w:rFonts w:ascii="宋体" w:hAnsi="宋体" w:eastAsia="宋体" w:cs="仿宋"/>
          <w:szCs w:val="24"/>
        </w:rPr>
      </w:pPr>
      <w:r>
        <w:rPr>
          <w:rFonts w:hint="eastAsia" w:ascii="宋体" w:hAnsi="宋体" w:eastAsia="宋体" w:cs="仿宋"/>
          <w:szCs w:val="24"/>
        </w:rPr>
        <w:t>《</w:t>
      </w:r>
      <w:r>
        <w:rPr>
          <w:rFonts w:hint="eastAsia" w:ascii="宋体" w:hAnsi="宋体" w:eastAsia="宋体"/>
          <w:szCs w:val="24"/>
        </w:rPr>
        <w:t>禹州市农村房屋不动产登记项目</w:t>
      </w:r>
      <w:r>
        <w:rPr>
          <w:rFonts w:hint="eastAsia" w:ascii="宋体" w:hAnsi="宋体" w:eastAsia="宋体" w:cs="仿宋"/>
          <w:szCs w:val="24"/>
        </w:rPr>
        <w:t>使用说明书》</w:t>
      </w:r>
    </w:p>
    <w:p>
      <w:pPr>
        <w:spacing w:line="840" w:lineRule="exact"/>
        <w:ind w:firstLine="504"/>
        <w:rPr>
          <w:rFonts w:ascii="宋体" w:hAnsi="宋体" w:eastAsia="宋体" w:cs="仿宋"/>
          <w:szCs w:val="24"/>
        </w:rPr>
      </w:pPr>
      <w:r>
        <w:rPr>
          <w:rFonts w:hint="eastAsia" w:ascii="宋体" w:hAnsi="宋体" w:eastAsia="宋体" w:cs="仿宋"/>
          <w:szCs w:val="24"/>
        </w:rPr>
        <w:t>《数据入库工具使用说明书》</w:t>
      </w:r>
    </w:p>
    <w:p>
      <w:pPr>
        <w:spacing w:line="840" w:lineRule="exact"/>
        <w:ind w:firstLine="504"/>
        <w:rPr>
          <w:rFonts w:ascii="宋体" w:hAnsi="宋体" w:eastAsia="宋体" w:cs="仿宋"/>
          <w:szCs w:val="24"/>
        </w:rPr>
      </w:pPr>
      <w:r>
        <w:rPr>
          <w:rFonts w:hint="eastAsia" w:ascii="宋体" w:hAnsi="宋体" w:eastAsia="宋体" w:cs="仿宋"/>
          <w:szCs w:val="24"/>
        </w:rPr>
        <w:t>《</w:t>
      </w:r>
      <w:r>
        <w:rPr>
          <w:rFonts w:hint="eastAsia" w:ascii="宋体" w:hAnsi="宋体" w:eastAsia="宋体"/>
          <w:szCs w:val="24"/>
        </w:rPr>
        <w:t>禹州市农村房屋不动产登记项目项目清单</w:t>
      </w:r>
      <w:r>
        <w:rPr>
          <w:rFonts w:hint="eastAsia" w:ascii="宋体" w:hAnsi="宋体" w:eastAsia="宋体" w:cs="仿宋"/>
          <w:szCs w:val="24"/>
        </w:rPr>
        <w:t>说明》</w:t>
      </w:r>
    </w:p>
    <w:p>
      <w:pPr>
        <w:spacing w:line="840" w:lineRule="exact"/>
        <w:ind w:firstLine="504"/>
        <w:rPr>
          <w:rFonts w:ascii="宋体" w:hAnsi="宋体" w:eastAsia="宋体" w:cs="仿宋"/>
          <w:szCs w:val="24"/>
        </w:rPr>
      </w:pPr>
      <w:r>
        <w:rPr>
          <w:rFonts w:hint="eastAsia" w:ascii="宋体" w:hAnsi="宋体" w:eastAsia="宋体" w:cs="仿宋"/>
          <w:szCs w:val="24"/>
        </w:rPr>
        <w:t>《</w:t>
      </w:r>
      <w:r>
        <w:rPr>
          <w:rFonts w:hint="eastAsia" w:ascii="宋体" w:hAnsi="宋体" w:eastAsia="宋体"/>
          <w:szCs w:val="24"/>
        </w:rPr>
        <w:t>禹州市农村房屋不动产登记项目</w:t>
      </w:r>
      <w:r>
        <w:rPr>
          <w:rFonts w:hint="eastAsia" w:ascii="宋体" w:hAnsi="宋体" w:eastAsia="宋体" w:cs="仿宋"/>
          <w:szCs w:val="24"/>
        </w:rPr>
        <w:t>数据标准说明》、</w:t>
      </w:r>
    </w:p>
    <w:p>
      <w:pPr>
        <w:spacing w:line="840" w:lineRule="exact"/>
        <w:ind w:firstLine="504"/>
        <w:rPr>
          <w:rFonts w:ascii="宋体" w:hAnsi="宋体" w:eastAsia="宋体" w:cs="仿宋"/>
          <w:szCs w:val="24"/>
        </w:rPr>
      </w:pPr>
      <w:r>
        <w:rPr>
          <w:rFonts w:hint="eastAsia" w:ascii="宋体" w:hAnsi="宋体" w:eastAsia="宋体" w:cs="仿宋"/>
          <w:szCs w:val="24"/>
        </w:rPr>
        <w:t>《用户意见反馈表》由用户填写，反馈给我院，是系统不断完善，我院不断进步的宝贵财富。</w:t>
      </w:r>
    </w:p>
    <w:p>
      <w:pPr>
        <w:spacing w:line="840" w:lineRule="exact"/>
        <w:ind w:firstLine="504"/>
        <w:rPr>
          <w:rFonts w:ascii="宋体" w:hAnsi="宋体" w:eastAsia="宋体" w:cs="仿宋"/>
          <w:szCs w:val="24"/>
        </w:rPr>
      </w:pPr>
      <w:r>
        <w:rPr>
          <w:rFonts w:hint="eastAsia" w:ascii="宋体" w:hAnsi="宋体" w:eastAsia="宋体" w:cs="仿宋"/>
          <w:szCs w:val="24"/>
        </w:rPr>
        <w:t>另外，应用系统改动或应用系统更新升级时，我们将及时提供相关内容文献。</w:t>
      </w:r>
    </w:p>
    <w:p>
      <w:pPr>
        <w:spacing w:line="840" w:lineRule="exact"/>
        <w:rPr>
          <w:rFonts w:ascii="宋体" w:hAnsi="宋体" w:eastAsia="宋体"/>
        </w:rPr>
      </w:pPr>
      <w:bookmarkStart w:id="143" w:name="_Toc514060833"/>
      <w:bookmarkStart w:id="144" w:name="_Toc129197746"/>
      <w:bookmarkStart w:id="145" w:name="_Toc243064854"/>
      <w:bookmarkStart w:id="146" w:name="_Toc243333457"/>
      <w:r>
        <w:rPr>
          <w:rFonts w:hint="eastAsia" w:ascii="宋体" w:hAnsi="宋体" w:eastAsia="宋体"/>
        </w:rPr>
        <w:t>（3）培训意见反馈</w:t>
      </w:r>
      <w:bookmarkEnd w:id="143"/>
      <w:bookmarkEnd w:id="144"/>
      <w:bookmarkEnd w:id="145"/>
      <w:bookmarkEnd w:id="146"/>
    </w:p>
    <w:p>
      <w:pPr>
        <w:spacing w:line="840" w:lineRule="exact"/>
        <w:ind w:firstLine="504"/>
        <w:rPr>
          <w:rFonts w:ascii="宋体" w:hAnsi="宋体" w:eastAsia="宋体" w:cs="仿宋"/>
          <w:szCs w:val="24"/>
        </w:rPr>
      </w:pPr>
      <w:r>
        <w:rPr>
          <w:rFonts w:hint="eastAsia" w:ascii="宋体" w:hAnsi="宋体" w:eastAsia="宋体" w:cs="仿宋"/>
          <w:szCs w:val="24"/>
        </w:rPr>
        <w:t>从项目培训开始到完成期间，我们将通过电话回访、传真、电子邮件、用户反馈表等多渠道的方式吸取用户的反馈意见。根据意见做出相应的回应，做到在系统的稳定性、使用的可靠性、操作的便利性和信息的安全性等方面精益求精。同时对于一些功能上影响较大，或是培训期间不完善的部分，我们将再组织资深工程师，根据反馈情况，再次进行多方位或一对一培训。</w:t>
      </w:r>
    </w:p>
    <w:p>
      <w:pPr>
        <w:spacing w:line="840" w:lineRule="exact"/>
        <w:rPr>
          <w:rFonts w:ascii="宋体" w:hAnsi="宋体" w:eastAsia="宋体"/>
        </w:rPr>
      </w:pPr>
      <w:bookmarkStart w:id="147" w:name="_Toc243333458"/>
      <w:bookmarkStart w:id="148" w:name="_Toc514060834"/>
      <w:bookmarkStart w:id="149" w:name="_Toc129197747"/>
      <w:bookmarkStart w:id="150" w:name="_Toc243064855"/>
      <w:r>
        <w:rPr>
          <w:rFonts w:hint="eastAsia" w:ascii="宋体" w:hAnsi="宋体" w:eastAsia="宋体"/>
        </w:rPr>
        <w:t>（4）培训效果跟踪</w:t>
      </w:r>
      <w:bookmarkEnd w:id="147"/>
      <w:bookmarkEnd w:id="148"/>
      <w:bookmarkEnd w:id="149"/>
      <w:bookmarkEnd w:id="150"/>
    </w:p>
    <w:p>
      <w:pPr>
        <w:spacing w:line="840" w:lineRule="exact"/>
        <w:ind w:firstLine="504"/>
        <w:rPr>
          <w:rFonts w:ascii="宋体" w:hAnsi="宋体" w:eastAsia="宋体" w:cs="仿宋"/>
          <w:szCs w:val="24"/>
        </w:rPr>
      </w:pPr>
      <w:r>
        <w:rPr>
          <w:rFonts w:hint="eastAsia" w:ascii="宋体" w:hAnsi="宋体" w:eastAsia="宋体" w:cs="仿宋"/>
          <w:szCs w:val="24"/>
        </w:rPr>
        <w:t>培训完成以后，我们将不定期地对系统的运行情况进行检查，以确定培训效果，并从反馈意见中不断总结经验，对于个别用户使用问题，将派有专门工程师专门解答。同时我们将从完善用户使用手册、方便快捷的联机帮助等几个方面来弥补培训中的不足。</w:t>
      </w:r>
    </w:p>
    <w:p>
      <w:pPr>
        <w:spacing w:line="840" w:lineRule="exact"/>
        <w:ind w:firstLine="504"/>
        <w:rPr>
          <w:rFonts w:ascii="宋体" w:hAnsi="宋体" w:eastAsia="宋体" w:cs="仿宋"/>
          <w:szCs w:val="24"/>
        </w:rPr>
      </w:pPr>
      <w:r>
        <w:rPr>
          <w:rFonts w:hint="eastAsia" w:ascii="宋体" w:hAnsi="宋体" w:eastAsia="宋体" w:cs="仿宋"/>
          <w:szCs w:val="24"/>
        </w:rPr>
        <w:t>培训是系统顺利实施重要保证，培训日程与系统开发和实施过程相适应，培训工作安排在系统应用现场进行。在培训实施过程中，需要结合各个岗位的实际应用，进行集中培训、个别辅导、答疑与考核和技术支持，以便使用户能够迅速掌握相应的培训内容。</w:t>
      </w:r>
    </w:p>
    <w:p>
      <w:pPr>
        <w:pStyle w:val="2"/>
        <w:rPr>
          <w:rFonts w:eastAsia="宋体"/>
        </w:rPr>
      </w:pPr>
    </w:p>
    <w:p>
      <w:pPr>
        <w:pStyle w:val="2"/>
        <w:rPr>
          <w:rFonts w:eastAsia="宋体"/>
        </w:rPr>
      </w:pPr>
    </w:p>
    <w:p>
      <w:pPr>
        <w:pStyle w:val="2"/>
        <w:rPr>
          <w:rFonts w:eastAsia="宋体"/>
        </w:rPr>
      </w:pPr>
    </w:p>
    <w:p>
      <w:pPr>
        <w:pStyle w:val="2"/>
        <w:rPr>
          <w:rFonts w:eastAsia="宋体"/>
        </w:rPr>
      </w:pPr>
    </w:p>
    <w:p>
      <w:pPr>
        <w:pStyle w:val="2"/>
        <w:rPr>
          <w:rFonts w:eastAsia="宋体"/>
        </w:rPr>
      </w:pPr>
    </w:p>
    <w:p>
      <w:pPr>
        <w:pStyle w:val="2"/>
        <w:rPr>
          <w:rFonts w:eastAsia="宋体"/>
        </w:rPr>
      </w:pPr>
    </w:p>
    <w:p>
      <w:pPr>
        <w:pStyle w:val="2"/>
        <w:rPr>
          <w:rFonts w:eastAsia="宋体" w:cs="宋体"/>
          <w:sz w:val="24"/>
          <w:szCs w:val="24"/>
          <w:lang w:val="zh-CN"/>
        </w:rPr>
      </w:pPr>
      <w:bookmarkStart w:id="151" w:name="_GoBack"/>
      <w:bookmarkEnd w:id="151"/>
    </w:p>
    <w:p>
      <w:pPr>
        <w:pStyle w:val="2"/>
        <w:rPr>
          <w:rFonts w:eastAsia="宋体" w:cs="宋体"/>
          <w:sz w:val="24"/>
          <w:szCs w:val="24"/>
          <w:lang w:val="zh-CN"/>
        </w:rPr>
      </w:pPr>
    </w:p>
    <w:p>
      <w:pPr>
        <w:pStyle w:val="2"/>
        <w:rPr>
          <w:rFonts w:eastAsia="宋体" w:cs="宋体"/>
          <w:sz w:val="24"/>
          <w:szCs w:val="24"/>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02B3"/>
    <w:multiLevelType w:val="multilevel"/>
    <w:tmpl w:val="15F502B3"/>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790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 w:cs="Times New Roman"/>
      <w:kern w:val="2"/>
      <w:sz w:val="24"/>
      <w:szCs w:val="32"/>
      <w:lang w:val="en-US" w:eastAsia="zh-CN" w:bidi="ar-SA"/>
    </w:rPr>
  </w:style>
  <w:style w:type="paragraph" w:styleId="3">
    <w:name w:val="heading 1"/>
    <w:basedOn w:val="1"/>
    <w:next w:val="1"/>
    <w:link w:val="8"/>
    <w:qFormat/>
    <w:uiPriority w:val="0"/>
    <w:pPr>
      <w:keepNext/>
      <w:keepLines/>
      <w:spacing w:before="340" w:after="330" w:line="576" w:lineRule="auto"/>
      <w:outlineLvl w:val="0"/>
    </w:pPr>
    <w:rPr>
      <w:rFonts w:hAnsi="仿宋_GB2312" w:eastAsia="黑体"/>
      <w:b/>
      <w:kern w:val="44"/>
      <w:sz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4"/>
    <w:basedOn w:val="1"/>
    <w:next w:val="1"/>
    <w:qFormat/>
    <w:uiPriority w:val="0"/>
    <w:pPr>
      <w:keepNext/>
      <w:keepLines/>
      <w:spacing w:before="280" w:after="290" w:line="372" w:lineRule="auto"/>
      <w:outlineLvl w:val="3"/>
    </w:pPr>
    <w:rPr>
      <w:rFonts w:ascii="Arial" w:hAnsi="Arial" w:eastAsia="宋体"/>
      <w:b/>
      <w:sz w:val="28"/>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jc w:val="center"/>
    </w:pPr>
    <w:rPr>
      <w:rFonts w:ascii="宋体" w:hAnsi="宋体"/>
      <w:sz w:val="18"/>
    </w:rPr>
  </w:style>
  <w:style w:type="character" w:customStyle="1" w:styleId="8">
    <w:name w:val="标题 1 Char Char"/>
    <w:link w:val="3"/>
    <w:qFormat/>
    <w:uiPriority w:val="0"/>
    <w:rPr>
      <w:rFonts w:hAnsi="仿宋_GB2312" w:eastAsia="黑体"/>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2018-09-05T03:54:07Z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2052-11.1.0.7811</vt:lpwstr>
  </property>
</Properties>
</file>