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sz w:val="22"/>
          <w:szCs w:val="21"/>
        </w:rPr>
      </w:pPr>
    </w:p>
    <w:p>
      <w:pPr>
        <w:jc w:val="center"/>
        <w:rPr>
          <w:rFonts w:ascii="隶书" w:hAnsi="隶书" w:eastAsia="隶书"/>
          <w:b/>
          <w:color w:val="auto"/>
          <w:sz w:val="48"/>
          <w:szCs w:val="48"/>
        </w:rPr>
      </w:pPr>
      <w:r>
        <w:rPr>
          <w:rFonts w:hint="eastAsia" w:ascii="隶书" w:hAnsi="隶书" w:eastAsia="隶书"/>
          <w:b/>
          <w:color w:val="auto"/>
          <w:sz w:val="48"/>
          <w:szCs w:val="48"/>
        </w:rPr>
        <w:t>许昌融智传媒有限公司</w:t>
      </w:r>
    </w:p>
    <w:p>
      <w:pPr>
        <w:jc w:val="center"/>
        <w:rPr>
          <w:rFonts w:ascii="隶书" w:hAnsi="隶书" w:eastAsia="隶书"/>
          <w:b/>
          <w:color w:val="auto"/>
          <w:sz w:val="48"/>
          <w:szCs w:val="48"/>
        </w:rPr>
      </w:pPr>
      <w:r>
        <w:rPr>
          <w:rFonts w:hint="eastAsia" w:ascii="隶书" w:hAnsi="隶书" w:eastAsia="隶书"/>
          <w:b/>
          <w:color w:val="auto"/>
          <w:sz w:val="48"/>
          <w:szCs w:val="48"/>
        </w:rPr>
        <w:t>“全媒体中央厨房”物理空间</w:t>
      </w:r>
    </w:p>
    <w:p>
      <w:pPr>
        <w:jc w:val="center"/>
        <w:rPr>
          <w:rFonts w:ascii="隶书" w:hAnsi="隶书" w:eastAsia="隶书"/>
          <w:b/>
          <w:color w:val="auto"/>
          <w:sz w:val="48"/>
          <w:szCs w:val="48"/>
        </w:rPr>
      </w:pPr>
      <w:r>
        <w:rPr>
          <w:rFonts w:hint="eastAsia" w:ascii="隶书" w:hAnsi="隶书" w:eastAsia="隶书"/>
          <w:b/>
          <w:color w:val="auto"/>
          <w:sz w:val="48"/>
          <w:szCs w:val="48"/>
        </w:rPr>
        <w:t>建设项目</w:t>
      </w:r>
    </w:p>
    <w:p>
      <w:pPr>
        <w:jc w:val="center"/>
        <w:rPr>
          <w:rFonts w:ascii="黑体" w:hAnsi="黑体" w:eastAsia="黑体"/>
          <w:b/>
          <w:color w:val="auto"/>
          <w:sz w:val="40"/>
          <w:szCs w:val="40"/>
        </w:rPr>
      </w:pPr>
    </w:p>
    <w:p>
      <w:pPr>
        <w:jc w:val="center"/>
        <w:rPr>
          <w:rFonts w:ascii="黑体" w:hAnsi="黑体" w:eastAsia="黑体"/>
          <w:b/>
          <w:color w:val="auto"/>
          <w:sz w:val="56"/>
          <w:szCs w:val="56"/>
        </w:rPr>
      </w:pPr>
    </w:p>
    <w:p>
      <w:pPr>
        <w:jc w:val="center"/>
        <w:rPr>
          <w:rFonts w:ascii="隶书" w:hAnsi="隶书" w:eastAsia="隶书"/>
          <w:b/>
          <w:color w:val="auto"/>
          <w:sz w:val="56"/>
          <w:szCs w:val="56"/>
        </w:rPr>
      </w:pPr>
      <w:r>
        <w:rPr>
          <w:rFonts w:hint="eastAsia" w:ascii="隶书" w:hAnsi="隶书" w:eastAsia="隶书"/>
          <w:b/>
          <w:color w:val="auto"/>
          <w:sz w:val="56"/>
          <w:szCs w:val="56"/>
        </w:rPr>
        <w:t>竞争性磋商文件</w:t>
      </w:r>
    </w:p>
    <w:p>
      <w:pPr>
        <w:jc w:val="center"/>
        <w:outlineLvl w:val="0"/>
        <w:rPr>
          <w:rFonts w:ascii="隶书" w:hAnsi="隶书" w:eastAsia="隶书" w:cs="仿宋"/>
          <w:b/>
          <w:color w:val="auto"/>
          <w:sz w:val="40"/>
          <w:szCs w:val="40"/>
        </w:rPr>
      </w:pPr>
    </w:p>
    <w:p>
      <w:pPr>
        <w:jc w:val="center"/>
        <w:rPr>
          <w:b/>
          <w:color w:val="auto"/>
          <w:sz w:val="28"/>
          <w:szCs w:val="28"/>
        </w:rPr>
      </w:pPr>
    </w:p>
    <w:p>
      <w:pPr>
        <w:jc w:val="center"/>
        <w:rPr>
          <w:b/>
          <w:color w:val="auto"/>
          <w:sz w:val="28"/>
          <w:szCs w:val="28"/>
        </w:rPr>
      </w:pPr>
      <w:r>
        <w:rPr>
          <w:color w:val="auto"/>
          <w:sz w:val="22"/>
          <w:szCs w:val="21"/>
        </w:rPr>
        <w:drawing>
          <wp:inline distT="0" distB="0" distL="114300" distR="114300">
            <wp:extent cx="1152525" cy="1123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152525" cy="1123950"/>
                    </a:xfrm>
                    <a:prstGeom prst="rect">
                      <a:avLst/>
                    </a:prstGeom>
                    <a:noFill/>
                    <a:ln w="9525">
                      <a:noFill/>
                    </a:ln>
                  </pic:spPr>
                </pic:pic>
              </a:graphicData>
            </a:graphic>
          </wp:inline>
        </w:drawing>
      </w:r>
    </w:p>
    <w:p>
      <w:pPr>
        <w:spacing w:line="360" w:lineRule="auto"/>
        <w:ind w:firstLine="940"/>
        <w:rPr>
          <w:rFonts w:ascii="隶书" w:hAnsi="隶书" w:eastAsia="隶书"/>
          <w:color w:val="auto"/>
          <w:sz w:val="32"/>
          <w:szCs w:val="32"/>
        </w:rPr>
      </w:pPr>
    </w:p>
    <w:p>
      <w:pPr>
        <w:spacing w:line="360" w:lineRule="auto"/>
        <w:ind w:firstLine="940"/>
        <w:rPr>
          <w:rFonts w:ascii="隶书" w:hAnsi="隶书" w:eastAsia="隶书"/>
          <w:color w:val="auto"/>
          <w:sz w:val="32"/>
          <w:szCs w:val="32"/>
        </w:rPr>
      </w:pPr>
    </w:p>
    <w:p>
      <w:pPr>
        <w:spacing w:line="360" w:lineRule="auto"/>
        <w:ind w:firstLine="940"/>
        <w:rPr>
          <w:rFonts w:ascii="隶书" w:hAnsi="隶书" w:eastAsia="隶书"/>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941"/>
        <w:textAlignment w:val="auto"/>
        <w:outlineLvl w:val="9"/>
        <w:rPr>
          <w:rFonts w:ascii="隶书" w:hAnsi="隶书" w:eastAsia="隶书"/>
          <w:color w:val="auto"/>
          <w:sz w:val="32"/>
          <w:szCs w:val="32"/>
        </w:rPr>
      </w:pPr>
      <w:r>
        <w:rPr>
          <w:rFonts w:hint="eastAsia" w:ascii="隶书" w:hAnsi="隶书" w:eastAsia="隶书"/>
          <w:color w:val="auto"/>
          <w:sz w:val="32"/>
          <w:szCs w:val="32"/>
        </w:rPr>
        <w:t>项目名称：“全媒体中央厨房”物理空间建设</w:t>
      </w:r>
    </w:p>
    <w:p>
      <w:pPr>
        <w:keepNext w:val="0"/>
        <w:keepLines w:val="0"/>
        <w:pageBreakBefore w:val="0"/>
        <w:widowControl w:val="0"/>
        <w:kinsoku/>
        <w:wordWrap/>
        <w:overflowPunct/>
        <w:topLinePunct w:val="0"/>
        <w:autoSpaceDE/>
        <w:autoSpaceDN/>
        <w:bidi w:val="0"/>
        <w:adjustRightInd/>
        <w:snapToGrid/>
        <w:spacing w:line="240" w:lineRule="auto"/>
        <w:ind w:firstLine="941"/>
        <w:textAlignment w:val="auto"/>
        <w:outlineLvl w:val="9"/>
        <w:rPr>
          <w:rFonts w:ascii="隶书" w:hAnsi="隶书" w:eastAsia="隶书"/>
          <w:color w:val="auto"/>
          <w:sz w:val="32"/>
          <w:szCs w:val="32"/>
        </w:rPr>
      </w:pPr>
      <w:r>
        <w:rPr>
          <w:rFonts w:hint="eastAsia" w:ascii="隶书" w:hAnsi="隶书" w:eastAsia="隶书"/>
          <w:color w:val="auto"/>
          <w:sz w:val="32"/>
          <w:szCs w:val="32"/>
        </w:rPr>
        <w:t>项目编号：JZFCG</w:t>
      </w:r>
      <w:r>
        <w:rPr>
          <w:rFonts w:ascii="隶书" w:hAnsi="隶书" w:eastAsia="隶书"/>
          <w:color w:val="auto"/>
          <w:sz w:val="32"/>
          <w:szCs w:val="32"/>
        </w:rPr>
        <w:t>-</w:t>
      </w:r>
      <w:r>
        <w:rPr>
          <w:rFonts w:hint="eastAsia" w:ascii="隶书" w:hAnsi="隶书" w:eastAsia="隶书"/>
          <w:color w:val="auto"/>
          <w:sz w:val="32"/>
          <w:szCs w:val="32"/>
        </w:rPr>
        <w:t>C</w:t>
      </w:r>
      <w:r>
        <w:rPr>
          <w:rFonts w:ascii="隶书" w:hAnsi="隶书" w:eastAsia="隶书"/>
          <w:color w:val="auto"/>
          <w:sz w:val="32"/>
          <w:szCs w:val="32"/>
        </w:rPr>
        <w:t>2018</w:t>
      </w:r>
      <w:r>
        <w:rPr>
          <w:rFonts w:hint="eastAsia" w:ascii="隶书" w:hAnsi="隶书" w:eastAsia="隶书"/>
          <w:color w:val="auto"/>
          <w:sz w:val="32"/>
          <w:szCs w:val="32"/>
        </w:rPr>
        <w:t>002号</w:t>
      </w:r>
    </w:p>
    <w:p>
      <w:pPr>
        <w:keepNext w:val="0"/>
        <w:keepLines w:val="0"/>
        <w:pageBreakBefore w:val="0"/>
        <w:widowControl w:val="0"/>
        <w:kinsoku/>
        <w:wordWrap/>
        <w:overflowPunct/>
        <w:topLinePunct w:val="0"/>
        <w:autoSpaceDE/>
        <w:autoSpaceDN/>
        <w:bidi w:val="0"/>
        <w:adjustRightInd/>
        <w:snapToGrid/>
        <w:spacing w:line="240" w:lineRule="auto"/>
        <w:ind w:firstLine="941"/>
        <w:textAlignment w:val="auto"/>
        <w:outlineLvl w:val="9"/>
        <w:rPr>
          <w:rFonts w:ascii="隶书" w:hAnsi="隶书" w:eastAsia="隶书"/>
          <w:b/>
          <w:color w:val="auto"/>
          <w:sz w:val="48"/>
          <w:szCs w:val="48"/>
        </w:rPr>
      </w:pPr>
      <w:r>
        <w:rPr>
          <w:rFonts w:hint="eastAsia" w:ascii="隶书" w:hAnsi="隶书" w:eastAsia="隶书"/>
          <w:color w:val="auto"/>
          <w:sz w:val="32"/>
          <w:szCs w:val="32"/>
        </w:rPr>
        <w:t>采 购 人：许昌融智传媒有限公司</w:t>
      </w:r>
    </w:p>
    <w:p>
      <w:pPr>
        <w:keepNext w:val="0"/>
        <w:keepLines w:val="0"/>
        <w:pageBreakBefore w:val="0"/>
        <w:widowControl w:val="0"/>
        <w:kinsoku/>
        <w:wordWrap/>
        <w:overflowPunct/>
        <w:topLinePunct w:val="0"/>
        <w:autoSpaceDE/>
        <w:autoSpaceDN/>
        <w:bidi w:val="0"/>
        <w:adjustRightInd/>
        <w:snapToGrid/>
        <w:spacing w:line="240" w:lineRule="auto"/>
        <w:ind w:firstLine="941"/>
        <w:textAlignment w:val="auto"/>
        <w:outlineLvl w:val="9"/>
        <w:rPr>
          <w:rFonts w:hint="eastAsia" w:ascii="隶书" w:hAnsi="隶书" w:eastAsia="隶书"/>
          <w:color w:val="auto"/>
          <w:sz w:val="32"/>
          <w:szCs w:val="32"/>
        </w:rPr>
      </w:pPr>
      <w:r>
        <w:rPr>
          <w:rFonts w:hint="eastAsia" w:ascii="隶书" w:hAnsi="隶书" w:eastAsia="隶书"/>
          <w:color w:val="auto"/>
          <w:sz w:val="32"/>
          <w:szCs w:val="32"/>
        </w:rPr>
        <w:t>代理机构：许昌光大电子商务技术服务有限公司</w:t>
      </w:r>
    </w:p>
    <w:p>
      <w:pPr>
        <w:keepNext w:val="0"/>
        <w:keepLines w:val="0"/>
        <w:pageBreakBefore w:val="0"/>
        <w:widowControl w:val="0"/>
        <w:kinsoku/>
        <w:wordWrap/>
        <w:overflowPunct/>
        <w:topLinePunct w:val="0"/>
        <w:autoSpaceDE/>
        <w:autoSpaceDN/>
        <w:bidi w:val="0"/>
        <w:adjustRightInd/>
        <w:snapToGrid/>
        <w:spacing w:line="240" w:lineRule="auto"/>
        <w:ind w:firstLine="941"/>
        <w:textAlignment w:val="auto"/>
        <w:outlineLvl w:val="9"/>
        <w:rPr>
          <w:rFonts w:ascii="黑体" w:hAnsi="黑体" w:eastAsia="黑体"/>
          <w:color w:val="auto"/>
          <w:sz w:val="28"/>
          <w:szCs w:val="28"/>
        </w:rPr>
      </w:pPr>
      <w:r>
        <w:rPr>
          <w:rFonts w:hint="eastAsia" w:ascii="隶书" w:hAnsi="隶书" w:eastAsia="隶书"/>
          <w:color w:val="auto"/>
          <w:sz w:val="32"/>
          <w:szCs w:val="32"/>
        </w:rPr>
        <w:t>时    间：二〇一八年九月</w:t>
      </w:r>
    </w:p>
    <w:p>
      <w:pPr>
        <w:pStyle w:val="53"/>
        <w:jc w:val="center"/>
        <w:rPr>
          <w:rFonts w:ascii="黑体" w:hAnsi="黑体" w:eastAsia="黑体"/>
          <w:color w:val="auto"/>
          <w:sz w:val="32"/>
          <w:szCs w:val="32"/>
        </w:rPr>
      </w:pPr>
    </w:p>
    <w:p>
      <w:pPr>
        <w:jc w:val="center"/>
        <w:rPr>
          <w:b/>
          <w:bCs/>
          <w:color w:val="auto"/>
          <w:sz w:val="48"/>
          <w:szCs w:val="48"/>
        </w:rPr>
      </w:pPr>
      <w:r>
        <w:rPr>
          <w:rFonts w:hint="eastAsia"/>
          <w:b/>
          <w:bCs/>
          <w:color w:val="auto"/>
          <w:sz w:val="48"/>
          <w:szCs w:val="48"/>
        </w:rPr>
        <w:t>目  录</w:t>
      </w:r>
    </w:p>
    <w:p>
      <w:pPr>
        <w:rPr>
          <w:color w:val="auto"/>
          <w:sz w:val="48"/>
          <w:szCs w:val="48"/>
        </w:rPr>
      </w:pPr>
    </w:p>
    <w:p>
      <w:pPr>
        <w:pStyle w:val="53"/>
        <w:tabs>
          <w:tab w:val="right" w:pos="8296"/>
        </w:tabs>
        <w:spacing w:line="360" w:lineRule="exact"/>
        <w:jc w:val="both"/>
        <w:rPr>
          <w:rFonts w:ascii="黑体" w:hAnsi="黑体" w:eastAsia="黑体" w:cs="宋体"/>
          <w:color w:val="auto"/>
          <w:sz w:val="36"/>
          <w:szCs w:val="36"/>
        </w:rPr>
      </w:pPr>
      <w:r>
        <w:rPr>
          <w:rFonts w:ascii="黑体" w:hAnsi="黑体" w:eastAsia="黑体" w:cs="宋体"/>
          <w:color w:val="auto"/>
          <w:sz w:val="36"/>
          <w:szCs w:val="36"/>
        </w:rPr>
        <w:fldChar w:fldCharType="begin"/>
      </w:r>
      <w:r>
        <w:rPr>
          <w:rFonts w:ascii="黑体" w:hAnsi="黑体" w:eastAsia="黑体" w:cs="宋体"/>
          <w:color w:val="auto"/>
          <w:sz w:val="36"/>
          <w:szCs w:val="36"/>
        </w:rPr>
        <w:instrText xml:space="preserve"> TOC \o </w:instrText>
      </w:r>
      <w:r>
        <w:rPr>
          <w:rFonts w:ascii="黑体" w:hAnsi="黑体" w:eastAsia="黑体" w:cs="宋体"/>
          <w:color w:val="auto"/>
          <w:sz w:val="36"/>
          <w:szCs w:val="36"/>
        </w:rPr>
        <w:fldChar w:fldCharType="separate"/>
      </w:r>
      <w:r>
        <w:rPr>
          <w:rFonts w:hint="eastAsia" w:ascii="黑体" w:hAnsi="黑体" w:eastAsia="黑体" w:cs="宋体"/>
          <w:color w:val="auto"/>
          <w:sz w:val="36"/>
          <w:szCs w:val="36"/>
        </w:rPr>
        <w:t>第一章  采购邀请</w:t>
      </w:r>
      <w:r>
        <w:rPr>
          <w:rFonts w:ascii="黑体" w:hAnsi="黑体" w:eastAsia="黑体" w:cs="宋体"/>
          <w:color w:val="auto"/>
          <w:sz w:val="36"/>
          <w:szCs w:val="36"/>
        </w:rPr>
        <w:t>...........................3</w:t>
      </w:r>
    </w:p>
    <w:p>
      <w:pPr>
        <w:pStyle w:val="53"/>
        <w:tabs>
          <w:tab w:val="right" w:pos="8296"/>
        </w:tabs>
        <w:spacing w:line="360" w:lineRule="exact"/>
        <w:jc w:val="both"/>
        <w:rPr>
          <w:rFonts w:ascii="黑体" w:hAnsi="黑体" w:eastAsia="黑体" w:cs="宋体"/>
          <w:color w:val="auto"/>
          <w:sz w:val="36"/>
          <w:szCs w:val="36"/>
        </w:rPr>
      </w:pPr>
    </w:p>
    <w:p>
      <w:pPr>
        <w:pStyle w:val="53"/>
        <w:tabs>
          <w:tab w:val="right" w:pos="8296"/>
        </w:tabs>
        <w:spacing w:line="360" w:lineRule="exact"/>
        <w:jc w:val="both"/>
        <w:rPr>
          <w:rFonts w:ascii="黑体" w:hAnsi="黑体" w:eastAsia="黑体" w:cs="宋体"/>
          <w:color w:val="auto"/>
          <w:sz w:val="36"/>
          <w:szCs w:val="36"/>
        </w:rPr>
      </w:pPr>
      <w:r>
        <w:rPr>
          <w:rFonts w:hint="eastAsia" w:ascii="黑体" w:hAnsi="黑体" w:eastAsia="黑体" w:cs="宋体"/>
          <w:color w:val="auto"/>
          <w:sz w:val="36"/>
          <w:szCs w:val="36"/>
        </w:rPr>
        <w:t>第二章  项目采购需求及要求</w:t>
      </w:r>
      <w:r>
        <w:rPr>
          <w:rFonts w:ascii="黑体" w:hAnsi="黑体" w:eastAsia="黑体" w:cs="宋体"/>
          <w:color w:val="auto"/>
          <w:sz w:val="36"/>
          <w:szCs w:val="36"/>
        </w:rPr>
        <w:t>.................</w:t>
      </w:r>
      <w:r>
        <w:rPr>
          <w:rFonts w:hint="eastAsia" w:ascii="黑体" w:hAnsi="黑体" w:eastAsia="黑体" w:cs="宋体"/>
          <w:color w:val="auto"/>
          <w:sz w:val="36"/>
          <w:szCs w:val="36"/>
        </w:rPr>
        <w:t>5</w:t>
      </w:r>
    </w:p>
    <w:p>
      <w:pPr>
        <w:pStyle w:val="53"/>
        <w:tabs>
          <w:tab w:val="right" w:pos="8296"/>
        </w:tabs>
        <w:spacing w:line="360" w:lineRule="exact"/>
        <w:jc w:val="both"/>
        <w:rPr>
          <w:rFonts w:ascii="黑体" w:hAnsi="黑体" w:eastAsia="黑体" w:cs="宋体"/>
          <w:color w:val="auto"/>
          <w:sz w:val="36"/>
          <w:szCs w:val="36"/>
        </w:rPr>
      </w:pPr>
    </w:p>
    <w:p>
      <w:pPr>
        <w:pStyle w:val="53"/>
        <w:tabs>
          <w:tab w:val="right" w:pos="8296"/>
        </w:tabs>
        <w:spacing w:line="360" w:lineRule="exact"/>
        <w:jc w:val="both"/>
        <w:rPr>
          <w:rFonts w:ascii="黑体" w:hAnsi="黑体" w:eastAsia="黑体" w:cs="宋体"/>
          <w:color w:val="auto"/>
          <w:sz w:val="36"/>
          <w:szCs w:val="36"/>
        </w:rPr>
      </w:pPr>
      <w:r>
        <w:rPr>
          <w:rFonts w:hint="eastAsia" w:ascii="黑体" w:hAnsi="黑体" w:eastAsia="黑体" w:cs="宋体"/>
          <w:color w:val="auto"/>
          <w:sz w:val="36"/>
          <w:szCs w:val="36"/>
        </w:rPr>
        <w:t>第三章  竞争性磋商须知</w:t>
      </w:r>
      <w:r>
        <w:rPr>
          <w:rFonts w:ascii="黑体" w:hAnsi="黑体" w:eastAsia="黑体" w:cs="宋体"/>
          <w:color w:val="auto"/>
          <w:sz w:val="36"/>
          <w:szCs w:val="36"/>
        </w:rPr>
        <w:t>....................1</w:t>
      </w:r>
      <w:r>
        <w:rPr>
          <w:rFonts w:hint="eastAsia" w:ascii="黑体" w:hAnsi="黑体" w:eastAsia="黑体" w:cs="宋体"/>
          <w:color w:val="auto"/>
          <w:sz w:val="36"/>
          <w:szCs w:val="36"/>
        </w:rPr>
        <w:t>0</w:t>
      </w:r>
    </w:p>
    <w:p>
      <w:pPr>
        <w:pStyle w:val="53"/>
        <w:tabs>
          <w:tab w:val="right" w:pos="8296"/>
        </w:tabs>
        <w:spacing w:line="360" w:lineRule="exact"/>
        <w:jc w:val="both"/>
        <w:rPr>
          <w:rFonts w:ascii="黑体" w:hAnsi="黑体" w:eastAsia="黑体" w:cs="宋体"/>
          <w:color w:val="auto"/>
          <w:sz w:val="36"/>
          <w:szCs w:val="36"/>
        </w:rPr>
      </w:pPr>
    </w:p>
    <w:p>
      <w:pPr>
        <w:pStyle w:val="53"/>
        <w:tabs>
          <w:tab w:val="right" w:pos="8296"/>
        </w:tabs>
        <w:spacing w:line="360" w:lineRule="exact"/>
        <w:jc w:val="both"/>
        <w:rPr>
          <w:rFonts w:ascii="黑体" w:hAnsi="黑体" w:eastAsia="黑体" w:cs="宋体"/>
          <w:color w:val="auto"/>
          <w:sz w:val="36"/>
          <w:szCs w:val="36"/>
        </w:rPr>
      </w:pPr>
      <w:r>
        <w:rPr>
          <w:rFonts w:hint="eastAsia" w:ascii="黑体" w:hAnsi="黑体" w:eastAsia="黑体" w:cs="宋体"/>
          <w:color w:val="auto"/>
          <w:sz w:val="36"/>
          <w:szCs w:val="36"/>
        </w:rPr>
        <w:t>第四章  评审办法</w:t>
      </w:r>
      <w:r>
        <w:rPr>
          <w:rFonts w:ascii="黑体" w:hAnsi="黑体" w:eastAsia="黑体" w:cs="宋体"/>
          <w:color w:val="auto"/>
          <w:sz w:val="36"/>
          <w:szCs w:val="36"/>
        </w:rPr>
        <w:t>..........................25</w:t>
      </w:r>
      <w:r>
        <w:rPr>
          <w:rFonts w:ascii="黑体" w:hAnsi="黑体" w:eastAsia="黑体" w:cs="宋体"/>
          <w:color w:val="auto"/>
          <w:sz w:val="36"/>
          <w:szCs w:val="36"/>
        </w:rPr>
        <w:fldChar w:fldCharType="end"/>
      </w:r>
    </w:p>
    <w:p>
      <w:pPr>
        <w:pStyle w:val="53"/>
        <w:tabs>
          <w:tab w:val="right" w:pos="8296"/>
        </w:tabs>
        <w:spacing w:line="360" w:lineRule="exact"/>
        <w:jc w:val="both"/>
        <w:rPr>
          <w:rFonts w:ascii="黑体" w:hAnsi="黑体" w:eastAsia="黑体" w:cs="宋体"/>
          <w:color w:val="auto"/>
          <w:sz w:val="36"/>
          <w:szCs w:val="36"/>
        </w:rPr>
      </w:pPr>
    </w:p>
    <w:p>
      <w:pPr>
        <w:pStyle w:val="53"/>
        <w:tabs>
          <w:tab w:val="right" w:pos="8296"/>
        </w:tabs>
        <w:spacing w:line="360" w:lineRule="exact"/>
        <w:jc w:val="both"/>
        <w:rPr>
          <w:rFonts w:ascii="黑体" w:hAnsi="黑体" w:eastAsia="黑体" w:cs="宋体"/>
          <w:color w:val="auto"/>
          <w:sz w:val="36"/>
          <w:szCs w:val="36"/>
        </w:rPr>
      </w:pPr>
      <w:r>
        <w:rPr>
          <w:rFonts w:hint="eastAsia" w:ascii="黑体" w:hAnsi="黑体" w:eastAsia="黑体" w:cs="宋体"/>
          <w:color w:val="auto"/>
          <w:sz w:val="36"/>
          <w:szCs w:val="36"/>
        </w:rPr>
        <w:t>第五章  服务合同（文本）</w:t>
      </w:r>
      <w:r>
        <w:rPr>
          <w:rFonts w:ascii="黑体" w:hAnsi="黑体" w:eastAsia="黑体" w:cs="宋体"/>
          <w:color w:val="auto"/>
          <w:sz w:val="36"/>
          <w:szCs w:val="36"/>
        </w:rPr>
        <w:t>..................</w:t>
      </w:r>
      <w:r>
        <w:rPr>
          <w:rFonts w:hint="eastAsia" w:ascii="黑体" w:hAnsi="黑体" w:eastAsia="黑体" w:cs="宋体"/>
          <w:color w:val="auto"/>
          <w:sz w:val="36"/>
          <w:szCs w:val="36"/>
        </w:rPr>
        <w:t>29</w:t>
      </w:r>
    </w:p>
    <w:p>
      <w:pPr>
        <w:pStyle w:val="53"/>
        <w:tabs>
          <w:tab w:val="right" w:pos="8296"/>
        </w:tabs>
        <w:spacing w:line="360" w:lineRule="exact"/>
        <w:jc w:val="both"/>
        <w:rPr>
          <w:rFonts w:ascii="黑体" w:hAnsi="黑体" w:eastAsia="黑体" w:cs="宋体"/>
          <w:color w:val="auto"/>
          <w:sz w:val="36"/>
          <w:szCs w:val="36"/>
        </w:rPr>
      </w:pPr>
    </w:p>
    <w:p>
      <w:pPr>
        <w:pStyle w:val="53"/>
        <w:numPr>
          <w:ilvl w:val="0"/>
          <w:numId w:val="1"/>
        </w:numPr>
        <w:jc w:val="both"/>
        <w:rPr>
          <w:rFonts w:ascii="黑体" w:hAnsi="黑体" w:eastAsia="黑体" w:cs="宋体"/>
          <w:color w:val="auto"/>
          <w:sz w:val="36"/>
          <w:szCs w:val="36"/>
        </w:rPr>
      </w:pPr>
      <w:r>
        <w:rPr>
          <w:rFonts w:hint="eastAsia" w:ascii="黑体" w:hAnsi="黑体" w:eastAsia="黑体" w:cs="宋体"/>
          <w:color w:val="auto"/>
          <w:sz w:val="36"/>
          <w:szCs w:val="36"/>
        </w:rPr>
        <w:t xml:space="preserve"> 响应文件格式</w:t>
      </w:r>
      <w:r>
        <w:rPr>
          <w:rFonts w:ascii="黑体" w:hAnsi="黑体" w:eastAsia="黑体" w:cs="宋体"/>
          <w:color w:val="auto"/>
          <w:sz w:val="36"/>
          <w:szCs w:val="36"/>
        </w:rPr>
        <w:t>......................</w:t>
      </w:r>
      <w:r>
        <w:rPr>
          <w:rFonts w:hint="eastAsia" w:ascii="黑体" w:hAnsi="黑体" w:eastAsia="黑体" w:cs="宋体"/>
          <w:color w:val="auto"/>
          <w:sz w:val="36"/>
          <w:szCs w:val="36"/>
        </w:rPr>
        <w:t>35</w:t>
      </w:r>
    </w:p>
    <w:p>
      <w:pPr>
        <w:pStyle w:val="53"/>
        <w:ind w:firstLine="0"/>
        <w:jc w:val="both"/>
        <w:rPr>
          <w:b/>
          <w:bCs/>
          <w:color w:val="auto"/>
          <w:sz w:val="32"/>
          <w:szCs w:val="32"/>
        </w:rPr>
      </w:pPr>
    </w:p>
    <w:p>
      <w:pPr>
        <w:pStyle w:val="53"/>
        <w:ind w:firstLine="0"/>
        <w:jc w:val="center"/>
        <w:rPr>
          <w:rFonts w:ascii="黑体" w:hAnsi="黑体" w:eastAsia="黑体"/>
          <w:color w:val="auto"/>
          <w:sz w:val="32"/>
          <w:szCs w:val="32"/>
        </w:rPr>
      </w:pPr>
    </w:p>
    <w:p>
      <w:pPr>
        <w:pStyle w:val="53"/>
        <w:ind w:firstLine="0"/>
        <w:jc w:val="center"/>
        <w:rPr>
          <w:rFonts w:ascii="黑体" w:hAnsi="黑体" w:eastAsia="黑体"/>
          <w:color w:val="auto"/>
          <w:sz w:val="32"/>
          <w:szCs w:val="32"/>
        </w:rPr>
      </w:pPr>
    </w:p>
    <w:p>
      <w:pPr>
        <w:pStyle w:val="53"/>
        <w:ind w:firstLine="0"/>
        <w:jc w:val="center"/>
        <w:rPr>
          <w:rFonts w:ascii="黑体" w:hAnsi="黑体" w:eastAsia="黑体"/>
          <w:color w:val="auto"/>
          <w:sz w:val="32"/>
          <w:szCs w:val="32"/>
        </w:rPr>
      </w:pPr>
    </w:p>
    <w:p>
      <w:pPr>
        <w:pStyle w:val="53"/>
        <w:ind w:firstLine="0"/>
        <w:jc w:val="center"/>
        <w:rPr>
          <w:rFonts w:ascii="黑体" w:hAnsi="黑体" w:eastAsia="黑体"/>
          <w:color w:val="auto"/>
          <w:sz w:val="32"/>
          <w:szCs w:val="32"/>
        </w:rPr>
      </w:pPr>
    </w:p>
    <w:p>
      <w:pPr>
        <w:pStyle w:val="53"/>
        <w:ind w:firstLine="0"/>
        <w:jc w:val="center"/>
        <w:rPr>
          <w:rFonts w:ascii="黑体" w:hAnsi="黑体" w:eastAsia="黑体"/>
          <w:color w:val="auto"/>
          <w:sz w:val="32"/>
          <w:szCs w:val="32"/>
        </w:rPr>
      </w:pPr>
    </w:p>
    <w:p>
      <w:pPr>
        <w:pStyle w:val="53"/>
        <w:ind w:firstLine="0"/>
        <w:jc w:val="center"/>
        <w:rPr>
          <w:rFonts w:ascii="黑体" w:hAnsi="黑体" w:eastAsia="黑体"/>
          <w:color w:val="auto"/>
          <w:sz w:val="32"/>
          <w:szCs w:val="32"/>
        </w:rPr>
      </w:pPr>
    </w:p>
    <w:p>
      <w:pPr>
        <w:pStyle w:val="53"/>
        <w:ind w:firstLine="0"/>
        <w:jc w:val="center"/>
        <w:rPr>
          <w:rFonts w:ascii="黑体" w:hAnsi="黑体" w:eastAsia="黑体"/>
          <w:color w:val="auto"/>
          <w:sz w:val="32"/>
          <w:szCs w:val="32"/>
        </w:rPr>
      </w:pPr>
    </w:p>
    <w:p>
      <w:pPr>
        <w:pStyle w:val="53"/>
        <w:ind w:firstLine="0"/>
        <w:jc w:val="center"/>
        <w:rPr>
          <w:rFonts w:ascii="黑体" w:hAnsi="黑体" w:eastAsia="黑体"/>
          <w:color w:val="auto"/>
          <w:sz w:val="32"/>
          <w:szCs w:val="32"/>
        </w:rPr>
      </w:pPr>
    </w:p>
    <w:p>
      <w:pPr>
        <w:pStyle w:val="53"/>
        <w:ind w:firstLine="0"/>
        <w:jc w:val="center"/>
        <w:rPr>
          <w:rFonts w:ascii="黑体" w:hAnsi="黑体" w:eastAsia="黑体"/>
          <w:color w:val="auto"/>
          <w:sz w:val="32"/>
          <w:szCs w:val="32"/>
        </w:rPr>
      </w:pPr>
    </w:p>
    <w:p>
      <w:pPr>
        <w:pStyle w:val="53"/>
        <w:ind w:firstLine="0"/>
        <w:jc w:val="center"/>
        <w:rPr>
          <w:rFonts w:ascii="黑体" w:hAnsi="黑体" w:eastAsia="黑体"/>
          <w:color w:val="auto"/>
          <w:sz w:val="32"/>
          <w:szCs w:val="32"/>
        </w:rPr>
      </w:pPr>
    </w:p>
    <w:p>
      <w:pPr>
        <w:pStyle w:val="53"/>
        <w:ind w:firstLine="0"/>
        <w:jc w:val="center"/>
        <w:rPr>
          <w:rFonts w:ascii="黑体" w:hAnsi="黑体" w:eastAsia="黑体"/>
          <w:color w:val="auto"/>
          <w:sz w:val="32"/>
          <w:szCs w:val="32"/>
        </w:rPr>
      </w:pPr>
    </w:p>
    <w:p>
      <w:pPr>
        <w:pStyle w:val="53"/>
        <w:ind w:firstLine="0"/>
        <w:jc w:val="center"/>
        <w:rPr>
          <w:rFonts w:ascii="黑体" w:hAnsi="黑体" w:eastAsia="黑体"/>
          <w:color w:val="auto"/>
          <w:sz w:val="32"/>
          <w:szCs w:val="32"/>
        </w:rPr>
      </w:pPr>
    </w:p>
    <w:p>
      <w:pPr>
        <w:pStyle w:val="53"/>
        <w:ind w:firstLine="0"/>
        <w:jc w:val="center"/>
        <w:rPr>
          <w:rFonts w:ascii="黑体" w:hAnsi="黑体" w:eastAsia="黑体"/>
          <w:color w:val="auto"/>
          <w:sz w:val="32"/>
          <w:szCs w:val="32"/>
        </w:rPr>
      </w:pPr>
    </w:p>
    <w:p>
      <w:pPr>
        <w:pStyle w:val="53"/>
        <w:ind w:firstLine="0"/>
        <w:jc w:val="center"/>
        <w:rPr>
          <w:rFonts w:ascii="黑体" w:hAnsi="黑体" w:eastAsia="黑体"/>
          <w:color w:val="auto"/>
          <w:sz w:val="32"/>
          <w:szCs w:val="32"/>
        </w:rPr>
      </w:pPr>
    </w:p>
    <w:p>
      <w:pPr>
        <w:pStyle w:val="53"/>
        <w:ind w:firstLine="0"/>
        <w:jc w:val="center"/>
        <w:rPr>
          <w:rFonts w:ascii="黑体" w:hAnsi="黑体" w:eastAsia="黑体"/>
          <w:color w:val="auto"/>
          <w:sz w:val="32"/>
          <w:szCs w:val="32"/>
        </w:rPr>
      </w:pPr>
    </w:p>
    <w:p>
      <w:pPr>
        <w:pStyle w:val="53"/>
        <w:ind w:firstLine="0"/>
        <w:jc w:val="center"/>
        <w:rPr>
          <w:rFonts w:ascii="黑体" w:hAnsi="黑体" w:eastAsia="黑体"/>
          <w:color w:val="auto"/>
          <w:sz w:val="32"/>
          <w:szCs w:val="32"/>
        </w:rPr>
      </w:pPr>
    </w:p>
    <w:p>
      <w:pPr>
        <w:pStyle w:val="53"/>
        <w:ind w:firstLine="0"/>
        <w:jc w:val="center"/>
        <w:rPr>
          <w:rFonts w:ascii="黑体" w:hAnsi="黑体" w:eastAsia="黑体"/>
          <w:color w:val="auto"/>
          <w:sz w:val="32"/>
          <w:szCs w:val="32"/>
        </w:rPr>
      </w:pPr>
    </w:p>
    <w:p>
      <w:pPr>
        <w:pStyle w:val="53"/>
        <w:ind w:firstLine="0"/>
        <w:jc w:val="center"/>
        <w:rPr>
          <w:rFonts w:ascii="黑体" w:hAnsi="黑体" w:eastAsia="黑体"/>
          <w:color w:val="auto"/>
          <w:sz w:val="32"/>
          <w:szCs w:val="32"/>
        </w:rPr>
      </w:pPr>
    </w:p>
    <w:p>
      <w:pPr>
        <w:pStyle w:val="53"/>
        <w:ind w:firstLine="0"/>
        <w:jc w:val="center"/>
        <w:rPr>
          <w:rFonts w:ascii="黑体" w:hAnsi="黑体" w:eastAsia="黑体"/>
          <w:color w:val="auto"/>
          <w:sz w:val="32"/>
          <w:szCs w:val="32"/>
        </w:rPr>
      </w:pPr>
    </w:p>
    <w:p>
      <w:pPr>
        <w:pStyle w:val="53"/>
        <w:ind w:firstLine="0"/>
        <w:jc w:val="center"/>
        <w:rPr>
          <w:b/>
          <w:bCs/>
          <w:color w:val="auto"/>
          <w:sz w:val="32"/>
          <w:szCs w:val="32"/>
        </w:rPr>
      </w:pPr>
      <w:r>
        <w:rPr>
          <w:rFonts w:hint="eastAsia" w:ascii="黑体" w:hAnsi="黑体" w:eastAsia="黑体"/>
          <w:color w:val="auto"/>
          <w:sz w:val="32"/>
          <w:szCs w:val="32"/>
        </w:rPr>
        <w:t>第一章  邀请</w:t>
      </w:r>
      <w:r>
        <w:rPr>
          <w:rFonts w:hint="eastAsia"/>
          <w:b/>
          <w:bCs/>
          <w:color w:val="auto"/>
          <w:sz w:val="32"/>
          <w:szCs w:val="32"/>
        </w:rPr>
        <w:t>函</w:t>
      </w:r>
    </w:p>
    <w:p>
      <w:pPr>
        <w:spacing w:line="440" w:lineRule="exact"/>
        <w:ind w:firstLine="567"/>
        <w:rPr>
          <w:rFonts w:ascii="宋体" w:hAnsi="宋体" w:cs="宋体"/>
          <w:color w:val="auto"/>
          <w:szCs w:val="24"/>
        </w:rPr>
      </w:pPr>
      <w:r>
        <w:rPr>
          <w:rFonts w:hint="eastAsia" w:ascii="宋体" w:hAnsi="宋体" w:cs="宋体"/>
          <w:color w:val="auto"/>
          <w:szCs w:val="24"/>
        </w:rPr>
        <w:t>许昌光大电子商务技术服务有限公司受许昌融智传媒有限公司的委托，就“全媒体中央厨房”物理空间建设项目进行竞争性磋商，现邀请符合资格条件的供应商</w:t>
      </w:r>
      <w:r>
        <w:rPr>
          <w:rFonts w:hint="eastAsia" w:ascii="宋体" w:hAnsi="宋体" w:cs="宋体"/>
          <w:color w:val="auto"/>
          <w:szCs w:val="24"/>
        </w:rPr>
        <w:t>参</w:t>
      </w:r>
      <w:r>
        <w:rPr>
          <w:rFonts w:hint="eastAsia" w:ascii="宋体" w:hAnsi="宋体" w:cs="宋体"/>
          <w:color w:val="auto"/>
          <w:szCs w:val="24"/>
        </w:rPr>
        <w:t>加竞争性磋商。</w:t>
      </w:r>
    </w:p>
    <w:p>
      <w:pPr>
        <w:spacing w:line="440" w:lineRule="exact"/>
        <w:ind w:firstLine="567"/>
        <w:rPr>
          <w:rFonts w:ascii="宋体" w:hAnsi="宋体" w:cs="宋体"/>
          <w:b/>
          <w:color w:val="auto"/>
          <w:szCs w:val="24"/>
        </w:rPr>
      </w:pPr>
      <w:r>
        <w:rPr>
          <w:rFonts w:ascii="宋体" w:hAnsi="宋体" w:cs="宋体"/>
          <w:b/>
          <w:color w:val="auto"/>
          <w:szCs w:val="24"/>
        </w:rPr>
        <w:t>1</w:t>
      </w:r>
      <w:r>
        <w:rPr>
          <w:rFonts w:hint="eastAsia" w:ascii="宋体" w:hAnsi="宋体" w:cs="宋体"/>
          <w:b/>
          <w:color w:val="auto"/>
          <w:szCs w:val="24"/>
        </w:rPr>
        <w:t>．项目名称及编号</w:t>
      </w:r>
    </w:p>
    <w:p>
      <w:pPr>
        <w:spacing w:line="440" w:lineRule="exact"/>
        <w:ind w:firstLine="567"/>
        <w:rPr>
          <w:rFonts w:ascii="宋体" w:hAnsi="宋体" w:cs="宋体"/>
          <w:color w:val="auto"/>
          <w:szCs w:val="24"/>
        </w:rPr>
      </w:pPr>
      <w:r>
        <w:rPr>
          <w:rFonts w:ascii="宋体" w:hAnsi="宋体" w:cs="宋体"/>
          <w:color w:val="auto"/>
          <w:szCs w:val="24"/>
        </w:rPr>
        <w:t>1.1</w:t>
      </w:r>
      <w:r>
        <w:rPr>
          <w:rFonts w:hint="eastAsia" w:ascii="宋体" w:hAnsi="宋体" w:cs="宋体"/>
          <w:color w:val="auto"/>
          <w:szCs w:val="24"/>
        </w:rPr>
        <w:t xml:space="preserve">项目名称：“全媒体中央厨房”物理空间建设 </w:t>
      </w:r>
    </w:p>
    <w:p>
      <w:pPr>
        <w:spacing w:line="440" w:lineRule="exact"/>
        <w:ind w:firstLine="567"/>
        <w:rPr>
          <w:rFonts w:ascii="宋体" w:hAnsi="宋体" w:cs="宋体"/>
          <w:color w:val="auto"/>
          <w:szCs w:val="24"/>
        </w:rPr>
      </w:pPr>
      <w:r>
        <w:rPr>
          <w:rFonts w:ascii="宋体" w:hAnsi="宋体" w:cs="宋体"/>
          <w:color w:val="auto"/>
          <w:szCs w:val="24"/>
        </w:rPr>
        <w:t>1.2</w:t>
      </w:r>
      <w:r>
        <w:rPr>
          <w:rFonts w:hint="eastAsia" w:ascii="宋体" w:hAnsi="宋体" w:cs="宋体"/>
          <w:color w:val="auto"/>
          <w:szCs w:val="24"/>
        </w:rPr>
        <w:t>项目编号：JZFCG</w:t>
      </w:r>
      <w:r>
        <w:rPr>
          <w:rFonts w:ascii="宋体" w:hAnsi="宋体" w:cs="宋体"/>
          <w:color w:val="auto"/>
          <w:szCs w:val="24"/>
        </w:rPr>
        <w:t>-</w:t>
      </w:r>
      <w:r>
        <w:rPr>
          <w:rFonts w:hint="eastAsia" w:ascii="宋体" w:hAnsi="宋体" w:cs="宋体"/>
          <w:color w:val="auto"/>
          <w:szCs w:val="24"/>
        </w:rPr>
        <w:t>C</w:t>
      </w:r>
      <w:r>
        <w:rPr>
          <w:rFonts w:ascii="宋体" w:hAnsi="宋体" w:cs="宋体"/>
          <w:color w:val="auto"/>
          <w:szCs w:val="24"/>
        </w:rPr>
        <w:t>2018</w:t>
      </w:r>
      <w:r>
        <w:rPr>
          <w:rFonts w:hint="eastAsia" w:ascii="宋体" w:hAnsi="宋体" w:cs="宋体"/>
          <w:color w:val="auto"/>
          <w:szCs w:val="24"/>
        </w:rPr>
        <w:t>002号</w:t>
      </w:r>
    </w:p>
    <w:p>
      <w:pPr>
        <w:spacing w:line="440" w:lineRule="exact"/>
        <w:ind w:firstLine="567"/>
        <w:rPr>
          <w:rFonts w:ascii="宋体" w:hAnsi="宋体" w:cs="宋体"/>
          <w:b/>
          <w:color w:val="auto"/>
          <w:szCs w:val="24"/>
        </w:rPr>
      </w:pPr>
      <w:r>
        <w:rPr>
          <w:rFonts w:ascii="宋体" w:hAnsi="宋体" w:cs="宋体"/>
          <w:b/>
          <w:color w:val="auto"/>
          <w:szCs w:val="24"/>
        </w:rPr>
        <w:t>2</w:t>
      </w:r>
      <w:r>
        <w:rPr>
          <w:rFonts w:hint="eastAsia" w:ascii="宋体" w:hAnsi="宋体" w:cs="宋体"/>
          <w:b/>
          <w:color w:val="auto"/>
          <w:szCs w:val="24"/>
        </w:rPr>
        <w:t>．项目简要说明</w:t>
      </w:r>
    </w:p>
    <w:p>
      <w:pPr>
        <w:spacing w:line="440" w:lineRule="exact"/>
        <w:ind w:firstLine="567"/>
        <w:rPr>
          <w:rFonts w:ascii="宋体" w:hAnsi="宋体" w:cs="宋体"/>
          <w:color w:val="auto"/>
          <w:szCs w:val="24"/>
        </w:rPr>
      </w:pPr>
      <w:r>
        <w:rPr>
          <w:rFonts w:ascii="宋体" w:hAnsi="宋体" w:cs="宋体"/>
          <w:color w:val="auto"/>
          <w:szCs w:val="24"/>
        </w:rPr>
        <w:t>2.1</w:t>
      </w:r>
      <w:r>
        <w:rPr>
          <w:rFonts w:hint="eastAsia" w:ascii="宋体" w:hAnsi="宋体" w:cs="宋体"/>
          <w:color w:val="auto"/>
          <w:szCs w:val="24"/>
        </w:rPr>
        <w:t>“全媒体中央厨房”项目是许昌报业传媒集团为推动传统媒体与新兴媒体深度融合发展而实施的全媒体采编发流程创新项目，该项目是一个整体开放式，富有良好视觉效果和工作环境，呈多角度、多场景办公，集信息追踪、文稿编辑、记者调度、实时连线、演播导控等媒体采编发功能于一体的指挥报道中心。</w:t>
      </w:r>
    </w:p>
    <w:p>
      <w:pPr>
        <w:spacing w:line="440" w:lineRule="exact"/>
        <w:ind w:firstLine="567"/>
        <w:rPr>
          <w:rFonts w:ascii="宋体" w:hAnsi="宋体" w:cs="宋体"/>
          <w:color w:val="auto"/>
          <w:szCs w:val="24"/>
        </w:rPr>
      </w:pPr>
      <w:r>
        <w:rPr>
          <w:rFonts w:hint="eastAsia" w:ascii="宋体" w:hAnsi="宋体" w:cs="宋体"/>
          <w:color w:val="auto"/>
          <w:szCs w:val="24"/>
        </w:rPr>
        <w:t>“全媒体中央厨房”空间面积约430平方米，含报业大厦一楼东侧门厅区域。根据集团通过的功能区规划设计方案，共分为以下12个功能区:（1）A-休闲区、（2）B-文化长廊、（3）C-全媒体报道指挥中心、（4）D-技术工作区、（5）E-小型会议室1、（6）F-小型会议室2、（7）G-视频直播间、（8）H-小型录音室、（9）I-VIP会客室、（10）J-休闲花园、（11）K-设备间、（12）L-洗手间。</w:t>
      </w:r>
    </w:p>
    <w:p>
      <w:pPr>
        <w:spacing w:line="440" w:lineRule="exact"/>
        <w:ind w:firstLine="567"/>
        <w:rPr>
          <w:rFonts w:ascii="宋体" w:hAnsi="宋体" w:cs="宋体"/>
          <w:color w:val="auto"/>
          <w:szCs w:val="24"/>
        </w:rPr>
      </w:pPr>
      <w:r>
        <w:rPr>
          <w:rFonts w:hint="eastAsia" w:ascii="宋体" w:hAnsi="宋体" w:cs="宋体"/>
          <w:color w:val="auto"/>
          <w:szCs w:val="24"/>
        </w:rPr>
        <w:t>要求供应商按照采购方提供的效果图和具体功能规划，对上述功能区建设提出具体的建设方案及</w:t>
      </w:r>
      <w:r>
        <w:rPr>
          <w:rFonts w:hint="eastAsia" w:ascii="宋体" w:hAnsi="宋体" w:cs="宋体"/>
          <w:color w:val="auto"/>
          <w:szCs w:val="24"/>
        </w:rPr>
        <w:t>设计施工图</w:t>
      </w:r>
      <w:r>
        <w:rPr>
          <w:rFonts w:hint="eastAsia" w:ascii="宋体" w:hAnsi="宋体" w:cs="宋体"/>
          <w:color w:val="auto"/>
          <w:szCs w:val="24"/>
        </w:rPr>
        <w:t>，响应文件中必须列明实现各区功能所采用的材料、器材详细报价表。</w:t>
      </w:r>
    </w:p>
    <w:p>
      <w:pPr>
        <w:spacing w:line="440" w:lineRule="exact"/>
        <w:ind w:firstLine="567"/>
        <w:rPr>
          <w:color w:val="auto"/>
          <w:shd w:val="clear" w:color="auto" w:fill="FFFFFF"/>
        </w:rPr>
      </w:pPr>
      <w:r>
        <w:rPr>
          <w:rFonts w:ascii="宋体" w:hAnsi="宋体" w:cs="宋体"/>
          <w:color w:val="auto"/>
          <w:szCs w:val="24"/>
        </w:rPr>
        <w:t>2.2</w:t>
      </w:r>
      <w:r>
        <w:rPr>
          <w:rFonts w:hint="eastAsia"/>
          <w:color w:val="auto"/>
          <w:shd w:val="clear" w:color="auto" w:fill="FFFFFF"/>
        </w:rPr>
        <w:t>预算金额：玖拾捌万元整（</w:t>
      </w:r>
      <w:r>
        <w:rPr>
          <w:rFonts w:hint="eastAsia" w:ascii="微软雅黑" w:hAnsi="微软雅黑" w:eastAsia="微软雅黑" w:cs="微软雅黑"/>
          <w:color w:val="auto"/>
          <w:shd w:val="clear" w:color="auto" w:fill="FFFFFF"/>
        </w:rPr>
        <w:t>¥</w:t>
      </w:r>
      <w:r>
        <w:rPr>
          <w:rFonts w:hint="eastAsia"/>
          <w:color w:val="auto"/>
          <w:shd w:val="clear" w:color="auto" w:fill="FFFFFF"/>
        </w:rPr>
        <w:t>980000.00）；最高限价：玖拾捌万元整（</w:t>
      </w:r>
      <w:r>
        <w:rPr>
          <w:rFonts w:hint="eastAsia" w:ascii="微软雅黑" w:hAnsi="微软雅黑" w:eastAsia="微软雅黑" w:cs="微软雅黑"/>
          <w:color w:val="auto"/>
          <w:shd w:val="clear" w:color="auto" w:fill="FFFFFF"/>
        </w:rPr>
        <w:t>¥</w:t>
      </w:r>
      <w:r>
        <w:rPr>
          <w:rFonts w:hint="eastAsia"/>
          <w:color w:val="auto"/>
          <w:shd w:val="clear" w:color="auto" w:fill="FFFFFF"/>
        </w:rPr>
        <w:t>980000.00）</w:t>
      </w:r>
    </w:p>
    <w:p>
      <w:pPr>
        <w:spacing w:line="440" w:lineRule="exact"/>
        <w:ind w:firstLine="567"/>
        <w:rPr>
          <w:rFonts w:ascii="宋体" w:hAnsi="宋体" w:cs="宋体"/>
          <w:color w:val="auto"/>
          <w:szCs w:val="24"/>
        </w:rPr>
      </w:pPr>
      <w:r>
        <w:rPr>
          <w:rFonts w:hint="eastAsia" w:ascii="宋体" w:hAnsi="宋体" w:cs="宋体"/>
          <w:color w:val="auto"/>
          <w:szCs w:val="24"/>
        </w:rPr>
        <w:t>2.3服务建设工期：</w:t>
      </w:r>
      <w:r>
        <w:rPr>
          <w:rFonts w:hint="eastAsia" w:ascii="宋体" w:hAnsi="宋体" w:cs="宋体"/>
          <w:color w:val="auto"/>
          <w:szCs w:val="24"/>
        </w:rPr>
        <w:t>55日历天。</w:t>
      </w:r>
    </w:p>
    <w:p>
      <w:pPr>
        <w:spacing w:line="440" w:lineRule="exact"/>
        <w:ind w:firstLine="567"/>
        <w:rPr>
          <w:rFonts w:ascii="宋体" w:hAnsi="宋体" w:cs="宋体"/>
          <w:b/>
          <w:color w:val="auto"/>
          <w:szCs w:val="24"/>
        </w:rPr>
      </w:pPr>
      <w:r>
        <w:rPr>
          <w:rFonts w:hint="eastAsia" w:ascii="宋体" w:hAnsi="宋体" w:cs="宋体"/>
          <w:b/>
          <w:color w:val="auto"/>
          <w:szCs w:val="24"/>
        </w:rPr>
        <w:t>3.供应商资格要求</w:t>
      </w:r>
    </w:p>
    <w:p>
      <w:pPr>
        <w:spacing w:line="440" w:lineRule="exact"/>
        <w:ind w:firstLine="567"/>
        <w:rPr>
          <w:rFonts w:ascii="宋体" w:hAnsi="宋体" w:cs="宋体"/>
          <w:color w:val="auto"/>
          <w:szCs w:val="24"/>
        </w:rPr>
      </w:pPr>
      <w:r>
        <w:rPr>
          <w:rFonts w:hint="eastAsia" w:ascii="宋体" w:hAnsi="宋体" w:cs="宋体"/>
          <w:color w:val="auto"/>
          <w:szCs w:val="24"/>
        </w:rPr>
        <w:t>3.1具</w:t>
      </w:r>
      <w:r>
        <w:rPr>
          <w:rFonts w:ascii="宋体" w:hAnsi="宋体" w:cs="宋体"/>
          <w:color w:val="auto"/>
          <w:szCs w:val="24"/>
        </w:rPr>
        <w:t>备</w:t>
      </w:r>
      <w:r>
        <w:rPr>
          <w:rFonts w:hint="eastAsia" w:ascii="宋体" w:hAnsi="宋体" w:cs="宋体"/>
          <w:color w:val="auto"/>
          <w:szCs w:val="24"/>
        </w:rPr>
        <w:t>独立的法人资格。</w:t>
      </w:r>
    </w:p>
    <w:p>
      <w:pPr>
        <w:spacing w:line="440" w:lineRule="exact"/>
        <w:ind w:firstLine="567"/>
        <w:rPr>
          <w:rFonts w:ascii="宋体" w:hAnsi="宋体" w:cs="宋体"/>
          <w:color w:val="auto"/>
          <w:szCs w:val="24"/>
        </w:rPr>
      </w:pPr>
      <w:r>
        <w:rPr>
          <w:rFonts w:hint="eastAsia" w:ascii="宋体" w:hAnsi="宋体" w:cs="宋体"/>
          <w:color w:val="auto"/>
          <w:szCs w:val="24"/>
        </w:rPr>
        <w:t>3.2具有良好的商业信誉和健全的财务制度。</w:t>
      </w:r>
    </w:p>
    <w:p>
      <w:pPr>
        <w:spacing w:line="440" w:lineRule="exact"/>
        <w:ind w:firstLine="567"/>
        <w:rPr>
          <w:rFonts w:ascii="宋体" w:hAnsi="宋体" w:cs="Arial"/>
          <w:color w:val="auto"/>
          <w:szCs w:val="21"/>
        </w:rPr>
      </w:pPr>
      <w:r>
        <w:rPr>
          <w:rFonts w:hint="eastAsia" w:ascii="宋体" w:hAnsi="宋体" w:cs="宋体"/>
          <w:color w:val="auto"/>
          <w:szCs w:val="24"/>
        </w:rPr>
        <w:t>3.3</w:t>
      </w:r>
      <w:r>
        <w:rPr>
          <w:rFonts w:hint="eastAsia" w:ascii="宋体" w:hAnsi="宋体" w:cs="Arial"/>
          <w:color w:val="auto"/>
          <w:szCs w:val="21"/>
        </w:rPr>
        <w:t>具有履行合同所必需的设备和专业技术能力。</w:t>
      </w:r>
    </w:p>
    <w:p>
      <w:pPr>
        <w:spacing w:line="440" w:lineRule="exact"/>
        <w:ind w:firstLine="567"/>
        <w:rPr>
          <w:rFonts w:ascii="宋体" w:hAnsi="宋体" w:cs="宋体"/>
          <w:color w:val="auto"/>
          <w:szCs w:val="24"/>
        </w:rPr>
      </w:pPr>
      <w:r>
        <w:rPr>
          <w:rFonts w:hint="eastAsia" w:ascii="宋体" w:hAnsi="宋体" w:cs="Arial"/>
          <w:color w:val="auto"/>
          <w:szCs w:val="21"/>
        </w:rPr>
        <w:t>3.4有依法缴纳税收和社会保障资金的良好记录。</w:t>
      </w:r>
    </w:p>
    <w:p>
      <w:pPr>
        <w:spacing w:line="440" w:lineRule="exact"/>
        <w:ind w:firstLine="567"/>
        <w:rPr>
          <w:rFonts w:ascii="宋体" w:hAnsi="宋体" w:cs="宋体"/>
          <w:color w:val="auto"/>
          <w:szCs w:val="24"/>
        </w:rPr>
      </w:pPr>
      <w:r>
        <w:rPr>
          <w:rFonts w:hint="eastAsia" w:ascii="宋体" w:hAnsi="宋体" w:cs="宋体"/>
          <w:color w:val="auto"/>
          <w:szCs w:val="24"/>
        </w:rPr>
        <w:t>3.5具有有效的安全生产许可证。</w:t>
      </w:r>
    </w:p>
    <w:p>
      <w:pPr>
        <w:spacing w:line="440" w:lineRule="exact"/>
        <w:ind w:firstLine="567"/>
        <w:rPr>
          <w:color w:val="auto"/>
          <w:shd w:val="clear" w:color="auto" w:fill="FFFFFF"/>
        </w:rPr>
      </w:pPr>
      <w:r>
        <w:rPr>
          <w:rFonts w:hint="eastAsia" w:asciiTheme="minorEastAsia" w:hAnsiTheme="minorEastAsia" w:eastAsiaTheme="minorEastAsia"/>
          <w:color w:val="auto"/>
          <w:shd w:val="clear" w:color="auto" w:fill="FFFFFF"/>
        </w:rPr>
        <w:t>3.6</w:t>
      </w:r>
      <w:r>
        <w:rPr>
          <w:rFonts w:hint="eastAsia"/>
          <w:color w:val="auto"/>
          <w:shd w:val="clear" w:color="auto" w:fill="FFFFFF"/>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pPr>
        <w:spacing w:line="440" w:lineRule="exact"/>
        <w:ind w:firstLine="567"/>
        <w:rPr>
          <w:color w:val="auto"/>
          <w:shd w:val="clear" w:color="auto" w:fill="FFFFFF"/>
        </w:rPr>
      </w:pPr>
      <w:r>
        <w:rPr>
          <w:rFonts w:hint="eastAsia" w:asciiTheme="minorEastAsia" w:hAnsiTheme="minorEastAsia" w:eastAsiaTheme="minorEastAsia"/>
          <w:color w:val="auto"/>
          <w:shd w:val="clear" w:color="auto" w:fill="FFFFFF"/>
        </w:rPr>
        <w:t>3.7</w:t>
      </w:r>
      <w:r>
        <w:rPr>
          <w:rFonts w:hint="eastAsia"/>
          <w:color w:val="auto"/>
          <w:shd w:val="clear" w:color="auto" w:fill="FFFFFF"/>
        </w:rPr>
        <w:t>本项目不接受联合体参加磋商。</w:t>
      </w:r>
    </w:p>
    <w:p>
      <w:pPr>
        <w:spacing w:line="440" w:lineRule="exact"/>
        <w:ind w:firstLine="567"/>
        <w:rPr>
          <w:rFonts w:ascii="宋体" w:hAnsi="宋体" w:cs="宋体"/>
          <w:b/>
          <w:color w:val="auto"/>
          <w:szCs w:val="24"/>
        </w:rPr>
      </w:pPr>
      <w:r>
        <w:rPr>
          <w:rFonts w:hint="eastAsia" w:ascii="宋体" w:hAnsi="宋体" w:cs="宋体"/>
          <w:b/>
          <w:color w:val="auto"/>
          <w:szCs w:val="24"/>
        </w:rPr>
        <w:t>4．需要落实的政府采购政策</w:t>
      </w:r>
    </w:p>
    <w:p>
      <w:pPr>
        <w:spacing w:line="440" w:lineRule="exact"/>
        <w:ind w:firstLine="567"/>
        <w:rPr>
          <w:color w:val="auto"/>
          <w:shd w:val="clear" w:color="auto" w:fill="FFFFFF"/>
        </w:rPr>
      </w:pPr>
      <w:r>
        <w:rPr>
          <w:rFonts w:hint="eastAsia"/>
          <w:color w:val="auto"/>
        </w:rPr>
        <w:t>本项目落实节能环保、中小微型企业、监狱企业、残疾人福利性单位扶持等相关政府采购政策。</w:t>
      </w:r>
    </w:p>
    <w:p>
      <w:pPr>
        <w:spacing w:line="440" w:lineRule="exact"/>
        <w:ind w:firstLine="567"/>
        <w:rPr>
          <w:rFonts w:ascii="宋体" w:hAnsi="宋体" w:cs="宋体"/>
          <w:b/>
          <w:color w:val="auto"/>
          <w:szCs w:val="24"/>
        </w:rPr>
      </w:pPr>
      <w:r>
        <w:rPr>
          <w:rFonts w:hint="eastAsia" w:ascii="宋体" w:hAnsi="宋体" w:cs="宋体"/>
          <w:b/>
          <w:color w:val="auto"/>
          <w:szCs w:val="24"/>
        </w:rPr>
        <w:t>5.获取磋商文件的时间、地点、方式</w:t>
      </w:r>
    </w:p>
    <w:p>
      <w:pPr>
        <w:spacing w:line="440" w:lineRule="exact"/>
        <w:ind w:firstLine="567"/>
        <w:rPr>
          <w:rFonts w:ascii="宋体" w:hAnsi="宋体" w:cs="宋体"/>
          <w:color w:val="auto"/>
          <w:kern w:val="0"/>
        </w:rPr>
      </w:pPr>
      <w:r>
        <w:rPr>
          <w:rFonts w:hint="eastAsia" w:ascii="宋体" w:hAnsi="宋体" w:cs="宋体"/>
          <w:color w:val="auto"/>
          <w:kern w:val="0"/>
        </w:rPr>
        <w:t>5.1网上下载磋商谈判文件</w:t>
      </w:r>
    </w:p>
    <w:p>
      <w:pPr>
        <w:spacing w:line="440" w:lineRule="exact"/>
        <w:ind w:firstLine="567"/>
        <w:rPr>
          <w:rFonts w:ascii="宋体" w:hAnsi="宋体" w:cs="宋体"/>
          <w:color w:val="auto"/>
          <w:kern w:val="0"/>
        </w:rPr>
      </w:pPr>
      <w:r>
        <w:rPr>
          <w:rFonts w:hint="eastAsia" w:ascii="宋体" w:hAnsi="宋体" w:cs="宋体"/>
          <w:color w:val="auto"/>
          <w:kern w:val="0"/>
        </w:rPr>
        <w:t>(1)持CA数字认证证书，登录【全国公共资源交易平台（河南省·许昌市）】“系统用户注册”入口（http://221.14.6.70:8088/ggzy/eps/public/RegistAllJcxx.html）进行免费注册登记（详见“常见问题解答-诚信库网上注册相关资料下载”）；</w:t>
      </w:r>
    </w:p>
    <w:p>
      <w:pPr>
        <w:spacing w:line="440" w:lineRule="exact"/>
        <w:ind w:firstLine="567"/>
        <w:rPr>
          <w:rFonts w:ascii="宋体" w:hAnsi="宋体" w:cs="宋体"/>
          <w:color w:val="auto"/>
          <w:kern w:val="0"/>
        </w:rPr>
      </w:pPr>
      <w:r>
        <w:rPr>
          <w:rFonts w:hint="eastAsia" w:ascii="宋体" w:hAnsi="宋体" w:cs="宋体"/>
          <w:color w:val="auto"/>
          <w:kern w:val="0"/>
        </w:rPr>
        <w:t>(2)在谈判截止时间前均可登录【全国公共资源交易平台（河南省·许昌市）】“投标人/供应商登录”入口（http://221.14.6.70:8088/ggzy/）自行下载谈判文件（详见“常见问题解答-交易系统操作手册”）。</w:t>
      </w:r>
    </w:p>
    <w:p>
      <w:pPr>
        <w:spacing w:line="440" w:lineRule="exact"/>
        <w:ind w:firstLine="567"/>
        <w:rPr>
          <w:rFonts w:ascii="宋体" w:hAnsi="宋体" w:cs="宋体"/>
          <w:color w:val="auto"/>
          <w:kern w:val="0"/>
        </w:rPr>
      </w:pPr>
      <w:r>
        <w:rPr>
          <w:rFonts w:hint="eastAsia" w:ascii="宋体" w:hAnsi="宋体" w:cs="宋体"/>
          <w:color w:val="auto"/>
          <w:kern w:val="0"/>
        </w:rPr>
        <w:t>5.2未通过【全国公共资源交易平台（河南省·许昌市）】下载谈判文件的供应商,拒收其递交的谈判响应文件。</w:t>
      </w:r>
    </w:p>
    <w:p>
      <w:pPr>
        <w:spacing w:line="440" w:lineRule="exact"/>
        <w:ind w:firstLine="567"/>
        <w:rPr>
          <w:rFonts w:ascii="宋体" w:hAnsi="宋体" w:cs="宋体"/>
          <w:color w:val="auto"/>
          <w:kern w:val="0"/>
        </w:rPr>
      </w:pPr>
      <w:r>
        <w:rPr>
          <w:rFonts w:hint="eastAsia" w:ascii="宋体" w:hAnsi="宋体" w:cs="宋体"/>
          <w:color w:val="auto"/>
          <w:kern w:val="0"/>
        </w:rPr>
        <w:t>5.3谈判文件售价：人民币300元，供应商在递交磋商响应文件时向代理公司交纳采购文件费用，售后不退。</w:t>
      </w:r>
    </w:p>
    <w:p>
      <w:pPr>
        <w:spacing w:line="440" w:lineRule="exact"/>
        <w:ind w:firstLine="567"/>
        <w:rPr>
          <w:rFonts w:ascii="宋体" w:hAnsi="宋体" w:cs="宋体"/>
          <w:b/>
          <w:color w:val="auto"/>
          <w:szCs w:val="24"/>
        </w:rPr>
      </w:pPr>
      <w:r>
        <w:rPr>
          <w:rFonts w:hint="eastAsia" w:ascii="宋体" w:hAnsi="宋体" w:cs="宋体"/>
          <w:b/>
          <w:color w:val="auto"/>
          <w:szCs w:val="24"/>
        </w:rPr>
        <w:t>6.谈判文件接收截止时间、谈判时间及地点</w:t>
      </w:r>
    </w:p>
    <w:p>
      <w:pPr>
        <w:spacing w:line="440" w:lineRule="exact"/>
        <w:ind w:firstLine="567"/>
        <w:rPr>
          <w:color w:val="auto"/>
          <w:shd w:val="clear" w:color="auto" w:fill="FFFFFF"/>
        </w:rPr>
      </w:pPr>
      <w:r>
        <w:rPr>
          <w:rFonts w:hint="eastAsia" w:asciiTheme="minorEastAsia" w:hAnsiTheme="minorEastAsia" w:eastAsiaTheme="minorEastAsia"/>
          <w:color w:val="auto"/>
          <w:shd w:val="clear" w:color="auto" w:fill="FFFFFF"/>
        </w:rPr>
        <w:t>6.1</w:t>
      </w:r>
      <w:r>
        <w:rPr>
          <w:rFonts w:hint="eastAsia"/>
          <w:color w:val="auto"/>
          <w:shd w:val="clear" w:color="auto" w:fill="FFFFFF"/>
        </w:rPr>
        <w:t>响应文件接收截止及磋商时间：2018年9月17日9时30分（北京时间），逾期送达或不符合规定的投标文件不予接受。</w:t>
      </w:r>
    </w:p>
    <w:p>
      <w:pPr>
        <w:spacing w:line="440" w:lineRule="exact"/>
        <w:ind w:firstLine="567"/>
        <w:rPr>
          <w:color w:val="auto"/>
          <w:shd w:val="clear" w:color="auto" w:fill="FFFFFF"/>
        </w:rPr>
      </w:pPr>
      <w:r>
        <w:rPr>
          <w:rFonts w:hint="eastAsia" w:asciiTheme="minorEastAsia" w:hAnsiTheme="minorEastAsia" w:eastAsiaTheme="minorEastAsia"/>
          <w:color w:val="auto"/>
          <w:shd w:val="clear" w:color="auto" w:fill="FFFFFF"/>
        </w:rPr>
        <w:t>6.2</w:t>
      </w:r>
      <w:r>
        <w:rPr>
          <w:rFonts w:hint="eastAsia"/>
          <w:color w:val="auto"/>
          <w:shd w:val="clear" w:color="auto" w:fill="FFFFFF"/>
        </w:rPr>
        <w:t>谈判地点：</w:t>
      </w:r>
      <w:r>
        <w:rPr>
          <w:rFonts w:hint="eastAsia"/>
          <w:color w:val="auto"/>
        </w:rPr>
        <w:t>许昌公共资源交易中心开标5室（许昌市龙兴路与竹林路交汇处公共资源交易大厦三楼）</w:t>
      </w:r>
      <w:r>
        <w:rPr>
          <w:rFonts w:hint="eastAsia"/>
          <w:color w:val="auto"/>
          <w:shd w:val="clear" w:color="auto" w:fill="FFFFFF"/>
        </w:rPr>
        <w:t>。</w:t>
      </w:r>
    </w:p>
    <w:p>
      <w:pPr>
        <w:spacing w:line="440" w:lineRule="exact"/>
        <w:ind w:firstLine="567"/>
        <w:rPr>
          <w:rFonts w:ascii="宋体" w:hAnsi="宋体" w:cs="宋体"/>
          <w:b/>
          <w:color w:val="auto"/>
          <w:szCs w:val="24"/>
        </w:rPr>
      </w:pPr>
      <w:r>
        <w:rPr>
          <w:rFonts w:hint="eastAsia" w:ascii="宋体" w:hAnsi="宋体" w:cs="宋体"/>
          <w:b/>
          <w:color w:val="auto"/>
          <w:szCs w:val="24"/>
        </w:rPr>
        <w:t>7．本次谈判公告同时在《中国政府采购网》、《河南省政府采购网》、《许昌市政府采购网》和《全国公共资源交易平台（河南省·许昌市）》发布。</w:t>
      </w:r>
    </w:p>
    <w:p>
      <w:pPr>
        <w:spacing w:line="440" w:lineRule="exact"/>
        <w:ind w:firstLine="567"/>
        <w:rPr>
          <w:rFonts w:ascii="宋体" w:hAnsi="宋体" w:cs="宋体"/>
          <w:b/>
          <w:color w:val="auto"/>
          <w:szCs w:val="24"/>
        </w:rPr>
      </w:pPr>
      <w:r>
        <w:rPr>
          <w:rFonts w:hint="eastAsia" w:ascii="宋体" w:hAnsi="宋体" w:cs="宋体"/>
          <w:b/>
          <w:color w:val="auto"/>
          <w:szCs w:val="24"/>
        </w:rPr>
        <w:t>8.公告期限：自本公告发布之日起3个工作日。</w:t>
      </w:r>
    </w:p>
    <w:p>
      <w:pPr>
        <w:spacing w:line="440" w:lineRule="exact"/>
        <w:ind w:firstLine="567"/>
        <w:rPr>
          <w:rFonts w:ascii="宋体" w:hAnsi="宋体" w:cs="宋体"/>
          <w:b/>
          <w:color w:val="auto"/>
          <w:szCs w:val="24"/>
        </w:rPr>
      </w:pPr>
      <w:r>
        <w:rPr>
          <w:rFonts w:hint="eastAsia" w:ascii="宋体" w:hAnsi="宋体" w:cs="宋体"/>
          <w:b/>
          <w:color w:val="auto"/>
          <w:szCs w:val="24"/>
        </w:rPr>
        <w:t>9.联系方式</w:t>
      </w:r>
    </w:p>
    <w:p>
      <w:pPr>
        <w:spacing w:line="440" w:lineRule="exact"/>
        <w:ind w:firstLine="567"/>
        <w:rPr>
          <w:rFonts w:ascii="宋体" w:hAnsi="宋体" w:cs="宋体"/>
          <w:color w:val="auto"/>
          <w:kern w:val="0"/>
        </w:rPr>
      </w:pPr>
      <w:r>
        <w:rPr>
          <w:rFonts w:hint="eastAsia" w:ascii="宋体" w:hAnsi="宋体" w:cs="宋体"/>
          <w:color w:val="auto"/>
          <w:kern w:val="0"/>
        </w:rPr>
        <w:t>9.1采购单位：</w:t>
      </w:r>
      <w:r>
        <w:rPr>
          <w:rFonts w:hint="eastAsia" w:ascii="宋体" w:hAnsi="宋体" w:cs="宋体"/>
          <w:color w:val="auto"/>
          <w:szCs w:val="24"/>
        </w:rPr>
        <w:t>许昌融智传媒有限公司</w:t>
      </w:r>
      <w:r>
        <w:rPr>
          <w:rFonts w:hint="eastAsia" w:ascii="宋体" w:hAnsi="宋体" w:cs="宋体"/>
          <w:color w:val="auto"/>
          <w:kern w:val="0"/>
        </w:rPr>
        <w:t>；地址：许昌市魏都区龙兴路报业大厦；联系人：刘先生；电话：13837475511。</w:t>
      </w:r>
    </w:p>
    <w:p>
      <w:pPr>
        <w:spacing w:line="440" w:lineRule="exact"/>
        <w:ind w:firstLine="567"/>
        <w:rPr>
          <w:rFonts w:ascii="宋体" w:hAnsi="宋体" w:cs="宋体"/>
          <w:color w:val="auto"/>
          <w:kern w:val="0"/>
        </w:rPr>
      </w:pPr>
      <w:r>
        <w:rPr>
          <w:rFonts w:hint="eastAsia" w:ascii="宋体" w:hAnsi="宋体" w:cs="宋体"/>
          <w:color w:val="auto"/>
          <w:kern w:val="0"/>
        </w:rPr>
        <w:t>9.2采购代理机构：许昌光大电子商务技术服务有限公司；联系人：靳天天；电话：13323993003、0374-2365558；E-mail：</w:t>
      </w:r>
      <w:r>
        <w:rPr>
          <w:rFonts w:hint="eastAsia"/>
          <w:color w:val="auto"/>
        </w:rPr>
        <w:fldChar w:fldCharType="begin"/>
      </w:r>
      <w:r>
        <w:rPr>
          <w:color w:val="auto"/>
        </w:rPr>
        <w:instrText xml:space="preserve"> HYPERLINK "mailto:xcgdzfcg@126.com；地址：许昌市莲城大道亨源通世广场1号楼401" </w:instrText>
      </w:r>
      <w:r>
        <w:rPr>
          <w:rFonts w:hint="eastAsia"/>
          <w:color w:val="auto"/>
        </w:rPr>
        <w:fldChar w:fldCharType="separate"/>
      </w:r>
      <w:r>
        <w:rPr>
          <w:rFonts w:hint="eastAsia" w:ascii="宋体" w:hAnsi="宋体" w:cs="宋体"/>
          <w:color w:val="auto"/>
          <w:kern w:val="0"/>
        </w:rPr>
        <w:t>xcgdzfcg@126.com；地址：许昌市莲城大道亨源通世纪广场1号楼401</w:t>
      </w:r>
      <w:r>
        <w:rPr>
          <w:rFonts w:hint="eastAsia" w:ascii="宋体" w:hAnsi="宋体" w:cs="宋体"/>
          <w:color w:val="auto"/>
          <w:kern w:val="0"/>
        </w:rPr>
        <w:fldChar w:fldCharType="end"/>
      </w:r>
      <w:r>
        <w:rPr>
          <w:rFonts w:hint="eastAsia" w:ascii="宋体" w:hAnsi="宋体" w:cs="宋体"/>
          <w:color w:val="auto"/>
          <w:kern w:val="0"/>
        </w:rPr>
        <w:t>室。</w:t>
      </w:r>
    </w:p>
    <w:p>
      <w:pPr>
        <w:spacing w:line="440" w:lineRule="exact"/>
        <w:ind w:firstLine="6924" w:firstLineChars="2885"/>
        <w:jc w:val="right"/>
        <w:rPr>
          <w:rFonts w:ascii="宋体" w:hAnsi="宋体" w:cs="宋体"/>
          <w:color w:val="auto"/>
          <w:szCs w:val="24"/>
        </w:rPr>
      </w:pPr>
      <w:r>
        <w:rPr>
          <w:rFonts w:hint="eastAsia" w:ascii="宋体" w:hAnsi="宋体" w:cs="宋体"/>
          <w:color w:val="auto"/>
          <w:szCs w:val="24"/>
        </w:rPr>
        <w:t>许昌融智传媒有限公司</w:t>
      </w:r>
    </w:p>
    <w:p>
      <w:pPr>
        <w:spacing w:line="440" w:lineRule="exact"/>
        <w:jc w:val="right"/>
        <w:rPr>
          <w:rFonts w:ascii="宋体" w:hAnsi="宋体" w:cs="Arial"/>
          <w:color w:val="auto"/>
        </w:rPr>
      </w:pPr>
      <w:r>
        <w:rPr>
          <w:rFonts w:hint="eastAsia" w:ascii="宋体" w:hAnsi="宋体" w:cs="宋体"/>
          <w:color w:val="auto"/>
          <w:kern w:val="0"/>
        </w:rPr>
        <w:t xml:space="preserve">                                      二○一八年九月四日</w:t>
      </w:r>
    </w:p>
    <w:p>
      <w:pPr>
        <w:spacing w:line="360" w:lineRule="auto"/>
        <w:jc w:val="center"/>
        <w:rPr>
          <w:color w:val="auto"/>
          <w:sz w:val="32"/>
          <w:szCs w:val="32"/>
        </w:rPr>
      </w:pPr>
      <w:r>
        <w:rPr>
          <w:color w:val="auto"/>
        </w:rPr>
        <w:br w:type="page"/>
      </w:r>
      <w:r>
        <w:rPr>
          <w:rFonts w:hint="eastAsia" w:ascii="黑体" w:hAnsi="黑体" w:eastAsia="黑体"/>
          <w:color w:val="auto"/>
          <w:sz w:val="32"/>
          <w:szCs w:val="32"/>
        </w:rPr>
        <w:t>第二章  采购需求及要求</w:t>
      </w:r>
    </w:p>
    <w:p>
      <w:pPr>
        <w:widowControl/>
        <w:shd w:val="clear" w:color="000000" w:fill="FFFFFF"/>
        <w:spacing w:line="360" w:lineRule="auto"/>
        <w:ind w:firstLine="425"/>
        <w:outlineLvl w:val="1"/>
        <w:rPr>
          <w:rFonts w:ascii="宋体" w:cs="宋体"/>
          <w:b/>
          <w:bCs/>
          <w:color w:val="auto"/>
        </w:rPr>
      </w:pPr>
      <w:bookmarkStart w:id="0" w:name="_Toc13979"/>
      <w:bookmarkEnd w:id="0"/>
      <w:r>
        <w:rPr>
          <w:rFonts w:hint="eastAsia" w:ascii="宋体" w:hAnsi="宋体" w:cs="宋体"/>
          <w:color w:val="auto"/>
        </w:rPr>
        <w:t>一、</w:t>
      </w:r>
      <w:r>
        <w:rPr>
          <w:rFonts w:hint="eastAsia" w:ascii="宋体" w:hAnsi="宋体" w:cs="宋体"/>
          <w:b/>
          <w:bCs/>
          <w:color w:val="auto"/>
        </w:rPr>
        <w:t>项目概述</w:t>
      </w:r>
    </w:p>
    <w:p>
      <w:pPr>
        <w:spacing w:line="360" w:lineRule="auto"/>
        <w:ind w:firstLine="480" w:firstLineChars="200"/>
        <w:rPr>
          <w:rFonts w:cs="仿宋" w:asciiTheme="minorEastAsia" w:hAnsiTheme="minorEastAsia" w:eastAsiaTheme="minorEastAsia"/>
          <w:color w:val="auto"/>
          <w:szCs w:val="24"/>
        </w:rPr>
      </w:pPr>
      <w:bookmarkStart w:id="1" w:name="_Toc1016"/>
      <w:bookmarkEnd w:id="1"/>
      <w:r>
        <w:rPr>
          <w:rFonts w:hint="eastAsia" w:cs="仿宋" w:asciiTheme="minorEastAsia" w:hAnsiTheme="minorEastAsia" w:eastAsiaTheme="minorEastAsia"/>
          <w:color w:val="auto"/>
          <w:szCs w:val="24"/>
        </w:rPr>
        <w:t xml:space="preserve">“全媒体中央厨房”项目是许昌报业传媒集团为推动传统媒体与新兴媒体深度融合发展而实施的全媒体采编发流程创新项目，该项目是一个整体开放式，富有良好视觉效果和工作环境，呈多视角、多场景办公，集信息追踪、文稿编辑、记者调度、实时连线、演播导控等全媒体采编发功能于一体的指挥报道中心。 </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为加快“中央厨房”建设进度，保障项目建设质量，报业集团已通过了“中央厨房”空间装修效果设计方案，规划分为12个功能区（见下图）。功能区说明：</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A-休闲区、B-文化长廊、C-全媒体报道指挥中心、D-技术工作区、E-小型会议室1、F-小型会议室2、G-视频直播间、H-小型录音室、I-VIP会客室、J-休闲花园、K-设备间、L-洗手间</w:t>
      </w:r>
    </w:p>
    <w:p>
      <w:pPr>
        <w:widowControl/>
        <w:shd w:val="clear" w:color="000000" w:fill="FFFFFF"/>
        <w:spacing w:line="360" w:lineRule="auto"/>
        <w:ind w:firstLine="425"/>
        <w:outlineLvl w:val="1"/>
        <w:rPr>
          <w:rFonts w:cs="仿宋" w:asciiTheme="minorEastAsia" w:hAnsiTheme="minorEastAsia" w:eastAsiaTheme="minorEastAsia"/>
          <w:b/>
          <w:bCs/>
          <w:color w:val="auto"/>
          <w:szCs w:val="24"/>
        </w:rPr>
      </w:pPr>
      <w:r>
        <w:rPr>
          <w:rFonts w:hint="eastAsia" w:ascii="宋体" w:hAnsi="宋体" w:cs="宋体"/>
          <w:b/>
          <w:bCs/>
          <w:color w:val="auto"/>
        </w:rPr>
        <w:t>二、功能区建设功能要求</w:t>
      </w:r>
      <w:r>
        <w:rPr>
          <w:rFonts w:hint="eastAsia" w:cs="仿宋" w:asciiTheme="minorEastAsia" w:hAnsiTheme="minorEastAsia" w:eastAsiaTheme="minorEastAsia"/>
          <w:color w:val="auto"/>
          <w:szCs w:val="24"/>
        </w:rPr>
        <w:drawing>
          <wp:anchor distT="0" distB="0" distL="0" distR="0" simplePos="0" relativeHeight="251661312" behindDoc="0" locked="0" layoutInCell="1" allowOverlap="0">
            <wp:simplePos x="0" y="0"/>
            <wp:positionH relativeFrom="column">
              <wp:posOffset>407670</wp:posOffset>
            </wp:positionH>
            <wp:positionV relativeFrom="page">
              <wp:posOffset>4775200</wp:posOffset>
            </wp:positionV>
            <wp:extent cx="4149725" cy="2796540"/>
            <wp:effectExtent l="0" t="0" r="3175" b="3810"/>
            <wp:wrapTopAndBottom/>
            <wp:docPr id="2" name="图片 1" descr="C:\Users\ADMINI~1\AppData\Local\Temp\WeChat Files\179760745959584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179760745959584157.png"/>
                    <pic:cNvPicPr>
                      <a:picLocks noChangeAspect="1" noChangeArrowheads="1"/>
                    </pic:cNvPicPr>
                  </pic:nvPicPr>
                  <pic:blipFill>
                    <a:blip r:embed="rId6" cstate="print"/>
                    <a:srcRect/>
                    <a:stretch>
                      <a:fillRect/>
                    </a:stretch>
                  </pic:blipFill>
                  <pic:spPr>
                    <a:xfrm>
                      <a:off x="0" y="0"/>
                      <a:ext cx="4149725" cy="2796540"/>
                    </a:xfrm>
                    <a:prstGeom prst="rect">
                      <a:avLst/>
                    </a:prstGeom>
                    <a:noFill/>
                    <a:ln w="9525">
                      <a:noFill/>
                      <a:miter lim="800000"/>
                      <a:headEnd/>
                      <a:tailEnd/>
                    </a:ln>
                  </pic:spPr>
                </pic:pic>
              </a:graphicData>
            </a:graphic>
          </wp:anchor>
        </w:drawing>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2.1休闲区</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综合休闲区，衔接“中央厨房”入口与报业集团一楼迎宾空间，体现动感、时尚元素，可为整栋大楼及外部来访人员提供冷热饮及简餐服务。</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建设标准：按照效果图进行施工，地面拼格地毯、墙面的铁艺实木书柜、休闲桌椅、橱柜等施工需符合国家相关行业标准，预埋电源、网络等相关接口。</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2.2文化长廊（主通道区域）</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中央厨房主通道，通过走廊的综合布局，几何切割、穿孔造型展墙、灯箱，金属网状吊顶灯光变化等设计提升空间感，体现一步一文化、一屏一窗口的效果。</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建设标准：根据效果图的要求，地面采用塑胶橡胶地板或拼格地毯，具备耐磨、降噪特点；综合考虑音频、视频、电力及配电、网络、空调、消防建设的部署、改造；施工材料、设备要符合相关国家行业标准或强制标准。</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2.3全媒体指挥调度中心</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“中央厨房”核心工作区，预设工作席位50-80个，重点建设指挥调度中心屏幕设备与墙体结合嵌入，大厅隔音降噪及声、光、电布局，要求大屏与墙体、室内环境完美融合。</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建设标准：根据效果图要求，指挥大厅做隔音降噪处理，应保证语音清晰，不得出现回声、多重回声、颤动回声、聚焦共振等缺陷，且不受设备噪声、大屏噪声以及外界环境噪声干扰（信噪比进行分区规划），吸音降噪材料符合环保标准；吊顶为钢网结构，修改原中央空调及消防喷淋结构适应吊顶安装，顶部预埋网络、电源及相关控制线路，供无线AP（无线WiFi）及其他附属设备接入；预埋音响线路；灯光亮度根据“中央厨房”使用情况自动调节（分不同的光照度规划）；屏幕前方双向领导席位应预留电源、网络、电话及升降设备安装接口；全遮光电动卷轴窗帘，南北墙面对应布局。</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2.4技术工作区</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开放式吊顶，墙面做主题造型加白瓷板，便于临时书写、记录，北侧玻璃幕墙开门可通往室外休闲小花园。</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建设标准：根据效果图施工，设置6个工作席位，网络、电源、大屏控制等线路预埋，集成音视频及网络信号端，可单独演示且与指挥调度中心信息互动。</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2.5小型会议室(E/F会议室)</w:t>
      </w:r>
    </w:p>
    <w:p>
      <w:pPr>
        <w:spacing w:line="360" w:lineRule="auto"/>
        <w:ind w:firstLine="480" w:firstLineChars="200"/>
        <w:rPr>
          <w:color w:val="auto"/>
          <w:szCs w:val="24"/>
        </w:rPr>
      </w:pPr>
      <w:r>
        <w:rPr>
          <w:rFonts w:hint="eastAsia" w:cs="仿宋" w:asciiTheme="minorEastAsia" w:hAnsiTheme="minorEastAsia" w:eastAsiaTheme="minorEastAsia"/>
          <w:color w:val="auto"/>
          <w:szCs w:val="24"/>
        </w:rPr>
        <w:t>会议室用来议事、讨论问题、集中学习、专题座谈等不同形式会议服务的专用场所，该场所对灯光、音效有专业要求。</w:t>
      </w:r>
      <w:r>
        <w:rPr>
          <w:rFonts w:hint="eastAsia"/>
          <w:color w:val="auto"/>
          <w:szCs w:val="24"/>
        </w:rPr>
        <w:t>主席区的平均照度不低于</w:t>
      </w:r>
      <w:r>
        <w:rPr>
          <w:rFonts w:ascii="Times New Roman" w:hAnsi="Times New Roman" w:cs="Times New Roman"/>
          <w:color w:val="auto"/>
          <w:szCs w:val="24"/>
        </w:rPr>
        <w:t>800lx</w:t>
      </w:r>
      <w:r>
        <w:rPr>
          <w:rFonts w:hint="eastAsia"/>
          <w:color w:val="auto"/>
          <w:szCs w:val="24"/>
        </w:rPr>
        <w:t>；一般区的平均照度不低于</w:t>
      </w:r>
      <w:r>
        <w:rPr>
          <w:rFonts w:ascii="Times New Roman" w:hAnsi="Times New Roman" w:cs="Times New Roman"/>
          <w:color w:val="auto"/>
          <w:szCs w:val="24"/>
        </w:rPr>
        <w:t>500lx</w:t>
      </w:r>
      <w:r>
        <w:rPr>
          <w:rFonts w:hint="eastAsia"/>
          <w:color w:val="auto"/>
          <w:szCs w:val="24"/>
        </w:rPr>
        <w:t>。监视器或大屏幕背投影机周围的照度：</w:t>
      </w:r>
      <w:r>
        <w:rPr>
          <w:rFonts w:ascii="Times New Roman" w:hAnsi="Times New Roman" w:cs="Times New Roman"/>
          <w:color w:val="auto"/>
          <w:szCs w:val="24"/>
        </w:rPr>
        <w:t>50LUX</w:t>
      </w:r>
      <w:r>
        <w:rPr>
          <w:rFonts w:hint="eastAsia"/>
          <w:color w:val="auto"/>
          <w:szCs w:val="24"/>
        </w:rPr>
        <w:t>～</w:t>
      </w:r>
      <w:r>
        <w:rPr>
          <w:rFonts w:ascii="Times New Roman" w:hAnsi="Times New Roman" w:cs="Times New Roman"/>
          <w:color w:val="auto"/>
          <w:szCs w:val="24"/>
        </w:rPr>
        <w:t>80LUX</w:t>
      </w:r>
      <w:r>
        <w:rPr>
          <w:rFonts w:hint="eastAsia"/>
          <w:color w:val="auto"/>
          <w:szCs w:val="24"/>
        </w:rPr>
        <w:t>之间。会议室须作音效处理设计，达到</w:t>
      </w:r>
      <w:r>
        <w:rPr>
          <w:rFonts w:hint="eastAsia" w:cs="仿宋" w:asciiTheme="minorEastAsia" w:hAnsiTheme="minorEastAsia" w:eastAsiaTheme="minorEastAsia"/>
          <w:color w:val="auto"/>
          <w:szCs w:val="24"/>
        </w:rPr>
        <w:t>语音清晰，不得出现回声、多重回声现象。</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建设标准：根据效果图施工，造型吊顶、烤漆玻璃墙面、灰色壁布、创意书写板材料符合国家环保标准，房间集成音视频及网络信号端，可单独演示且与调度中心信息互动。</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2.6小型直播间</w:t>
      </w:r>
    </w:p>
    <w:p>
      <w:pPr>
        <w:spacing w:line="360" w:lineRule="auto"/>
        <w:ind w:firstLine="480" w:firstLineChars="200"/>
        <w:rPr>
          <w:rFonts w:cs="仿宋" w:asciiTheme="minorEastAsia" w:hAnsiTheme="minorEastAsia" w:eastAsiaTheme="minorEastAsia"/>
          <w:bCs/>
          <w:color w:val="auto"/>
          <w:szCs w:val="24"/>
        </w:rPr>
      </w:pPr>
      <w:r>
        <w:rPr>
          <w:rFonts w:hint="eastAsia" w:cs="仿宋" w:asciiTheme="minorEastAsia" w:hAnsiTheme="minorEastAsia" w:eastAsiaTheme="minorEastAsia"/>
          <w:bCs/>
          <w:color w:val="auto"/>
          <w:szCs w:val="24"/>
        </w:rPr>
        <w:t>主要功能是媒体节目直播，环境必须符合直播功能的要求，包含灯光、音效设计与处理。</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建设标准：主播背景为广角屏幕造型，黑色井字格吊顶，预埋专业摄影灯光电源及桥架；中心区域设置多色电动升降幕布；集成音视频及网络信号端；隔音降噪处理。</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2.7小型录音室</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建设标准：录音室设计全部为吸音材料，不得出现回声、多重回声、颤动回声、聚焦共振等缺陷，物理隔绝外部噪声，按照效果图施工，预留电源、网络、视频、音频设备信号端。</w:t>
      </w:r>
    </w:p>
    <w:p>
      <w:pPr>
        <w:spacing w:line="360" w:lineRule="auto"/>
        <w:ind w:firstLine="482" w:firstLineChars="200"/>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2.8 VIP会客中心</w:t>
      </w:r>
    </w:p>
    <w:p>
      <w:pPr>
        <w:spacing w:line="360" w:lineRule="auto"/>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提供10-20余人的小型会议、洽谈。隔音处理，保证会谈的私密性，按效果图设计施工，</w:t>
      </w:r>
      <w:r>
        <w:rPr>
          <w:rFonts w:hint="eastAsia"/>
          <w:color w:val="auto"/>
          <w:szCs w:val="24"/>
        </w:rPr>
        <w:t>平均照度不低于</w:t>
      </w:r>
      <w:r>
        <w:rPr>
          <w:rFonts w:ascii="Times New Roman" w:hAnsi="Times New Roman" w:cs="Times New Roman"/>
          <w:color w:val="auto"/>
          <w:szCs w:val="24"/>
        </w:rPr>
        <w:t>500lx</w:t>
      </w:r>
      <w:r>
        <w:rPr>
          <w:rFonts w:hint="eastAsia"/>
          <w:color w:val="auto"/>
          <w:szCs w:val="24"/>
        </w:rPr>
        <w:t>。</w:t>
      </w:r>
    </w:p>
    <w:p>
      <w:pPr>
        <w:widowControl/>
        <w:adjustRightInd w:val="0"/>
        <w:snapToGrid w:val="0"/>
        <w:spacing w:line="360" w:lineRule="auto"/>
        <w:ind w:left="482"/>
        <w:jc w:val="left"/>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2.9室外小花园</w:t>
      </w:r>
    </w:p>
    <w:p>
      <w:pPr>
        <w:spacing w:line="360" w:lineRule="auto"/>
        <w:ind w:firstLine="48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防腐木地台、木质凉亭、石桌凳、绿植,营造清新自然的环境，作为临时休憩、放松区域，按效果图施工建设。</w:t>
      </w:r>
    </w:p>
    <w:p>
      <w:pPr>
        <w:spacing w:line="360" w:lineRule="auto"/>
        <w:ind w:firstLine="480"/>
        <w:rPr>
          <w:rFonts w:cs="仿宋" w:asciiTheme="minorEastAsia" w:hAnsiTheme="minorEastAsia" w:eastAsiaTheme="minorEastAsia"/>
          <w:color w:val="auto"/>
          <w:szCs w:val="24"/>
        </w:rPr>
      </w:pPr>
      <w:r>
        <w:rPr>
          <w:rFonts w:hint="eastAsia" w:cs="仿宋" w:asciiTheme="minorEastAsia" w:hAnsiTheme="minorEastAsia" w:eastAsiaTheme="minorEastAsia"/>
          <w:b/>
          <w:bCs/>
          <w:color w:val="auto"/>
          <w:szCs w:val="24"/>
        </w:rPr>
        <w:t>2.10设备间</w:t>
      </w:r>
    </w:p>
    <w:p>
      <w:pPr>
        <w:spacing w:line="360" w:lineRule="auto"/>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　　各区域显示设备信号处理、音响设备调试、网络信息交换机等相关设备的集中区域；消防以气体灭火为主。</w:t>
      </w:r>
    </w:p>
    <w:p>
      <w:pPr>
        <w:widowControl/>
        <w:adjustRightInd w:val="0"/>
        <w:snapToGrid w:val="0"/>
        <w:spacing w:line="360" w:lineRule="auto"/>
        <w:ind w:left="482"/>
        <w:jc w:val="left"/>
        <w:rPr>
          <w:rFonts w:cs="仿宋" w:asciiTheme="minorEastAsia" w:hAnsiTheme="minorEastAsia" w:eastAsiaTheme="minorEastAsia"/>
          <w:b/>
          <w:bCs/>
          <w:color w:val="auto"/>
          <w:szCs w:val="24"/>
        </w:rPr>
      </w:pPr>
      <w:r>
        <w:rPr>
          <w:rFonts w:hint="eastAsia" w:cs="仿宋" w:asciiTheme="minorEastAsia" w:hAnsiTheme="minorEastAsia" w:eastAsiaTheme="minorEastAsia"/>
          <w:b/>
          <w:bCs/>
          <w:color w:val="auto"/>
          <w:szCs w:val="24"/>
        </w:rPr>
        <w:t>2.11洗手间</w:t>
      </w:r>
    </w:p>
    <w:p>
      <w:pPr>
        <w:spacing w:line="360" w:lineRule="auto"/>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　　分洗手区和男女卫生间，各两个席位。墙面石材横向拼接，防滑地砖，扣板吊顶，按效果图设计施工。</w:t>
      </w:r>
    </w:p>
    <w:p>
      <w:pPr>
        <w:spacing w:line="400" w:lineRule="exact"/>
        <w:ind w:firstLine="482"/>
        <w:rPr>
          <w:rFonts w:ascii="宋体" w:cs="宋体"/>
          <w:b/>
          <w:bCs/>
          <w:color w:val="auto"/>
          <w:szCs w:val="32"/>
        </w:rPr>
      </w:pPr>
      <w:r>
        <w:rPr>
          <w:rFonts w:hint="eastAsia" w:ascii="宋体" w:hAnsi="宋体" w:cs="宋体"/>
          <w:b/>
          <w:bCs/>
          <w:color w:val="auto"/>
          <w:szCs w:val="32"/>
        </w:rPr>
        <w:t>三、相关技术要求</w:t>
      </w:r>
    </w:p>
    <w:p>
      <w:pPr>
        <w:spacing w:line="440" w:lineRule="atLeast"/>
        <w:ind w:firstLine="426"/>
        <w:rPr>
          <w:rFonts w:ascii="宋体" w:hAnsi="宋体" w:cs="宋体"/>
          <w:color w:val="auto"/>
          <w:szCs w:val="24"/>
        </w:rPr>
      </w:pPr>
      <w:r>
        <w:rPr>
          <w:rFonts w:hint="eastAsia" w:ascii="宋体" w:hAnsi="宋体" w:cs="宋体"/>
          <w:color w:val="auto"/>
          <w:szCs w:val="24"/>
        </w:rPr>
        <w:t>1.投标供应商须根据上述各功能区的要求及招标人提供的各功能区效果图，设计编制细详技术方案，同时须配套设计每个功能区的标准设计图。</w:t>
      </w:r>
    </w:p>
    <w:p>
      <w:pPr>
        <w:spacing w:line="440" w:lineRule="atLeast"/>
        <w:ind w:firstLine="426"/>
        <w:rPr>
          <w:rFonts w:ascii="宋体" w:hAnsi="宋体" w:cs="宋体"/>
          <w:color w:val="auto"/>
          <w:szCs w:val="24"/>
        </w:rPr>
      </w:pPr>
      <w:r>
        <w:rPr>
          <w:rFonts w:hint="eastAsia" w:ascii="宋体" w:hAnsi="宋体" w:cs="宋体"/>
          <w:color w:val="auto"/>
          <w:szCs w:val="24"/>
        </w:rPr>
        <w:t>2.在整体方案设计时要充分考虑与本次物理空间装修建设密不可分的其他系统的对接。</w:t>
      </w:r>
    </w:p>
    <w:p>
      <w:pPr>
        <w:spacing w:line="440" w:lineRule="atLeast"/>
        <w:ind w:firstLine="426"/>
        <w:rPr>
          <w:rFonts w:ascii="宋体" w:hAnsi="宋体" w:cs="宋体"/>
          <w:color w:val="auto"/>
          <w:szCs w:val="24"/>
        </w:rPr>
      </w:pPr>
      <w:r>
        <w:rPr>
          <w:rFonts w:hint="eastAsia" w:ascii="宋体" w:hAnsi="宋体" w:cs="宋体"/>
          <w:color w:val="auto"/>
          <w:szCs w:val="24"/>
        </w:rPr>
        <w:t>2.1为各功能区的消防设施出具改造设计方案（设计图纸），按照方案对原消防设施进行改造；特殊电气区域的消防应考虑全自动干粉或气体消防（干粉或气体消防不在本次采购范围内），并反映到该项设计方案中；规划相关消防设备的预留空间、接口，电源及控制信号预埋；根据各功能区的特别要求，消防设计应根据不同功能设计、施工本区域功能的消防配置；</w:t>
      </w:r>
    </w:p>
    <w:p>
      <w:pPr>
        <w:spacing w:line="440" w:lineRule="atLeast"/>
        <w:ind w:firstLine="426"/>
        <w:rPr>
          <w:rFonts w:ascii="宋体" w:hAnsi="宋体" w:cs="宋体"/>
          <w:color w:val="auto"/>
          <w:szCs w:val="24"/>
        </w:rPr>
      </w:pPr>
      <w:r>
        <w:rPr>
          <w:rFonts w:hint="eastAsia" w:ascii="宋体" w:hAnsi="宋体" w:cs="宋体"/>
          <w:color w:val="auto"/>
          <w:szCs w:val="24"/>
        </w:rPr>
        <w:t>2.2供配电设计，各功能区的供配电应充分考虑具体应用环境进行设计，细分为照明用电、办公设备用电、空调消防等专用设备用电，本项目包括供配电设备及电源线辅设；</w:t>
      </w:r>
    </w:p>
    <w:p>
      <w:pPr>
        <w:spacing w:line="440" w:lineRule="atLeast"/>
        <w:ind w:firstLine="426"/>
        <w:rPr>
          <w:rFonts w:ascii="宋体" w:hAnsi="宋体" w:cs="宋体"/>
          <w:color w:val="auto"/>
          <w:szCs w:val="24"/>
        </w:rPr>
      </w:pPr>
      <w:r>
        <w:rPr>
          <w:rFonts w:hint="eastAsia" w:ascii="宋体" w:hAnsi="宋体" w:cs="宋体"/>
          <w:color w:val="auto"/>
          <w:szCs w:val="24"/>
        </w:rPr>
        <w:t>2.3空调改造方案设计，因原空调系统不能满足和适应新建环境的需求，所以本次物理空间装修设计必包含空调系统设计、空调设备购置、配套新风系统及空调安装具体位置；</w:t>
      </w:r>
    </w:p>
    <w:p>
      <w:pPr>
        <w:spacing w:line="440" w:lineRule="atLeast"/>
        <w:ind w:firstLine="426"/>
        <w:rPr>
          <w:rFonts w:ascii="宋体" w:hAnsi="宋体" w:cs="宋体"/>
          <w:color w:val="auto"/>
          <w:szCs w:val="24"/>
        </w:rPr>
      </w:pPr>
      <w:r>
        <w:rPr>
          <w:rFonts w:hint="eastAsia" w:ascii="宋体" w:hAnsi="宋体" w:cs="宋体"/>
          <w:color w:val="auto"/>
          <w:szCs w:val="24"/>
        </w:rPr>
        <w:t>2.4网络布线、音（含电话）视频布线，设计方案要规范明细，根据不同区域设计满足不同的接口数量，本次采购包含综合布线，所有涉及到线路、信号接口均为冗余设计，最少两套（路）线路铺设施工；</w:t>
      </w:r>
    </w:p>
    <w:p>
      <w:pPr>
        <w:spacing w:line="440" w:lineRule="atLeast"/>
        <w:ind w:firstLine="426"/>
        <w:rPr>
          <w:rFonts w:ascii="宋体" w:hAnsi="宋体" w:cs="宋体"/>
          <w:color w:val="auto"/>
          <w:szCs w:val="24"/>
        </w:rPr>
      </w:pPr>
      <w:r>
        <w:rPr>
          <w:rFonts w:hint="eastAsia" w:ascii="宋体" w:hAnsi="宋体" w:cs="宋体"/>
          <w:color w:val="auto"/>
          <w:szCs w:val="24"/>
        </w:rPr>
        <w:t>2.5直播间、小型录音室设计安装专业灯光、音响设备。</w:t>
      </w:r>
    </w:p>
    <w:p>
      <w:pPr>
        <w:spacing w:line="440" w:lineRule="atLeast"/>
        <w:ind w:firstLine="426"/>
        <w:rPr>
          <w:rFonts w:ascii="宋体" w:hAnsi="宋体" w:cs="宋体"/>
          <w:color w:val="auto"/>
          <w:szCs w:val="24"/>
        </w:rPr>
      </w:pPr>
      <w:r>
        <w:rPr>
          <w:rFonts w:hint="eastAsia" w:ascii="宋体" w:hAnsi="宋体" w:cs="宋体"/>
          <w:color w:val="auto"/>
          <w:szCs w:val="24"/>
        </w:rPr>
        <w:t>3.效果图内的文化创意内容及制作包含在设计方案内，是本次空间装饰的内容。</w:t>
      </w:r>
    </w:p>
    <w:p>
      <w:pPr>
        <w:spacing w:line="440" w:lineRule="atLeast"/>
        <w:ind w:firstLine="426"/>
        <w:rPr>
          <w:rFonts w:ascii="宋体" w:hAnsi="宋体" w:cs="宋体"/>
          <w:color w:val="auto"/>
          <w:szCs w:val="24"/>
        </w:rPr>
      </w:pPr>
      <w:r>
        <w:rPr>
          <w:rFonts w:hint="eastAsia" w:ascii="宋体" w:hAnsi="宋体" w:cs="宋体"/>
          <w:color w:val="auto"/>
          <w:szCs w:val="24"/>
        </w:rPr>
        <w:t>4.大厅地面找平后作防尘处理后，钢架结构整体架空升高不小于25CM，在此基础上根据不同区域的功能要求，进行地面分区敷设。</w:t>
      </w:r>
    </w:p>
    <w:p>
      <w:pPr>
        <w:spacing w:line="440" w:lineRule="atLeast"/>
        <w:ind w:firstLine="426"/>
        <w:rPr>
          <w:rFonts w:ascii="宋体" w:hAnsi="宋体" w:cs="宋体"/>
          <w:color w:val="auto"/>
          <w:szCs w:val="24"/>
        </w:rPr>
      </w:pPr>
      <w:r>
        <w:rPr>
          <w:rFonts w:hint="eastAsia" w:ascii="宋体" w:hAnsi="宋体" w:cs="宋体"/>
          <w:color w:val="auto"/>
          <w:szCs w:val="24"/>
        </w:rPr>
        <w:t>5.本次物理空间建设需与后期设备集成有密切关联，要求尽可能充分考虑，预留不同接口，同时要求与后期建设进行配合，并提供相关配套工程建设或技术服务。</w:t>
      </w:r>
    </w:p>
    <w:p>
      <w:pPr>
        <w:spacing w:line="440" w:lineRule="atLeast"/>
        <w:ind w:firstLine="426"/>
        <w:rPr>
          <w:rFonts w:ascii="宋体" w:hAnsi="宋体" w:cs="宋体"/>
          <w:color w:val="auto"/>
          <w:szCs w:val="24"/>
        </w:rPr>
      </w:pPr>
      <w:r>
        <w:rPr>
          <w:rFonts w:hint="eastAsia" w:ascii="宋体" w:hAnsi="宋体" w:cs="宋体"/>
          <w:color w:val="auto"/>
          <w:szCs w:val="24"/>
        </w:rPr>
        <w:t>6.整个物理空间建设时充分考虑防雷、用电安全，设计时应进行防雷、用电接地处理，接地电阻达到技术规范标准，防雷达到三级防雷标准。</w:t>
      </w:r>
    </w:p>
    <w:p>
      <w:pPr>
        <w:spacing w:line="440" w:lineRule="atLeast"/>
        <w:ind w:firstLine="426"/>
        <w:rPr>
          <w:rFonts w:ascii="宋体" w:cs="宋体"/>
          <w:b/>
          <w:color w:val="auto"/>
          <w:szCs w:val="24"/>
        </w:rPr>
      </w:pPr>
      <w:r>
        <w:rPr>
          <w:rFonts w:hint="eastAsia" w:ascii="宋体" w:hAnsi="宋体" w:cs="宋体"/>
          <w:b/>
          <w:color w:val="auto"/>
          <w:szCs w:val="24"/>
        </w:rPr>
        <w:t>四、其他要求</w:t>
      </w:r>
    </w:p>
    <w:p>
      <w:pPr>
        <w:spacing w:line="420" w:lineRule="exact"/>
        <w:ind w:firstLine="480"/>
        <w:rPr>
          <w:rFonts w:ascii="宋体" w:cs="宋体"/>
          <w:bCs/>
          <w:color w:val="auto"/>
          <w:szCs w:val="24"/>
        </w:rPr>
      </w:pPr>
      <w:r>
        <w:rPr>
          <w:rFonts w:hint="eastAsia" w:ascii="宋体" w:cs="宋体"/>
          <w:bCs/>
          <w:color w:val="auto"/>
          <w:szCs w:val="24"/>
        </w:rPr>
        <w:t>1.供应商获取磋商文件后，应当进行现场调研，对各区功能要求进行现场勘察设计，制定详细的建设方案，对功能区装修选材进行详细测算。</w:t>
      </w:r>
    </w:p>
    <w:p>
      <w:pPr>
        <w:spacing w:line="420" w:lineRule="exact"/>
        <w:ind w:firstLine="480"/>
        <w:rPr>
          <w:rFonts w:ascii="宋体" w:hAnsi="宋体" w:cs="宋体"/>
          <w:bCs/>
          <w:color w:val="auto"/>
          <w:szCs w:val="24"/>
        </w:rPr>
      </w:pPr>
      <w:r>
        <w:rPr>
          <w:rFonts w:hint="eastAsia" w:ascii="宋体" w:hAnsi="宋体" w:cs="宋体"/>
          <w:bCs/>
          <w:color w:val="auto"/>
          <w:szCs w:val="24"/>
        </w:rPr>
        <w:t>2</w:t>
      </w:r>
      <w:r>
        <w:rPr>
          <w:rFonts w:ascii="宋体" w:hAnsi="宋体" w:cs="宋体"/>
          <w:bCs/>
          <w:color w:val="auto"/>
          <w:szCs w:val="24"/>
        </w:rPr>
        <w:t>.</w:t>
      </w:r>
      <w:r>
        <w:rPr>
          <w:rFonts w:hint="eastAsia" w:ascii="宋体" w:hAnsi="宋体" w:cs="宋体"/>
          <w:bCs/>
          <w:color w:val="auto"/>
          <w:szCs w:val="24"/>
        </w:rPr>
        <w:t>响应文件中必须提供项目具体的建设方案（含分项具体建设方案），包括选用的材料、器材、设备的详细说明，及如何实现各区域的功能。</w:t>
      </w:r>
    </w:p>
    <w:p>
      <w:pPr>
        <w:spacing w:line="420" w:lineRule="exact"/>
        <w:ind w:firstLine="480"/>
        <w:rPr>
          <w:rFonts w:ascii="宋体" w:hAnsi="宋体" w:cs="宋体"/>
          <w:bCs/>
          <w:color w:val="auto"/>
          <w:szCs w:val="24"/>
        </w:rPr>
      </w:pPr>
      <w:r>
        <w:rPr>
          <w:rFonts w:hint="eastAsia" w:ascii="宋体" w:hAnsi="宋体" w:cs="宋体"/>
          <w:bCs/>
          <w:color w:val="auto"/>
          <w:szCs w:val="24"/>
        </w:rPr>
        <w:t>3．所有空间的墙面均达至建筑顶部，全部密封处理，阻隔房间噪声；底部做防水处理。</w:t>
      </w:r>
    </w:p>
    <w:p>
      <w:pPr>
        <w:spacing w:line="420" w:lineRule="exact"/>
        <w:ind w:firstLine="480"/>
        <w:rPr>
          <w:rFonts w:ascii="宋体" w:hAnsi="宋体" w:cs="宋体"/>
          <w:bCs/>
          <w:color w:val="auto"/>
          <w:szCs w:val="24"/>
        </w:rPr>
      </w:pPr>
      <w:r>
        <w:rPr>
          <w:rFonts w:hint="eastAsia" w:ascii="宋体" w:hAnsi="宋体" w:cs="宋体"/>
          <w:bCs/>
          <w:color w:val="auto"/>
          <w:szCs w:val="24"/>
        </w:rPr>
        <w:t>4.整个项目地面整体抬高，用于铺设线路，各房间均预留地面暗藏维修口，便于线路检修及增项线路铺设。</w:t>
      </w:r>
    </w:p>
    <w:p>
      <w:pPr>
        <w:spacing w:line="420" w:lineRule="exact"/>
        <w:ind w:firstLine="480"/>
        <w:rPr>
          <w:rFonts w:ascii="宋体" w:hAnsi="宋体" w:cs="宋体"/>
          <w:bCs/>
          <w:color w:val="auto"/>
          <w:szCs w:val="24"/>
        </w:rPr>
      </w:pPr>
      <w:r>
        <w:rPr>
          <w:rFonts w:hint="eastAsia" w:ascii="宋体" w:hAnsi="宋体" w:cs="宋体"/>
          <w:bCs/>
          <w:color w:val="auto"/>
          <w:szCs w:val="24"/>
        </w:rPr>
        <w:t>5．各预埋线路管网（桥架），不得接触地面，离地面具有一定高度，减少地面积水对线路的损坏。</w:t>
      </w:r>
    </w:p>
    <w:p>
      <w:pPr>
        <w:spacing w:line="420" w:lineRule="exact"/>
        <w:ind w:firstLine="480"/>
        <w:rPr>
          <w:rFonts w:ascii="宋体" w:hAnsi="宋体" w:cs="宋体"/>
          <w:bCs/>
          <w:color w:val="auto"/>
          <w:szCs w:val="24"/>
        </w:rPr>
      </w:pPr>
      <w:r>
        <w:rPr>
          <w:rFonts w:hint="eastAsia" w:ascii="宋体" w:hAnsi="宋体" w:cs="宋体"/>
          <w:bCs/>
          <w:color w:val="auto"/>
          <w:szCs w:val="24"/>
        </w:rPr>
        <w:t>6.为了降低对环境建设损坏的风险，除总体方案外，还须设计线路预埋方案；设计隔音降噪方案；设计消防调整或对接方案；设计空调系统改造建设对接方案。</w:t>
      </w:r>
    </w:p>
    <w:p>
      <w:pPr>
        <w:spacing w:line="420" w:lineRule="exact"/>
        <w:ind w:firstLine="480" w:firstLineChars="200"/>
        <w:rPr>
          <w:rFonts w:ascii="宋体" w:hAnsi="宋体"/>
          <w:bCs/>
          <w:color w:val="auto"/>
        </w:rPr>
      </w:pPr>
      <w:r>
        <w:rPr>
          <w:rFonts w:hint="eastAsia" w:ascii="宋体" w:hAnsi="宋体" w:cs="宋体"/>
          <w:bCs/>
          <w:color w:val="auto"/>
        </w:rPr>
        <w:t>7.</w:t>
      </w:r>
      <w:r>
        <w:rPr>
          <w:rFonts w:hint="eastAsia" w:ascii="宋体" w:hAnsi="宋体"/>
          <w:bCs/>
          <w:color w:val="auto"/>
        </w:rPr>
        <w:t>专利权：供应商应保证用户在使用该专利或其任何一部分时不受第三方提出侵犯其专利权等的起诉。</w:t>
      </w:r>
    </w:p>
    <w:p>
      <w:pPr>
        <w:spacing w:line="420" w:lineRule="exact"/>
        <w:ind w:firstLine="480" w:firstLineChars="200"/>
        <w:rPr>
          <w:rFonts w:ascii="宋体" w:hAnsi="宋体"/>
          <w:bCs/>
          <w:color w:val="auto"/>
        </w:rPr>
      </w:pPr>
      <w:r>
        <w:rPr>
          <w:rFonts w:hint="eastAsia" w:ascii="宋体" w:hAnsi="宋体"/>
          <w:bCs/>
          <w:color w:val="auto"/>
        </w:rPr>
        <w:t>8.所选用的装饰材料、器材必须符</w:t>
      </w:r>
      <w:r>
        <w:rPr>
          <w:rFonts w:hint="eastAsia" w:ascii="宋体" w:hAnsi="宋体"/>
          <w:bCs/>
          <w:color w:val="auto"/>
        </w:rPr>
        <w:t>合</w:t>
      </w:r>
      <w:r>
        <w:rPr>
          <w:rFonts w:hint="eastAsia" w:ascii="宋体" w:hAnsi="宋体"/>
          <w:bCs/>
          <w:color w:val="auto"/>
        </w:rPr>
        <w:t>节能及环保国家标要求。</w:t>
      </w:r>
    </w:p>
    <w:p>
      <w:pPr>
        <w:spacing w:line="420" w:lineRule="exact"/>
        <w:ind w:firstLine="480" w:firstLineChars="200"/>
        <w:rPr>
          <w:rFonts w:ascii="宋体" w:hAnsi="宋体"/>
          <w:bCs/>
          <w:color w:val="auto"/>
        </w:rPr>
      </w:pPr>
      <w:r>
        <w:rPr>
          <w:rFonts w:hint="eastAsia" w:ascii="宋体" w:hAnsi="宋体"/>
          <w:bCs/>
          <w:color w:val="auto"/>
        </w:rPr>
        <w:t>9.本项目最后报价为总包价,包括项目建设费、技术服务费、验收费等与其他协助单位产生的费用等，采购人不另行支付任何其他费用。</w:t>
      </w:r>
    </w:p>
    <w:p>
      <w:pPr>
        <w:spacing w:line="420" w:lineRule="exact"/>
        <w:ind w:firstLine="480" w:firstLineChars="200"/>
        <w:rPr>
          <w:rFonts w:ascii="宋体" w:hAnsi="宋体"/>
          <w:bCs/>
          <w:color w:val="auto"/>
        </w:rPr>
      </w:pPr>
      <w:r>
        <w:rPr>
          <w:rFonts w:hint="eastAsia" w:ascii="宋体" w:hAnsi="宋体"/>
          <w:bCs/>
          <w:color w:val="auto"/>
        </w:rPr>
        <w:t>10.售后服务及质保。要求供应商提供完整的售后服务方案，做到24小时响应，4小时内现场解决问题。质保期3年，质保期内全免费服务。</w:t>
      </w:r>
    </w:p>
    <w:p>
      <w:pPr>
        <w:spacing w:line="420" w:lineRule="exact"/>
        <w:ind w:firstLine="480" w:firstLineChars="200"/>
        <w:rPr>
          <w:rFonts w:ascii="宋体" w:hAnsi="宋体"/>
          <w:bCs/>
          <w:color w:val="auto"/>
        </w:rPr>
      </w:pPr>
      <w:r>
        <w:rPr>
          <w:rFonts w:hint="eastAsia" w:ascii="宋体" w:hAnsi="宋体"/>
          <w:bCs/>
          <w:color w:val="auto"/>
        </w:rPr>
        <w:t>11.验收。项目建设完成具备验收条件后，由甲方组织专家、相关专业机构组成验收小组，对项目进行全面验收，主要包括功能验收、质量验收、材料节能环保标准验收，涉及灯光、音响、综合布线、电源安全还邀请专业机构单独检测验收，并出具验收报告。验收不合格者必须整改合格。验收、检测费用及整改费用由供应商支付。</w:t>
      </w: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rPr>
          <w:rFonts w:ascii="宋体" w:hAnsi="宋体" w:cs="宋体"/>
          <w:bCs/>
          <w:color w:val="auto"/>
          <w:szCs w:val="24"/>
        </w:rPr>
      </w:pPr>
    </w:p>
    <w:p>
      <w:pPr>
        <w:spacing w:line="420" w:lineRule="exact"/>
        <w:ind w:firstLine="140" w:firstLineChars="44"/>
        <w:jc w:val="center"/>
        <w:rPr>
          <w:color w:val="auto"/>
          <w:sz w:val="32"/>
          <w:szCs w:val="32"/>
        </w:rPr>
      </w:pPr>
      <w:r>
        <w:rPr>
          <w:rFonts w:hint="eastAsia" w:ascii="黑体" w:hAnsi="黑体" w:eastAsia="黑体"/>
          <w:color w:val="auto"/>
          <w:sz w:val="32"/>
          <w:szCs w:val="32"/>
        </w:rPr>
        <w:t>第三章  竞争性磋商须知</w:t>
      </w:r>
    </w:p>
    <w:p>
      <w:pPr>
        <w:pStyle w:val="27"/>
        <w:ind w:firstLine="424"/>
        <w:jc w:val="both"/>
        <w:rPr>
          <w:color w:val="auto"/>
          <w:sz w:val="24"/>
          <w:szCs w:val="24"/>
        </w:rPr>
      </w:pPr>
      <w:bookmarkStart w:id="2" w:name="_Toc448307925"/>
      <w:bookmarkEnd w:id="2"/>
      <w:r>
        <w:rPr>
          <w:rFonts w:hint="eastAsia"/>
          <w:color w:val="auto"/>
          <w:sz w:val="24"/>
          <w:szCs w:val="24"/>
        </w:rPr>
        <w:t>一、响应供应商须知见附表</w:t>
      </w:r>
    </w:p>
    <w:p>
      <w:pPr>
        <w:spacing w:line="360" w:lineRule="exact"/>
        <w:ind w:firstLine="480"/>
        <w:rPr>
          <w:rFonts w:ascii="宋体" w:cs="宋体"/>
          <w:color w:val="auto"/>
          <w:szCs w:val="24"/>
        </w:rPr>
      </w:pPr>
      <w:r>
        <w:rPr>
          <w:rFonts w:hint="eastAsia" w:ascii="宋体" w:hAnsi="宋体" w:cs="宋体"/>
          <w:color w:val="auto"/>
          <w:szCs w:val="24"/>
        </w:rPr>
        <w:t>本表关于本次竞争性磋商采购的具体资料内容，是对竞争性磋商须知的具体补充和修改，如有矛盾，应以本资料表为准。本表中没有涉及到的条款，仍以竞争性磋商须知的相应条款为准。</w:t>
      </w:r>
    </w:p>
    <w:tbl>
      <w:tblPr>
        <w:tblStyle w:val="33"/>
        <w:tblW w:w="9781" w:type="dxa"/>
        <w:tblInd w:w="-44" w:type="dxa"/>
        <w:tblLayout w:type="fixed"/>
        <w:tblCellMar>
          <w:top w:w="0" w:type="dxa"/>
          <w:left w:w="10" w:type="dxa"/>
          <w:bottom w:w="0" w:type="dxa"/>
          <w:right w:w="10" w:type="dxa"/>
        </w:tblCellMar>
      </w:tblPr>
      <w:tblGrid>
        <w:gridCol w:w="709"/>
        <w:gridCol w:w="9072"/>
      </w:tblGrid>
      <w:tr>
        <w:tblPrEx>
          <w:tblLayout w:type="fixed"/>
          <w:tblCellMar>
            <w:top w:w="0" w:type="dxa"/>
            <w:left w:w="10" w:type="dxa"/>
            <w:bottom w:w="0" w:type="dxa"/>
            <w:right w:w="10"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hint="eastAsia" w:ascii="宋体" w:hAnsi="宋体" w:cs="宋体"/>
                <w:color w:val="auto"/>
                <w:sz w:val="21"/>
                <w:szCs w:val="21"/>
              </w:rPr>
              <w:t>序号</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hint="eastAsia" w:ascii="宋体" w:hAnsi="宋体" w:cs="宋体"/>
                <w:color w:val="auto"/>
                <w:sz w:val="21"/>
                <w:szCs w:val="21"/>
              </w:rPr>
              <w:t>内容</w:t>
            </w:r>
          </w:p>
        </w:tc>
      </w:tr>
      <w:tr>
        <w:tblPrEx>
          <w:tblLayout w:type="fixed"/>
          <w:tblCellMar>
            <w:top w:w="0" w:type="dxa"/>
            <w:left w:w="10" w:type="dxa"/>
            <w:bottom w:w="0" w:type="dxa"/>
            <w:right w:w="10" w:type="dxa"/>
          </w:tblCellMar>
        </w:tblPrEx>
        <w:trPr>
          <w:trHeight w:val="385" w:hRule="atLeast"/>
        </w:trPr>
        <w:tc>
          <w:tcPr>
            <w:tcW w:w="70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s="宋体"/>
                <w:color w:val="auto"/>
                <w:sz w:val="21"/>
                <w:szCs w:val="21"/>
              </w:rPr>
            </w:pPr>
            <w:r>
              <w:rPr>
                <w:rFonts w:ascii="宋体" w:hAnsi="宋体" w:cs="宋体"/>
                <w:color w:val="auto"/>
                <w:sz w:val="21"/>
                <w:szCs w:val="21"/>
              </w:rPr>
              <w:t>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Cambria" w:hAnsi="Cambria"/>
                <w:color w:val="auto"/>
                <w:sz w:val="21"/>
                <w:szCs w:val="21"/>
              </w:rPr>
            </w:pPr>
            <w:r>
              <w:rPr>
                <w:rFonts w:hint="eastAsia" w:ascii="宋体" w:hAnsi="宋体" w:cs="宋体"/>
                <w:color w:val="auto"/>
                <w:sz w:val="21"/>
                <w:szCs w:val="21"/>
              </w:rPr>
              <w:t>采购人：许昌融智传媒有限公司；地址：许昌市八龙路；联系人</w:t>
            </w:r>
            <w:r>
              <w:rPr>
                <w:rFonts w:hint="eastAsia"/>
                <w:color w:val="auto"/>
                <w:sz w:val="21"/>
                <w:szCs w:val="21"/>
              </w:rPr>
              <w:t>：刘先生；</w:t>
            </w:r>
            <w:r>
              <w:rPr>
                <w:rFonts w:hint="eastAsia" w:ascii="宋体" w:hAnsi="宋体" w:cs="宋体"/>
                <w:color w:val="auto"/>
                <w:sz w:val="21"/>
                <w:szCs w:val="21"/>
              </w:rPr>
              <w:t>电话：</w:t>
            </w:r>
            <w:r>
              <w:rPr>
                <w:rFonts w:hint="eastAsia" w:ascii="宋体" w:hAnsi="宋体" w:cs="宋体"/>
                <w:color w:val="auto"/>
                <w:kern w:val="0"/>
              </w:rPr>
              <w:t>13837475511</w:t>
            </w:r>
            <w:r>
              <w:rPr>
                <w:rFonts w:hint="eastAsia" w:ascii="宋体" w:hAnsi="宋体" w:cs="宋体"/>
                <w:color w:val="auto"/>
                <w:sz w:val="21"/>
                <w:szCs w:val="21"/>
              </w:rPr>
              <w:t>。</w:t>
            </w:r>
          </w:p>
        </w:tc>
      </w:tr>
      <w:tr>
        <w:tblPrEx>
          <w:tblLayout w:type="fixed"/>
          <w:tblCellMar>
            <w:top w:w="0" w:type="dxa"/>
            <w:left w:w="10" w:type="dxa"/>
            <w:bottom w:w="0" w:type="dxa"/>
            <w:right w:w="10" w:type="dxa"/>
          </w:tblCellMar>
        </w:tblPrEx>
        <w:trPr>
          <w:trHeight w:val="712" w:hRule="atLeast"/>
        </w:trPr>
        <w:tc>
          <w:tcPr>
            <w:tcW w:w="70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color w:val="auto"/>
              </w:rPr>
            </w:pP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color w:val="auto"/>
                <w:sz w:val="21"/>
                <w:szCs w:val="21"/>
              </w:rPr>
            </w:pPr>
            <w:r>
              <w:rPr>
                <w:rFonts w:hint="eastAsia" w:ascii="宋体" w:hAnsi="宋体" w:cs="宋体"/>
                <w:color w:val="auto"/>
                <w:sz w:val="21"/>
                <w:szCs w:val="21"/>
              </w:rPr>
              <w:t>代理机构：许昌光大电子商务技术服务有公司；地址：许昌市智慧大道亨源通广场1号楼401室；联系人：靳女士、电话：13323993003、0374-2365558。</w:t>
            </w:r>
          </w:p>
        </w:tc>
      </w:tr>
      <w:tr>
        <w:tblPrEx>
          <w:tblLayout w:type="fixed"/>
          <w:tblCellMar>
            <w:top w:w="0" w:type="dxa"/>
            <w:left w:w="10" w:type="dxa"/>
            <w:bottom w:w="0" w:type="dxa"/>
            <w:right w:w="10" w:type="dxa"/>
          </w:tblCellMar>
        </w:tblPrEx>
        <w:trPr>
          <w:trHeight w:val="58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s="宋体"/>
                <w:color w:val="auto"/>
                <w:sz w:val="21"/>
                <w:szCs w:val="21"/>
              </w:rPr>
            </w:pPr>
            <w:r>
              <w:rPr>
                <w:rFonts w:ascii="宋体" w:hAnsi="宋体" w:cs="宋体"/>
                <w:color w:val="auto"/>
                <w:sz w:val="21"/>
                <w:szCs w:val="21"/>
              </w:rPr>
              <w:t>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color w:val="auto"/>
                <w:sz w:val="21"/>
                <w:szCs w:val="21"/>
              </w:rPr>
            </w:pPr>
            <w:r>
              <w:rPr>
                <w:rFonts w:hint="eastAsia" w:ascii="宋体" w:hAnsi="宋体" w:cs="宋体"/>
                <w:color w:val="auto"/>
                <w:sz w:val="21"/>
                <w:szCs w:val="21"/>
              </w:rPr>
              <w:t>资格条件：</w:t>
            </w:r>
          </w:p>
          <w:p>
            <w:pPr>
              <w:spacing w:line="240" w:lineRule="atLeast"/>
              <w:rPr>
                <w:rFonts w:ascii="宋体" w:hAnsi="宋体" w:cs="宋体"/>
                <w:color w:val="auto"/>
                <w:sz w:val="21"/>
                <w:szCs w:val="21"/>
              </w:rPr>
            </w:pPr>
            <w:r>
              <w:rPr>
                <w:rFonts w:hint="eastAsia" w:ascii="宋体" w:hAnsi="宋体" w:cs="宋体"/>
                <w:color w:val="auto"/>
                <w:sz w:val="21"/>
                <w:szCs w:val="21"/>
              </w:rPr>
              <w:t>1.具备独立的法人资格。</w:t>
            </w:r>
          </w:p>
          <w:p>
            <w:pPr>
              <w:spacing w:line="240" w:lineRule="atLeast"/>
              <w:rPr>
                <w:rFonts w:ascii="宋体" w:hAnsi="宋体" w:cs="宋体"/>
                <w:color w:val="auto"/>
                <w:sz w:val="21"/>
                <w:szCs w:val="21"/>
              </w:rPr>
            </w:pPr>
            <w:r>
              <w:rPr>
                <w:rFonts w:hint="eastAsia" w:ascii="宋体" w:hAnsi="宋体" w:cs="宋体"/>
                <w:color w:val="auto"/>
                <w:sz w:val="21"/>
                <w:szCs w:val="21"/>
              </w:rPr>
              <w:t>2．具有良好的商业信誉和健全的财务制度。</w:t>
            </w:r>
          </w:p>
          <w:p>
            <w:pPr>
              <w:spacing w:line="240" w:lineRule="atLeast"/>
              <w:rPr>
                <w:rFonts w:ascii="宋体" w:hAnsi="宋体" w:cs="宋体"/>
                <w:color w:val="auto"/>
                <w:sz w:val="21"/>
                <w:szCs w:val="21"/>
              </w:rPr>
            </w:pPr>
            <w:r>
              <w:rPr>
                <w:rFonts w:hint="eastAsia" w:ascii="宋体" w:hAnsi="宋体" w:cs="宋体"/>
                <w:color w:val="auto"/>
                <w:sz w:val="21"/>
                <w:szCs w:val="21"/>
              </w:rPr>
              <w:t>3.具有履行合同所必需的设备和专业技术能力。</w:t>
            </w:r>
          </w:p>
          <w:p>
            <w:pPr>
              <w:spacing w:line="240" w:lineRule="atLeast"/>
              <w:rPr>
                <w:rFonts w:ascii="宋体" w:hAnsi="宋体" w:cs="宋体"/>
                <w:color w:val="auto"/>
                <w:sz w:val="21"/>
                <w:szCs w:val="21"/>
              </w:rPr>
            </w:pPr>
            <w:r>
              <w:rPr>
                <w:rFonts w:hint="eastAsia" w:ascii="宋体" w:hAnsi="宋体" w:cs="宋体"/>
                <w:color w:val="auto"/>
                <w:sz w:val="21"/>
                <w:szCs w:val="21"/>
              </w:rPr>
              <w:t>4.有依法缴纳税收和社会保障资金的良好记录。</w:t>
            </w:r>
          </w:p>
          <w:p>
            <w:pPr>
              <w:spacing w:line="240" w:lineRule="atLeast"/>
              <w:rPr>
                <w:rFonts w:ascii="宋体" w:hAnsi="宋体" w:cs="宋体"/>
                <w:color w:val="auto"/>
                <w:sz w:val="21"/>
                <w:szCs w:val="21"/>
              </w:rPr>
            </w:pPr>
            <w:r>
              <w:rPr>
                <w:rFonts w:hint="eastAsia" w:ascii="宋体" w:hAnsi="宋体" w:cs="宋体"/>
                <w:color w:val="auto"/>
                <w:sz w:val="21"/>
                <w:szCs w:val="21"/>
              </w:rPr>
              <w:t>5．具有有效的安全生产许可证。</w:t>
            </w:r>
          </w:p>
          <w:p>
            <w:pPr>
              <w:spacing w:line="240" w:lineRule="atLeast"/>
              <w:rPr>
                <w:rFonts w:ascii="宋体" w:hAnsi="宋体" w:cs="宋体"/>
                <w:color w:val="auto"/>
                <w:sz w:val="21"/>
                <w:szCs w:val="21"/>
              </w:rPr>
            </w:pPr>
            <w:r>
              <w:rPr>
                <w:rFonts w:hint="eastAsia" w:ascii="宋体" w:hAnsi="宋体" w:cs="宋体"/>
                <w:color w:val="auto"/>
                <w:sz w:val="21"/>
                <w:szCs w:val="21"/>
              </w:rPr>
              <w:t>6．未被列入“信用中国”网站(www.creditchina.gov.cn)信用记录失信被执行人、重大税收违法案件当事人名单、政府采购严重违法失信名单的投标人；中国政府采购网(www.ccgp.gov.cn)政府采购严重违法失信行为记录名单的投标人。</w:t>
            </w:r>
          </w:p>
          <w:p>
            <w:pPr>
              <w:spacing w:line="240" w:lineRule="atLeast"/>
              <w:rPr>
                <w:rFonts w:ascii="宋体" w:hAnsi="宋体" w:cs="宋体"/>
                <w:color w:val="auto"/>
                <w:sz w:val="21"/>
                <w:szCs w:val="21"/>
              </w:rPr>
            </w:pPr>
            <w:r>
              <w:rPr>
                <w:rFonts w:hint="eastAsia" w:ascii="宋体" w:hAnsi="宋体" w:cs="宋体"/>
                <w:color w:val="auto"/>
                <w:sz w:val="21"/>
                <w:szCs w:val="21"/>
              </w:rPr>
              <w:t>7．本项目不接受联合体参加谈判。</w:t>
            </w:r>
          </w:p>
        </w:tc>
      </w:tr>
      <w:tr>
        <w:tblPrEx>
          <w:tblLayout w:type="fixed"/>
          <w:tblCellMar>
            <w:top w:w="0" w:type="dxa"/>
            <w:left w:w="10" w:type="dxa"/>
            <w:bottom w:w="0" w:type="dxa"/>
            <w:right w:w="10" w:type="dxa"/>
          </w:tblCellMar>
        </w:tblPrEx>
        <w:trPr>
          <w:trHeight w:val="248"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color w:val="auto"/>
                <w:sz w:val="21"/>
                <w:szCs w:val="21"/>
              </w:rPr>
            </w:pPr>
            <w:r>
              <w:rPr>
                <w:rFonts w:hint="eastAsia" w:ascii="宋体" w:hAnsi="宋体" w:cs="宋体"/>
                <w:color w:val="auto"/>
                <w:sz w:val="21"/>
                <w:szCs w:val="21"/>
              </w:rPr>
              <w:t>标段：不分标段。</w:t>
            </w:r>
          </w:p>
        </w:tc>
      </w:tr>
      <w:tr>
        <w:tblPrEx>
          <w:tblLayout w:type="fixed"/>
          <w:tblCellMar>
            <w:top w:w="0" w:type="dxa"/>
            <w:left w:w="10" w:type="dxa"/>
            <w:bottom w:w="0" w:type="dxa"/>
            <w:right w:w="10"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4</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color w:val="auto"/>
                <w:sz w:val="21"/>
                <w:szCs w:val="21"/>
              </w:rPr>
            </w:pPr>
            <w:r>
              <w:rPr>
                <w:rFonts w:hint="eastAsia" w:ascii="宋体" w:hAnsi="宋体" w:cs="宋体"/>
                <w:color w:val="auto"/>
                <w:sz w:val="21"/>
                <w:szCs w:val="21"/>
              </w:rPr>
              <w:t>工期：55日历天。</w:t>
            </w:r>
          </w:p>
        </w:tc>
      </w:tr>
      <w:tr>
        <w:tblPrEx>
          <w:tblLayout w:type="fixed"/>
          <w:tblCellMar>
            <w:top w:w="0" w:type="dxa"/>
            <w:left w:w="10" w:type="dxa"/>
            <w:bottom w:w="0" w:type="dxa"/>
            <w:right w:w="10" w:type="dxa"/>
          </w:tblCellMar>
        </w:tblPrEx>
        <w:trPr>
          <w:trHeight w:val="32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5</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color w:val="auto"/>
                <w:sz w:val="21"/>
                <w:szCs w:val="21"/>
              </w:rPr>
            </w:pPr>
            <w:r>
              <w:rPr>
                <w:rFonts w:hint="eastAsia" w:ascii="宋体" w:hAnsi="宋体" w:cs="宋体"/>
                <w:color w:val="auto"/>
                <w:sz w:val="21"/>
                <w:szCs w:val="21"/>
              </w:rPr>
              <w:t>最高限价：玖拾捌万元整（¥：980000.00）</w:t>
            </w:r>
          </w:p>
        </w:tc>
      </w:tr>
      <w:tr>
        <w:tblPrEx>
          <w:tblLayout w:type="fixed"/>
          <w:tblCellMar>
            <w:top w:w="0" w:type="dxa"/>
            <w:left w:w="10" w:type="dxa"/>
            <w:bottom w:w="0" w:type="dxa"/>
            <w:right w:w="10"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6</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color w:val="auto"/>
                <w:sz w:val="21"/>
                <w:szCs w:val="21"/>
              </w:rPr>
            </w:pPr>
            <w:r>
              <w:rPr>
                <w:rFonts w:hint="eastAsia" w:ascii="宋体" w:hAnsi="宋体" w:cs="宋体"/>
                <w:color w:val="auto"/>
                <w:sz w:val="21"/>
                <w:szCs w:val="21"/>
              </w:rPr>
              <w:t>报价：最后报价不得超过最高限价。最后报价为总包价，包含设计、施工、材料、电器及文化创意等全部费用。</w:t>
            </w:r>
          </w:p>
        </w:tc>
      </w:tr>
      <w:tr>
        <w:tblPrEx>
          <w:tblLayout w:type="fixed"/>
          <w:tblCellMar>
            <w:top w:w="0" w:type="dxa"/>
            <w:left w:w="10" w:type="dxa"/>
            <w:bottom w:w="0" w:type="dxa"/>
            <w:right w:w="10" w:type="dxa"/>
          </w:tblCellMar>
        </w:tblPrEx>
        <w:trPr>
          <w:trHeight w:val="2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7</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color w:val="auto"/>
                <w:sz w:val="21"/>
                <w:szCs w:val="21"/>
              </w:rPr>
            </w:pPr>
            <w:r>
              <w:rPr>
                <w:rFonts w:hint="eastAsia" w:ascii="宋体" w:hAnsi="宋体" w:cs="宋体"/>
                <w:color w:val="auto"/>
                <w:sz w:val="21"/>
                <w:szCs w:val="21"/>
              </w:rPr>
              <w:t>磋商有效期：60天</w:t>
            </w:r>
          </w:p>
        </w:tc>
      </w:tr>
      <w:tr>
        <w:tblPrEx>
          <w:tblLayout w:type="fixed"/>
          <w:tblCellMar>
            <w:top w:w="0" w:type="dxa"/>
            <w:left w:w="10" w:type="dxa"/>
            <w:bottom w:w="0" w:type="dxa"/>
            <w:right w:w="10" w:type="dxa"/>
          </w:tblCellMar>
        </w:tblPrEx>
        <w:trPr>
          <w:trHeight w:val="33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8</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color w:val="auto"/>
                <w:sz w:val="21"/>
                <w:szCs w:val="21"/>
              </w:rPr>
            </w:pPr>
            <w:r>
              <w:rPr>
                <w:rFonts w:hint="eastAsia" w:ascii="宋体" w:hAnsi="宋体" w:cs="宋体"/>
                <w:color w:val="auto"/>
                <w:sz w:val="21"/>
                <w:szCs w:val="21"/>
              </w:rPr>
              <w:t>（1）响应文件：正本：1份，副本：叁份，胶装订成册。</w:t>
            </w:r>
          </w:p>
          <w:p>
            <w:pPr>
              <w:spacing w:line="240" w:lineRule="atLeast"/>
              <w:rPr>
                <w:rFonts w:ascii="宋体" w:hAnsi="宋体" w:cs="宋体"/>
                <w:color w:val="auto"/>
                <w:sz w:val="21"/>
                <w:szCs w:val="21"/>
              </w:rPr>
            </w:pPr>
            <w:r>
              <w:rPr>
                <w:rFonts w:hint="eastAsia" w:ascii="宋体" w:hAnsi="宋体" w:cs="宋体"/>
                <w:color w:val="auto"/>
                <w:sz w:val="21"/>
                <w:szCs w:val="21"/>
              </w:rPr>
              <w:t>（2）设计施工图纸另行装订，共3册。</w:t>
            </w:r>
          </w:p>
          <w:p>
            <w:pPr>
              <w:spacing w:line="240" w:lineRule="atLeast"/>
              <w:rPr>
                <w:rFonts w:ascii="宋体" w:hAnsi="宋体" w:cs="宋体"/>
                <w:color w:val="auto"/>
                <w:sz w:val="21"/>
                <w:szCs w:val="21"/>
              </w:rPr>
            </w:pPr>
            <w:r>
              <w:rPr>
                <w:rFonts w:hint="eastAsia" w:ascii="宋体" w:hAnsi="宋体" w:cs="宋体"/>
                <w:color w:val="auto"/>
                <w:sz w:val="21"/>
                <w:szCs w:val="21"/>
              </w:rPr>
              <w:t>（3）成交后，成交供应商应另行提交电子档。</w:t>
            </w:r>
          </w:p>
        </w:tc>
      </w:tr>
      <w:tr>
        <w:tblPrEx>
          <w:tblLayout w:type="fixed"/>
          <w:tblCellMar>
            <w:top w:w="0" w:type="dxa"/>
            <w:left w:w="10" w:type="dxa"/>
            <w:bottom w:w="0" w:type="dxa"/>
            <w:right w:w="10" w:type="dxa"/>
          </w:tblCellMar>
        </w:tblPrEx>
        <w:trPr>
          <w:trHeight w:val="24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9</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color w:val="auto"/>
                <w:sz w:val="21"/>
                <w:szCs w:val="21"/>
              </w:rPr>
            </w:pPr>
            <w:r>
              <w:rPr>
                <w:rFonts w:hint="eastAsia" w:ascii="宋体" w:hAnsi="宋体" w:cs="宋体"/>
                <w:color w:val="auto"/>
                <w:sz w:val="21"/>
                <w:szCs w:val="21"/>
              </w:rPr>
              <w:t>磋商文件异议提出截止时间：竞争性磋商递交文件前</w:t>
            </w:r>
            <w:r>
              <w:rPr>
                <w:rFonts w:ascii="宋体" w:hAnsi="宋体" w:cs="宋体"/>
                <w:color w:val="auto"/>
                <w:sz w:val="21"/>
                <w:szCs w:val="21"/>
              </w:rPr>
              <w:t>7</w:t>
            </w:r>
            <w:r>
              <w:rPr>
                <w:rFonts w:hint="eastAsia" w:ascii="宋体" w:hAnsi="宋体" w:cs="宋体"/>
                <w:color w:val="auto"/>
                <w:sz w:val="21"/>
                <w:szCs w:val="21"/>
              </w:rPr>
              <w:t>个工作日。</w:t>
            </w:r>
          </w:p>
        </w:tc>
      </w:tr>
      <w:tr>
        <w:tblPrEx>
          <w:tblLayout w:type="fixed"/>
          <w:tblCellMar>
            <w:top w:w="0" w:type="dxa"/>
            <w:left w:w="10" w:type="dxa"/>
            <w:bottom w:w="0" w:type="dxa"/>
            <w:right w:w="10" w:type="dxa"/>
          </w:tblCellMar>
        </w:tblPrEx>
        <w:trPr>
          <w:trHeight w:val="234"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10</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color w:val="auto"/>
                <w:sz w:val="21"/>
                <w:szCs w:val="21"/>
              </w:rPr>
            </w:pPr>
            <w:r>
              <w:rPr>
                <w:rFonts w:hint="eastAsia" w:ascii="宋体" w:hAnsi="宋体" w:cs="宋体"/>
                <w:color w:val="auto"/>
                <w:sz w:val="21"/>
                <w:szCs w:val="21"/>
              </w:rPr>
              <w:t>现场考察和答疑会：不组织，应自行组织现场调研。</w:t>
            </w:r>
          </w:p>
        </w:tc>
      </w:tr>
      <w:tr>
        <w:tblPrEx>
          <w:tblLayout w:type="fixed"/>
          <w:tblCellMar>
            <w:top w:w="0" w:type="dxa"/>
            <w:left w:w="10" w:type="dxa"/>
            <w:bottom w:w="0" w:type="dxa"/>
            <w:right w:w="10" w:type="dxa"/>
          </w:tblCellMar>
        </w:tblPrEx>
        <w:trPr>
          <w:trHeight w:val="219"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11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ascii="宋体" w:cs="宋体"/>
                <w:color w:val="auto"/>
                <w:sz w:val="21"/>
                <w:szCs w:val="21"/>
              </w:rPr>
            </w:pPr>
            <w:r>
              <w:rPr>
                <w:rFonts w:hint="eastAsia" w:ascii="宋体" w:hAnsi="宋体" w:cs="宋体"/>
                <w:color w:val="auto"/>
                <w:sz w:val="21"/>
                <w:szCs w:val="21"/>
              </w:rPr>
              <w:t>磋商保证金：</w:t>
            </w:r>
          </w:p>
          <w:p>
            <w:pPr>
              <w:spacing w:line="320" w:lineRule="exact"/>
              <w:rPr>
                <w:rFonts w:ascii="宋体" w:hAnsi="宋体" w:cs="宋体"/>
                <w:color w:val="auto"/>
                <w:sz w:val="21"/>
                <w:szCs w:val="21"/>
              </w:rPr>
            </w:pPr>
            <w:r>
              <w:rPr>
                <w:rFonts w:hint="eastAsia" w:ascii="宋体" w:hAnsi="宋体" w:cs="宋体"/>
                <w:color w:val="auto"/>
                <w:sz w:val="21"/>
                <w:szCs w:val="21"/>
              </w:rPr>
              <w:t>缴纳截止时间：同投标截止时间。</w:t>
            </w:r>
          </w:p>
          <w:p>
            <w:pPr>
              <w:spacing w:line="320" w:lineRule="exact"/>
              <w:rPr>
                <w:rFonts w:ascii="宋体" w:hAnsi="宋体" w:cs="宋体"/>
                <w:color w:val="auto"/>
                <w:sz w:val="21"/>
                <w:szCs w:val="21"/>
              </w:rPr>
            </w:pPr>
            <w:r>
              <w:rPr>
                <w:rFonts w:hint="eastAsia" w:ascii="宋体" w:hAnsi="宋体" w:cs="宋体"/>
                <w:color w:val="auto"/>
                <w:sz w:val="21"/>
                <w:szCs w:val="21"/>
              </w:rPr>
              <w:t>金额：人民币壹万捌仟元整（¥18000.00元）</w:t>
            </w:r>
          </w:p>
          <w:p>
            <w:pPr>
              <w:spacing w:line="320" w:lineRule="exact"/>
              <w:rPr>
                <w:rFonts w:ascii="宋体" w:hAnsi="宋体" w:cs="宋体"/>
                <w:color w:val="auto"/>
                <w:sz w:val="21"/>
                <w:szCs w:val="21"/>
              </w:rPr>
            </w:pPr>
            <w:r>
              <w:rPr>
                <w:rFonts w:hint="eastAsia" w:ascii="宋体" w:hAnsi="宋体" w:cs="宋体"/>
                <w:color w:val="auto"/>
                <w:sz w:val="21"/>
                <w:szCs w:val="21"/>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spacing w:line="320" w:lineRule="exact"/>
              <w:rPr>
                <w:rFonts w:ascii="宋体" w:hAnsi="宋体" w:cs="宋体"/>
                <w:color w:val="auto"/>
                <w:sz w:val="21"/>
                <w:szCs w:val="21"/>
              </w:rPr>
            </w:pPr>
            <w:r>
              <w:rPr>
                <w:rFonts w:hint="eastAsia" w:ascii="宋体" w:hAnsi="宋体" w:cs="宋体"/>
                <w:color w:val="auto"/>
                <w:sz w:val="21"/>
                <w:szCs w:val="21"/>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spacing w:line="320" w:lineRule="exact"/>
              <w:rPr>
                <w:rFonts w:ascii="宋体" w:hAnsi="宋体" w:cs="宋体"/>
                <w:color w:val="auto"/>
                <w:sz w:val="21"/>
                <w:szCs w:val="21"/>
              </w:rPr>
            </w:pPr>
            <w:r>
              <w:rPr>
                <w:rFonts w:hint="eastAsia" w:ascii="宋体" w:hAnsi="宋体" w:cs="宋体"/>
                <w:color w:val="auto"/>
                <w:sz w:val="21"/>
                <w:szCs w:val="21"/>
              </w:rPr>
              <w:t>三、投标保证金缴纳方式：</w:t>
            </w:r>
          </w:p>
          <w:p>
            <w:pPr>
              <w:spacing w:line="320" w:lineRule="exact"/>
              <w:rPr>
                <w:rFonts w:ascii="宋体" w:hAnsi="宋体" w:cs="宋体"/>
                <w:color w:val="auto"/>
                <w:sz w:val="21"/>
                <w:szCs w:val="21"/>
              </w:rPr>
            </w:pPr>
            <w:r>
              <w:rPr>
                <w:rFonts w:hint="eastAsia" w:ascii="宋体" w:hAnsi="宋体" w:cs="宋体"/>
                <w:color w:val="auto"/>
                <w:sz w:val="21"/>
                <w:szCs w:val="21"/>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宋体"/>
                <w:color w:val="auto"/>
                <w:sz w:val="21"/>
                <w:szCs w:val="21"/>
              </w:rPr>
              <w:t>http://221.14.6.70:8088/ggzy</w:t>
            </w:r>
            <w:r>
              <w:rPr>
                <w:rFonts w:hint="eastAsia" w:ascii="宋体" w:hAnsi="宋体" w:cs="宋体"/>
                <w:color w:val="auto"/>
                <w:sz w:val="21"/>
                <w:szCs w:val="21"/>
              </w:rPr>
              <w:fldChar w:fldCharType="end"/>
            </w:r>
            <w:r>
              <w:rPr>
                <w:rFonts w:hint="eastAsia" w:ascii="宋体" w:hAnsi="宋体" w:cs="宋体"/>
                <w:color w:val="auto"/>
                <w:sz w:val="21"/>
                <w:szCs w:val="21"/>
              </w:rPr>
              <w:t>系统，依次点击“会员向导”→“参与投标”→“费用缴纳说明”→“保证金缴纳说明单”，获取缴费说明单，根据每个标段的缴纳说明单在缴纳截止时间前缴纳；</w:t>
            </w:r>
          </w:p>
          <w:p>
            <w:pPr>
              <w:spacing w:line="320" w:lineRule="exact"/>
              <w:rPr>
                <w:rFonts w:ascii="宋体" w:hAnsi="宋体" w:cs="宋体"/>
                <w:color w:val="auto"/>
                <w:sz w:val="21"/>
                <w:szCs w:val="21"/>
              </w:rPr>
            </w:pPr>
            <w:r>
              <w:rPr>
                <w:rFonts w:hint="eastAsia" w:ascii="宋体" w:hAnsi="宋体" w:cs="宋体"/>
                <w:color w:val="auto"/>
                <w:sz w:val="21"/>
                <w:szCs w:val="21"/>
              </w:rPr>
              <w:t>2、成功缴纳后重新登录前述系统，依次点击“会员向导”→“参与投标”→“保证金绑定”→“绑定”进行投标保证金绑定。</w:t>
            </w:r>
          </w:p>
          <w:p>
            <w:pPr>
              <w:spacing w:line="320" w:lineRule="exact"/>
              <w:rPr>
                <w:rFonts w:ascii="宋体" w:hAnsi="宋体" w:cs="宋体"/>
                <w:color w:val="auto"/>
                <w:sz w:val="21"/>
                <w:szCs w:val="21"/>
              </w:rPr>
            </w:pPr>
            <w:r>
              <w:rPr>
                <w:rFonts w:hint="eastAsia" w:ascii="宋体" w:hAnsi="宋体" w:cs="宋体"/>
                <w:color w:val="auto"/>
                <w:sz w:val="21"/>
                <w:szCs w:val="21"/>
              </w:rPr>
              <w:t>3、《保证金缴纳绑定操作指南》获取方法：登录许昌公共资源交易系统-组件下载-《保证金缴纳绑定操作指南》。</w:t>
            </w:r>
          </w:p>
          <w:p>
            <w:pPr>
              <w:spacing w:line="320" w:lineRule="exact"/>
              <w:rPr>
                <w:rFonts w:ascii="宋体" w:hAnsi="宋体" w:cs="宋体"/>
                <w:color w:val="auto"/>
                <w:sz w:val="21"/>
                <w:szCs w:val="21"/>
              </w:rPr>
            </w:pPr>
            <w:r>
              <w:rPr>
                <w:rFonts w:hint="eastAsia" w:ascii="宋体" w:hAnsi="宋体" w:cs="宋体"/>
                <w:color w:val="auto"/>
                <w:sz w:val="21"/>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spacing w:line="320" w:lineRule="exact"/>
              <w:rPr>
                <w:rFonts w:ascii="宋体" w:hAnsi="宋体" w:cs="宋体"/>
                <w:color w:val="auto"/>
                <w:sz w:val="21"/>
                <w:szCs w:val="21"/>
              </w:rPr>
            </w:pPr>
            <w:r>
              <w:rPr>
                <w:rFonts w:hint="eastAsia" w:ascii="宋体" w:hAnsi="宋体" w:cs="宋体"/>
                <w:color w:val="auto"/>
                <w:sz w:val="21"/>
                <w:szCs w:val="21"/>
              </w:rPr>
              <w:t>5、每个投标人每个项目每个标段只有唯一缴纳账号，切勿重复缴纳或错误缴纳。</w:t>
            </w:r>
          </w:p>
          <w:p>
            <w:pPr>
              <w:spacing w:line="320" w:lineRule="exact"/>
              <w:rPr>
                <w:rFonts w:ascii="宋体" w:hAnsi="宋体" w:cs="宋体"/>
                <w:color w:val="auto"/>
                <w:sz w:val="21"/>
                <w:szCs w:val="21"/>
              </w:rPr>
            </w:pPr>
            <w:r>
              <w:rPr>
                <w:rFonts w:hint="eastAsia" w:ascii="宋体" w:hAnsi="宋体" w:cs="宋体"/>
                <w:color w:val="auto"/>
                <w:sz w:val="21"/>
                <w:szCs w:val="21"/>
              </w:rPr>
              <w:t>6、投标人所提交的投标保证金仅限当次投标项目（标段）有效，不得重复替代使用。一个招标项目有多个标段或者有多个项目同时招标的，投标人必须按项目、标段分别提交投标保证金。</w:t>
            </w:r>
          </w:p>
          <w:p>
            <w:pPr>
              <w:spacing w:line="320" w:lineRule="exact"/>
              <w:rPr>
                <w:rFonts w:ascii="宋体" w:hAnsi="宋体" w:cs="宋体"/>
                <w:color w:val="auto"/>
                <w:sz w:val="21"/>
                <w:szCs w:val="21"/>
              </w:rPr>
            </w:pPr>
            <w:r>
              <w:rPr>
                <w:rFonts w:hint="eastAsia" w:ascii="宋体" w:hAnsi="宋体" w:cs="宋体"/>
                <w:color w:val="auto"/>
                <w:sz w:val="21"/>
                <w:szCs w:val="21"/>
              </w:rPr>
              <w:t>7、不同投标人的投标保证金不得从同一单位或者个人的账户转出。</w:t>
            </w:r>
          </w:p>
          <w:p>
            <w:pPr>
              <w:spacing w:line="320" w:lineRule="exact"/>
              <w:rPr>
                <w:rFonts w:ascii="宋体" w:hAnsi="宋体" w:cs="宋体"/>
                <w:color w:val="auto"/>
                <w:sz w:val="21"/>
                <w:szCs w:val="21"/>
              </w:rPr>
            </w:pPr>
            <w:r>
              <w:rPr>
                <w:rFonts w:hint="eastAsia" w:ascii="宋体" w:hAnsi="宋体" w:cs="宋体"/>
                <w:color w:val="auto"/>
                <w:sz w:val="21"/>
                <w:szCs w:val="21"/>
              </w:rPr>
              <w:t>8、未按上述规定操作引起的无效投标，由投标人自行负责。</w:t>
            </w:r>
          </w:p>
          <w:p>
            <w:pPr>
              <w:spacing w:line="320" w:lineRule="exact"/>
              <w:rPr>
                <w:rFonts w:ascii="宋体" w:hAnsi="宋体" w:cs="宋体"/>
                <w:color w:val="auto"/>
                <w:sz w:val="21"/>
                <w:szCs w:val="21"/>
              </w:rPr>
            </w:pPr>
            <w:r>
              <w:rPr>
                <w:rFonts w:hint="eastAsia" w:ascii="宋体" w:hAnsi="宋体" w:cs="宋体"/>
                <w:color w:val="auto"/>
                <w:sz w:val="21"/>
                <w:szCs w:val="21"/>
              </w:rPr>
              <w:t>9、汇款凭证无需备注项目编号和项目名称。</w:t>
            </w:r>
          </w:p>
          <w:p>
            <w:pPr>
              <w:ind w:left="-70" w:leftChars="-29" w:firstLine="105" w:firstLineChars="50"/>
              <w:rPr>
                <w:rFonts w:ascii="宋体" w:hAnsi="宋体" w:cs="宋体"/>
                <w:color w:val="auto"/>
                <w:kern w:val="2"/>
                <w:sz w:val="21"/>
                <w:szCs w:val="21"/>
              </w:rPr>
            </w:pPr>
            <w:r>
              <w:rPr>
                <w:rFonts w:hint="eastAsia" w:ascii="宋体" w:hAnsi="宋体" w:cs="宋体"/>
                <w:color w:val="auto"/>
                <w:sz w:val="2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Layout w:type="fixed"/>
          <w:tblCellMar>
            <w:top w:w="0" w:type="dxa"/>
            <w:left w:w="10" w:type="dxa"/>
            <w:bottom w:w="0" w:type="dxa"/>
            <w:right w:w="10" w:type="dxa"/>
          </w:tblCellMar>
        </w:tblPrEx>
        <w:trPr>
          <w:trHeight w:val="48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12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firstLine="239"/>
              <w:rPr>
                <w:rFonts w:ascii="宋体" w:hAnsi="宋体" w:cs="宋体"/>
                <w:color w:val="auto"/>
                <w:sz w:val="21"/>
                <w:szCs w:val="21"/>
              </w:rPr>
            </w:pPr>
            <w:r>
              <w:rPr>
                <w:rFonts w:hint="eastAsia" w:ascii="宋体" w:hAnsi="宋体" w:cs="宋体"/>
                <w:color w:val="auto"/>
                <w:sz w:val="21"/>
                <w:szCs w:val="21"/>
              </w:rPr>
              <w:t>响应文件密封及标记：响应文件的正本与副本应进行同包或分包封装，加贴封条，并在封套的封口处由法定代表人或其授权代表签字或盖单位章（项目名称、项目编号和“北京时间××年××月××日××时××分之前不得启封”的字样）。响应文件的封面上应清楚地标记“正本”或“副本”字样。</w:t>
            </w:r>
          </w:p>
          <w:p>
            <w:pPr>
              <w:spacing w:line="360" w:lineRule="exact"/>
              <w:ind w:firstLine="239"/>
              <w:rPr>
                <w:rFonts w:ascii="宋体" w:cs="宋体"/>
                <w:b/>
                <w:color w:val="auto"/>
                <w:sz w:val="21"/>
                <w:szCs w:val="21"/>
              </w:rPr>
            </w:pPr>
            <w:r>
              <w:rPr>
                <w:rFonts w:hint="eastAsia" w:ascii="宋体" w:hAnsi="宋体" w:cs="宋体"/>
                <w:b/>
                <w:color w:val="auto"/>
                <w:sz w:val="21"/>
                <w:szCs w:val="21"/>
              </w:rPr>
              <w:t>设计施工图纸另行包装。</w:t>
            </w:r>
          </w:p>
        </w:tc>
      </w:tr>
      <w:tr>
        <w:tblPrEx>
          <w:tblLayout w:type="fixed"/>
          <w:tblCellMar>
            <w:top w:w="0" w:type="dxa"/>
            <w:left w:w="10" w:type="dxa"/>
            <w:bottom w:w="0" w:type="dxa"/>
            <w:right w:w="10" w:type="dxa"/>
          </w:tblCellMar>
        </w:tblPrEx>
        <w:trPr>
          <w:trHeight w:val="435"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13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80" w:lineRule="exact"/>
              <w:ind w:right="-34"/>
              <w:rPr>
                <w:rFonts w:ascii="宋体" w:cs="宋体"/>
                <w:color w:val="auto"/>
                <w:szCs w:val="24"/>
              </w:rPr>
            </w:pPr>
            <w:r>
              <w:rPr>
                <w:rFonts w:hint="eastAsia" w:ascii="宋体" w:hAnsi="宋体" w:cs="宋体"/>
                <w:color w:val="auto"/>
                <w:sz w:val="21"/>
                <w:szCs w:val="21"/>
              </w:rPr>
              <w:t>响应文件的递交截止时间：</w:t>
            </w:r>
            <w:r>
              <w:rPr>
                <w:rFonts w:ascii="宋体" w:hAnsi="宋体" w:cs="宋体"/>
                <w:color w:val="auto"/>
                <w:sz w:val="21"/>
                <w:szCs w:val="21"/>
              </w:rPr>
              <w:t>2018</w:t>
            </w:r>
            <w:r>
              <w:rPr>
                <w:rFonts w:hint="eastAsia" w:ascii="宋体" w:hAnsi="宋体" w:cs="宋体"/>
                <w:color w:val="auto"/>
                <w:sz w:val="21"/>
                <w:szCs w:val="21"/>
              </w:rPr>
              <w:t>年9月17日9时30分。地点：</w:t>
            </w:r>
            <w:r>
              <w:rPr>
                <w:rFonts w:hint="eastAsia" w:cs="宋体" w:asciiTheme="minorEastAsia" w:hAnsiTheme="minorEastAsia"/>
                <w:bCs/>
                <w:color w:val="auto"/>
                <w:sz w:val="21"/>
                <w:szCs w:val="21"/>
                <w:lang w:val="zh-CN"/>
              </w:rPr>
              <w:t>许昌市公共资源交易中心三楼开标</w:t>
            </w:r>
            <w:r>
              <w:rPr>
                <w:rFonts w:hint="eastAsia" w:cs="宋体" w:asciiTheme="minorEastAsia" w:hAnsiTheme="minorEastAsia"/>
                <w:bCs/>
                <w:color w:val="auto"/>
                <w:sz w:val="21"/>
                <w:szCs w:val="21"/>
              </w:rPr>
              <w:t>5</w:t>
            </w:r>
            <w:r>
              <w:rPr>
                <w:rFonts w:hint="eastAsia" w:cs="宋体" w:asciiTheme="minorEastAsia" w:hAnsiTheme="minorEastAsia"/>
                <w:bCs/>
                <w:color w:val="auto"/>
                <w:sz w:val="21"/>
                <w:szCs w:val="21"/>
                <w:lang w:val="zh-CN"/>
              </w:rPr>
              <w:t>室（</w:t>
            </w:r>
            <w:r>
              <w:rPr>
                <w:rFonts w:cs="宋体" w:asciiTheme="minorEastAsia" w:hAnsiTheme="minorEastAsia"/>
                <w:bCs/>
                <w:color w:val="auto"/>
                <w:sz w:val="21"/>
                <w:szCs w:val="21"/>
                <w:lang w:val="zh-CN"/>
              </w:rPr>
              <w:t>龙兴路与竹林路交汇处</w:t>
            </w:r>
            <w:r>
              <w:rPr>
                <w:rFonts w:hint="eastAsia" w:cs="宋体" w:asciiTheme="minorEastAsia" w:hAnsiTheme="minorEastAsia"/>
                <w:bCs/>
                <w:color w:val="auto"/>
                <w:sz w:val="21"/>
                <w:szCs w:val="21"/>
                <w:lang w:val="zh-CN"/>
              </w:rPr>
              <w:t>公共资源大厦）</w:t>
            </w:r>
            <w:r>
              <w:rPr>
                <w:rFonts w:hint="eastAsia" w:ascii="宋体" w:hAnsi="宋体" w:cs="宋体"/>
                <w:color w:val="auto"/>
                <w:sz w:val="21"/>
                <w:szCs w:val="21"/>
              </w:rPr>
              <w:t>。</w:t>
            </w:r>
          </w:p>
        </w:tc>
      </w:tr>
      <w:tr>
        <w:tblPrEx>
          <w:tblLayout w:type="fixed"/>
          <w:tblCellMar>
            <w:top w:w="0" w:type="dxa"/>
            <w:left w:w="10" w:type="dxa"/>
            <w:bottom w:w="0" w:type="dxa"/>
            <w:right w:w="10" w:type="dxa"/>
          </w:tblCellMar>
        </w:tblPrEx>
        <w:trPr>
          <w:trHeight w:val="41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14</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color w:val="auto"/>
                <w:sz w:val="21"/>
                <w:szCs w:val="21"/>
              </w:rPr>
            </w:pPr>
            <w:r>
              <w:rPr>
                <w:rFonts w:hint="eastAsia" w:ascii="宋体" w:hAnsi="宋体" w:cs="宋体"/>
                <w:color w:val="auto"/>
                <w:sz w:val="21"/>
                <w:szCs w:val="21"/>
              </w:rPr>
              <w:t>磋商时间：</w:t>
            </w:r>
            <w:r>
              <w:rPr>
                <w:rFonts w:ascii="宋体" w:hAnsi="宋体" w:cs="宋体"/>
                <w:color w:val="auto"/>
                <w:sz w:val="21"/>
                <w:szCs w:val="21"/>
              </w:rPr>
              <w:t>2018</w:t>
            </w:r>
            <w:r>
              <w:rPr>
                <w:rFonts w:hint="eastAsia" w:ascii="宋体" w:hAnsi="宋体" w:cs="宋体"/>
                <w:color w:val="auto"/>
                <w:sz w:val="21"/>
                <w:szCs w:val="21"/>
              </w:rPr>
              <w:t>年9月17日9时30分，地点：</w:t>
            </w:r>
            <w:r>
              <w:rPr>
                <w:rFonts w:hint="eastAsia" w:cs="宋体" w:asciiTheme="minorEastAsia" w:hAnsiTheme="minorEastAsia"/>
                <w:bCs/>
                <w:color w:val="auto"/>
                <w:sz w:val="21"/>
                <w:szCs w:val="21"/>
                <w:lang w:val="zh-CN"/>
              </w:rPr>
              <w:t>许昌市公共资源交易中心三楼开标</w:t>
            </w:r>
            <w:r>
              <w:rPr>
                <w:rFonts w:hint="eastAsia" w:cs="宋体" w:asciiTheme="minorEastAsia" w:hAnsiTheme="minorEastAsia"/>
                <w:bCs/>
                <w:color w:val="auto"/>
                <w:sz w:val="21"/>
                <w:szCs w:val="21"/>
              </w:rPr>
              <w:t>5</w:t>
            </w:r>
            <w:r>
              <w:rPr>
                <w:rFonts w:hint="eastAsia" w:cs="宋体" w:asciiTheme="minorEastAsia" w:hAnsiTheme="minorEastAsia"/>
                <w:bCs/>
                <w:color w:val="auto"/>
                <w:sz w:val="21"/>
                <w:szCs w:val="21"/>
                <w:lang w:val="zh-CN"/>
              </w:rPr>
              <w:t>室（</w:t>
            </w:r>
            <w:r>
              <w:rPr>
                <w:rFonts w:cs="宋体" w:asciiTheme="minorEastAsia" w:hAnsiTheme="minorEastAsia"/>
                <w:bCs/>
                <w:color w:val="auto"/>
                <w:sz w:val="21"/>
                <w:szCs w:val="21"/>
                <w:lang w:val="zh-CN"/>
              </w:rPr>
              <w:t>龙兴路与竹林路交汇处</w:t>
            </w:r>
            <w:r>
              <w:rPr>
                <w:rFonts w:hint="eastAsia" w:cs="宋体" w:asciiTheme="minorEastAsia" w:hAnsiTheme="minorEastAsia"/>
                <w:bCs/>
                <w:color w:val="auto"/>
                <w:sz w:val="21"/>
                <w:szCs w:val="21"/>
                <w:lang w:val="zh-CN"/>
              </w:rPr>
              <w:t>公共资源大厦）</w:t>
            </w:r>
            <w:r>
              <w:rPr>
                <w:rFonts w:hint="eastAsia" w:ascii="宋体" w:hAnsi="宋体" w:cs="宋体"/>
                <w:color w:val="auto"/>
                <w:sz w:val="21"/>
                <w:szCs w:val="21"/>
              </w:rPr>
              <w:t>。</w:t>
            </w:r>
          </w:p>
        </w:tc>
      </w:tr>
      <w:tr>
        <w:tblPrEx>
          <w:tblLayout w:type="fixed"/>
          <w:tblCellMar>
            <w:top w:w="0" w:type="dxa"/>
            <w:left w:w="10" w:type="dxa"/>
            <w:bottom w:w="0" w:type="dxa"/>
            <w:right w:w="10" w:type="dxa"/>
          </w:tblCellMar>
        </w:tblPrEx>
        <w:trPr>
          <w:trHeight w:val="408"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15</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color w:val="auto"/>
                <w:sz w:val="21"/>
                <w:szCs w:val="21"/>
              </w:rPr>
            </w:pPr>
            <w:r>
              <w:rPr>
                <w:rFonts w:hint="eastAsia" w:ascii="宋体" w:hAnsi="宋体" w:cs="宋体"/>
                <w:color w:val="auto"/>
                <w:sz w:val="21"/>
                <w:szCs w:val="21"/>
              </w:rPr>
              <w:t>磋商小组：由采购人代表和评审专家共3人组成，其中采购人代表1人。</w:t>
            </w:r>
          </w:p>
        </w:tc>
      </w:tr>
      <w:tr>
        <w:tblPrEx>
          <w:tblLayout w:type="fixed"/>
          <w:tblCellMar>
            <w:top w:w="0" w:type="dxa"/>
            <w:left w:w="10" w:type="dxa"/>
            <w:bottom w:w="0" w:type="dxa"/>
            <w:right w:w="10"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16</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color w:val="auto"/>
                <w:sz w:val="21"/>
                <w:szCs w:val="21"/>
              </w:rPr>
            </w:pPr>
            <w:r>
              <w:rPr>
                <w:rFonts w:hint="eastAsia" w:ascii="宋体" w:hAnsi="宋体" w:cs="宋体"/>
                <w:color w:val="auto"/>
                <w:sz w:val="21"/>
                <w:szCs w:val="21"/>
              </w:rPr>
              <w:t>磋商顺序：现场签到顺序。</w:t>
            </w:r>
          </w:p>
        </w:tc>
      </w:tr>
      <w:tr>
        <w:tblPrEx>
          <w:tblLayout w:type="fixed"/>
          <w:tblCellMar>
            <w:top w:w="0" w:type="dxa"/>
            <w:left w:w="10" w:type="dxa"/>
            <w:bottom w:w="0" w:type="dxa"/>
            <w:right w:w="10"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17</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108"/>
              <w:rPr>
                <w:rFonts w:ascii="宋体" w:cs="宋体"/>
                <w:color w:val="auto"/>
                <w:sz w:val="21"/>
                <w:szCs w:val="21"/>
              </w:rPr>
            </w:pPr>
            <w:r>
              <w:rPr>
                <w:rFonts w:hint="eastAsia" w:ascii="宋体" w:hAnsi="宋体" w:cs="宋体"/>
                <w:color w:val="auto"/>
                <w:sz w:val="21"/>
                <w:szCs w:val="21"/>
              </w:rPr>
              <w:t>推荐成交候选供应商：</w:t>
            </w:r>
            <w:r>
              <w:rPr>
                <w:rFonts w:ascii="宋体" w:hAnsi="宋体" w:cs="宋体"/>
                <w:color w:val="auto"/>
                <w:sz w:val="21"/>
                <w:szCs w:val="21"/>
              </w:rPr>
              <w:t>3</w:t>
            </w:r>
            <w:r>
              <w:rPr>
                <w:rFonts w:hint="eastAsia" w:ascii="宋体" w:hAnsi="宋体" w:cs="宋体"/>
                <w:color w:val="auto"/>
                <w:sz w:val="21"/>
                <w:szCs w:val="21"/>
              </w:rPr>
              <w:t>个或以上。</w:t>
            </w:r>
          </w:p>
        </w:tc>
      </w:tr>
      <w:tr>
        <w:tblPrEx>
          <w:tblLayout w:type="fixed"/>
          <w:tblCellMar>
            <w:top w:w="0" w:type="dxa"/>
            <w:left w:w="10" w:type="dxa"/>
            <w:bottom w:w="0" w:type="dxa"/>
            <w:right w:w="10" w:type="dxa"/>
          </w:tblCellMar>
        </w:tblPrEx>
        <w:trPr>
          <w:trHeight w:val="34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18</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color w:val="auto"/>
                <w:sz w:val="21"/>
                <w:szCs w:val="21"/>
              </w:rPr>
            </w:pPr>
            <w:r>
              <w:rPr>
                <w:rFonts w:hint="eastAsia" w:ascii="宋体" w:hAnsi="宋体" w:cs="宋体"/>
                <w:color w:val="auto"/>
                <w:sz w:val="21"/>
                <w:szCs w:val="21"/>
              </w:rPr>
              <w:t>履约保证金：提交合同金额（成交）的10%作为履约保证金，成交后履约保证金缴纳至甲方指定帐户，履约完成，无息退还。</w:t>
            </w:r>
          </w:p>
        </w:tc>
      </w:tr>
      <w:tr>
        <w:tblPrEx>
          <w:tblLayout w:type="fixed"/>
          <w:tblCellMar>
            <w:top w:w="0" w:type="dxa"/>
            <w:left w:w="10" w:type="dxa"/>
            <w:bottom w:w="0" w:type="dxa"/>
            <w:right w:w="10" w:type="dxa"/>
          </w:tblCellMar>
        </w:tblPrEx>
        <w:trPr>
          <w:trHeight w:val="34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19</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41"/>
              <w:rPr>
                <w:rFonts w:ascii="宋体" w:cs="宋体"/>
                <w:color w:val="auto"/>
                <w:sz w:val="21"/>
                <w:szCs w:val="21"/>
              </w:rPr>
            </w:pPr>
            <w:r>
              <w:rPr>
                <w:rFonts w:hint="eastAsia" w:ascii="宋体" w:hAnsi="宋体" w:cs="宋体"/>
                <w:color w:val="auto"/>
                <w:sz w:val="21"/>
                <w:szCs w:val="21"/>
              </w:rPr>
              <w:t>验收：由采购人组织相关方面专家进行验收，并出具验收报告书。</w:t>
            </w:r>
          </w:p>
        </w:tc>
      </w:tr>
      <w:tr>
        <w:tblPrEx>
          <w:tblLayout w:type="fixed"/>
          <w:tblCellMar>
            <w:top w:w="0" w:type="dxa"/>
            <w:left w:w="10" w:type="dxa"/>
            <w:bottom w:w="0" w:type="dxa"/>
            <w:right w:w="10" w:type="dxa"/>
          </w:tblCellMar>
        </w:tblPrEx>
        <w:trPr>
          <w:trHeight w:val="290"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20</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color w:val="auto"/>
                <w:sz w:val="21"/>
                <w:szCs w:val="21"/>
              </w:rPr>
            </w:pPr>
            <w:r>
              <w:rPr>
                <w:rFonts w:hint="eastAsia" w:ascii="宋体" w:hAnsi="宋体" w:cs="宋体"/>
                <w:color w:val="auto"/>
                <w:sz w:val="21"/>
                <w:szCs w:val="21"/>
              </w:rPr>
              <w:t>付款方式：经验收合格后支付合同总款的90%，验收合满1年无质量问题支付剩余10%。</w:t>
            </w:r>
          </w:p>
        </w:tc>
      </w:tr>
      <w:tr>
        <w:tblPrEx>
          <w:tblLayout w:type="fixed"/>
          <w:tblCellMar>
            <w:top w:w="0" w:type="dxa"/>
            <w:left w:w="10" w:type="dxa"/>
            <w:bottom w:w="0" w:type="dxa"/>
            <w:right w:w="10" w:type="dxa"/>
          </w:tblCellMar>
        </w:tblPrEx>
        <w:trPr>
          <w:trHeight w:val="38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21</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color w:val="auto"/>
                <w:sz w:val="21"/>
                <w:szCs w:val="21"/>
              </w:rPr>
            </w:pPr>
            <w:r>
              <w:rPr>
                <w:rFonts w:hint="eastAsia" w:ascii="宋体" w:hAnsi="宋体" w:cs="宋体"/>
                <w:color w:val="auto"/>
                <w:sz w:val="21"/>
                <w:szCs w:val="21"/>
              </w:rPr>
              <w:t>磋商评审办法：</w:t>
            </w:r>
          </w:p>
          <w:p>
            <w:pPr>
              <w:spacing w:line="360" w:lineRule="exact"/>
              <w:ind w:left="-118" w:right="-41"/>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本项目磋商文件不能详细列明采购标的的技术、服务要求，需经磋商由供应商提供最终设计方案或解决方案，磋商结束后，磋商小组应当按照少数服从多数的原则投票推荐3家以上供应商的设计方案或者解决方案，并要求在规定时间内提交最后报价。</w:t>
            </w:r>
          </w:p>
          <w:p>
            <w:pPr>
              <w:spacing w:line="360" w:lineRule="exact"/>
              <w:ind w:left="-118" w:right="-41"/>
              <w:rPr>
                <w:rFonts w:ascii="宋体" w:cs="宋体"/>
                <w:color w:val="auto"/>
                <w:sz w:val="21"/>
                <w:szCs w:val="21"/>
              </w:rPr>
            </w:pPr>
            <w:r>
              <w:rPr>
                <w:rFonts w:hint="eastAsia" w:ascii="宋体" w:hAnsi="宋体" w:cs="宋体"/>
                <w:color w:val="auto"/>
                <w:sz w:val="21"/>
                <w:szCs w:val="21"/>
              </w:rPr>
              <w:t>（2）最后报价为评审报价得分的依据。</w:t>
            </w:r>
          </w:p>
          <w:p>
            <w:pPr>
              <w:spacing w:line="360" w:lineRule="exact"/>
              <w:ind w:left="-118" w:right="-41"/>
              <w:rPr>
                <w:rFonts w:ascii="宋体" w:cs="宋体"/>
                <w:color w:val="auto"/>
                <w:sz w:val="21"/>
                <w:szCs w:val="21"/>
              </w:rPr>
            </w:pPr>
            <w:r>
              <w:rPr>
                <w:rFonts w:hint="eastAsia" w:ascii="宋体" w:hAnsi="宋体" w:cs="宋体"/>
                <w:color w:val="auto"/>
                <w:sz w:val="21"/>
                <w:szCs w:val="21"/>
              </w:rPr>
              <w:t>（3）采购综合评分法，满分</w:t>
            </w:r>
            <w:r>
              <w:rPr>
                <w:rFonts w:ascii="宋体" w:hAnsi="宋体" w:cs="宋体"/>
                <w:color w:val="auto"/>
                <w:sz w:val="21"/>
                <w:szCs w:val="21"/>
              </w:rPr>
              <w:t>100</w:t>
            </w:r>
            <w:r>
              <w:rPr>
                <w:rFonts w:hint="eastAsia" w:ascii="宋体" w:hAnsi="宋体" w:cs="宋体"/>
                <w:color w:val="auto"/>
                <w:sz w:val="21"/>
                <w:szCs w:val="21"/>
              </w:rPr>
              <w:t>分。详见采购文件具体评分办法。</w:t>
            </w:r>
          </w:p>
        </w:tc>
      </w:tr>
      <w:tr>
        <w:tblPrEx>
          <w:tblLayout w:type="fixed"/>
          <w:tblCellMar>
            <w:top w:w="0" w:type="dxa"/>
            <w:left w:w="10" w:type="dxa"/>
            <w:bottom w:w="0" w:type="dxa"/>
            <w:right w:w="10" w:type="dxa"/>
          </w:tblCellMar>
        </w:tblPrEx>
        <w:trPr>
          <w:trHeight w:val="3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22</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color w:val="auto"/>
                <w:sz w:val="21"/>
                <w:szCs w:val="21"/>
              </w:rPr>
            </w:pPr>
            <w:r>
              <w:rPr>
                <w:rFonts w:hint="eastAsia" w:ascii="宋体" w:hAnsi="宋体" w:cs="宋体"/>
                <w:color w:val="auto"/>
                <w:sz w:val="21"/>
                <w:szCs w:val="21"/>
              </w:rPr>
              <w:t>代理服务费收取方式和标准：由成交供应商支付，支付标准为成交金额的1.5%。</w:t>
            </w:r>
          </w:p>
        </w:tc>
      </w:tr>
      <w:tr>
        <w:tblPrEx>
          <w:tblLayout w:type="fixed"/>
          <w:tblCellMar>
            <w:top w:w="0" w:type="dxa"/>
            <w:left w:w="10" w:type="dxa"/>
            <w:bottom w:w="0" w:type="dxa"/>
            <w:right w:w="10" w:type="dxa"/>
          </w:tblCellMar>
        </w:tblPrEx>
        <w:trPr>
          <w:trHeight w:val="333"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cs="宋体"/>
                <w:color w:val="auto"/>
                <w:sz w:val="21"/>
                <w:szCs w:val="21"/>
              </w:rPr>
            </w:pPr>
            <w:r>
              <w:rPr>
                <w:rFonts w:hint="eastAsia" w:ascii="宋体" w:hAnsi="宋体" w:cs="宋体"/>
                <w:color w:val="auto"/>
                <w:sz w:val="21"/>
                <w:szCs w:val="21"/>
              </w:rPr>
              <w:t>23</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color w:val="auto"/>
                <w:sz w:val="21"/>
                <w:szCs w:val="21"/>
              </w:rPr>
            </w:pPr>
            <w:r>
              <w:rPr>
                <w:rFonts w:hint="eastAsia" w:ascii="宋体" w:hAnsi="宋体" w:cs="宋体"/>
                <w:color w:val="auto"/>
                <w:sz w:val="21"/>
                <w:szCs w:val="21"/>
              </w:rPr>
              <w:t>（1）本项目中涉及到具有强制认证的产品，供应商应采用强制认证产品。</w:t>
            </w:r>
          </w:p>
          <w:p>
            <w:pPr>
              <w:spacing w:line="360" w:lineRule="exact"/>
              <w:rPr>
                <w:rFonts w:ascii="宋体" w:hAnsi="宋体" w:cs="宋体"/>
                <w:color w:val="auto"/>
                <w:sz w:val="21"/>
                <w:szCs w:val="21"/>
              </w:rPr>
            </w:pPr>
            <w:r>
              <w:rPr>
                <w:rFonts w:hint="eastAsia" w:ascii="宋体" w:hAnsi="宋体" w:cs="宋体"/>
                <w:color w:val="auto"/>
                <w:sz w:val="21"/>
                <w:szCs w:val="21"/>
              </w:rPr>
              <w:t>（2）本项目中涉及节能环境保产品供应商应当采用或优先采购用。</w:t>
            </w:r>
          </w:p>
        </w:tc>
      </w:tr>
      <w:tr>
        <w:tblPrEx>
          <w:tblLayout w:type="fixed"/>
          <w:tblCellMar>
            <w:top w:w="0" w:type="dxa"/>
            <w:left w:w="10" w:type="dxa"/>
            <w:bottom w:w="0" w:type="dxa"/>
            <w:right w:w="10" w:type="dxa"/>
          </w:tblCellMar>
        </w:tblPrEx>
        <w:trPr>
          <w:trHeight w:val="416"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4</w:t>
            </w:r>
          </w:p>
        </w:tc>
        <w:tc>
          <w:tcPr>
            <w:tcW w:w="9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color w:val="auto"/>
                <w:sz w:val="21"/>
                <w:szCs w:val="21"/>
              </w:rPr>
            </w:pPr>
            <w:r>
              <w:rPr>
                <w:rFonts w:hint="eastAsia" w:ascii="宋体" w:hAnsi="宋体" w:cs="宋体"/>
                <w:color w:val="auto"/>
                <w:sz w:val="21"/>
                <w:szCs w:val="21"/>
              </w:rPr>
              <w:t>磋商文件的解释权归采购人及委托的代理机构。</w:t>
            </w:r>
          </w:p>
        </w:tc>
      </w:tr>
    </w:tbl>
    <w:p>
      <w:pPr>
        <w:pStyle w:val="27"/>
        <w:spacing w:before="0" w:line="400" w:lineRule="exact"/>
        <w:ind w:firstLine="3899"/>
        <w:jc w:val="both"/>
        <w:rPr>
          <w:rFonts w:ascii="宋体" w:cs="宋体"/>
          <w:color w:val="auto"/>
          <w:sz w:val="24"/>
          <w:szCs w:val="24"/>
        </w:rPr>
      </w:pPr>
      <w:bookmarkStart w:id="3" w:name="_Toc448307927"/>
      <w:bookmarkEnd w:id="3"/>
      <w:r>
        <w:rPr>
          <w:color w:val="auto"/>
        </w:rPr>
        <w:br w:type="page"/>
      </w:r>
      <w:r>
        <w:rPr>
          <w:rFonts w:hint="eastAsia" w:ascii="微软雅黑" w:hAnsi="微软雅黑" w:eastAsia="微软雅黑" w:cs="微软雅黑"/>
          <w:color w:val="auto"/>
          <w:sz w:val="24"/>
          <w:szCs w:val="24"/>
        </w:rPr>
        <w:t>二、供应商须知</w:t>
      </w:r>
    </w:p>
    <w:p>
      <w:pPr>
        <w:pStyle w:val="53"/>
        <w:spacing w:line="420" w:lineRule="exact"/>
        <w:ind w:firstLine="482"/>
        <w:jc w:val="both"/>
        <w:rPr>
          <w:rFonts w:ascii="宋体" w:cs="宋体"/>
          <w:b/>
          <w:color w:val="auto"/>
          <w:szCs w:val="24"/>
        </w:rPr>
      </w:pPr>
      <w:r>
        <w:rPr>
          <w:rFonts w:ascii="宋体" w:hAnsi="宋体" w:cs="宋体"/>
          <w:b/>
          <w:color w:val="auto"/>
          <w:szCs w:val="24"/>
        </w:rPr>
        <w:t>1.</w:t>
      </w:r>
      <w:r>
        <w:rPr>
          <w:rFonts w:hint="eastAsia" w:ascii="宋体" w:hAnsi="宋体" w:cs="宋体"/>
          <w:b/>
          <w:color w:val="auto"/>
          <w:szCs w:val="24"/>
        </w:rPr>
        <w:t>总则</w:t>
      </w:r>
    </w:p>
    <w:p>
      <w:pPr>
        <w:pStyle w:val="53"/>
        <w:spacing w:line="420" w:lineRule="exact"/>
        <w:ind w:firstLine="482"/>
        <w:jc w:val="both"/>
        <w:rPr>
          <w:rFonts w:ascii="宋体" w:cs="宋体"/>
          <w:b/>
          <w:color w:val="auto"/>
          <w:szCs w:val="24"/>
        </w:rPr>
      </w:pPr>
      <w:r>
        <w:rPr>
          <w:rFonts w:ascii="宋体" w:hAnsi="宋体" w:cs="宋体"/>
          <w:b/>
          <w:color w:val="auto"/>
          <w:szCs w:val="24"/>
        </w:rPr>
        <w:t>1.1</w:t>
      </w:r>
      <w:r>
        <w:rPr>
          <w:rFonts w:hint="eastAsia" w:ascii="宋体" w:hAnsi="宋体" w:cs="宋体"/>
          <w:b/>
          <w:color w:val="auto"/>
          <w:szCs w:val="24"/>
        </w:rPr>
        <w:t>定义</w:t>
      </w:r>
    </w:p>
    <w:p>
      <w:pPr>
        <w:spacing w:line="420" w:lineRule="exact"/>
        <w:ind w:firstLine="480"/>
        <w:rPr>
          <w:rFonts w:ascii="宋体" w:cs="宋体"/>
          <w:color w:val="auto"/>
          <w:szCs w:val="21"/>
        </w:rPr>
      </w:pPr>
      <w:r>
        <w:rPr>
          <w:rFonts w:ascii="宋体" w:hAnsi="宋体" w:cs="宋体"/>
          <w:color w:val="auto"/>
          <w:szCs w:val="21"/>
        </w:rPr>
        <w:t>1.1.1</w:t>
      </w:r>
      <w:r>
        <w:rPr>
          <w:rFonts w:hint="eastAsia" w:ascii="宋体" w:hAnsi="宋体" w:cs="宋体"/>
          <w:color w:val="auto"/>
          <w:szCs w:val="21"/>
        </w:rPr>
        <w:t>竞争性磋商是指采购人、采购代理机构通过组建竞争性磋商小组与符合条件的供应商就采购货物、工程和服务事宜进行磋商，响应供应商应按照磋商文件的要求提交响应文件和报价，采购人从磋商小组评审后提出的候选供应商名单中确定成交供应商的采购方式。</w:t>
      </w:r>
    </w:p>
    <w:p>
      <w:pPr>
        <w:spacing w:line="420" w:lineRule="exact"/>
        <w:ind w:firstLine="480"/>
        <w:rPr>
          <w:rFonts w:ascii="宋体" w:cs="宋体"/>
          <w:color w:val="auto"/>
          <w:szCs w:val="21"/>
        </w:rPr>
      </w:pPr>
      <w:r>
        <w:rPr>
          <w:rFonts w:ascii="宋体" w:hAnsi="宋体" w:cs="宋体"/>
          <w:color w:val="auto"/>
          <w:szCs w:val="21"/>
        </w:rPr>
        <w:t>1.1.2</w:t>
      </w:r>
      <w:r>
        <w:rPr>
          <w:rFonts w:hint="eastAsia" w:ascii="宋体" w:hAnsi="宋体" w:cs="宋体"/>
          <w:color w:val="auto"/>
          <w:szCs w:val="21"/>
        </w:rPr>
        <w:t>项目实施机构，指定的有关职能部门或事业单位或指定的单位可作为项目实施机构，负责项目准备、采购管理等工作。</w:t>
      </w:r>
    </w:p>
    <w:p>
      <w:pPr>
        <w:spacing w:line="420" w:lineRule="exact"/>
        <w:ind w:firstLine="482"/>
        <w:outlineLvl w:val="0"/>
        <w:rPr>
          <w:rFonts w:ascii="宋体" w:cs="宋体"/>
          <w:color w:val="auto"/>
          <w:szCs w:val="21"/>
        </w:rPr>
      </w:pPr>
      <w:r>
        <w:rPr>
          <w:rFonts w:ascii="宋体" w:hAnsi="宋体" w:cs="宋体"/>
          <w:b/>
          <w:color w:val="auto"/>
          <w:szCs w:val="21"/>
        </w:rPr>
        <w:t>1.2</w:t>
      </w:r>
      <w:r>
        <w:rPr>
          <w:rFonts w:hint="eastAsia" w:ascii="宋体" w:hAnsi="宋体" w:cs="宋体"/>
          <w:b/>
          <w:color w:val="auto"/>
          <w:szCs w:val="21"/>
        </w:rPr>
        <w:t>采购当事人</w:t>
      </w:r>
    </w:p>
    <w:p>
      <w:pPr>
        <w:spacing w:line="420" w:lineRule="exact"/>
        <w:ind w:firstLine="480"/>
        <w:rPr>
          <w:rFonts w:ascii="宋体" w:cs="宋体"/>
          <w:color w:val="auto"/>
          <w:szCs w:val="21"/>
        </w:rPr>
      </w:pPr>
      <w:r>
        <w:rPr>
          <w:rFonts w:ascii="宋体" w:hAnsi="宋体" w:cs="宋体"/>
          <w:color w:val="auto"/>
          <w:szCs w:val="21"/>
        </w:rPr>
        <w:t>1.2.1</w:t>
      </w:r>
      <w:r>
        <w:rPr>
          <w:rFonts w:hint="eastAsia" w:ascii="宋体" w:hAnsi="宋体" w:cs="宋体"/>
          <w:color w:val="auto"/>
          <w:szCs w:val="21"/>
        </w:rPr>
        <w:t>采购人是指行政事业单位或者制定服务项目组织实施机构。本项目采购人详见竞争性磋商须知前附表。</w:t>
      </w:r>
    </w:p>
    <w:p>
      <w:pPr>
        <w:spacing w:line="420" w:lineRule="exact"/>
        <w:ind w:firstLine="480"/>
        <w:rPr>
          <w:rFonts w:ascii="宋体" w:cs="宋体"/>
          <w:color w:val="auto"/>
          <w:szCs w:val="21"/>
        </w:rPr>
      </w:pPr>
      <w:r>
        <w:rPr>
          <w:rFonts w:ascii="宋体" w:hAnsi="宋体" w:cs="宋体"/>
          <w:color w:val="auto"/>
          <w:szCs w:val="21"/>
        </w:rPr>
        <w:t>1.3.2</w:t>
      </w:r>
      <w:r>
        <w:rPr>
          <w:rFonts w:hint="eastAsia" w:ascii="宋体" w:hAnsi="宋体" w:cs="宋体"/>
          <w:color w:val="auto"/>
          <w:szCs w:val="21"/>
        </w:rPr>
        <w:t>响应供应商是指接受采购邀请并按要求提交响应文件参加竞争性磋商的提供服务的机构。本项目响应供应商详见竞争性磋商须知前附表。</w:t>
      </w:r>
    </w:p>
    <w:p>
      <w:pPr>
        <w:spacing w:line="420" w:lineRule="exact"/>
        <w:ind w:firstLine="480"/>
        <w:rPr>
          <w:rFonts w:ascii="宋体" w:cs="宋体"/>
          <w:color w:val="auto"/>
          <w:szCs w:val="21"/>
        </w:rPr>
      </w:pPr>
      <w:r>
        <w:rPr>
          <w:rFonts w:ascii="宋体" w:hAnsi="宋体" w:cs="宋体"/>
          <w:color w:val="auto"/>
          <w:szCs w:val="21"/>
        </w:rPr>
        <w:t>1.3.3</w:t>
      </w:r>
      <w:r>
        <w:rPr>
          <w:rFonts w:hint="eastAsia" w:ascii="宋体" w:hAnsi="宋体" w:cs="宋体"/>
          <w:color w:val="auto"/>
          <w:szCs w:val="21"/>
        </w:rPr>
        <w:t>采购代理机构是受采购项目实施机构（采购人）委托办理采购事宜的社会中介机构。本项目采购代理机构详见竞争性磋商须知前附表。</w:t>
      </w:r>
    </w:p>
    <w:p>
      <w:pPr>
        <w:spacing w:line="420" w:lineRule="exact"/>
        <w:ind w:firstLine="482"/>
        <w:outlineLvl w:val="0"/>
        <w:rPr>
          <w:rFonts w:ascii="宋体" w:cs="宋体"/>
          <w:b/>
          <w:color w:val="auto"/>
          <w:szCs w:val="21"/>
        </w:rPr>
      </w:pPr>
      <w:r>
        <w:rPr>
          <w:rFonts w:ascii="宋体" w:hAnsi="宋体" w:cs="宋体"/>
          <w:b/>
          <w:color w:val="auto"/>
          <w:szCs w:val="21"/>
        </w:rPr>
        <w:t>2.</w:t>
      </w:r>
      <w:r>
        <w:rPr>
          <w:rFonts w:hint="eastAsia" w:ascii="宋体" w:hAnsi="宋体" w:cs="宋体"/>
          <w:b/>
          <w:color w:val="auto"/>
          <w:szCs w:val="21"/>
        </w:rPr>
        <w:t>合格的供应商</w:t>
      </w:r>
    </w:p>
    <w:p>
      <w:pPr>
        <w:spacing w:line="420" w:lineRule="exact"/>
        <w:ind w:firstLine="480"/>
        <w:rPr>
          <w:rFonts w:ascii="宋体" w:cs="宋体"/>
          <w:color w:val="auto"/>
          <w:szCs w:val="21"/>
        </w:rPr>
      </w:pPr>
      <w:r>
        <w:rPr>
          <w:rFonts w:ascii="宋体" w:hAnsi="宋体" w:cs="宋体"/>
          <w:color w:val="auto"/>
          <w:szCs w:val="21"/>
        </w:rPr>
        <w:t>2.1</w:t>
      </w:r>
      <w:r>
        <w:rPr>
          <w:rFonts w:hint="eastAsia" w:ascii="宋体" w:hAnsi="宋体" w:cs="宋体"/>
          <w:color w:val="auto"/>
          <w:szCs w:val="21"/>
        </w:rPr>
        <w:t>合格的供应商应满足条件详见竞争性磋商须知前附表。</w:t>
      </w:r>
    </w:p>
    <w:p>
      <w:pPr>
        <w:spacing w:line="420" w:lineRule="exact"/>
        <w:ind w:firstLine="480"/>
        <w:rPr>
          <w:rFonts w:ascii="宋体" w:cs="宋体"/>
          <w:color w:val="auto"/>
          <w:szCs w:val="21"/>
        </w:rPr>
      </w:pPr>
      <w:r>
        <w:rPr>
          <w:rFonts w:ascii="宋体" w:hAnsi="宋体" w:cs="宋体"/>
          <w:color w:val="auto"/>
          <w:szCs w:val="21"/>
        </w:rPr>
        <w:t>2.2</w:t>
      </w:r>
      <w:r>
        <w:rPr>
          <w:rFonts w:hint="eastAsia" w:ascii="宋体" w:hAnsi="宋体" w:cs="宋体"/>
          <w:color w:val="auto"/>
          <w:szCs w:val="21"/>
        </w:rPr>
        <w:t>除须知前附表要求的以外，响应供应商还应满足下列要求：</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）具有独立承担民事责任的能力；</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）具有良好的企业信誉和健全的财务会计制度；</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）具有履行合同所必须的设备和专业技术能力；</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）有依法缴纳税收的良好记录；</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）参加政府采购活动前三年内，在经营活动中没有重大违法记录；</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）单位负责人为同一人或者存在控股、管理关系的不同单位，不得参加同一采购项目的磋商。</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）法律、行政法规规定的其他条件。</w:t>
      </w:r>
    </w:p>
    <w:p>
      <w:pPr>
        <w:spacing w:line="420" w:lineRule="exact"/>
        <w:ind w:firstLine="480"/>
        <w:rPr>
          <w:rFonts w:ascii="宋体" w:cs="宋体"/>
          <w:color w:val="auto"/>
          <w:szCs w:val="21"/>
        </w:rPr>
      </w:pPr>
      <w:r>
        <w:rPr>
          <w:rFonts w:ascii="宋体" w:hAnsi="宋体" w:cs="宋体"/>
          <w:color w:val="auto"/>
          <w:szCs w:val="21"/>
        </w:rPr>
        <w:t>2.3</w:t>
      </w:r>
      <w:r>
        <w:rPr>
          <w:rFonts w:hint="eastAsia" w:ascii="宋体" w:hAnsi="宋体" w:cs="宋体"/>
          <w:color w:val="auto"/>
          <w:szCs w:val="21"/>
        </w:rPr>
        <w:t>供应商不得存在下列情形之一：</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）为本项目采购人有关联关系或管理关系的；</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）为本项目提供咨询服务的；</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）为本项目提供采购代理服务的；</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）被责令停业的；</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）资产被接管或冻结的；</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）其他有关法律、行政法规及部门规章禁止的。</w:t>
      </w:r>
    </w:p>
    <w:p>
      <w:pPr>
        <w:spacing w:line="420" w:lineRule="exact"/>
        <w:ind w:firstLine="480"/>
        <w:rPr>
          <w:rFonts w:ascii="宋体" w:cs="宋体"/>
          <w:b/>
          <w:color w:val="auto"/>
          <w:szCs w:val="21"/>
        </w:rPr>
      </w:pPr>
      <w:r>
        <w:rPr>
          <w:rFonts w:ascii="宋体" w:hAnsi="宋体" w:cs="宋体"/>
          <w:color w:val="auto"/>
          <w:szCs w:val="21"/>
        </w:rPr>
        <w:t>2.4</w:t>
      </w:r>
      <w:r>
        <w:rPr>
          <w:rFonts w:hint="eastAsia" w:ascii="宋体" w:hAnsi="宋体" w:cs="宋体"/>
          <w:color w:val="auto"/>
          <w:szCs w:val="21"/>
        </w:rPr>
        <w:t>联合体</w:t>
      </w:r>
      <w:r>
        <w:rPr>
          <w:rFonts w:hint="eastAsia" w:ascii="宋体" w:hAnsi="宋体" w:cs="宋体"/>
          <w:b/>
          <w:color w:val="auto"/>
          <w:szCs w:val="21"/>
        </w:rPr>
        <w:t>（本项目不接受联合体）</w:t>
      </w:r>
    </w:p>
    <w:p>
      <w:pPr>
        <w:spacing w:line="420" w:lineRule="exact"/>
        <w:ind w:firstLine="480"/>
        <w:rPr>
          <w:rFonts w:ascii="宋体" w:cs="宋体"/>
          <w:color w:val="auto"/>
          <w:szCs w:val="21"/>
        </w:rPr>
      </w:pPr>
      <w:r>
        <w:rPr>
          <w:rFonts w:ascii="宋体" w:hAnsi="宋体" w:cs="宋体"/>
          <w:color w:val="auto"/>
          <w:szCs w:val="21"/>
        </w:rPr>
        <w:t>2.4.1</w:t>
      </w:r>
      <w:r>
        <w:rPr>
          <w:rFonts w:hint="eastAsia" w:ascii="宋体" w:hAnsi="宋体" w:cs="宋体"/>
          <w:color w:val="auto"/>
          <w:szCs w:val="21"/>
        </w:rPr>
        <w:t>两个以上的自然人、法人或者其他组织可以组成一个联合体，以一个响应供应商的身份共同参加竞争性磋商。</w:t>
      </w:r>
    </w:p>
    <w:p>
      <w:pPr>
        <w:spacing w:line="420" w:lineRule="exact"/>
        <w:ind w:firstLine="480"/>
        <w:rPr>
          <w:rFonts w:ascii="宋体" w:cs="宋体"/>
          <w:color w:val="auto"/>
          <w:szCs w:val="21"/>
        </w:rPr>
      </w:pPr>
      <w:r>
        <w:rPr>
          <w:rFonts w:ascii="宋体" w:hAnsi="宋体" w:cs="宋体"/>
          <w:color w:val="auto"/>
          <w:szCs w:val="21"/>
        </w:rPr>
        <w:t>2.4.2</w:t>
      </w:r>
      <w:r>
        <w:rPr>
          <w:rFonts w:hint="eastAsia" w:ascii="宋体" w:hAnsi="宋体" w:cs="宋体"/>
          <w:color w:val="auto"/>
          <w:szCs w:val="21"/>
        </w:rPr>
        <w:t>以联合体形式进行政府采购的，参加联合体的各方均应当具备《中华人民共和国政府采购法》第二十二条规定的条件，并向采购人提交联合协议，载明联合体各方承担的工作和义务，并承诺一旦成交联合体各方将向采购人承担连带责任。联合体各方应当共同与采购人签订采购合同，就采购合同约定的事项对采购人承担连带责任。</w:t>
      </w:r>
    </w:p>
    <w:p>
      <w:pPr>
        <w:spacing w:line="420" w:lineRule="exact"/>
        <w:ind w:firstLine="480"/>
        <w:rPr>
          <w:rFonts w:ascii="宋体" w:cs="宋体"/>
          <w:color w:val="auto"/>
          <w:szCs w:val="21"/>
        </w:rPr>
      </w:pPr>
      <w:r>
        <w:rPr>
          <w:rFonts w:ascii="宋体" w:hAnsi="宋体" w:cs="宋体"/>
          <w:color w:val="auto"/>
          <w:szCs w:val="21"/>
        </w:rPr>
        <w:t>2.4.3</w:t>
      </w:r>
      <w:r>
        <w:rPr>
          <w:rFonts w:hint="eastAsia" w:ascii="宋体" w:hAnsi="宋体" w:cs="宋体"/>
          <w:color w:val="auto"/>
          <w:szCs w:val="21"/>
        </w:rPr>
        <w:t>联合体中有同类资质的按照联合体分工承担相同工作的，应当按照资质等级较低的确定资质等级（如有要求）；或至少有一家符合磋商项目规定的特别条件。</w:t>
      </w:r>
    </w:p>
    <w:p>
      <w:pPr>
        <w:spacing w:line="420" w:lineRule="exact"/>
        <w:ind w:firstLine="480"/>
        <w:rPr>
          <w:rFonts w:ascii="宋体" w:cs="宋体"/>
          <w:color w:val="auto"/>
          <w:szCs w:val="21"/>
        </w:rPr>
      </w:pPr>
      <w:r>
        <w:rPr>
          <w:rFonts w:ascii="宋体" w:hAnsi="宋体" w:cs="宋体"/>
          <w:color w:val="auto"/>
          <w:szCs w:val="21"/>
        </w:rPr>
        <w:t>2.4.4</w:t>
      </w:r>
      <w:r>
        <w:rPr>
          <w:rFonts w:hint="eastAsia" w:ascii="宋体" w:hAnsi="宋体" w:cs="宋体"/>
          <w:color w:val="auto"/>
          <w:szCs w:val="21"/>
        </w:rPr>
        <w:t>以联合体形式参加政府采购活动的，联合体各方不得再单独参加或者与其他供应商另外再组成联合体参加统一合同项下的政府采购活动。</w:t>
      </w:r>
    </w:p>
    <w:p>
      <w:pPr>
        <w:spacing w:line="420" w:lineRule="exact"/>
        <w:ind w:firstLine="482"/>
        <w:rPr>
          <w:rFonts w:ascii="宋体" w:cs="宋体"/>
          <w:b/>
          <w:color w:val="auto"/>
          <w:szCs w:val="21"/>
        </w:rPr>
      </w:pPr>
      <w:r>
        <w:rPr>
          <w:rFonts w:ascii="宋体" w:hAnsi="宋体" w:cs="宋体"/>
          <w:b/>
          <w:color w:val="auto"/>
          <w:szCs w:val="21"/>
        </w:rPr>
        <w:t>3.</w:t>
      </w:r>
      <w:r>
        <w:rPr>
          <w:rFonts w:hint="eastAsia" w:ascii="宋体" w:hAnsi="宋体" w:cs="宋体"/>
          <w:b/>
          <w:color w:val="auto"/>
          <w:szCs w:val="21"/>
        </w:rPr>
        <w:t>提供服务的范围内容及要求</w:t>
      </w:r>
    </w:p>
    <w:p>
      <w:pPr>
        <w:spacing w:line="420" w:lineRule="exact"/>
        <w:ind w:firstLine="480"/>
        <w:rPr>
          <w:rFonts w:ascii="宋体" w:cs="宋体"/>
          <w:color w:val="auto"/>
          <w:szCs w:val="21"/>
        </w:rPr>
      </w:pPr>
      <w:r>
        <w:rPr>
          <w:rFonts w:ascii="宋体" w:hAnsi="宋体" w:cs="宋体"/>
          <w:color w:val="auto"/>
          <w:szCs w:val="21"/>
        </w:rPr>
        <w:t>3.1</w:t>
      </w:r>
      <w:r>
        <w:rPr>
          <w:rFonts w:hint="eastAsia" w:ascii="宋体" w:hAnsi="宋体" w:cs="宋体"/>
          <w:color w:val="auto"/>
          <w:szCs w:val="21"/>
        </w:rPr>
        <w:t>采购需求：第</w:t>
      </w:r>
      <w:r>
        <w:rPr>
          <w:rFonts w:hint="eastAsia" w:ascii="宋体" w:hAnsi="宋体" w:cs="宋体"/>
          <w:b/>
          <w:bCs/>
          <w:color w:val="auto"/>
          <w:szCs w:val="21"/>
        </w:rPr>
        <w:t>二</w:t>
      </w:r>
      <w:r>
        <w:rPr>
          <w:rFonts w:hint="eastAsia" w:ascii="宋体" w:hAnsi="宋体" w:cs="宋体"/>
          <w:color w:val="auto"/>
          <w:szCs w:val="21"/>
        </w:rPr>
        <w:t>章项目采购需求及其他要求中“服务范围及内容”；</w:t>
      </w:r>
    </w:p>
    <w:p>
      <w:pPr>
        <w:spacing w:line="420" w:lineRule="exact"/>
        <w:ind w:firstLine="480"/>
        <w:rPr>
          <w:rFonts w:ascii="宋体" w:cs="宋体"/>
          <w:color w:val="auto"/>
          <w:szCs w:val="21"/>
        </w:rPr>
      </w:pPr>
      <w:r>
        <w:rPr>
          <w:rFonts w:ascii="宋体" w:hAnsi="宋体" w:cs="宋体"/>
          <w:color w:val="auto"/>
          <w:szCs w:val="21"/>
        </w:rPr>
        <w:t>3.2</w:t>
      </w:r>
      <w:r>
        <w:rPr>
          <w:rFonts w:hint="eastAsia" w:ascii="宋体" w:hAnsi="宋体" w:cs="宋体"/>
          <w:color w:val="auto"/>
          <w:szCs w:val="21"/>
        </w:rPr>
        <w:t>其他要求：第</w:t>
      </w:r>
      <w:r>
        <w:rPr>
          <w:rFonts w:hint="eastAsia" w:ascii="宋体" w:hAnsi="宋体" w:cs="宋体"/>
          <w:b/>
          <w:bCs/>
          <w:color w:val="auto"/>
          <w:szCs w:val="21"/>
        </w:rPr>
        <w:t>二</w:t>
      </w:r>
      <w:r>
        <w:rPr>
          <w:rFonts w:hint="eastAsia" w:ascii="宋体" w:hAnsi="宋体" w:cs="宋体"/>
          <w:color w:val="auto"/>
          <w:szCs w:val="21"/>
        </w:rPr>
        <w:t>章项目采购需求及其他要求中“其他要求”。</w:t>
      </w:r>
    </w:p>
    <w:p>
      <w:pPr>
        <w:spacing w:line="420" w:lineRule="exact"/>
        <w:ind w:firstLine="482"/>
        <w:outlineLvl w:val="0"/>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磋商费用</w:t>
      </w:r>
    </w:p>
    <w:p>
      <w:pPr>
        <w:spacing w:line="420" w:lineRule="exact"/>
        <w:ind w:firstLine="480"/>
        <w:rPr>
          <w:rFonts w:ascii="宋体" w:cs="宋体"/>
          <w:color w:val="auto"/>
          <w:szCs w:val="21"/>
        </w:rPr>
      </w:pPr>
      <w:r>
        <w:rPr>
          <w:rFonts w:hint="eastAsia" w:ascii="宋体" w:hAnsi="宋体" w:cs="宋体"/>
          <w:color w:val="auto"/>
          <w:szCs w:val="21"/>
        </w:rPr>
        <w:t>供应商应承担所有与准备和参加磋商有关的费用。不论磋商的结果如何，竞争性磋商须知资料表中所述的采购人或采购机构均无义务和责任承担这些费用。</w:t>
      </w:r>
    </w:p>
    <w:p>
      <w:pPr>
        <w:spacing w:line="420" w:lineRule="exact"/>
        <w:ind w:firstLine="482"/>
        <w:outlineLvl w:val="0"/>
        <w:rPr>
          <w:rFonts w:ascii="宋体" w:cs="宋体"/>
          <w:b/>
          <w:color w:val="auto"/>
          <w:szCs w:val="21"/>
        </w:rPr>
      </w:pPr>
      <w:r>
        <w:rPr>
          <w:rFonts w:ascii="宋体" w:hAnsi="宋体" w:cs="宋体"/>
          <w:b/>
          <w:color w:val="auto"/>
          <w:szCs w:val="21"/>
        </w:rPr>
        <w:t>5.</w:t>
      </w:r>
      <w:r>
        <w:rPr>
          <w:rFonts w:hint="eastAsia" w:ascii="宋体" w:hAnsi="宋体" w:cs="宋体"/>
          <w:b/>
          <w:color w:val="auto"/>
          <w:szCs w:val="21"/>
        </w:rPr>
        <w:t>现场考察及答疑会</w:t>
      </w:r>
    </w:p>
    <w:p>
      <w:pPr>
        <w:spacing w:line="420" w:lineRule="exact"/>
        <w:ind w:firstLine="480"/>
        <w:rPr>
          <w:rFonts w:ascii="宋体" w:cs="宋体"/>
          <w:color w:val="auto"/>
          <w:szCs w:val="21"/>
        </w:rPr>
      </w:pPr>
      <w:r>
        <w:rPr>
          <w:rFonts w:ascii="宋体" w:hAnsi="宋体" w:cs="宋体"/>
          <w:color w:val="auto"/>
          <w:szCs w:val="21"/>
        </w:rPr>
        <w:t>5.1</w:t>
      </w:r>
      <w:r>
        <w:rPr>
          <w:rFonts w:hint="eastAsia" w:ascii="宋体" w:hAnsi="宋体" w:cs="宋体"/>
          <w:color w:val="auto"/>
          <w:szCs w:val="21"/>
        </w:rPr>
        <w:t>采购人不组织现场考察和答疑会,供应商</w:t>
      </w:r>
      <w:r>
        <w:rPr>
          <w:rFonts w:hint="eastAsia" w:ascii="宋体" w:hAnsi="宋体" w:cs="宋体"/>
          <w:bCs/>
          <w:color w:val="auto"/>
          <w:szCs w:val="21"/>
        </w:rPr>
        <w:t>自行组织调研考察</w:t>
      </w:r>
      <w:r>
        <w:rPr>
          <w:rFonts w:hint="eastAsia" w:ascii="宋体" w:hAnsi="宋体" w:cs="宋体"/>
          <w:color w:val="auto"/>
          <w:szCs w:val="21"/>
        </w:rPr>
        <w:t>。</w:t>
      </w:r>
    </w:p>
    <w:p>
      <w:pPr>
        <w:spacing w:line="420" w:lineRule="exact"/>
        <w:ind w:firstLine="480"/>
        <w:rPr>
          <w:rFonts w:ascii="宋体" w:cs="宋体"/>
          <w:color w:val="auto"/>
          <w:szCs w:val="21"/>
        </w:rPr>
      </w:pPr>
      <w:r>
        <w:rPr>
          <w:rFonts w:ascii="宋体" w:hAnsi="宋体" w:cs="宋体"/>
          <w:color w:val="auto"/>
          <w:szCs w:val="21"/>
        </w:rPr>
        <w:t>5.2</w:t>
      </w:r>
      <w:r>
        <w:rPr>
          <w:rFonts w:hint="eastAsia" w:ascii="宋体" w:hAnsi="宋体" w:cs="宋体"/>
          <w:color w:val="auto"/>
          <w:szCs w:val="21"/>
        </w:rPr>
        <w:t>供应商进行现场考察所发生的费用自理，承担现场考察中所发生的人员伤亡和财产损失等一切责任。</w:t>
      </w:r>
    </w:p>
    <w:p>
      <w:pPr>
        <w:numPr>
          <w:ilvl w:val="0"/>
          <w:numId w:val="2"/>
        </w:numPr>
        <w:spacing w:line="420" w:lineRule="exact"/>
        <w:ind w:firstLine="480"/>
        <w:rPr>
          <w:rFonts w:ascii="宋体" w:cs="宋体"/>
          <w:bCs/>
          <w:color w:val="auto"/>
          <w:szCs w:val="21"/>
        </w:rPr>
      </w:pPr>
      <w:r>
        <w:rPr>
          <w:rFonts w:hint="eastAsia" w:ascii="宋体" w:hAnsi="宋体" w:cs="宋体"/>
          <w:bCs/>
          <w:color w:val="auto"/>
          <w:szCs w:val="21"/>
        </w:rPr>
        <w:t>响应供商的确定</w:t>
      </w:r>
    </w:p>
    <w:p>
      <w:pPr>
        <w:spacing w:line="420" w:lineRule="exact"/>
        <w:ind w:firstLine="480"/>
        <w:rPr>
          <w:rFonts w:ascii="宋体" w:cs="宋体"/>
          <w:bCs/>
          <w:color w:val="auto"/>
          <w:szCs w:val="21"/>
        </w:rPr>
      </w:pPr>
      <w:r>
        <w:rPr>
          <w:rFonts w:ascii="宋体" w:hAnsi="宋体" w:cs="宋体"/>
          <w:bCs/>
          <w:color w:val="auto"/>
          <w:szCs w:val="21"/>
        </w:rPr>
        <w:t>6.1</w:t>
      </w:r>
      <w:r>
        <w:rPr>
          <w:rFonts w:hint="eastAsia" w:ascii="宋体" w:hAnsi="宋体" w:cs="宋体"/>
          <w:bCs/>
          <w:color w:val="auto"/>
          <w:szCs w:val="21"/>
        </w:rPr>
        <w:t>《政府采购竞争性磋商采购方式管理办法》财库</w:t>
      </w:r>
      <w:r>
        <w:rPr>
          <w:rFonts w:ascii="宋体" w:hAnsi="宋体" w:cs="宋体"/>
          <w:bCs/>
          <w:color w:val="auto"/>
          <w:szCs w:val="21"/>
        </w:rPr>
        <w:t>[2014]214</w:t>
      </w:r>
      <w:r>
        <w:rPr>
          <w:rFonts w:hint="eastAsia" w:ascii="宋体" w:hAnsi="宋体" w:cs="宋体"/>
          <w:bCs/>
          <w:color w:val="auto"/>
          <w:szCs w:val="21"/>
        </w:rPr>
        <w:t>号第六条规定确定，或通过资格预审确定。</w:t>
      </w:r>
    </w:p>
    <w:p>
      <w:pPr>
        <w:spacing w:line="420" w:lineRule="exact"/>
        <w:ind w:firstLine="482"/>
        <w:jc w:val="center"/>
        <w:rPr>
          <w:rFonts w:ascii="宋体" w:cs="宋体"/>
          <w:color w:val="auto"/>
          <w:sz w:val="28"/>
          <w:szCs w:val="28"/>
        </w:rPr>
      </w:pPr>
      <w:bookmarkStart w:id="4" w:name="_Toc448307928"/>
      <w:bookmarkEnd w:id="4"/>
      <w:r>
        <w:rPr>
          <w:color w:val="auto"/>
        </w:rPr>
        <w:br w:type="page"/>
      </w:r>
      <w:r>
        <w:rPr>
          <w:rFonts w:hint="eastAsia" w:ascii="宋体" w:hAnsi="宋体" w:cs="宋体"/>
          <w:b/>
          <w:color w:val="auto"/>
          <w:sz w:val="28"/>
          <w:szCs w:val="28"/>
        </w:rPr>
        <w:t>三、磋商文件</w:t>
      </w:r>
    </w:p>
    <w:p>
      <w:pPr>
        <w:spacing w:line="420" w:lineRule="exact"/>
        <w:ind w:firstLine="482"/>
        <w:rPr>
          <w:rFonts w:ascii="宋体" w:cs="宋体"/>
          <w:b/>
          <w:color w:val="auto"/>
          <w:szCs w:val="21"/>
        </w:rPr>
      </w:pPr>
      <w:r>
        <w:rPr>
          <w:rFonts w:ascii="宋体" w:hAnsi="宋体" w:cs="宋体"/>
          <w:b/>
          <w:color w:val="auto"/>
          <w:szCs w:val="21"/>
        </w:rPr>
        <w:t>7.</w:t>
      </w:r>
      <w:r>
        <w:rPr>
          <w:rFonts w:hint="eastAsia" w:ascii="宋体" w:hAnsi="宋体" w:cs="宋体"/>
          <w:b/>
          <w:color w:val="auto"/>
          <w:szCs w:val="21"/>
        </w:rPr>
        <w:t>磋商文件的编制依据与构成</w:t>
      </w:r>
    </w:p>
    <w:p>
      <w:pPr>
        <w:spacing w:line="420" w:lineRule="exact"/>
        <w:outlineLvl w:val="0"/>
        <w:rPr>
          <w:rFonts w:ascii="宋体" w:cs="宋体"/>
          <w:color w:val="auto"/>
          <w:szCs w:val="21"/>
        </w:rPr>
      </w:pPr>
      <w:r>
        <w:rPr>
          <w:rFonts w:ascii="宋体" w:hAnsi="宋体" w:cs="宋体"/>
          <w:color w:val="auto"/>
          <w:szCs w:val="21"/>
        </w:rPr>
        <w:t xml:space="preserve">    7.1</w:t>
      </w:r>
      <w:r>
        <w:rPr>
          <w:rFonts w:hint="eastAsia" w:ascii="宋体" w:hAnsi="宋体" w:cs="宋体"/>
          <w:color w:val="auto"/>
          <w:szCs w:val="21"/>
        </w:rPr>
        <w:t>本竞争性磋商文件（以下简称磋商文件）的编制依据</w:t>
      </w:r>
    </w:p>
    <w:p>
      <w:pPr>
        <w:spacing w:line="420" w:lineRule="exact"/>
        <w:ind w:firstLine="480"/>
        <w:rPr>
          <w:rFonts w:ascii="宋体" w:cs="宋体"/>
          <w:color w:val="auto"/>
          <w:szCs w:val="21"/>
        </w:rPr>
      </w:pPr>
      <w:r>
        <w:rPr>
          <w:rFonts w:ascii="宋体" w:hAnsi="宋体" w:cs="宋体"/>
          <w:color w:val="auto"/>
          <w:szCs w:val="21"/>
        </w:rPr>
        <w:t>7.1.1</w:t>
      </w:r>
      <w:r>
        <w:rPr>
          <w:rFonts w:hint="eastAsia" w:ascii="宋体" w:hAnsi="宋体" w:cs="宋体"/>
          <w:color w:val="auto"/>
          <w:szCs w:val="21"/>
        </w:rPr>
        <w:t>《中华人民共和国政府采购法》</w:t>
      </w:r>
    </w:p>
    <w:p>
      <w:pPr>
        <w:spacing w:line="420" w:lineRule="exact"/>
        <w:ind w:firstLine="480"/>
        <w:rPr>
          <w:rFonts w:ascii="宋体" w:cs="宋体"/>
          <w:color w:val="auto"/>
          <w:szCs w:val="21"/>
        </w:rPr>
      </w:pPr>
      <w:r>
        <w:rPr>
          <w:rFonts w:ascii="宋体" w:hAnsi="宋体" w:cs="宋体"/>
          <w:color w:val="auto"/>
          <w:szCs w:val="21"/>
        </w:rPr>
        <w:t>7.1.2</w:t>
      </w:r>
      <w:r>
        <w:rPr>
          <w:rFonts w:hint="eastAsia" w:ascii="宋体" w:hAnsi="宋体" w:cs="宋体"/>
          <w:color w:val="auto"/>
          <w:szCs w:val="21"/>
        </w:rPr>
        <w:t>《中华人民共和国政府采购法实施条例》</w:t>
      </w:r>
    </w:p>
    <w:p>
      <w:pPr>
        <w:spacing w:line="420" w:lineRule="exact"/>
        <w:rPr>
          <w:rFonts w:ascii="宋体" w:cs="宋体"/>
          <w:color w:val="auto"/>
          <w:szCs w:val="21"/>
        </w:rPr>
      </w:pPr>
      <w:r>
        <w:rPr>
          <w:rFonts w:ascii="宋体" w:hAnsi="宋体" w:cs="宋体"/>
          <w:color w:val="auto"/>
          <w:szCs w:val="21"/>
        </w:rPr>
        <w:t xml:space="preserve">    7.1.6</w:t>
      </w:r>
      <w:r>
        <w:rPr>
          <w:rFonts w:hint="eastAsia" w:ascii="宋体" w:hAnsi="宋体" w:cs="宋体"/>
          <w:color w:val="auto"/>
          <w:szCs w:val="21"/>
        </w:rPr>
        <w:t>财政部关于印发《政府采购竞争性磋商采购方式管理暂行办法》的通知（财库</w:t>
      </w:r>
      <w:r>
        <w:rPr>
          <w:rFonts w:ascii="宋体" w:hAnsi="宋体" w:cs="宋体"/>
          <w:color w:val="auto"/>
          <w:szCs w:val="21"/>
        </w:rPr>
        <w:t>[2014]214</w:t>
      </w:r>
      <w:r>
        <w:rPr>
          <w:rFonts w:hint="eastAsia" w:ascii="宋体" w:hAnsi="宋体" w:cs="宋体"/>
          <w:color w:val="auto"/>
          <w:szCs w:val="21"/>
        </w:rPr>
        <w:t>号）</w:t>
      </w:r>
    </w:p>
    <w:p>
      <w:pPr>
        <w:spacing w:line="420" w:lineRule="exact"/>
        <w:ind w:firstLine="480"/>
        <w:rPr>
          <w:rFonts w:ascii="宋体" w:cs="宋体"/>
          <w:color w:val="auto"/>
          <w:szCs w:val="21"/>
        </w:rPr>
      </w:pPr>
      <w:r>
        <w:rPr>
          <w:rFonts w:ascii="宋体" w:hAnsi="宋体" w:cs="宋体"/>
          <w:color w:val="auto"/>
          <w:szCs w:val="21"/>
        </w:rPr>
        <w:t>7.1.7</w:t>
      </w:r>
      <w:r>
        <w:rPr>
          <w:rFonts w:hint="eastAsia" w:ascii="宋体" w:hAnsi="宋体" w:cs="宋体"/>
          <w:color w:val="auto"/>
          <w:szCs w:val="21"/>
        </w:rPr>
        <w:t>关于印发《政府购买服务管理办法（暂行）》的通知（财综</w:t>
      </w:r>
      <w:r>
        <w:rPr>
          <w:rFonts w:ascii="宋体" w:hAnsi="宋体" w:cs="宋体"/>
          <w:color w:val="auto"/>
          <w:szCs w:val="21"/>
        </w:rPr>
        <w:t>[2014]96</w:t>
      </w:r>
      <w:r>
        <w:rPr>
          <w:rFonts w:hint="eastAsia" w:ascii="宋体" w:hAnsi="宋体" w:cs="宋体"/>
          <w:color w:val="auto"/>
          <w:szCs w:val="21"/>
        </w:rPr>
        <w:t>号）</w:t>
      </w:r>
    </w:p>
    <w:p>
      <w:pPr>
        <w:spacing w:line="420" w:lineRule="exact"/>
        <w:ind w:firstLine="480"/>
        <w:rPr>
          <w:rFonts w:ascii="宋体" w:cs="宋体"/>
          <w:color w:val="auto"/>
          <w:szCs w:val="21"/>
        </w:rPr>
      </w:pPr>
      <w:r>
        <w:rPr>
          <w:rFonts w:ascii="宋体" w:hAnsi="宋体" w:cs="宋体"/>
          <w:color w:val="auto"/>
          <w:szCs w:val="21"/>
        </w:rPr>
        <w:t>7.1.8</w:t>
      </w:r>
      <w:r>
        <w:rPr>
          <w:rFonts w:hint="eastAsia" w:ascii="宋体" w:hAnsi="宋体" w:cs="宋体"/>
          <w:color w:val="auto"/>
          <w:szCs w:val="21"/>
        </w:rPr>
        <w:t>《财政部关于竞争性磋商采购方式管理暂行办法有关问题的补充通知》（财库</w:t>
      </w:r>
      <w:r>
        <w:rPr>
          <w:rFonts w:ascii="宋体" w:hAnsi="宋体" w:cs="宋体"/>
          <w:color w:val="auto"/>
          <w:szCs w:val="21"/>
        </w:rPr>
        <w:t>[2015]124</w:t>
      </w:r>
      <w:r>
        <w:rPr>
          <w:rFonts w:hint="eastAsia" w:ascii="宋体" w:hAnsi="宋体" w:cs="宋体"/>
          <w:color w:val="auto"/>
          <w:szCs w:val="21"/>
        </w:rPr>
        <w:t>号）</w:t>
      </w:r>
    </w:p>
    <w:p>
      <w:pPr>
        <w:spacing w:line="420" w:lineRule="exact"/>
        <w:ind w:firstLine="480"/>
        <w:rPr>
          <w:rFonts w:ascii="宋体" w:cs="宋体"/>
          <w:color w:val="auto"/>
          <w:szCs w:val="21"/>
        </w:rPr>
      </w:pPr>
      <w:r>
        <w:rPr>
          <w:rFonts w:hint="eastAsia" w:ascii="宋体" w:hAnsi="宋体" w:cs="宋体"/>
          <w:color w:val="auto"/>
          <w:szCs w:val="21"/>
        </w:rPr>
        <w:t>磋商文件的编制依据含但不限于上述文件，上述文件如有更新的以最新版本为准。</w:t>
      </w:r>
    </w:p>
    <w:p>
      <w:pPr>
        <w:spacing w:line="420" w:lineRule="exact"/>
        <w:ind w:firstLine="480"/>
        <w:rPr>
          <w:rFonts w:ascii="宋体" w:cs="宋体"/>
          <w:color w:val="auto"/>
          <w:szCs w:val="21"/>
        </w:rPr>
      </w:pPr>
      <w:r>
        <w:rPr>
          <w:rFonts w:ascii="宋体" w:hAnsi="宋体" w:cs="宋体"/>
          <w:color w:val="auto"/>
          <w:szCs w:val="21"/>
        </w:rPr>
        <w:t>7.2</w:t>
      </w:r>
      <w:r>
        <w:rPr>
          <w:rFonts w:hint="eastAsia" w:ascii="宋体" w:hAnsi="宋体" w:cs="宋体"/>
          <w:color w:val="auto"/>
          <w:szCs w:val="21"/>
        </w:rPr>
        <w:t>磋商文件由下列章节组成：</w:t>
      </w:r>
    </w:p>
    <w:p>
      <w:pPr>
        <w:spacing w:line="420" w:lineRule="exact"/>
        <w:ind w:firstLine="480"/>
        <w:rPr>
          <w:rFonts w:ascii="宋体" w:cs="宋体"/>
          <w:color w:val="auto"/>
          <w:szCs w:val="21"/>
        </w:rPr>
      </w:pPr>
      <w:r>
        <w:rPr>
          <w:rFonts w:hint="eastAsia" w:ascii="宋体" w:hAnsi="宋体" w:cs="宋体"/>
          <w:color w:val="auto"/>
          <w:szCs w:val="21"/>
        </w:rPr>
        <w:t>第一章 邀请函</w:t>
      </w:r>
    </w:p>
    <w:p>
      <w:pPr>
        <w:spacing w:line="420" w:lineRule="exact"/>
        <w:ind w:firstLine="480"/>
        <w:rPr>
          <w:rFonts w:ascii="宋体" w:cs="宋体"/>
          <w:color w:val="auto"/>
          <w:szCs w:val="21"/>
        </w:rPr>
      </w:pPr>
      <w:r>
        <w:rPr>
          <w:rFonts w:hint="eastAsia" w:ascii="宋体" w:hAnsi="宋体" w:cs="宋体"/>
          <w:color w:val="auto"/>
          <w:szCs w:val="21"/>
        </w:rPr>
        <w:t>第二章 项目采购需求及要求</w:t>
      </w:r>
    </w:p>
    <w:p>
      <w:pPr>
        <w:spacing w:line="420" w:lineRule="exact"/>
        <w:ind w:firstLine="480"/>
        <w:rPr>
          <w:rFonts w:ascii="宋体" w:cs="宋体"/>
          <w:color w:val="auto"/>
          <w:szCs w:val="21"/>
        </w:rPr>
      </w:pPr>
      <w:r>
        <w:rPr>
          <w:rFonts w:hint="eastAsia" w:ascii="宋体" w:hAnsi="宋体" w:cs="宋体"/>
          <w:color w:val="auto"/>
          <w:szCs w:val="21"/>
        </w:rPr>
        <w:t>第三章 竞争性磋商须知</w:t>
      </w:r>
    </w:p>
    <w:p>
      <w:pPr>
        <w:spacing w:line="420" w:lineRule="exact"/>
        <w:ind w:firstLine="480"/>
        <w:rPr>
          <w:rFonts w:ascii="宋体" w:cs="宋体"/>
          <w:color w:val="auto"/>
          <w:szCs w:val="21"/>
        </w:rPr>
      </w:pPr>
      <w:r>
        <w:rPr>
          <w:rFonts w:hint="eastAsia" w:ascii="宋体" w:hAnsi="宋体" w:cs="宋体"/>
          <w:color w:val="auto"/>
          <w:szCs w:val="21"/>
        </w:rPr>
        <w:t>第四章 评审办法</w:t>
      </w:r>
    </w:p>
    <w:p>
      <w:pPr>
        <w:spacing w:line="420" w:lineRule="exact"/>
        <w:ind w:firstLine="480"/>
        <w:rPr>
          <w:rFonts w:ascii="宋体" w:cs="宋体"/>
          <w:color w:val="auto"/>
          <w:szCs w:val="21"/>
        </w:rPr>
      </w:pPr>
      <w:r>
        <w:rPr>
          <w:rFonts w:hint="eastAsia" w:ascii="宋体" w:hAnsi="宋体" w:cs="宋体"/>
          <w:color w:val="auto"/>
          <w:szCs w:val="21"/>
        </w:rPr>
        <w:t>第五章 项目合同（草案）</w:t>
      </w:r>
    </w:p>
    <w:p>
      <w:pPr>
        <w:spacing w:line="420" w:lineRule="exact"/>
        <w:ind w:firstLine="480"/>
        <w:rPr>
          <w:rFonts w:ascii="宋体" w:cs="宋体"/>
          <w:color w:val="auto"/>
          <w:szCs w:val="21"/>
        </w:rPr>
      </w:pPr>
      <w:r>
        <w:rPr>
          <w:rFonts w:hint="eastAsia" w:ascii="宋体" w:hAnsi="宋体" w:cs="宋体"/>
          <w:color w:val="auto"/>
          <w:szCs w:val="21"/>
        </w:rPr>
        <w:t>第六章 响应文件格式</w:t>
      </w:r>
    </w:p>
    <w:p>
      <w:pPr>
        <w:spacing w:line="420" w:lineRule="exact"/>
        <w:ind w:firstLine="480"/>
        <w:rPr>
          <w:rFonts w:ascii="宋体" w:cs="宋体"/>
          <w:color w:val="auto"/>
          <w:szCs w:val="21"/>
        </w:rPr>
      </w:pPr>
      <w:r>
        <w:rPr>
          <w:rFonts w:ascii="宋体" w:hAnsi="宋体" w:cs="宋体"/>
          <w:color w:val="auto"/>
          <w:szCs w:val="21"/>
        </w:rPr>
        <w:t>7.3</w:t>
      </w:r>
      <w:r>
        <w:rPr>
          <w:rFonts w:hint="eastAsia" w:ascii="宋体" w:hAnsi="宋体" w:cs="宋体"/>
          <w:color w:val="auto"/>
          <w:szCs w:val="21"/>
        </w:rPr>
        <w:t>磋商文件以中文文字编写。纸质磋商文件与电子介质磋商文件具有同等法律效力，除另有约定外，两者出现不一致时，以纸质磋商文件为准。</w:t>
      </w:r>
    </w:p>
    <w:p>
      <w:pPr>
        <w:spacing w:line="420" w:lineRule="exact"/>
        <w:ind w:firstLine="480"/>
        <w:rPr>
          <w:rFonts w:ascii="宋体" w:cs="宋体"/>
          <w:color w:val="auto"/>
          <w:szCs w:val="21"/>
        </w:rPr>
      </w:pPr>
      <w:r>
        <w:rPr>
          <w:rFonts w:ascii="宋体" w:hAnsi="宋体" w:cs="宋体"/>
          <w:color w:val="auto"/>
          <w:szCs w:val="21"/>
        </w:rPr>
        <w:t>7.4</w:t>
      </w:r>
      <w:r>
        <w:rPr>
          <w:rFonts w:hint="eastAsia" w:ascii="宋体" w:hAnsi="宋体" w:cs="宋体"/>
          <w:color w:val="auto"/>
          <w:szCs w:val="21"/>
        </w:rPr>
        <w:t>供应商应认真阅读、磋商文件中所有的事项、格式、条款和磋商内容及要求等，并按照磋商文件的要求编制响应文件。若供应商不按照磋商文件要求编制相应文件，由此产生的风险和责任将由供应商自己承担。</w:t>
      </w:r>
    </w:p>
    <w:p>
      <w:pPr>
        <w:spacing w:line="420" w:lineRule="exact"/>
        <w:ind w:firstLine="482"/>
        <w:outlineLvl w:val="0"/>
        <w:rPr>
          <w:rFonts w:ascii="宋体" w:cs="宋体"/>
          <w:b/>
          <w:color w:val="auto"/>
          <w:szCs w:val="21"/>
        </w:rPr>
      </w:pPr>
      <w:r>
        <w:rPr>
          <w:rFonts w:ascii="宋体" w:hAnsi="宋体" w:cs="宋体"/>
          <w:b/>
          <w:color w:val="auto"/>
          <w:szCs w:val="21"/>
        </w:rPr>
        <w:t>8.</w:t>
      </w:r>
      <w:r>
        <w:rPr>
          <w:rFonts w:hint="eastAsia" w:ascii="宋体" w:hAnsi="宋体" w:cs="宋体"/>
          <w:b/>
          <w:color w:val="auto"/>
          <w:szCs w:val="21"/>
        </w:rPr>
        <w:t>磋商文件的澄清、修改及变动</w:t>
      </w:r>
    </w:p>
    <w:p>
      <w:pPr>
        <w:spacing w:line="420" w:lineRule="exact"/>
        <w:ind w:firstLine="480"/>
        <w:rPr>
          <w:rFonts w:ascii="宋体" w:cs="宋体"/>
          <w:color w:val="auto"/>
          <w:szCs w:val="21"/>
        </w:rPr>
      </w:pPr>
      <w:r>
        <w:rPr>
          <w:rFonts w:ascii="宋体" w:hAnsi="宋体" w:cs="宋体"/>
          <w:color w:val="auto"/>
          <w:szCs w:val="21"/>
        </w:rPr>
        <w:t>8.1</w:t>
      </w:r>
      <w:r>
        <w:rPr>
          <w:rFonts w:hint="eastAsia" w:ascii="宋体" w:hAnsi="宋体" w:cs="宋体"/>
          <w:color w:val="auto"/>
          <w:szCs w:val="21"/>
        </w:rPr>
        <w:t>提交首次响应文件截止之日前，采购人、采购代理机构或者磋商小组有权对已发出的磋商文件进行必要的澄清或者修改，澄清或者修改的内容作为磋商文件的组成部分。如澄清或者修改的内容可能影响响应文件编制，采购人、采购代理机构将在提交首次响应文件截止时间至少</w:t>
      </w:r>
      <w:r>
        <w:rPr>
          <w:rFonts w:ascii="宋体" w:hAnsi="宋体" w:cs="宋体"/>
          <w:color w:val="auto"/>
          <w:szCs w:val="21"/>
        </w:rPr>
        <w:t>5</w:t>
      </w:r>
      <w:r>
        <w:rPr>
          <w:rFonts w:hint="eastAsia" w:ascii="宋体" w:hAnsi="宋体" w:cs="宋体"/>
          <w:color w:val="auto"/>
          <w:szCs w:val="21"/>
        </w:rPr>
        <w:t>日前，以书面形式通知所有获取磋商文件的供应商；不足</w:t>
      </w:r>
      <w:r>
        <w:rPr>
          <w:rFonts w:ascii="宋体" w:hAnsi="宋体" w:cs="宋体"/>
          <w:color w:val="auto"/>
          <w:szCs w:val="21"/>
        </w:rPr>
        <w:t>5</w:t>
      </w:r>
      <w:r>
        <w:rPr>
          <w:rFonts w:hint="eastAsia" w:ascii="宋体" w:hAnsi="宋体" w:cs="宋体"/>
          <w:color w:val="auto"/>
          <w:szCs w:val="21"/>
        </w:rPr>
        <w:t>日的，采购人、采购代理机构将顺延提交首次响应文件截止时间。</w:t>
      </w:r>
    </w:p>
    <w:p>
      <w:pPr>
        <w:spacing w:line="420" w:lineRule="exact"/>
        <w:ind w:firstLine="480"/>
        <w:rPr>
          <w:rFonts w:ascii="宋体" w:cs="宋体"/>
          <w:color w:val="auto"/>
          <w:szCs w:val="21"/>
        </w:rPr>
      </w:pPr>
      <w:r>
        <w:rPr>
          <w:rFonts w:ascii="宋体" w:hAnsi="宋体" w:cs="宋体"/>
          <w:color w:val="auto"/>
          <w:szCs w:val="21"/>
        </w:rPr>
        <w:t>8.2</w:t>
      </w:r>
      <w:r>
        <w:rPr>
          <w:rFonts w:hint="eastAsia" w:ascii="宋体" w:hAnsi="宋体" w:cs="宋体"/>
          <w:color w:val="auto"/>
          <w:szCs w:val="21"/>
        </w:rPr>
        <w:t>如供应商对磋商文件内容有疑义，需在竞争性磋商须知资料表中规定的时间前以书面形式向采购代理机构提出，采购代理机构收到将进行书面答复。如答复内容需要对磋商文件进行澄清和修改的将按照相关规定执行。</w:t>
      </w:r>
    </w:p>
    <w:p>
      <w:pPr>
        <w:spacing w:line="440" w:lineRule="exact"/>
        <w:ind w:firstLine="480"/>
        <w:rPr>
          <w:rFonts w:ascii="宋体" w:cs="宋体"/>
          <w:color w:val="auto"/>
          <w:szCs w:val="21"/>
        </w:rPr>
      </w:pPr>
      <w:r>
        <w:rPr>
          <w:rFonts w:ascii="宋体" w:hAnsi="宋体" w:cs="宋体"/>
          <w:color w:val="auto"/>
          <w:szCs w:val="21"/>
        </w:rPr>
        <w:t>8.3</w:t>
      </w:r>
      <w:r>
        <w:rPr>
          <w:rFonts w:hint="eastAsia" w:ascii="宋体" w:hAnsi="宋体" w:cs="宋体"/>
          <w:color w:val="auto"/>
          <w:szCs w:val="21"/>
        </w:rPr>
        <w:t>在采购需求明确以后，采购人会依据磋商会议纪要及磋商小组要求对磋商文件进行变动。磋商文件的变动主要标段含采购需求中的技术、服务要求以及合同草案条款等，并将磋商文件的全部变动内容发给参与磋商的供应商。</w:t>
      </w:r>
    </w:p>
    <w:p>
      <w:pPr>
        <w:spacing w:line="420" w:lineRule="exact"/>
        <w:ind w:firstLine="482"/>
        <w:outlineLvl w:val="0"/>
        <w:rPr>
          <w:rFonts w:ascii="宋体" w:cs="宋体"/>
          <w:b/>
          <w:color w:val="auto"/>
          <w:szCs w:val="21"/>
        </w:rPr>
      </w:pPr>
      <w:bookmarkStart w:id="5" w:name="_Toc448307929"/>
      <w:bookmarkEnd w:id="5"/>
      <w:r>
        <w:rPr>
          <w:rFonts w:hint="eastAsia" w:ascii="宋体" w:hAnsi="宋体" w:cs="宋体"/>
          <w:b/>
          <w:color w:val="auto"/>
          <w:szCs w:val="21"/>
        </w:rPr>
        <w:t>四、响应文件的编制</w:t>
      </w:r>
    </w:p>
    <w:p>
      <w:pPr>
        <w:spacing w:line="420" w:lineRule="exact"/>
        <w:ind w:firstLine="482"/>
        <w:rPr>
          <w:rFonts w:ascii="宋体" w:cs="宋体"/>
          <w:b/>
          <w:color w:val="auto"/>
          <w:szCs w:val="21"/>
        </w:rPr>
      </w:pPr>
      <w:r>
        <w:rPr>
          <w:rFonts w:ascii="宋体" w:hAnsi="宋体" w:cs="宋体"/>
          <w:b/>
          <w:color w:val="auto"/>
          <w:szCs w:val="21"/>
        </w:rPr>
        <w:t>9.</w:t>
      </w:r>
      <w:r>
        <w:rPr>
          <w:rFonts w:hint="eastAsia" w:ascii="宋体" w:hAnsi="宋体" w:cs="宋体"/>
          <w:b/>
          <w:color w:val="auto"/>
          <w:szCs w:val="21"/>
        </w:rPr>
        <w:t>磋商的语言与计量</w:t>
      </w:r>
    </w:p>
    <w:p>
      <w:pPr>
        <w:spacing w:line="420" w:lineRule="exact"/>
        <w:ind w:firstLine="480"/>
        <w:rPr>
          <w:rFonts w:ascii="宋体" w:cs="宋体"/>
          <w:color w:val="auto"/>
          <w:szCs w:val="21"/>
        </w:rPr>
      </w:pPr>
      <w:r>
        <w:rPr>
          <w:rFonts w:ascii="宋体" w:hAnsi="宋体" w:cs="宋体"/>
          <w:color w:val="auto"/>
          <w:szCs w:val="21"/>
        </w:rPr>
        <w:t>9.1</w:t>
      </w:r>
      <w:r>
        <w:rPr>
          <w:rFonts w:hint="eastAsia" w:ascii="宋体" w:hAnsi="宋体" w:cs="宋体"/>
          <w:color w:val="auto"/>
          <w:szCs w:val="21"/>
        </w:rPr>
        <w:t>供应商提交的响应文件以及供应商与采购人和采购代理机构就有关磋商的所有来往函电均以中文文字书写。供应商提交的支持资料和已印刷的证件或资料可以用另一种语言，但相应内容应附有中文的翻译版本，在解释响应文件时以翻译文本为准。</w:t>
      </w:r>
    </w:p>
    <w:p>
      <w:pPr>
        <w:spacing w:line="420" w:lineRule="exact"/>
        <w:ind w:firstLine="480"/>
        <w:rPr>
          <w:rFonts w:ascii="宋体" w:cs="宋体"/>
          <w:color w:val="auto"/>
          <w:szCs w:val="21"/>
        </w:rPr>
      </w:pPr>
      <w:r>
        <w:rPr>
          <w:rFonts w:ascii="宋体" w:hAnsi="宋体" w:cs="宋体"/>
          <w:color w:val="auto"/>
          <w:szCs w:val="21"/>
        </w:rPr>
        <w:t>9.2</w:t>
      </w:r>
      <w:r>
        <w:rPr>
          <w:rFonts w:hint="eastAsia" w:ascii="宋体" w:hAnsi="宋体" w:cs="宋体"/>
          <w:color w:val="auto"/>
          <w:szCs w:val="21"/>
        </w:rPr>
        <w:t>除在磋商文件的技术规格中另有规定外，计量单位应使用中华人民共和国法定计量单位。</w:t>
      </w:r>
    </w:p>
    <w:p>
      <w:pPr>
        <w:spacing w:line="420" w:lineRule="exact"/>
        <w:ind w:firstLine="482"/>
        <w:outlineLvl w:val="0"/>
        <w:rPr>
          <w:rFonts w:ascii="宋体" w:cs="宋体"/>
          <w:color w:val="auto"/>
          <w:szCs w:val="21"/>
        </w:rPr>
      </w:pPr>
      <w:r>
        <w:rPr>
          <w:rFonts w:ascii="宋体" w:hAnsi="宋体" w:cs="宋体"/>
          <w:b/>
          <w:color w:val="auto"/>
          <w:szCs w:val="21"/>
        </w:rPr>
        <w:t>10.</w:t>
      </w:r>
      <w:r>
        <w:rPr>
          <w:rFonts w:hint="eastAsia" w:ascii="宋体" w:hAnsi="宋体" w:cs="宋体"/>
          <w:b/>
          <w:color w:val="auto"/>
          <w:szCs w:val="21"/>
        </w:rPr>
        <w:t>响应文件的编写</w:t>
      </w:r>
    </w:p>
    <w:p>
      <w:pPr>
        <w:spacing w:line="420" w:lineRule="exact"/>
        <w:rPr>
          <w:rFonts w:ascii="宋体" w:cs="宋体"/>
          <w:color w:val="auto"/>
          <w:szCs w:val="21"/>
        </w:rPr>
      </w:pPr>
      <w:r>
        <w:rPr>
          <w:rFonts w:ascii="宋体" w:hAnsi="宋体" w:cs="宋体"/>
          <w:color w:val="auto"/>
          <w:szCs w:val="21"/>
        </w:rPr>
        <w:t xml:space="preserve">    10.1</w:t>
      </w:r>
      <w:r>
        <w:rPr>
          <w:rFonts w:hint="eastAsia" w:ascii="宋体" w:hAnsi="宋体" w:cs="宋体"/>
          <w:color w:val="auto"/>
          <w:szCs w:val="21"/>
        </w:rPr>
        <w:t>供应商应按照第六章响应文件格式完整地填写磋商响应文件，并对其提交的响应文件的真实性、合法性承担法律责任。</w:t>
      </w:r>
    </w:p>
    <w:p>
      <w:pPr>
        <w:spacing w:line="420" w:lineRule="exact"/>
        <w:rPr>
          <w:rFonts w:ascii="宋体" w:cs="宋体"/>
          <w:color w:val="auto"/>
          <w:szCs w:val="21"/>
        </w:rPr>
      </w:pPr>
      <w:r>
        <w:rPr>
          <w:rFonts w:ascii="宋体" w:hAnsi="宋体" w:cs="宋体"/>
          <w:color w:val="auto"/>
          <w:szCs w:val="21"/>
        </w:rPr>
        <w:t xml:space="preserve">    10.2</w:t>
      </w:r>
      <w:r>
        <w:rPr>
          <w:rFonts w:hint="eastAsia" w:ascii="宋体" w:hAnsi="宋体" w:cs="宋体"/>
          <w:color w:val="auto"/>
          <w:szCs w:val="21"/>
        </w:rPr>
        <w:t>供应商应将任何不同于磋商文件的磋商内容、要求和商务条款列于“偏离表”中，同时在“偏离表”中注明其他条款无偏离；若所有条款均无偏离也应在“偏离表”中注明所有条款均无偏离。未在“偏离表”中列明的偏离不予认可，在磋商以及后期合同谈判过程中以磋商文件为准。</w:t>
      </w:r>
    </w:p>
    <w:p>
      <w:pPr>
        <w:spacing w:line="420" w:lineRule="exact"/>
        <w:ind w:firstLine="482"/>
        <w:outlineLvl w:val="0"/>
        <w:rPr>
          <w:rFonts w:ascii="宋体" w:cs="宋体"/>
          <w:b/>
          <w:color w:val="auto"/>
          <w:szCs w:val="21"/>
        </w:rPr>
      </w:pPr>
      <w:r>
        <w:rPr>
          <w:rFonts w:ascii="宋体" w:hAnsi="宋体" w:cs="宋体"/>
          <w:b/>
          <w:color w:val="auto"/>
          <w:szCs w:val="21"/>
        </w:rPr>
        <w:t>11.</w:t>
      </w:r>
      <w:r>
        <w:rPr>
          <w:rFonts w:hint="eastAsia" w:ascii="宋体" w:hAnsi="宋体" w:cs="宋体"/>
          <w:b/>
          <w:color w:val="auto"/>
          <w:szCs w:val="21"/>
        </w:rPr>
        <w:t>磋商价格</w:t>
      </w:r>
    </w:p>
    <w:p>
      <w:pPr>
        <w:spacing w:line="420" w:lineRule="exact"/>
        <w:ind w:firstLine="465"/>
        <w:rPr>
          <w:rFonts w:ascii="宋体" w:cs="宋体"/>
          <w:color w:val="auto"/>
          <w:szCs w:val="21"/>
        </w:rPr>
      </w:pPr>
      <w:r>
        <w:rPr>
          <w:rFonts w:ascii="宋体" w:hAnsi="宋体" w:cs="宋体"/>
          <w:color w:val="auto"/>
          <w:szCs w:val="21"/>
        </w:rPr>
        <w:t>11.1</w:t>
      </w:r>
      <w:r>
        <w:rPr>
          <w:rFonts w:hint="eastAsia" w:ascii="宋体" w:hAnsi="宋体" w:cs="宋体"/>
          <w:color w:val="auto"/>
          <w:szCs w:val="21"/>
        </w:rPr>
        <w:t>供应商根据项目情况及采购人给出的项目实施方案填报磋商价格。磋商最终报价应为完成本项目服务的全部服务项下的总价，服务过程中采购人不作任何价格追加，未列明的将视为标段含在磋商价格中。磋商的报价方式及控制价（或其他控制条件）应在前附表中明确。</w:t>
      </w:r>
    </w:p>
    <w:p>
      <w:pPr>
        <w:spacing w:line="420" w:lineRule="exact"/>
        <w:ind w:firstLine="465"/>
        <w:rPr>
          <w:rFonts w:ascii="宋体" w:cs="宋体"/>
          <w:color w:val="auto"/>
          <w:szCs w:val="21"/>
        </w:rPr>
      </w:pPr>
      <w:r>
        <w:rPr>
          <w:rFonts w:ascii="宋体" w:hAnsi="宋体" w:cs="宋体"/>
          <w:color w:val="auto"/>
          <w:szCs w:val="21"/>
        </w:rPr>
        <w:t>11.2</w:t>
      </w:r>
      <w:r>
        <w:rPr>
          <w:rFonts w:hint="eastAsia" w:ascii="宋体" w:hAnsi="宋体" w:cs="宋体"/>
          <w:color w:val="auto"/>
          <w:szCs w:val="21"/>
        </w:rPr>
        <w:t>磋商价格中不应含有磋商文件要求以外的内容，否则在磋商过程中不予核减。</w:t>
      </w:r>
    </w:p>
    <w:p>
      <w:pPr>
        <w:spacing w:line="420" w:lineRule="exact"/>
        <w:ind w:firstLine="465"/>
        <w:rPr>
          <w:rFonts w:ascii="宋体" w:cs="宋体"/>
          <w:color w:val="auto"/>
          <w:szCs w:val="21"/>
        </w:rPr>
      </w:pPr>
      <w:r>
        <w:rPr>
          <w:rFonts w:ascii="宋体" w:hAnsi="宋体" w:cs="宋体"/>
          <w:color w:val="auto"/>
          <w:szCs w:val="21"/>
        </w:rPr>
        <w:t>11.3</w:t>
      </w:r>
      <w:r>
        <w:rPr>
          <w:rFonts w:hint="eastAsia" w:ascii="宋体" w:hAnsi="宋体" w:cs="宋体"/>
          <w:color w:val="auto"/>
          <w:szCs w:val="21"/>
        </w:rPr>
        <w:t>供应商应当根据磋商文件要求和磋商内容要求在分项报价表上列出分项价格和总价。</w:t>
      </w:r>
    </w:p>
    <w:p>
      <w:pPr>
        <w:spacing w:line="420" w:lineRule="exact"/>
        <w:ind w:firstLine="465"/>
        <w:rPr>
          <w:rFonts w:ascii="宋体" w:cs="宋体"/>
          <w:color w:val="auto"/>
          <w:szCs w:val="21"/>
        </w:rPr>
      </w:pPr>
      <w:r>
        <w:rPr>
          <w:rFonts w:ascii="宋体" w:hAnsi="宋体" w:cs="宋体"/>
          <w:color w:val="auto"/>
          <w:szCs w:val="21"/>
        </w:rPr>
        <w:t>11.4</w:t>
      </w:r>
      <w:r>
        <w:rPr>
          <w:rFonts w:hint="eastAsia" w:ascii="宋体" w:hAnsi="宋体" w:cs="宋体"/>
          <w:color w:val="auto"/>
          <w:szCs w:val="21"/>
        </w:rPr>
        <w:t>本次磋商不接受选择性报价或者有附加条件的报价。</w:t>
      </w:r>
    </w:p>
    <w:p>
      <w:pPr>
        <w:spacing w:line="420" w:lineRule="exact"/>
        <w:ind w:firstLine="482"/>
        <w:outlineLvl w:val="0"/>
        <w:rPr>
          <w:rFonts w:ascii="宋体" w:cs="宋体"/>
          <w:b/>
          <w:color w:val="auto"/>
          <w:szCs w:val="21"/>
        </w:rPr>
      </w:pPr>
      <w:r>
        <w:rPr>
          <w:rFonts w:ascii="宋体" w:hAnsi="宋体" w:cs="宋体"/>
          <w:b/>
          <w:color w:val="auto"/>
          <w:szCs w:val="21"/>
        </w:rPr>
        <w:t>12.</w:t>
      </w:r>
      <w:r>
        <w:rPr>
          <w:rFonts w:hint="eastAsia" w:ascii="宋体" w:hAnsi="宋体" w:cs="宋体"/>
          <w:b/>
          <w:color w:val="auto"/>
          <w:szCs w:val="21"/>
        </w:rPr>
        <w:t>证明供应商合格和资格的文件</w:t>
      </w:r>
    </w:p>
    <w:p>
      <w:pPr>
        <w:spacing w:line="420" w:lineRule="exact"/>
        <w:ind w:firstLine="465"/>
        <w:rPr>
          <w:rFonts w:ascii="宋体" w:cs="宋体"/>
          <w:color w:val="auto"/>
          <w:szCs w:val="21"/>
        </w:rPr>
      </w:pPr>
      <w:r>
        <w:rPr>
          <w:rFonts w:ascii="宋体" w:hAnsi="宋体" w:cs="宋体"/>
          <w:color w:val="auto"/>
          <w:szCs w:val="21"/>
        </w:rPr>
        <w:t>12.1</w:t>
      </w:r>
      <w:r>
        <w:rPr>
          <w:rFonts w:hint="eastAsia" w:ascii="宋体" w:hAnsi="宋体" w:cs="宋体"/>
          <w:color w:val="auto"/>
          <w:szCs w:val="21"/>
        </w:rPr>
        <w:t>供应商应提交证明其有资格参加磋商和成交后有能力履行合同的文件，并作为其响应文件的一部分。联合体参加磋商的，应完整提供各成员的资格证明文件，否则联合体的响应将被拒绝。</w:t>
      </w:r>
    </w:p>
    <w:p>
      <w:pPr>
        <w:spacing w:line="420" w:lineRule="exact"/>
        <w:ind w:firstLine="465"/>
        <w:rPr>
          <w:rFonts w:ascii="宋体" w:cs="宋体"/>
          <w:color w:val="auto"/>
          <w:szCs w:val="21"/>
        </w:rPr>
      </w:pPr>
      <w:r>
        <w:rPr>
          <w:rFonts w:ascii="宋体" w:hAnsi="宋体" w:cs="宋体"/>
          <w:color w:val="auto"/>
          <w:szCs w:val="21"/>
        </w:rPr>
        <w:t>12.2</w:t>
      </w:r>
      <w:r>
        <w:rPr>
          <w:rFonts w:hint="eastAsia" w:ascii="宋体" w:hAnsi="宋体" w:cs="宋体"/>
          <w:color w:val="auto"/>
          <w:szCs w:val="21"/>
        </w:rPr>
        <w:t>供应商提交的证明其成交后能履行合同的资格证明文件应标段含（但不仅限于）响应文件格式中要求的内容。</w:t>
      </w:r>
    </w:p>
    <w:p>
      <w:pPr>
        <w:spacing w:line="420" w:lineRule="exact"/>
        <w:ind w:firstLine="465"/>
        <w:rPr>
          <w:rFonts w:ascii="宋体" w:cs="宋体"/>
          <w:color w:val="auto"/>
          <w:szCs w:val="21"/>
        </w:rPr>
      </w:pPr>
      <w:r>
        <w:rPr>
          <w:rFonts w:ascii="宋体" w:hAnsi="宋体" w:cs="宋体"/>
          <w:color w:val="auto"/>
          <w:szCs w:val="21"/>
        </w:rPr>
        <w:t>12.3</w:t>
      </w:r>
      <w:r>
        <w:rPr>
          <w:rFonts w:hint="eastAsia" w:ascii="宋体" w:hAnsi="宋体" w:cs="宋体"/>
          <w:color w:val="auto"/>
          <w:szCs w:val="21"/>
        </w:rPr>
        <w:t>在磋商过程中，供应商发生合并、分立、破产等重大变化时，应当及时书面告知招标采购人。</w:t>
      </w:r>
    </w:p>
    <w:p>
      <w:pPr>
        <w:spacing w:line="420" w:lineRule="exact"/>
        <w:ind w:firstLine="465"/>
        <w:rPr>
          <w:rFonts w:ascii="宋体" w:cs="宋体"/>
          <w:color w:val="auto"/>
          <w:szCs w:val="21"/>
        </w:rPr>
      </w:pPr>
      <w:r>
        <w:rPr>
          <w:rFonts w:ascii="宋体" w:hAnsi="宋体" w:cs="宋体"/>
          <w:color w:val="auto"/>
          <w:szCs w:val="21"/>
        </w:rPr>
        <w:t>12.4</w:t>
      </w:r>
      <w:r>
        <w:rPr>
          <w:rFonts w:hint="eastAsia" w:ascii="宋体" w:hAnsi="宋体" w:cs="宋体"/>
          <w:color w:val="auto"/>
          <w:szCs w:val="21"/>
        </w:rPr>
        <w:t>供应商资格条件如有变动或者更新，应在响应文件中说明。</w:t>
      </w:r>
    </w:p>
    <w:p>
      <w:pPr>
        <w:spacing w:line="420" w:lineRule="exact"/>
        <w:ind w:firstLine="482"/>
        <w:outlineLvl w:val="0"/>
        <w:rPr>
          <w:rFonts w:ascii="宋体" w:cs="宋体"/>
          <w:b/>
          <w:color w:val="auto"/>
          <w:szCs w:val="21"/>
        </w:rPr>
      </w:pPr>
      <w:r>
        <w:rPr>
          <w:rFonts w:ascii="宋体" w:hAnsi="宋体" w:cs="宋体"/>
          <w:b/>
          <w:color w:val="auto"/>
          <w:szCs w:val="21"/>
        </w:rPr>
        <w:t>13.</w:t>
      </w:r>
      <w:r>
        <w:rPr>
          <w:rFonts w:hint="eastAsia" w:ascii="宋体" w:hAnsi="宋体" w:cs="宋体"/>
          <w:b/>
          <w:color w:val="auto"/>
          <w:szCs w:val="21"/>
        </w:rPr>
        <w:t>供应商提供服务项目中涉及的产品、工程和服务的合格性的文件</w:t>
      </w:r>
    </w:p>
    <w:p>
      <w:pPr>
        <w:spacing w:line="420" w:lineRule="exact"/>
        <w:ind w:firstLine="465"/>
        <w:rPr>
          <w:rFonts w:ascii="宋体" w:cs="宋体"/>
          <w:color w:val="auto"/>
          <w:szCs w:val="21"/>
        </w:rPr>
      </w:pPr>
      <w:r>
        <w:rPr>
          <w:rFonts w:ascii="宋体" w:hAnsi="宋体" w:cs="宋体"/>
          <w:color w:val="auto"/>
          <w:szCs w:val="21"/>
        </w:rPr>
        <w:t>13.1</w:t>
      </w:r>
      <w:r>
        <w:rPr>
          <w:rFonts w:hint="eastAsia" w:ascii="宋体" w:hAnsi="宋体" w:cs="宋体"/>
          <w:color w:val="auto"/>
          <w:szCs w:val="21"/>
        </w:rPr>
        <w:t>符合国家强制性标准及政府采购政策的证明材料。</w:t>
      </w:r>
    </w:p>
    <w:p>
      <w:pPr>
        <w:spacing w:line="420" w:lineRule="exact"/>
        <w:ind w:firstLine="465"/>
        <w:rPr>
          <w:rFonts w:ascii="宋体" w:cs="宋体"/>
          <w:color w:val="auto"/>
          <w:szCs w:val="21"/>
        </w:rPr>
      </w:pPr>
      <w:r>
        <w:rPr>
          <w:rFonts w:ascii="宋体" w:hAnsi="宋体" w:cs="宋体"/>
          <w:color w:val="auto"/>
          <w:szCs w:val="21"/>
        </w:rPr>
        <w:t>13.2</w:t>
      </w:r>
      <w:r>
        <w:rPr>
          <w:rFonts w:hint="eastAsia" w:ascii="宋体" w:hAnsi="宋体" w:cs="宋体"/>
          <w:color w:val="auto"/>
          <w:szCs w:val="21"/>
        </w:rPr>
        <w:t>供应商应提交证明文件，证明其拟提供的产品和服务的合格性符合磋商文件规定。该证明文件作为响应文件的一部分。</w:t>
      </w:r>
    </w:p>
    <w:p>
      <w:pPr>
        <w:spacing w:line="420" w:lineRule="exact"/>
        <w:ind w:firstLine="465"/>
        <w:rPr>
          <w:rFonts w:ascii="宋体" w:cs="宋体"/>
          <w:color w:val="auto"/>
          <w:szCs w:val="21"/>
        </w:rPr>
      </w:pPr>
      <w:r>
        <w:rPr>
          <w:rFonts w:ascii="宋体" w:hAnsi="宋体" w:cs="宋体"/>
          <w:color w:val="auto"/>
          <w:szCs w:val="21"/>
        </w:rPr>
        <w:t>13.3</w:t>
      </w:r>
      <w:r>
        <w:rPr>
          <w:rFonts w:hint="eastAsia" w:ascii="宋体" w:hAnsi="宋体" w:cs="宋体"/>
          <w:color w:val="auto"/>
          <w:szCs w:val="21"/>
        </w:rPr>
        <w:t>产品和服务合格性的证明文件应括产品的制作工艺（建造实施）方案，拟投入的组织管理人员，技术力量等，以及管理者和技术人员的经验。</w:t>
      </w:r>
    </w:p>
    <w:p>
      <w:pPr>
        <w:spacing w:line="420" w:lineRule="exact"/>
        <w:ind w:firstLine="465"/>
        <w:rPr>
          <w:rFonts w:ascii="宋体" w:cs="宋体"/>
          <w:color w:val="auto"/>
          <w:szCs w:val="21"/>
        </w:rPr>
      </w:pPr>
      <w:r>
        <w:rPr>
          <w:rFonts w:ascii="宋体" w:hAnsi="宋体" w:cs="宋体"/>
          <w:color w:val="auto"/>
          <w:szCs w:val="21"/>
        </w:rPr>
        <w:t>13.4</w:t>
      </w:r>
      <w:r>
        <w:rPr>
          <w:rFonts w:hint="eastAsia" w:ascii="宋体" w:hAnsi="宋体" w:cs="宋体"/>
          <w:color w:val="auto"/>
          <w:szCs w:val="21"/>
        </w:rPr>
        <w:t>证明产品和服务符合磋商文件要求的文件可以是产品的制造工艺，项目组织设计，管理方的组织机构及人员的经验，技术团队人员的履历和相关证件。</w:t>
      </w:r>
    </w:p>
    <w:p>
      <w:pPr>
        <w:spacing w:line="420" w:lineRule="exact"/>
        <w:ind w:firstLine="465"/>
        <w:rPr>
          <w:rFonts w:ascii="宋体" w:cs="宋体"/>
          <w:color w:val="auto"/>
          <w:szCs w:val="21"/>
        </w:rPr>
      </w:pPr>
      <w:r>
        <w:rPr>
          <w:rFonts w:ascii="宋体" w:hAnsi="宋体" w:cs="宋体"/>
          <w:color w:val="auto"/>
          <w:szCs w:val="21"/>
        </w:rPr>
        <w:t>13.5</w:t>
      </w:r>
      <w:r>
        <w:rPr>
          <w:rFonts w:hint="eastAsia" w:ascii="宋体" w:hAnsi="宋体" w:cs="宋体"/>
          <w:color w:val="auto"/>
          <w:szCs w:val="21"/>
        </w:rPr>
        <w:t>采购人根据项目特色有其他特殊要求的</w:t>
      </w:r>
      <w:r>
        <w:rPr>
          <w:rFonts w:ascii="宋体" w:cs="宋体"/>
          <w:color w:val="auto"/>
          <w:szCs w:val="21"/>
        </w:rPr>
        <w:t>,</w:t>
      </w:r>
      <w:r>
        <w:rPr>
          <w:rFonts w:hint="eastAsia" w:ascii="宋体" w:hAnsi="宋体" w:cs="宋体"/>
          <w:color w:val="auto"/>
          <w:szCs w:val="21"/>
        </w:rPr>
        <w:t>供应商应按要求提供证明材料。</w:t>
      </w:r>
    </w:p>
    <w:p>
      <w:pPr>
        <w:spacing w:line="420" w:lineRule="exact"/>
        <w:ind w:firstLine="482"/>
        <w:outlineLvl w:val="0"/>
        <w:rPr>
          <w:rFonts w:ascii="宋体" w:cs="宋体"/>
          <w:b/>
          <w:color w:val="auto"/>
          <w:szCs w:val="21"/>
        </w:rPr>
      </w:pPr>
      <w:r>
        <w:rPr>
          <w:rFonts w:ascii="宋体" w:hAnsi="宋体" w:cs="宋体"/>
          <w:b/>
          <w:color w:val="auto"/>
          <w:szCs w:val="21"/>
        </w:rPr>
        <w:t>14.</w:t>
      </w:r>
      <w:r>
        <w:rPr>
          <w:rFonts w:hint="eastAsia" w:ascii="宋体" w:hAnsi="宋体" w:cs="宋体"/>
          <w:b/>
          <w:color w:val="auto"/>
          <w:szCs w:val="21"/>
        </w:rPr>
        <w:t>磋商保证金</w:t>
      </w:r>
    </w:p>
    <w:p>
      <w:pPr>
        <w:spacing w:line="420" w:lineRule="exact"/>
        <w:ind w:firstLine="465"/>
        <w:rPr>
          <w:rFonts w:ascii="宋体" w:cs="宋体"/>
          <w:color w:val="auto"/>
          <w:szCs w:val="21"/>
        </w:rPr>
      </w:pPr>
      <w:r>
        <w:rPr>
          <w:rFonts w:ascii="宋体" w:hAnsi="宋体" w:cs="宋体"/>
          <w:color w:val="auto"/>
          <w:szCs w:val="21"/>
        </w:rPr>
        <w:t>14.1</w:t>
      </w:r>
      <w:r>
        <w:rPr>
          <w:rFonts w:hint="eastAsia" w:ascii="宋体" w:hAnsi="宋体" w:cs="宋体"/>
          <w:color w:val="auto"/>
          <w:szCs w:val="21"/>
        </w:rPr>
        <w:t>采购人在须知资料表中要求供应商提交磋商保证金的，供应商应提交竞争性磋商须知资料表中规定数额的磋商保证金，并作为其响应文件的一部分。磋商保证金有效期应当与磋商有效期一致。</w:t>
      </w:r>
    </w:p>
    <w:p>
      <w:pPr>
        <w:spacing w:line="420" w:lineRule="exact"/>
        <w:ind w:firstLine="465"/>
        <w:rPr>
          <w:rFonts w:ascii="宋体" w:cs="宋体"/>
          <w:color w:val="auto"/>
          <w:szCs w:val="21"/>
        </w:rPr>
      </w:pPr>
      <w:r>
        <w:rPr>
          <w:rFonts w:ascii="宋体" w:hAnsi="宋体" w:cs="宋体"/>
          <w:color w:val="auto"/>
          <w:szCs w:val="21"/>
        </w:rPr>
        <w:t>14.2</w:t>
      </w:r>
      <w:r>
        <w:rPr>
          <w:rFonts w:hint="eastAsia" w:ascii="宋体" w:hAnsi="宋体" w:cs="宋体"/>
          <w:color w:val="auto"/>
          <w:szCs w:val="21"/>
        </w:rPr>
        <w:t>磋商保证金应当采用支票、汇票、本票（支票、汇票、本票须由供应商的基本户办理）或者中资商业银行出具的保函等非现金形式交纳。磋商保证金数额应当不超过采购项目预算的</w:t>
      </w:r>
      <w:r>
        <w:rPr>
          <w:rFonts w:ascii="宋体" w:hAnsi="宋体" w:cs="宋体"/>
          <w:color w:val="auto"/>
          <w:szCs w:val="21"/>
        </w:rPr>
        <w:t>2%</w:t>
      </w:r>
      <w:r>
        <w:rPr>
          <w:rFonts w:hint="eastAsia" w:ascii="宋体" w:hAnsi="宋体" w:cs="宋体"/>
          <w:color w:val="auto"/>
          <w:szCs w:val="21"/>
        </w:rPr>
        <w:t>。供应商未按照磋商文件要求提交磋商保证金的，其响应无效。</w:t>
      </w:r>
    </w:p>
    <w:p>
      <w:pPr>
        <w:spacing w:line="420" w:lineRule="exact"/>
        <w:ind w:firstLine="465"/>
        <w:rPr>
          <w:rFonts w:ascii="宋体" w:cs="宋体"/>
          <w:color w:val="auto"/>
          <w:szCs w:val="21"/>
        </w:rPr>
      </w:pPr>
      <w:r>
        <w:rPr>
          <w:rFonts w:ascii="宋体" w:hAnsi="宋体" w:cs="宋体"/>
          <w:color w:val="auto"/>
          <w:szCs w:val="21"/>
        </w:rPr>
        <w:t>14.3</w:t>
      </w:r>
      <w:r>
        <w:rPr>
          <w:rFonts w:hint="eastAsia" w:ascii="宋体" w:hAnsi="宋体" w:cs="宋体"/>
          <w:color w:val="auto"/>
          <w:szCs w:val="21"/>
        </w:rPr>
        <w:t>供应商为联合体的，可以由联合体中的一方或者多方共同交纳磋商保证金，其交纳的保证金对联合体各方均具有约束力。</w:t>
      </w:r>
    </w:p>
    <w:p>
      <w:pPr>
        <w:spacing w:line="420" w:lineRule="exact"/>
        <w:ind w:firstLine="465"/>
        <w:rPr>
          <w:rFonts w:ascii="宋体" w:cs="宋体"/>
          <w:color w:val="auto"/>
          <w:szCs w:val="21"/>
        </w:rPr>
      </w:pPr>
      <w:r>
        <w:rPr>
          <w:rFonts w:ascii="宋体" w:hAnsi="宋体" w:cs="宋体"/>
          <w:color w:val="auto"/>
          <w:szCs w:val="21"/>
        </w:rPr>
        <w:t>14.4</w:t>
      </w:r>
      <w:r>
        <w:rPr>
          <w:rFonts w:hint="eastAsia" w:ascii="宋体" w:hAnsi="宋体" w:cs="宋体"/>
          <w:color w:val="auto"/>
          <w:szCs w:val="21"/>
        </w:rPr>
        <w:t>未成交供应商的磋商保证金在成交通知书发出后</w:t>
      </w:r>
      <w:r>
        <w:rPr>
          <w:rFonts w:ascii="宋体" w:hAnsi="宋体" w:cs="宋体"/>
          <w:color w:val="auto"/>
          <w:szCs w:val="21"/>
        </w:rPr>
        <w:t>5</w:t>
      </w:r>
      <w:r>
        <w:rPr>
          <w:rFonts w:hint="eastAsia" w:ascii="宋体" w:hAnsi="宋体" w:cs="宋体"/>
          <w:color w:val="auto"/>
          <w:szCs w:val="21"/>
        </w:rPr>
        <w:t>个工作日内退还。</w:t>
      </w:r>
    </w:p>
    <w:p>
      <w:pPr>
        <w:spacing w:line="420" w:lineRule="exact"/>
        <w:ind w:firstLine="465"/>
        <w:rPr>
          <w:rFonts w:ascii="宋体" w:cs="宋体"/>
          <w:color w:val="auto"/>
          <w:szCs w:val="21"/>
        </w:rPr>
      </w:pPr>
      <w:r>
        <w:rPr>
          <w:rFonts w:ascii="宋体" w:hAnsi="宋体" w:cs="宋体"/>
          <w:color w:val="auto"/>
          <w:szCs w:val="21"/>
        </w:rPr>
        <w:t>14.5</w:t>
      </w:r>
      <w:r>
        <w:rPr>
          <w:rFonts w:hint="eastAsia" w:ascii="宋体" w:hAnsi="宋体" w:cs="宋体"/>
          <w:color w:val="auto"/>
          <w:szCs w:val="21"/>
        </w:rPr>
        <w:t>成交供应商的磋商保证金，在采购合同签订后</w:t>
      </w:r>
      <w:r>
        <w:rPr>
          <w:rFonts w:ascii="宋体" w:hAnsi="宋体" w:cs="宋体"/>
          <w:color w:val="auto"/>
          <w:szCs w:val="21"/>
        </w:rPr>
        <w:t>5</w:t>
      </w:r>
      <w:r>
        <w:rPr>
          <w:rFonts w:hint="eastAsia" w:ascii="宋体" w:hAnsi="宋体" w:cs="宋体"/>
          <w:color w:val="auto"/>
          <w:szCs w:val="21"/>
        </w:rPr>
        <w:t>个工作日内退还。</w:t>
      </w:r>
    </w:p>
    <w:p>
      <w:pPr>
        <w:spacing w:line="420" w:lineRule="exact"/>
        <w:ind w:firstLine="465"/>
        <w:rPr>
          <w:rFonts w:ascii="宋体" w:cs="宋体"/>
          <w:color w:val="auto"/>
          <w:szCs w:val="21"/>
        </w:rPr>
      </w:pPr>
      <w:r>
        <w:rPr>
          <w:rFonts w:ascii="宋体" w:hAnsi="宋体" w:cs="宋体"/>
          <w:color w:val="auto"/>
          <w:szCs w:val="21"/>
        </w:rPr>
        <w:t>14.6</w:t>
      </w:r>
      <w:r>
        <w:rPr>
          <w:rFonts w:hint="eastAsia" w:ascii="宋体" w:hAnsi="宋体" w:cs="宋体"/>
          <w:color w:val="auto"/>
          <w:szCs w:val="21"/>
        </w:rPr>
        <w:t>下列任何一种情况发生时，磋商保证金将不予退还（不予退还的磋商保证金将按照相关规定上缴财政）：</w:t>
      </w:r>
    </w:p>
    <w:p>
      <w:pPr>
        <w:spacing w:line="420" w:lineRule="exact"/>
        <w:ind w:firstLine="480"/>
        <w:outlineLvl w:val="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）供应商在提交响应文件截止时间后撤回响应文件的；</w:t>
      </w:r>
    </w:p>
    <w:p>
      <w:pPr>
        <w:spacing w:line="420" w:lineRule="exact"/>
        <w:ind w:firstLine="465"/>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）供应商在响应文件中提供虚假材料的；</w:t>
      </w:r>
    </w:p>
    <w:p>
      <w:pPr>
        <w:spacing w:line="420" w:lineRule="exact"/>
        <w:ind w:firstLine="465"/>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）除因不可抗力或磋商文件认可的情形以外，成交供应商不与采购人签订合同的；</w:t>
      </w:r>
    </w:p>
    <w:p>
      <w:pPr>
        <w:spacing w:line="420" w:lineRule="exact"/>
        <w:ind w:firstLine="465"/>
        <w:outlineLvl w:val="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）供应商与采购人、其他供应商或者采购代理机构恶意串通的；</w:t>
      </w:r>
    </w:p>
    <w:p>
      <w:pPr>
        <w:spacing w:line="420" w:lineRule="exact"/>
        <w:ind w:firstLine="465"/>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）未按要求提交履约保证金的；</w:t>
      </w:r>
    </w:p>
    <w:p>
      <w:pPr>
        <w:spacing w:line="420" w:lineRule="exact"/>
        <w:ind w:firstLine="465"/>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）提交最终报价后退出磋商的；</w:t>
      </w:r>
    </w:p>
    <w:p>
      <w:pPr>
        <w:spacing w:line="420" w:lineRule="exact"/>
        <w:ind w:firstLine="465"/>
        <w:rPr>
          <w:rFonts w:asci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）法律、行政规章规定的其他情形。</w:t>
      </w:r>
    </w:p>
    <w:p>
      <w:pPr>
        <w:spacing w:line="420" w:lineRule="exact"/>
        <w:ind w:firstLine="482"/>
        <w:rPr>
          <w:rFonts w:ascii="宋体" w:cs="宋体"/>
          <w:b/>
          <w:color w:val="auto"/>
          <w:szCs w:val="21"/>
        </w:rPr>
      </w:pPr>
      <w:r>
        <w:rPr>
          <w:rFonts w:ascii="宋体" w:hAnsi="宋体" w:cs="宋体"/>
          <w:b/>
          <w:color w:val="auto"/>
          <w:szCs w:val="21"/>
        </w:rPr>
        <w:t>15.</w:t>
      </w:r>
      <w:r>
        <w:rPr>
          <w:rFonts w:hint="eastAsia" w:ascii="宋体" w:hAnsi="宋体" w:cs="宋体"/>
          <w:b/>
          <w:color w:val="auto"/>
          <w:szCs w:val="21"/>
        </w:rPr>
        <w:t>磋商有效期</w:t>
      </w:r>
    </w:p>
    <w:p>
      <w:pPr>
        <w:spacing w:line="420" w:lineRule="exact"/>
        <w:ind w:firstLine="465"/>
        <w:rPr>
          <w:rFonts w:ascii="宋体" w:cs="宋体"/>
          <w:color w:val="auto"/>
          <w:szCs w:val="21"/>
        </w:rPr>
      </w:pPr>
      <w:r>
        <w:rPr>
          <w:rFonts w:ascii="宋体" w:hAnsi="宋体" w:cs="宋体"/>
          <w:color w:val="auto"/>
          <w:szCs w:val="21"/>
        </w:rPr>
        <w:t>15.1</w:t>
      </w:r>
      <w:r>
        <w:rPr>
          <w:rFonts w:hint="eastAsia" w:ascii="宋体" w:hAnsi="宋体" w:cs="宋体"/>
          <w:color w:val="auto"/>
          <w:szCs w:val="21"/>
        </w:rPr>
        <w:t>响应文件应自竞争性磋商须知资料表中规定的提交响应文件的截止之日起，并在须知资料表中所述期限内保持有效。磋商有效期不足的响应文件将被视为非实质性响应，其响应将被拒绝。</w:t>
      </w:r>
    </w:p>
    <w:p>
      <w:pPr>
        <w:spacing w:line="420" w:lineRule="exact"/>
        <w:ind w:firstLine="465"/>
        <w:rPr>
          <w:rFonts w:ascii="宋体" w:cs="宋体"/>
          <w:color w:val="auto"/>
          <w:szCs w:val="21"/>
        </w:rPr>
      </w:pPr>
      <w:r>
        <w:rPr>
          <w:rFonts w:ascii="宋体" w:hAnsi="宋体" w:cs="宋体"/>
          <w:color w:val="auto"/>
          <w:szCs w:val="21"/>
        </w:rPr>
        <w:t>15.2</w:t>
      </w:r>
      <w:r>
        <w:rPr>
          <w:rFonts w:hint="eastAsia" w:ascii="宋体" w:hAnsi="宋体" w:cs="宋体"/>
          <w:color w:val="auto"/>
          <w:szCs w:val="21"/>
        </w:rPr>
        <w:t>特殊情况下，在原磋商有效期截止之前，采购人可要求供应商延长磋商有效期。这种要求与答复均应以书面形式提交。供应商可以拒绝招标采购人的这种要求，其磋商保证金将予以退还，但其响应文件在原磋商有效期期满后将不再有效。同意延长磋商有效期的供应商将不会被要求和允许修正其磋商响应，而只会被要求相应地延长其磋商保证金的有效期。在这种情况下，本须知第</w:t>
      </w:r>
      <w:r>
        <w:rPr>
          <w:rFonts w:ascii="宋体" w:hAnsi="宋体" w:cs="宋体"/>
          <w:color w:val="auto"/>
          <w:szCs w:val="21"/>
        </w:rPr>
        <w:t>12</w:t>
      </w:r>
      <w:r>
        <w:rPr>
          <w:rFonts w:hint="eastAsia" w:ascii="宋体" w:hAnsi="宋体" w:cs="宋体"/>
          <w:color w:val="auto"/>
          <w:szCs w:val="21"/>
        </w:rPr>
        <w:t>条有关磋商保证金的退还和不予退还的规定将在延长了的有效期内继续有效。</w:t>
      </w:r>
    </w:p>
    <w:p>
      <w:pPr>
        <w:spacing w:line="420" w:lineRule="exact"/>
        <w:ind w:firstLine="482"/>
        <w:outlineLvl w:val="0"/>
        <w:rPr>
          <w:rFonts w:ascii="宋体" w:cs="宋体"/>
          <w:b/>
          <w:color w:val="auto"/>
          <w:szCs w:val="21"/>
        </w:rPr>
      </w:pPr>
      <w:r>
        <w:rPr>
          <w:rFonts w:ascii="宋体" w:hAnsi="宋体" w:cs="宋体"/>
          <w:b/>
          <w:color w:val="auto"/>
          <w:szCs w:val="21"/>
        </w:rPr>
        <w:t>16.</w:t>
      </w:r>
      <w:r>
        <w:rPr>
          <w:rFonts w:hint="eastAsia" w:ascii="宋体" w:hAnsi="宋体" w:cs="宋体"/>
          <w:b/>
          <w:color w:val="auto"/>
          <w:szCs w:val="21"/>
        </w:rPr>
        <w:t>响应文件的式样和签署</w:t>
      </w:r>
    </w:p>
    <w:p>
      <w:pPr>
        <w:spacing w:line="420" w:lineRule="exact"/>
        <w:ind w:firstLine="465"/>
        <w:rPr>
          <w:rFonts w:ascii="宋体" w:cs="宋体"/>
          <w:color w:val="auto"/>
          <w:szCs w:val="21"/>
        </w:rPr>
      </w:pPr>
      <w:r>
        <w:rPr>
          <w:rFonts w:ascii="宋体" w:hAnsi="宋体" w:cs="宋体"/>
          <w:color w:val="auto"/>
          <w:szCs w:val="21"/>
        </w:rPr>
        <w:t>16.1</w:t>
      </w:r>
      <w:r>
        <w:rPr>
          <w:rFonts w:hint="eastAsia" w:ascii="宋体" w:hAnsi="宋体" w:cs="宋体"/>
          <w:color w:val="auto"/>
          <w:szCs w:val="21"/>
        </w:rPr>
        <w:t>供应商应准备一份磋商响应文件正本和须知资料表中规定数目的副本，每套响应文件须清楚地标明“正本”或“副本”。若副本与正本不符，以正本为准。</w:t>
      </w:r>
    </w:p>
    <w:p>
      <w:pPr>
        <w:spacing w:line="420" w:lineRule="exact"/>
        <w:ind w:firstLine="465"/>
        <w:rPr>
          <w:rFonts w:ascii="宋体" w:cs="宋体"/>
          <w:color w:val="auto"/>
          <w:szCs w:val="21"/>
        </w:rPr>
      </w:pPr>
      <w:r>
        <w:rPr>
          <w:rFonts w:ascii="宋体" w:hAnsi="宋体" w:cs="宋体"/>
          <w:color w:val="auto"/>
          <w:szCs w:val="21"/>
        </w:rPr>
        <w:t>16.2</w:t>
      </w:r>
      <w:r>
        <w:rPr>
          <w:rFonts w:hint="eastAsia" w:ascii="宋体" w:hAnsi="宋体" w:cs="宋体"/>
          <w:color w:val="auto"/>
          <w:szCs w:val="21"/>
        </w:rPr>
        <w:t>响应文件的正本需打印或用不褪色墨水书写，并由供应商法定代表人或经其正式授权的代表签字（授权代表）。授权代表须将以书面形式出具的《法定代表人授权书》附在响应文件中。响应文件必须用不可拆解的胶装装订，因响应文件内容缺页或遗失对供应商造成的影响供应商自行承担。</w:t>
      </w:r>
    </w:p>
    <w:p>
      <w:pPr>
        <w:spacing w:line="420" w:lineRule="exact"/>
        <w:ind w:firstLine="465"/>
        <w:rPr>
          <w:rFonts w:ascii="宋体" w:cs="宋体"/>
          <w:color w:val="auto"/>
          <w:szCs w:val="21"/>
        </w:rPr>
      </w:pPr>
      <w:r>
        <w:rPr>
          <w:rFonts w:ascii="宋体" w:hAnsi="宋体" w:cs="宋体"/>
          <w:color w:val="auto"/>
          <w:szCs w:val="21"/>
        </w:rPr>
        <w:t>16.3</w:t>
      </w:r>
      <w:r>
        <w:rPr>
          <w:rFonts w:hint="eastAsia" w:ascii="宋体" w:hAnsi="宋体" w:cs="宋体"/>
          <w:color w:val="auto"/>
          <w:szCs w:val="21"/>
        </w:rPr>
        <w:t>任何行间插字、涂改和增删，必须由供应商的签字人在旁边签字或盖章才有效。</w:t>
      </w:r>
    </w:p>
    <w:p>
      <w:pPr>
        <w:spacing w:line="420" w:lineRule="exact"/>
        <w:ind w:firstLine="482"/>
        <w:outlineLvl w:val="0"/>
        <w:rPr>
          <w:rFonts w:ascii="宋体" w:cs="宋体"/>
          <w:b/>
          <w:color w:val="auto"/>
          <w:szCs w:val="21"/>
        </w:rPr>
      </w:pPr>
      <w:bookmarkStart w:id="6" w:name="_Toc448307930"/>
      <w:bookmarkEnd w:id="6"/>
      <w:r>
        <w:rPr>
          <w:rFonts w:hint="eastAsia" w:ascii="宋体" w:hAnsi="宋体" w:cs="宋体"/>
          <w:b/>
          <w:color w:val="auto"/>
          <w:szCs w:val="21"/>
        </w:rPr>
        <w:t>五、响应文件的递交</w:t>
      </w:r>
    </w:p>
    <w:p>
      <w:pPr>
        <w:spacing w:line="420" w:lineRule="exact"/>
        <w:ind w:firstLine="482"/>
        <w:rPr>
          <w:rFonts w:ascii="宋体" w:cs="宋体"/>
          <w:b/>
          <w:color w:val="auto"/>
          <w:szCs w:val="21"/>
        </w:rPr>
      </w:pPr>
      <w:r>
        <w:rPr>
          <w:rFonts w:ascii="宋体" w:hAnsi="宋体" w:cs="宋体"/>
          <w:b/>
          <w:color w:val="auto"/>
          <w:szCs w:val="21"/>
        </w:rPr>
        <w:t>17.</w:t>
      </w:r>
      <w:r>
        <w:rPr>
          <w:rFonts w:hint="eastAsia" w:ascii="宋体" w:hAnsi="宋体" w:cs="宋体"/>
          <w:b/>
          <w:color w:val="auto"/>
          <w:szCs w:val="21"/>
        </w:rPr>
        <w:t>响应文件的密封和标记</w:t>
      </w:r>
    </w:p>
    <w:p>
      <w:pPr>
        <w:spacing w:line="420" w:lineRule="exact"/>
        <w:ind w:firstLine="465"/>
        <w:rPr>
          <w:rFonts w:ascii="宋体" w:cs="宋体"/>
          <w:color w:val="auto"/>
          <w:szCs w:val="21"/>
        </w:rPr>
      </w:pPr>
      <w:r>
        <w:rPr>
          <w:rFonts w:ascii="宋体" w:hAnsi="宋体" w:cs="宋体"/>
          <w:color w:val="auto"/>
          <w:szCs w:val="21"/>
        </w:rPr>
        <w:t>17.1</w:t>
      </w:r>
      <w:r>
        <w:rPr>
          <w:rFonts w:hint="eastAsia" w:ascii="宋体" w:hAnsi="宋体" w:cs="宋体"/>
          <w:color w:val="auto"/>
          <w:szCs w:val="21"/>
        </w:rPr>
        <w:t>响应文件应密封递交。封套上均应：</w:t>
      </w:r>
    </w:p>
    <w:p>
      <w:pPr>
        <w:numPr>
          <w:ilvl w:val="0"/>
          <w:numId w:val="3"/>
        </w:numPr>
        <w:spacing w:line="420" w:lineRule="exact"/>
        <w:ind w:firstLine="465"/>
        <w:rPr>
          <w:rFonts w:ascii="宋体" w:cs="宋体"/>
          <w:color w:val="auto"/>
          <w:szCs w:val="21"/>
        </w:rPr>
      </w:pPr>
      <w:r>
        <w:rPr>
          <w:rFonts w:hint="eastAsia" w:ascii="宋体" w:hAnsi="宋体" w:cs="宋体"/>
          <w:color w:val="auto"/>
          <w:szCs w:val="21"/>
        </w:rPr>
        <w:t>清楚标明递交至须知资料表中指明的地址。</w:t>
      </w:r>
    </w:p>
    <w:p>
      <w:pPr>
        <w:numPr>
          <w:ilvl w:val="0"/>
          <w:numId w:val="3"/>
        </w:numPr>
        <w:spacing w:line="420" w:lineRule="exact"/>
        <w:ind w:firstLine="465"/>
        <w:rPr>
          <w:rFonts w:ascii="宋体" w:cs="宋体"/>
          <w:color w:val="auto"/>
          <w:szCs w:val="21"/>
        </w:rPr>
      </w:pPr>
      <w:r>
        <w:rPr>
          <w:rFonts w:hint="eastAsia" w:ascii="宋体" w:hAnsi="宋体" w:cs="宋体"/>
          <w:color w:val="auto"/>
          <w:szCs w:val="21"/>
        </w:rPr>
        <w:t>注明须知资料表中指明的项目名称、编号和“在（递交截止日期和时间）之前不得启封”的字样，并填入须知资料表中规定的递交截止日期和时间。</w:t>
      </w:r>
    </w:p>
    <w:p>
      <w:pPr>
        <w:spacing w:line="420" w:lineRule="exact"/>
        <w:ind w:firstLine="480"/>
        <w:rPr>
          <w:rFonts w:ascii="宋体" w:cs="宋体"/>
          <w:color w:val="auto"/>
          <w:szCs w:val="21"/>
        </w:rPr>
      </w:pPr>
      <w:r>
        <w:rPr>
          <w:rFonts w:ascii="宋体" w:hAnsi="宋体" w:cs="宋体"/>
          <w:color w:val="auto"/>
          <w:szCs w:val="21"/>
        </w:rPr>
        <w:t>17.2</w:t>
      </w:r>
      <w:r>
        <w:rPr>
          <w:rFonts w:hint="eastAsia" w:ascii="宋体" w:hAnsi="宋体" w:cs="宋体"/>
          <w:color w:val="auto"/>
          <w:szCs w:val="21"/>
        </w:rPr>
        <w:t>响应文件的正本与副本应进行封装，加贴封条，并在封套的封口处由法定代表人或其授权代表签字或盖单位章。响应文件的封面上应清楚地标记“正本”或“副本”字样。</w:t>
      </w:r>
    </w:p>
    <w:p>
      <w:pPr>
        <w:spacing w:line="420" w:lineRule="exact"/>
        <w:ind w:firstLine="480"/>
        <w:rPr>
          <w:rFonts w:ascii="宋体" w:cs="宋体"/>
          <w:color w:val="auto"/>
          <w:szCs w:val="21"/>
        </w:rPr>
      </w:pPr>
      <w:r>
        <w:rPr>
          <w:rFonts w:ascii="宋体" w:hAnsi="宋体" w:cs="宋体"/>
          <w:color w:val="auto"/>
          <w:szCs w:val="21"/>
        </w:rPr>
        <w:t>17.3</w:t>
      </w:r>
      <w:r>
        <w:rPr>
          <w:rFonts w:hint="eastAsia" w:ascii="宋体" w:hAnsi="宋体" w:cs="宋体"/>
          <w:color w:val="auto"/>
          <w:szCs w:val="21"/>
        </w:rPr>
        <w:t>供应商在递交截止时间前提交磋商价格变更等相关内容的磋商声明的，应按照上述密封和标记的要求执行。</w:t>
      </w:r>
    </w:p>
    <w:p>
      <w:pPr>
        <w:spacing w:line="420" w:lineRule="exact"/>
        <w:ind w:firstLine="482"/>
        <w:outlineLvl w:val="0"/>
        <w:rPr>
          <w:rFonts w:ascii="宋体" w:cs="宋体"/>
          <w:b/>
          <w:color w:val="auto"/>
          <w:szCs w:val="21"/>
        </w:rPr>
      </w:pPr>
      <w:r>
        <w:rPr>
          <w:rFonts w:ascii="宋体" w:hAnsi="宋体" w:cs="宋体"/>
          <w:b/>
          <w:color w:val="auto"/>
          <w:szCs w:val="21"/>
        </w:rPr>
        <w:t>18.</w:t>
      </w:r>
      <w:r>
        <w:rPr>
          <w:rFonts w:hint="eastAsia" w:ascii="宋体" w:hAnsi="宋体" w:cs="宋体"/>
          <w:b/>
          <w:color w:val="auto"/>
          <w:szCs w:val="21"/>
        </w:rPr>
        <w:t>递交截止时间</w:t>
      </w:r>
    </w:p>
    <w:p>
      <w:pPr>
        <w:spacing w:line="420" w:lineRule="exact"/>
        <w:ind w:firstLine="480"/>
        <w:rPr>
          <w:rFonts w:ascii="宋体" w:cs="宋体"/>
          <w:color w:val="auto"/>
          <w:szCs w:val="21"/>
        </w:rPr>
      </w:pPr>
      <w:r>
        <w:rPr>
          <w:rFonts w:ascii="宋体" w:hAnsi="宋体" w:cs="宋体"/>
          <w:color w:val="auto"/>
          <w:szCs w:val="21"/>
        </w:rPr>
        <w:t>18.1</w:t>
      </w:r>
      <w:r>
        <w:rPr>
          <w:rFonts w:hint="eastAsia" w:ascii="宋体" w:hAnsi="宋体" w:cs="宋体"/>
          <w:color w:val="auto"/>
          <w:szCs w:val="21"/>
        </w:rPr>
        <w:t>供应商应在不迟于竞争性磋商须知资料表中规定的递交截止时间将相应文件递交至采购人或采购代理机构，递交地点应是须知资料表中指明的地址。采购人将拒绝并原封退回在须知资料表中规定的递交截止时间后收到的任何响应文件。</w:t>
      </w:r>
    </w:p>
    <w:p>
      <w:pPr>
        <w:spacing w:line="420" w:lineRule="exact"/>
        <w:ind w:firstLine="480"/>
        <w:rPr>
          <w:rFonts w:ascii="宋体" w:cs="宋体"/>
          <w:color w:val="auto"/>
          <w:szCs w:val="21"/>
        </w:rPr>
      </w:pPr>
      <w:r>
        <w:rPr>
          <w:rFonts w:ascii="宋体" w:hAnsi="宋体" w:cs="宋体"/>
          <w:color w:val="auto"/>
          <w:szCs w:val="21"/>
        </w:rPr>
        <w:t>18.2</w:t>
      </w:r>
      <w:r>
        <w:rPr>
          <w:rFonts w:hint="eastAsia" w:ascii="宋体" w:hAnsi="宋体" w:cs="宋体"/>
          <w:color w:val="auto"/>
          <w:szCs w:val="21"/>
        </w:rPr>
        <w:t>采购人可以按有关规定推迟递交截止时间。在此情况下，采购人、采购代理机构和供应商受递交截止时间制约的所有权利和义务均应延长至新的递交截止时间。</w:t>
      </w:r>
    </w:p>
    <w:p>
      <w:pPr>
        <w:spacing w:line="420" w:lineRule="exact"/>
        <w:ind w:firstLine="482"/>
        <w:outlineLvl w:val="0"/>
        <w:rPr>
          <w:rFonts w:ascii="宋体" w:cs="宋体"/>
          <w:b/>
          <w:color w:val="auto"/>
          <w:szCs w:val="24"/>
        </w:rPr>
      </w:pPr>
      <w:r>
        <w:rPr>
          <w:rFonts w:ascii="宋体" w:hAnsi="宋体" w:cs="宋体"/>
          <w:b/>
          <w:color w:val="auto"/>
          <w:szCs w:val="21"/>
        </w:rPr>
        <w:t>19.</w:t>
      </w:r>
      <w:r>
        <w:rPr>
          <w:rFonts w:hint="eastAsia" w:ascii="宋体" w:hAnsi="宋体" w:cs="宋体"/>
          <w:b/>
          <w:color w:val="auto"/>
          <w:szCs w:val="21"/>
        </w:rPr>
        <w:t>响应文件的修改与撤回</w:t>
      </w:r>
    </w:p>
    <w:p>
      <w:pPr>
        <w:spacing w:line="420" w:lineRule="exact"/>
        <w:ind w:firstLine="480"/>
        <w:rPr>
          <w:rFonts w:ascii="宋体" w:cs="宋体"/>
          <w:color w:val="auto"/>
          <w:szCs w:val="21"/>
        </w:rPr>
      </w:pPr>
      <w:r>
        <w:rPr>
          <w:rFonts w:ascii="宋体" w:hAnsi="宋体" w:cs="宋体"/>
          <w:color w:val="auto"/>
          <w:szCs w:val="21"/>
        </w:rPr>
        <w:t>19.1</w:t>
      </w:r>
      <w:r>
        <w:rPr>
          <w:rFonts w:hint="eastAsia" w:ascii="宋体" w:hAnsi="宋体" w:cs="宋体"/>
          <w:color w:val="auto"/>
          <w:szCs w:val="21"/>
        </w:rPr>
        <w:t>在规定的递交截止时间前，供应商可以修改或撤回已递交的响应文件，但应以书面形式通知采购人。</w:t>
      </w:r>
    </w:p>
    <w:p>
      <w:pPr>
        <w:spacing w:line="420" w:lineRule="exact"/>
        <w:ind w:firstLine="480"/>
        <w:rPr>
          <w:rFonts w:ascii="宋体" w:cs="宋体"/>
          <w:color w:val="auto"/>
          <w:szCs w:val="21"/>
        </w:rPr>
      </w:pPr>
      <w:r>
        <w:rPr>
          <w:rFonts w:ascii="宋体" w:hAnsi="宋体" w:cs="宋体"/>
          <w:color w:val="auto"/>
          <w:szCs w:val="21"/>
        </w:rPr>
        <w:t>19.2</w:t>
      </w:r>
      <w:r>
        <w:rPr>
          <w:rFonts w:hint="eastAsia" w:ascii="宋体" w:hAnsi="宋体" w:cs="宋体"/>
          <w:color w:val="auto"/>
          <w:szCs w:val="21"/>
        </w:rPr>
        <w:t>供应商修改或撤回已递交响应文件的书面通知应按照本章的要求签字或盖章。</w:t>
      </w:r>
    </w:p>
    <w:p>
      <w:pPr>
        <w:spacing w:line="420" w:lineRule="exact"/>
        <w:ind w:firstLine="480"/>
        <w:rPr>
          <w:rFonts w:ascii="宋体" w:cs="宋体"/>
          <w:color w:val="auto"/>
          <w:szCs w:val="21"/>
        </w:rPr>
      </w:pPr>
      <w:r>
        <w:rPr>
          <w:rFonts w:ascii="宋体" w:hAnsi="宋体" w:cs="宋体"/>
          <w:color w:val="auto"/>
          <w:szCs w:val="21"/>
        </w:rPr>
        <w:t>19.3</w:t>
      </w:r>
      <w:r>
        <w:rPr>
          <w:rFonts w:hint="eastAsia" w:ascii="宋体" w:hAnsi="宋体" w:cs="宋体"/>
          <w:color w:val="auto"/>
          <w:szCs w:val="21"/>
        </w:rPr>
        <w:t>修改的内容为响应文件的组成部分。修改的响应文件应按照本章第</w:t>
      </w:r>
      <w:r>
        <w:rPr>
          <w:rFonts w:ascii="宋体" w:hAnsi="宋体" w:cs="宋体"/>
          <w:color w:val="auto"/>
          <w:szCs w:val="21"/>
        </w:rPr>
        <w:t>16</w:t>
      </w:r>
      <w:r>
        <w:rPr>
          <w:rFonts w:hint="eastAsia" w:ascii="宋体" w:hAnsi="宋体" w:cs="宋体"/>
          <w:color w:val="auto"/>
          <w:szCs w:val="21"/>
        </w:rPr>
        <w:t>条规定进行编制、密封、标记和递交，并标明“修改”字样。</w:t>
      </w:r>
    </w:p>
    <w:p>
      <w:pPr>
        <w:spacing w:line="420" w:lineRule="exact"/>
        <w:ind w:firstLine="465"/>
        <w:rPr>
          <w:rFonts w:ascii="宋体" w:cs="宋体"/>
          <w:b/>
          <w:color w:val="auto"/>
          <w:szCs w:val="21"/>
        </w:rPr>
      </w:pPr>
      <w:bookmarkStart w:id="7" w:name="_Toc448307931"/>
      <w:bookmarkEnd w:id="7"/>
      <w:r>
        <w:rPr>
          <w:rFonts w:hint="eastAsia" w:ascii="宋体" w:hAnsi="宋体" w:cs="宋体"/>
          <w:b/>
          <w:color w:val="auto"/>
          <w:szCs w:val="21"/>
        </w:rPr>
        <w:t>六、开标和评审</w:t>
      </w:r>
    </w:p>
    <w:p>
      <w:pPr>
        <w:spacing w:line="420" w:lineRule="exact"/>
        <w:ind w:firstLine="482"/>
        <w:rPr>
          <w:rFonts w:ascii="宋体" w:cs="宋体"/>
          <w:b/>
          <w:color w:val="auto"/>
          <w:szCs w:val="21"/>
        </w:rPr>
      </w:pPr>
      <w:r>
        <w:rPr>
          <w:rFonts w:ascii="宋体" w:hAnsi="宋体" w:cs="宋体"/>
          <w:b/>
          <w:color w:val="auto"/>
          <w:szCs w:val="21"/>
        </w:rPr>
        <w:t>20.</w:t>
      </w:r>
      <w:r>
        <w:rPr>
          <w:rFonts w:hint="eastAsia" w:ascii="宋体" w:hAnsi="宋体" w:cs="宋体"/>
          <w:b/>
          <w:color w:val="auto"/>
          <w:szCs w:val="21"/>
        </w:rPr>
        <w:t>开标</w:t>
      </w:r>
    </w:p>
    <w:p>
      <w:pPr>
        <w:spacing w:line="420" w:lineRule="exact"/>
        <w:rPr>
          <w:rFonts w:ascii="宋体" w:cs="宋体"/>
          <w:color w:val="auto"/>
          <w:szCs w:val="21"/>
        </w:rPr>
      </w:pPr>
      <w:r>
        <w:rPr>
          <w:rFonts w:ascii="宋体" w:hAnsi="宋体" w:cs="宋体"/>
          <w:color w:val="auto"/>
          <w:szCs w:val="21"/>
        </w:rPr>
        <w:t xml:space="preserve">    20.1</w:t>
      </w:r>
      <w:r>
        <w:rPr>
          <w:rFonts w:hint="eastAsia" w:ascii="宋体" w:hAnsi="宋体" w:cs="宋体"/>
          <w:color w:val="auto"/>
          <w:szCs w:val="21"/>
        </w:rPr>
        <w:t>采购代理机构将在竞争性磋商须知资料表中规定的时间和地点组织开标和磋商工作。并邀请所有响应供应代表参加，参加开标的供应商授权代表应在递交相应文件表上签名以证明其出席。</w:t>
      </w:r>
    </w:p>
    <w:p>
      <w:pPr>
        <w:spacing w:line="420" w:lineRule="exact"/>
        <w:rPr>
          <w:rFonts w:ascii="宋体" w:cs="宋体"/>
          <w:color w:val="auto"/>
          <w:szCs w:val="21"/>
        </w:rPr>
      </w:pPr>
      <w:r>
        <w:rPr>
          <w:rFonts w:ascii="宋体" w:hAnsi="宋体" w:cs="宋体"/>
          <w:color w:val="auto"/>
          <w:szCs w:val="21"/>
        </w:rPr>
        <w:t xml:space="preserve">    20.2</w:t>
      </w:r>
      <w:r>
        <w:rPr>
          <w:rFonts w:hint="eastAsia" w:ascii="宋体" w:hAnsi="宋体" w:cs="宋体"/>
          <w:color w:val="auto"/>
          <w:szCs w:val="21"/>
        </w:rPr>
        <w:t>递交响应文件过程中，采购人、采购代理机构及监督部门将对响应文件递交的时间、密封及标记等进行检查。迟到的响应文件及未密封的响应文件不予接收。</w:t>
      </w:r>
    </w:p>
    <w:p>
      <w:pPr>
        <w:spacing w:line="420" w:lineRule="exact"/>
        <w:ind w:firstLine="482"/>
        <w:outlineLvl w:val="0"/>
        <w:rPr>
          <w:rFonts w:ascii="宋体" w:cs="宋体"/>
          <w:b/>
          <w:color w:val="auto"/>
          <w:szCs w:val="21"/>
        </w:rPr>
      </w:pPr>
      <w:r>
        <w:rPr>
          <w:rFonts w:ascii="宋体" w:hAnsi="宋体" w:cs="宋体"/>
          <w:b/>
          <w:color w:val="auto"/>
          <w:szCs w:val="21"/>
        </w:rPr>
        <w:t>21.</w:t>
      </w:r>
      <w:r>
        <w:rPr>
          <w:rFonts w:hint="eastAsia" w:ascii="宋体" w:hAnsi="宋体" w:cs="宋体"/>
          <w:b/>
          <w:color w:val="auto"/>
          <w:szCs w:val="21"/>
        </w:rPr>
        <w:t>磋商小组和评审办法</w:t>
      </w:r>
    </w:p>
    <w:p>
      <w:pPr>
        <w:spacing w:line="420" w:lineRule="exact"/>
        <w:ind w:firstLine="480"/>
        <w:rPr>
          <w:rFonts w:ascii="宋体" w:cs="宋体"/>
          <w:color w:val="auto"/>
          <w:szCs w:val="21"/>
        </w:rPr>
      </w:pPr>
      <w:r>
        <w:rPr>
          <w:rFonts w:ascii="宋体" w:hAnsi="宋体" w:cs="宋体"/>
          <w:color w:val="auto"/>
          <w:szCs w:val="21"/>
        </w:rPr>
        <w:t>21.1</w:t>
      </w:r>
      <w:r>
        <w:rPr>
          <w:rFonts w:hint="eastAsia" w:ascii="宋体" w:hAnsi="宋体" w:cs="宋体"/>
          <w:color w:val="auto"/>
          <w:szCs w:val="21"/>
        </w:rPr>
        <w:t>磋商和评审由采购代理机构依法组建的磋商小组负责。磋商小组的组成详见竞争性磋商须知资料表。</w:t>
      </w:r>
    </w:p>
    <w:p>
      <w:pPr>
        <w:spacing w:line="420" w:lineRule="exact"/>
        <w:ind w:firstLine="482"/>
        <w:rPr>
          <w:rFonts w:ascii="宋体" w:cs="宋体"/>
          <w:bCs/>
          <w:color w:val="auto"/>
          <w:szCs w:val="21"/>
        </w:rPr>
      </w:pPr>
      <w:r>
        <w:rPr>
          <w:rFonts w:ascii="宋体" w:hAnsi="宋体" w:cs="宋体"/>
          <w:bCs/>
          <w:color w:val="auto"/>
          <w:szCs w:val="21"/>
        </w:rPr>
        <w:t>21.2</w:t>
      </w:r>
      <w:r>
        <w:rPr>
          <w:rFonts w:hint="eastAsia" w:ascii="宋体" w:hAnsi="宋体" w:cs="宋体"/>
          <w:bCs/>
          <w:color w:val="auto"/>
          <w:szCs w:val="21"/>
        </w:rPr>
        <w:t>磋商小组由采购人代表和评审专家共3人以上单数组成。</w:t>
      </w:r>
    </w:p>
    <w:p>
      <w:pPr>
        <w:spacing w:line="420" w:lineRule="exact"/>
        <w:ind w:firstLine="480"/>
        <w:rPr>
          <w:rFonts w:ascii="宋体" w:cs="宋体"/>
          <w:color w:val="auto"/>
          <w:szCs w:val="21"/>
        </w:rPr>
      </w:pPr>
      <w:r>
        <w:rPr>
          <w:rFonts w:ascii="宋体" w:hAnsi="宋体" w:cs="宋体"/>
          <w:color w:val="auto"/>
          <w:szCs w:val="21"/>
        </w:rPr>
        <w:t>21.3</w:t>
      </w:r>
      <w:r>
        <w:rPr>
          <w:rFonts w:hint="eastAsia" w:ascii="宋体" w:hAnsi="宋体" w:cs="宋体"/>
          <w:color w:val="auto"/>
          <w:szCs w:val="21"/>
        </w:rPr>
        <w:t>磋商小组成员应当按照客观、公正、审慎的原则，根据磋商文件规定的评审程序、评审办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pPr>
        <w:spacing w:line="420" w:lineRule="exact"/>
        <w:ind w:firstLine="480"/>
        <w:rPr>
          <w:rFonts w:ascii="宋体" w:cs="宋体"/>
          <w:color w:val="auto"/>
          <w:szCs w:val="21"/>
        </w:rPr>
      </w:pPr>
      <w:r>
        <w:rPr>
          <w:rFonts w:ascii="宋体" w:hAnsi="宋体" w:cs="宋体"/>
          <w:color w:val="auto"/>
          <w:szCs w:val="21"/>
        </w:rPr>
        <w:t>21.4</w:t>
      </w:r>
      <w:r>
        <w:rPr>
          <w:rFonts w:hint="eastAsia" w:ascii="宋体" w:hAnsi="宋体" w:cs="宋体"/>
          <w:color w:val="auto"/>
          <w:szCs w:val="21"/>
        </w:rPr>
        <w:t>磋商小组将首先按照本须知第</w:t>
      </w:r>
      <w:r>
        <w:rPr>
          <w:rFonts w:ascii="宋体" w:hAnsi="宋体" w:cs="宋体"/>
          <w:color w:val="auto"/>
          <w:szCs w:val="21"/>
        </w:rPr>
        <w:t>21</w:t>
      </w:r>
      <w:r>
        <w:rPr>
          <w:rFonts w:hint="eastAsia" w:ascii="宋体" w:hAnsi="宋体" w:cs="宋体"/>
          <w:color w:val="auto"/>
          <w:szCs w:val="21"/>
        </w:rPr>
        <w:t>条对响应文件进行初审。对初审合格的响应文件将按照本须知第</w:t>
      </w:r>
      <w:r>
        <w:rPr>
          <w:rFonts w:ascii="宋体" w:hAnsi="宋体" w:cs="宋体"/>
          <w:color w:val="auto"/>
          <w:szCs w:val="21"/>
        </w:rPr>
        <w:t>22</w:t>
      </w:r>
      <w:r>
        <w:rPr>
          <w:rFonts w:hint="eastAsia" w:ascii="宋体" w:hAnsi="宋体" w:cs="宋体"/>
          <w:color w:val="auto"/>
          <w:szCs w:val="21"/>
        </w:rPr>
        <w:t>条和第</w:t>
      </w:r>
      <w:r>
        <w:rPr>
          <w:rFonts w:ascii="宋体" w:hAnsi="宋体" w:cs="宋体"/>
          <w:color w:val="auto"/>
          <w:szCs w:val="21"/>
        </w:rPr>
        <w:t>23</w:t>
      </w:r>
      <w:r>
        <w:rPr>
          <w:rFonts w:hint="eastAsia" w:ascii="宋体" w:hAnsi="宋体" w:cs="宋体"/>
          <w:color w:val="auto"/>
          <w:szCs w:val="21"/>
        </w:rPr>
        <w:t>条对应的磋商和评价程序进行磋商和评审。</w:t>
      </w:r>
    </w:p>
    <w:p>
      <w:pPr>
        <w:spacing w:line="420" w:lineRule="exact"/>
        <w:ind w:firstLine="480"/>
        <w:rPr>
          <w:rFonts w:ascii="宋体" w:cs="宋体"/>
          <w:color w:val="auto"/>
          <w:szCs w:val="21"/>
        </w:rPr>
      </w:pPr>
      <w:r>
        <w:rPr>
          <w:rFonts w:ascii="宋体" w:hAnsi="宋体" w:cs="宋体"/>
          <w:color w:val="auto"/>
          <w:szCs w:val="21"/>
        </w:rPr>
        <w:t>21.5</w:t>
      </w:r>
      <w:r>
        <w:rPr>
          <w:rFonts w:hint="eastAsia" w:ascii="宋体" w:hAnsi="宋体" w:cs="宋体"/>
          <w:color w:val="auto"/>
          <w:szCs w:val="21"/>
        </w:rPr>
        <w:t>在磋商期间，磋商小组可要求供应商对其响应文件进行澄清，但不得寻求、提供或允许对磋商价格等实质性内容做任何更改。有关澄清的要求和答复均应以书面形式提交。磋商小组不接受供应商主动提出的澄清、说明。</w:t>
      </w:r>
    </w:p>
    <w:p>
      <w:pPr>
        <w:spacing w:line="420" w:lineRule="exact"/>
        <w:ind w:firstLine="480"/>
        <w:rPr>
          <w:rFonts w:ascii="宋体" w:cs="宋体"/>
          <w:color w:val="auto"/>
          <w:szCs w:val="21"/>
        </w:rPr>
      </w:pPr>
      <w:r>
        <w:rPr>
          <w:rFonts w:ascii="宋体" w:hAnsi="宋体" w:cs="宋体"/>
          <w:color w:val="auto"/>
          <w:szCs w:val="21"/>
        </w:rPr>
        <w:t>21.6</w:t>
      </w:r>
      <w:r>
        <w:rPr>
          <w:rFonts w:hint="eastAsia" w:ascii="宋体" w:hAnsi="宋体" w:cs="宋体"/>
          <w:color w:val="auto"/>
          <w:szCs w:val="21"/>
        </w:rPr>
        <w:t>采购人、采购代理机构不得向磋商小组中的评审专家作倾向性、误导性的解释或者说明。</w:t>
      </w:r>
    </w:p>
    <w:p>
      <w:pPr>
        <w:spacing w:line="420" w:lineRule="exact"/>
        <w:ind w:firstLine="482"/>
        <w:outlineLvl w:val="0"/>
        <w:rPr>
          <w:rFonts w:ascii="宋体" w:cs="宋体"/>
          <w:b/>
          <w:color w:val="auto"/>
          <w:szCs w:val="21"/>
        </w:rPr>
      </w:pPr>
      <w:r>
        <w:rPr>
          <w:rFonts w:ascii="宋体" w:hAnsi="宋体" w:cs="宋体"/>
          <w:b/>
          <w:color w:val="auto"/>
          <w:szCs w:val="21"/>
        </w:rPr>
        <w:t>22.</w:t>
      </w:r>
      <w:r>
        <w:rPr>
          <w:rFonts w:hint="eastAsia" w:ascii="宋体" w:hAnsi="宋体" w:cs="宋体"/>
          <w:b/>
          <w:color w:val="auto"/>
          <w:szCs w:val="21"/>
        </w:rPr>
        <w:t>评审程序</w:t>
      </w:r>
    </w:p>
    <w:p>
      <w:pPr>
        <w:spacing w:line="420" w:lineRule="exact"/>
        <w:ind w:firstLine="480"/>
        <w:rPr>
          <w:rFonts w:ascii="宋体" w:cs="宋体"/>
          <w:color w:val="auto"/>
          <w:szCs w:val="21"/>
        </w:rPr>
      </w:pPr>
      <w:r>
        <w:rPr>
          <w:rFonts w:ascii="宋体" w:hAnsi="宋体" w:cs="宋体"/>
          <w:color w:val="auto"/>
          <w:szCs w:val="21"/>
        </w:rPr>
        <w:t>22.1</w:t>
      </w:r>
      <w:r>
        <w:rPr>
          <w:rFonts w:hint="eastAsia" w:ascii="宋体" w:hAnsi="宋体" w:cs="宋体"/>
          <w:color w:val="auto"/>
          <w:szCs w:val="21"/>
        </w:rPr>
        <w:t>响应文件的初审。</w:t>
      </w:r>
    </w:p>
    <w:p>
      <w:pPr>
        <w:spacing w:line="420" w:lineRule="exact"/>
        <w:ind w:firstLine="480"/>
        <w:outlineLvl w:val="0"/>
        <w:rPr>
          <w:rFonts w:ascii="宋体" w:cs="宋体"/>
          <w:color w:val="auto"/>
          <w:szCs w:val="21"/>
        </w:rPr>
      </w:pPr>
      <w:r>
        <w:rPr>
          <w:rFonts w:ascii="宋体" w:hAnsi="宋体" w:cs="宋体"/>
          <w:color w:val="auto"/>
          <w:szCs w:val="21"/>
        </w:rPr>
        <w:t>22.1.1</w:t>
      </w:r>
      <w:r>
        <w:rPr>
          <w:rFonts w:hint="eastAsia" w:ascii="宋体" w:hAnsi="宋体" w:cs="宋体"/>
          <w:color w:val="auto"/>
          <w:szCs w:val="21"/>
        </w:rPr>
        <w:t>资格性检查</w:t>
      </w:r>
    </w:p>
    <w:p>
      <w:pPr>
        <w:spacing w:line="420" w:lineRule="exact"/>
        <w:ind w:firstLine="480"/>
        <w:rPr>
          <w:rFonts w:ascii="宋体" w:cs="宋体"/>
          <w:color w:val="auto"/>
          <w:szCs w:val="21"/>
        </w:rPr>
      </w:pPr>
      <w:r>
        <w:rPr>
          <w:rFonts w:hint="eastAsia" w:ascii="宋体" w:hAnsi="宋体" w:cs="宋体"/>
          <w:color w:val="auto"/>
          <w:szCs w:val="21"/>
        </w:rPr>
        <w:t>依据法律法规和磋商文件的规定，对响应文件中的资格证明、磋商保证金等进行检查以确定供应商是否具备磋商资格。</w:t>
      </w:r>
    </w:p>
    <w:p>
      <w:pPr>
        <w:spacing w:line="420" w:lineRule="exact"/>
        <w:ind w:firstLine="480"/>
        <w:outlineLvl w:val="0"/>
        <w:rPr>
          <w:rFonts w:ascii="宋体" w:cs="宋体"/>
          <w:color w:val="auto"/>
          <w:szCs w:val="21"/>
        </w:rPr>
      </w:pPr>
      <w:r>
        <w:rPr>
          <w:rFonts w:ascii="宋体" w:hAnsi="宋体" w:cs="宋体"/>
          <w:color w:val="auto"/>
          <w:szCs w:val="21"/>
        </w:rPr>
        <w:t>22.1.2</w:t>
      </w:r>
      <w:r>
        <w:rPr>
          <w:rFonts w:hint="eastAsia" w:ascii="宋体" w:hAnsi="宋体" w:cs="宋体"/>
          <w:color w:val="auto"/>
          <w:szCs w:val="21"/>
        </w:rPr>
        <w:t>符合性检查</w:t>
      </w:r>
    </w:p>
    <w:p>
      <w:pPr>
        <w:spacing w:line="420" w:lineRule="exact"/>
        <w:ind w:firstLine="480"/>
        <w:rPr>
          <w:rFonts w:ascii="宋体" w:cs="宋体"/>
          <w:color w:val="auto"/>
          <w:szCs w:val="21"/>
        </w:rPr>
      </w:pPr>
      <w:r>
        <w:rPr>
          <w:rFonts w:hint="eastAsia" w:ascii="宋体" w:hAnsi="宋体" w:cs="宋体"/>
          <w:color w:val="auto"/>
          <w:szCs w:val="21"/>
        </w:rPr>
        <w:t>依据磋商文件的规定，从响应文件的有效性、完整性和对磋商文件的响应程度进行检查，以确定是否对磋商文件的实质性要求做出相应符合性。</w:t>
      </w:r>
    </w:p>
    <w:p>
      <w:pPr>
        <w:spacing w:line="420" w:lineRule="exact"/>
        <w:ind w:firstLine="480"/>
        <w:rPr>
          <w:rFonts w:ascii="宋体" w:cs="宋体"/>
          <w:color w:val="auto"/>
          <w:szCs w:val="21"/>
        </w:rPr>
      </w:pPr>
      <w:r>
        <w:rPr>
          <w:rFonts w:ascii="宋体" w:hAnsi="宋体" w:cs="宋体"/>
          <w:color w:val="auto"/>
          <w:szCs w:val="21"/>
        </w:rPr>
        <w:t>22.1.3</w:t>
      </w:r>
      <w:r>
        <w:rPr>
          <w:rFonts w:hint="eastAsia" w:ascii="宋体" w:hAnsi="宋体" w:cs="宋体"/>
          <w:color w:val="auto"/>
          <w:szCs w:val="21"/>
        </w:rPr>
        <w:t>没有实质性响应磋商文件要求的响应文件将被否决。供应商不得通过修正、补充或撤销不合要求的偏离或保留从而使其响应文件成为实质上响应的磋商文件。有下列情形之一者视为未实质性响应磋商文件，其响应文件将被否决：</w:t>
      </w:r>
    </w:p>
    <w:p>
      <w:pPr>
        <w:spacing w:line="420" w:lineRule="exact"/>
        <w:ind w:firstLine="480"/>
        <w:outlineLvl w:val="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）供应商与采购人有利害关系可能影响磋商公正性的；</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）供应商参与项目前期咨询或磋商文件编制的；</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）未按磋商文件要求提供证明文件的；</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）不同供应商法定代表人为同一人或者存在控股、管理关系的；</w:t>
      </w:r>
    </w:p>
    <w:p>
      <w:pPr>
        <w:spacing w:line="420" w:lineRule="exact"/>
        <w:ind w:firstLine="480"/>
        <w:outlineLvl w:val="0"/>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）响应文件未按磋商文件的要求签署的；</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）响应联合体没有提交联合体协议或联合体协议不符合要求的；</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）供应商的磋商函、资格证明材料未提供，或不符合国家规定或者磋商文件要求的；</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）同一供应商提交两个以上不同的方案或者磋商价格的，但磋商文件有要求的除外；</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9</w:t>
      </w:r>
      <w:r>
        <w:rPr>
          <w:rFonts w:hint="eastAsia" w:ascii="宋体" w:hAnsi="宋体" w:cs="宋体"/>
          <w:color w:val="auto"/>
          <w:szCs w:val="21"/>
        </w:rPr>
        <w:t>）供应商未按磋商文件要求提交磋商保证金或保证金金额不足、保函有效期不足、磋商保证金形式或提交保证金的银行、账户不符合磋商文件要求的；</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10</w:t>
      </w:r>
      <w:r>
        <w:rPr>
          <w:rFonts w:hint="eastAsia" w:ascii="宋体" w:hAnsi="宋体" w:cs="宋体"/>
          <w:color w:val="auto"/>
          <w:szCs w:val="21"/>
        </w:rPr>
        <w:t>）磋商价格高于磋商文件设定的控制价的；</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11</w:t>
      </w:r>
      <w:r>
        <w:rPr>
          <w:rFonts w:hint="eastAsia" w:ascii="宋体" w:hAnsi="宋体" w:cs="宋体"/>
          <w:color w:val="auto"/>
          <w:szCs w:val="21"/>
        </w:rPr>
        <w:t>）不接受磋商有效期要求的；</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12</w:t>
      </w:r>
      <w:r>
        <w:rPr>
          <w:rFonts w:hint="eastAsia" w:ascii="宋体" w:hAnsi="宋体" w:cs="宋体"/>
          <w:color w:val="auto"/>
          <w:szCs w:val="21"/>
        </w:rPr>
        <w:t>）供应商有串通磋商、弄虚作假、行贿等违法行为的；</w:t>
      </w:r>
    </w:p>
    <w:p>
      <w:pPr>
        <w:spacing w:line="420" w:lineRule="exact"/>
        <w:ind w:firstLine="480"/>
        <w:rPr>
          <w:rFonts w:ascii="宋体" w:cs="宋体"/>
          <w:color w:val="auto"/>
          <w:szCs w:val="21"/>
        </w:rPr>
      </w:pPr>
      <w:r>
        <w:rPr>
          <w:rFonts w:hint="eastAsia" w:ascii="宋体" w:hAnsi="宋体" w:cs="宋体"/>
          <w:color w:val="auto"/>
          <w:szCs w:val="21"/>
        </w:rPr>
        <w:t>（</w:t>
      </w:r>
      <w:r>
        <w:rPr>
          <w:rFonts w:ascii="宋体" w:hAnsi="宋体" w:cs="宋体"/>
          <w:color w:val="auto"/>
          <w:szCs w:val="21"/>
        </w:rPr>
        <w:t>13</w:t>
      </w:r>
      <w:r>
        <w:rPr>
          <w:rFonts w:hint="eastAsia" w:ascii="宋体" w:hAnsi="宋体" w:cs="宋体"/>
          <w:color w:val="auto"/>
          <w:szCs w:val="21"/>
        </w:rPr>
        <w:t>）存在磋商文件中规定的否决响应的其他条款的。</w:t>
      </w:r>
    </w:p>
    <w:p>
      <w:pPr>
        <w:spacing w:line="420" w:lineRule="exact"/>
        <w:ind w:firstLine="480"/>
        <w:outlineLvl w:val="0"/>
        <w:rPr>
          <w:rFonts w:ascii="宋体" w:cs="宋体"/>
          <w:color w:val="auto"/>
          <w:szCs w:val="21"/>
        </w:rPr>
      </w:pPr>
      <w:r>
        <w:rPr>
          <w:rFonts w:ascii="宋体" w:hAnsi="宋体" w:cs="宋体"/>
          <w:color w:val="auto"/>
          <w:szCs w:val="21"/>
        </w:rPr>
        <w:t>22.2</w:t>
      </w:r>
      <w:r>
        <w:rPr>
          <w:rFonts w:hint="eastAsia" w:ascii="宋体" w:hAnsi="宋体" w:cs="宋体"/>
          <w:color w:val="auto"/>
          <w:szCs w:val="21"/>
        </w:rPr>
        <w:t>澄清有关问题</w:t>
      </w:r>
    </w:p>
    <w:p>
      <w:pPr>
        <w:spacing w:line="420" w:lineRule="exact"/>
        <w:ind w:firstLine="480"/>
        <w:rPr>
          <w:rFonts w:ascii="宋体" w:cs="宋体"/>
          <w:color w:val="auto"/>
          <w:szCs w:val="21"/>
        </w:rPr>
      </w:pPr>
      <w:r>
        <w:rPr>
          <w:rFonts w:hint="eastAsia" w:ascii="宋体" w:hAnsi="宋体" w:cs="宋体"/>
          <w:color w:val="auto"/>
          <w:szCs w:val="21"/>
        </w:rPr>
        <w:t>对响应文件中含义不明确、同类问题表述不一致或者有明显文字和计算错误的内容，磋商小组可以书面形式（应当由磋商专家签字）要求供应商做出必要的澄清、说明或者纠正。供应商的澄清、说明或者补正应当采用书面形式，由其授权的代表签字，并不得超出响应文件的范围或者改变响应文件的实质性内容。</w:t>
      </w:r>
    </w:p>
    <w:p>
      <w:pPr>
        <w:spacing w:line="420" w:lineRule="exact"/>
        <w:ind w:firstLine="480"/>
        <w:rPr>
          <w:rFonts w:ascii="宋体" w:cs="宋体"/>
          <w:color w:val="auto"/>
          <w:szCs w:val="21"/>
        </w:rPr>
      </w:pPr>
      <w:r>
        <w:rPr>
          <w:rFonts w:hint="eastAsia" w:ascii="宋体" w:hAnsi="宋体" w:cs="宋体"/>
          <w:color w:val="auto"/>
          <w:szCs w:val="21"/>
        </w:rPr>
        <w:t>磋商小组要求供应商澄清、说明或者更正响应文件应当以书面形式做出。供应商的澄清、说明或者更正应当由法定代表人或其授权代表签字或者加盖公章。由授权代表签字的，应当附法定代表人授权书。供应商为自然人的，应当由本人签字并附身份证明。</w:t>
      </w:r>
    </w:p>
    <w:p>
      <w:pPr>
        <w:spacing w:line="420" w:lineRule="exact"/>
        <w:ind w:firstLine="480"/>
        <w:outlineLvl w:val="0"/>
        <w:rPr>
          <w:rFonts w:ascii="宋体" w:cs="宋体"/>
          <w:color w:val="auto"/>
          <w:szCs w:val="21"/>
        </w:rPr>
      </w:pPr>
      <w:r>
        <w:rPr>
          <w:rFonts w:ascii="宋体" w:hAnsi="宋体" w:cs="宋体"/>
          <w:color w:val="auto"/>
          <w:szCs w:val="21"/>
        </w:rPr>
        <w:t>22.3</w:t>
      </w:r>
      <w:r>
        <w:rPr>
          <w:rFonts w:hint="eastAsia" w:ascii="宋体" w:hAnsi="宋体" w:cs="宋体"/>
          <w:color w:val="auto"/>
          <w:szCs w:val="21"/>
        </w:rPr>
        <w:t>算数更正</w:t>
      </w:r>
    </w:p>
    <w:p>
      <w:pPr>
        <w:spacing w:line="420" w:lineRule="exact"/>
        <w:ind w:firstLine="480"/>
        <w:rPr>
          <w:rFonts w:ascii="宋体" w:cs="宋体"/>
          <w:color w:val="auto"/>
          <w:szCs w:val="21"/>
        </w:rPr>
      </w:pPr>
      <w:r>
        <w:rPr>
          <w:rFonts w:hint="eastAsia" w:ascii="宋体" w:hAnsi="宋体" w:cs="宋体"/>
          <w:color w:val="auto"/>
          <w:szCs w:val="21"/>
        </w:rPr>
        <w:t>响应文件的大写金额和小写金额不一致的，以大写金额为准；磋商总价金额与按分项报价汇总金额不一致的，以分项报价金额计算结果为准；分项报价金额小数点有明显错位的，应以磋商总价为准，并修改分项报价。如果供应商不接受对其算数错误的更正，其响应文件可能被否决。</w:t>
      </w:r>
    </w:p>
    <w:p>
      <w:pPr>
        <w:spacing w:line="420" w:lineRule="exact"/>
        <w:ind w:firstLine="480"/>
        <w:rPr>
          <w:rFonts w:ascii="宋体" w:cs="宋体"/>
          <w:color w:val="auto"/>
          <w:szCs w:val="21"/>
        </w:rPr>
      </w:pPr>
      <w:r>
        <w:rPr>
          <w:rFonts w:ascii="宋体" w:hAnsi="宋体" w:cs="宋体"/>
          <w:color w:val="auto"/>
          <w:szCs w:val="21"/>
        </w:rPr>
        <w:t>22.4</w:t>
      </w:r>
      <w:r>
        <w:rPr>
          <w:rFonts w:hint="eastAsia" w:ascii="宋体" w:hAnsi="宋体" w:cs="宋体"/>
          <w:color w:val="auto"/>
          <w:szCs w:val="21"/>
        </w:rPr>
        <w:t>对于响应文件中不构成实质性偏差的不正规、不一致或不规则，磋商小组可以接受，但这种接受不能损害或影响任何响应供应商的相对排序。</w:t>
      </w:r>
    </w:p>
    <w:p>
      <w:pPr>
        <w:spacing w:line="420" w:lineRule="exact"/>
        <w:ind w:firstLine="481"/>
        <w:outlineLvl w:val="0"/>
        <w:rPr>
          <w:rFonts w:ascii="宋体" w:cs="宋体"/>
          <w:b/>
          <w:color w:val="auto"/>
          <w:szCs w:val="21"/>
        </w:rPr>
      </w:pPr>
      <w:r>
        <w:rPr>
          <w:rFonts w:ascii="宋体" w:hAnsi="宋体" w:cs="宋体"/>
          <w:b/>
          <w:color w:val="auto"/>
          <w:szCs w:val="21"/>
        </w:rPr>
        <w:t>23.</w:t>
      </w:r>
      <w:r>
        <w:rPr>
          <w:rFonts w:hint="eastAsia" w:ascii="宋体" w:hAnsi="宋体" w:cs="宋体"/>
          <w:b/>
          <w:color w:val="auto"/>
          <w:szCs w:val="21"/>
        </w:rPr>
        <w:t>磋商</w:t>
      </w:r>
    </w:p>
    <w:p>
      <w:pPr>
        <w:spacing w:line="420" w:lineRule="exact"/>
        <w:ind w:firstLine="481"/>
        <w:rPr>
          <w:rFonts w:ascii="宋体" w:cs="宋体"/>
          <w:color w:val="auto"/>
          <w:szCs w:val="21"/>
        </w:rPr>
      </w:pPr>
      <w:r>
        <w:rPr>
          <w:rFonts w:ascii="宋体" w:hAnsi="宋体" w:cs="宋体"/>
          <w:color w:val="auto"/>
          <w:szCs w:val="21"/>
        </w:rPr>
        <w:t>23.1</w:t>
      </w:r>
      <w:r>
        <w:rPr>
          <w:rFonts w:hint="eastAsia" w:ascii="宋体" w:hAnsi="宋体" w:cs="宋体"/>
          <w:color w:val="auto"/>
          <w:szCs w:val="21"/>
        </w:rPr>
        <w:t>磋商小组将按照须知资料表中规定的顺序分别依次与通过响应文件初审的供应商授权代表进行磋商。磋商内容及要求详见本磋商文件，磋商小组与供应商授权代表仅能针对除磋商内容和要求中不得偏离部分以外的条款进行磋商。</w:t>
      </w:r>
    </w:p>
    <w:p>
      <w:pPr>
        <w:spacing w:line="420" w:lineRule="exact"/>
        <w:ind w:firstLine="481"/>
        <w:rPr>
          <w:rFonts w:ascii="宋体" w:cs="宋体"/>
          <w:color w:val="auto"/>
          <w:szCs w:val="21"/>
        </w:rPr>
      </w:pPr>
      <w:r>
        <w:rPr>
          <w:rFonts w:ascii="宋体" w:hAnsi="宋体" w:cs="宋体"/>
          <w:color w:val="auto"/>
          <w:szCs w:val="21"/>
        </w:rPr>
        <w:t>23.2</w:t>
      </w:r>
      <w:r>
        <w:rPr>
          <w:rFonts w:hint="eastAsia"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81"/>
        <w:rPr>
          <w:rFonts w:ascii="宋体" w:cs="宋体"/>
          <w:color w:val="auto"/>
          <w:szCs w:val="21"/>
        </w:rPr>
      </w:pPr>
      <w:r>
        <w:rPr>
          <w:rFonts w:ascii="宋体" w:hAnsi="宋体" w:cs="宋体"/>
          <w:color w:val="auto"/>
          <w:szCs w:val="21"/>
        </w:rPr>
        <w:t>23.3</w:t>
      </w:r>
      <w:r>
        <w:rPr>
          <w:rFonts w:hint="eastAsia" w:ascii="宋体" w:hAnsi="宋体" w:cs="宋体"/>
          <w:color w:val="auto"/>
          <w:szCs w:val="21"/>
        </w:rPr>
        <w:t>对磋商文件做出的实质性变动是磋商文件的有效组成部分，磋商小组应当及时以书面形式同时通知所有参加磋商的供应商。</w:t>
      </w:r>
    </w:p>
    <w:p>
      <w:pPr>
        <w:spacing w:line="420" w:lineRule="exact"/>
        <w:ind w:firstLine="481"/>
        <w:rPr>
          <w:rFonts w:ascii="宋体" w:cs="宋体"/>
          <w:color w:val="auto"/>
          <w:szCs w:val="21"/>
        </w:rPr>
      </w:pPr>
      <w:r>
        <w:rPr>
          <w:rFonts w:ascii="宋体" w:hAnsi="宋体" w:cs="宋体"/>
          <w:color w:val="auto"/>
          <w:szCs w:val="21"/>
        </w:rPr>
        <w:t>23.4</w:t>
      </w:r>
      <w:r>
        <w:rPr>
          <w:rFonts w:hint="eastAsia" w:ascii="宋体" w:hAnsi="宋体" w:cs="宋体"/>
          <w:color w:val="auto"/>
          <w:szCs w:val="21"/>
        </w:rPr>
        <w:t>供应商应当按照磋商文件的变动情况和磋商小组的要求重新提交响应文件，并由其法定代表人或授权代表签字或加盖公章。由授权代表签字的，应当附法定代表人授权书。供应商为自然人的，应当由本人签字并附身份证明。</w:t>
      </w:r>
    </w:p>
    <w:p>
      <w:pPr>
        <w:spacing w:line="420" w:lineRule="exact"/>
        <w:ind w:firstLine="481"/>
        <w:rPr>
          <w:rFonts w:ascii="宋体" w:cs="宋体"/>
          <w:color w:val="auto"/>
          <w:szCs w:val="21"/>
        </w:rPr>
      </w:pPr>
      <w:r>
        <w:rPr>
          <w:rFonts w:ascii="宋体" w:hAnsi="宋体" w:cs="宋体"/>
          <w:color w:val="auto"/>
          <w:szCs w:val="21"/>
        </w:rPr>
        <w:t>23.5</w:t>
      </w:r>
      <w:r>
        <w:rPr>
          <w:rFonts w:hint="eastAsia" w:ascii="宋体" w:hAnsi="宋体" w:cs="宋体"/>
          <w:color w:val="auto"/>
          <w:szCs w:val="21"/>
        </w:rPr>
        <w:t>磋商过程中工作人员应做好记录工作，并整理出磋商备忘录（磋商备忘录将成为后期供应商与采购人签订合同的重要依据之一）由供应商和采购人签字确认。</w:t>
      </w:r>
    </w:p>
    <w:p>
      <w:pPr>
        <w:spacing w:line="420" w:lineRule="exact"/>
        <w:ind w:firstLine="481"/>
        <w:outlineLvl w:val="0"/>
        <w:rPr>
          <w:rFonts w:ascii="宋体" w:cs="宋体"/>
          <w:b/>
          <w:bCs/>
          <w:color w:val="auto"/>
          <w:szCs w:val="21"/>
        </w:rPr>
      </w:pPr>
      <w:r>
        <w:rPr>
          <w:rFonts w:ascii="宋体" w:hAnsi="宋体" w:cs="宋体"/>
          <w:b/>
          <w:bCs/>
          <w:color w:val="auto"/>
          <w:szCs w:val="21"/>
        </w:rPr>
        <w:t>23.6</w:t>
      </w:r>
      <w:r>
        <w:rPr>
          <w:rFonts w:hint="eastAsia" w:ascii="宋体" w:hAnsi="宋体" w:cs="宋体"/>
          <w:b/>
          <w:bCs/>
          <w:color w:val="auto"/>
          <w:szCs w:val="21"/>
        </w:rPr>
        <w:t>最终报价</w:t>
      </w:r>
    </w:p>
    <w:p>
      <w:pPr>
        <w:spacing w:line="420" w:lineRule="exact"/>
        <w:ind w:firstLine="481"/>
        <w:rPr>
          <w:rFonts w:ascii="宋体" w:cs="宋体"/>
          <w:color w:val="auto"/>
          <w:szCs w:val="21"/>
        </w:rPr>
      </w:pPr>
      <w:r>
        <w:rPr>
          <w:rFonts w:hint="eastAsia" w:ascii="宋体" w:hAnsi="宋体" w:cs="宋体"/>
          <w:color w:val="auto"/>
          <w:szCs w:val="21"/>
        </w:rPr>
        <w:t>根据《财政部关于政府采购竞争性磋商采购方式管理暂行办法有关问题的补充通知》财库〔</w:t>
      </w:r>
      <w:r>
        <w:rPr>
          <w:rFonts w:ascii="宋体" w:hAnsi="宋体" w:cs="宋体"/>
          <w:color w:val="auto"/>
          <w:szCs w:val="21"/>
        </w:rPr>
        <w:t>2015</w:t>
      </w:r>
      <w:r>
        <w:rPr>
          <w:rFonts w:hint="eastAsia" w:ascii="宋体" w:hAnsi="宋体" w:cs="宋体"/>
          <w:color w:val="auto"/>
          <w:szCs w:val="21"/>
        </w:rPr>
        <w:t>〕</w:t>
      </w:r>
      <w:r>
        <w:rPr>
          <w:rFonts w:ascii="宋体" w:hAnsi="宋体" w:cs="宋体"/>
          <w:color w:val="auto"/>
          <w:szCs w:val="21"/>
        </w:rPr>
        <w:t>124</w:t>
      </w:r>
      <w:r>
        <w:rPr>
          <w:rFonts w:hint="eastAsia" w:ascii="宋体" w:hAnsi="宋体" w:cs="宋体"/>
          <w:color w:val="auto"/>
          <w:szCs w:val="21"/>
        </w:rPr>
        <w:t>号之规定。采用竞争性磋商采购方式采购的政府购买服务项目，在采购过程中符合要求且符合上述规定的供应商只有</w:t>
      </w:r>
      <w:r>
        <w:rPr>
          <w:rFonts w:ascii="宋体" w:hAnsi="宋体" w:cs="宋体"/>
          <w:color w:val="auto"/>
          <w:szCs w:val="21"/>
        </w:rPr>
        <w:t>2</w:t>
      </w:r>
      <w:r>
        <w:rPr>
          <w:rFonts w:hint="eastAsia" w:ascii="宋体" w:hAnsi="宋体" w:cs="宋体"/>
          <w:color w:val="auto"/>
          <w:szCs w:val="21"/>
        </w:rPr>
        <w:t>家的，竞争性磋商采购活动可以继续进行。采购过程中符合要求的供应商只有</w:t>
      </w:r>
      <w:r>
        <w:rPr>
          <w:rFonts w:ascii="宋体" w:hAnsi="宋体" w:cs="宋体"/>
          <w:color w:val="auto"/>
          <w:szCs w:val="21"/>
        </w:rPr>
        <w:t>1</w:t>
      </w:r>
      <w:r>
        <w:rPr>
          <w:rFonts w:hint="eastAsia" w:ascii="宋体" w:hAnsi="宋体" w:cs="宋体"/>
          <w:color w:val="auto"/>
          <w:szCs w:val="21"/>
        </w:rPr>
        <w:t>家的，采购人或者采购代理机构应当终止竞争性磋商采购活动，发布项目终止公告并说明原因，重新开展采购活动。</w:t>
      </w:r>
    </w:p>
    <w:p>
      <w:pPr>
        <w:spacing w:line="420" w:lineRule="exact"/>
        <w:ind w:firstLine="481"/>
        <w:rPr>
          <w:rFonts w:ascii="宋体" w:cs="宋体"/>
          <w:color w:val="auto"/>
          <w:szCs w:val="21"/>
        </w:rPr>
      </w:pPr>
      <w:r>
        <w:rPr>
          <w:rFonts w:hint="eastAsia" w:ascii="宋体" w:hAnsi="宋体" w:cs="宋体"/>
          <w:color w:val="auto"/>
          <w:szCs w:val="21"/>
        </w:rPr>
        <w:t>磋商文件不能详细列明采购标的技术、服务要求，需经磋商由供应商提供最终设计方案或解决方案的，磋商结束后，磋商小组应当按照少数服从多数的原则投票推荐</w:t>
      </w:r>
      <w:r>
        <w:rPr>
          <w:rFonts w:ascii="宋体" w:hAnsi="宋体" w:cs="宋体"/>
          <w:color w:val="auto"/>
          <w:szCs w:val="21"/>
        </w:rPr>
        <w:t>3</w:t>
      </w:r>
      <w:r>
        <w:rPr>
          <w:rFonts w:hint="eastAsia" w:ascii="宋体" w:hAnsi="宋体" w:cs="宋体"/>
          <w:color w:val="auto"/>
          <w:szCs w:val="21"/>
        </w:rPr>
        <w:t>家以上供应商的设计方案或者解决方案，并要求其在规定时间内提交最后报价。</w:t>
      </w:r>
    </w:p>
    <w:p>
      <w:pPr>
        <w:spacing w:line="420" w:lineRule="exact"/>
        <w:ind w:firstLine="481"/>
        <w:rPr>
          <w:rFonts w:ascii="宋体" w:cs="宋体"/>
          <w:color w:val="auto"/>
          <w:szCs w:val="21"/>
        </w:rPr>
      </w:pPr>
      <w:r>
        <w:rPr>
          <w:rFonts w:hint="eastAsia" w:ascii="宋体" w:hAnsi="宋体" w:cs="宋体"/>
          <w:color w:val="auto"/>
          <w:szCs w:val="21"/>
        </w:rPr>
        <w:t>磋商文件能够详细列明采购标的技术、服务要求的，磋商结束后，磋商小组应当要求所有实质性响应的供应商在规定时间内提交最后报价，提交最后报价的供应商不得少于3家。</w:t>
      </w:r>
    </w:p>
    <w:p>
      <w:pPr>
        <w:spacing w:line="420" w:lineRule="exact"/>
        <w:ind w:firstLine="482"/>
        <w:outlineLvl w:val="0"/>
        <w:rPr>
          <w:rFonts w:ascii="宋体" w:cs="宋体"/>
          <w:b/>
          <w:color w:val="auto"/>
          <w:szCs w:val="21"/>
        </w:rPr>
      </w:pPr>
      <w:r>
        <w:rPr>
          <w:rFonts w:ascii="宋体" w:hAnsi="宋体" w:cs="宋体"/>
          <w:b/>
          <w:color w:val="auto"/>
          <w:szCs w:val="21"/>
        </w:rPr>
        <w:t>24.</w:t>
      </w:r>
      <w:r>
        <w:rPr>
          <w:rFonts w:hint="eastAsia" w:ascii="宋体" w:hAnsi="宋体" w:cs="宋体"/>
          <w:b/>
          <w:color w:val="auto"/>
          <w:szCs w:val="21"/>
        </w:rPr>
        <w:t>比较与评价</w:t>
      </w:r>
    </w:p>
    <w:p>
      <w:pPr>
        <w:spacing w:line="420" w:lineRule="exact"/>
        <w:ind w:firstLine="481"/>
        <w:rPr>
          <w:rFonts w:ascii="宋体" w:cs="宋体"/>
          <w:color w:val="auto"/>
          <w:szCs w:val="21"/>
        </w:rPr>
      </w:pP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经磋商确定最终采购需求和提交最后报价的供应商后，由磋商小组采用综合评分法对提交最后报价的供应商的响应文件和最后报价进行综合评分。评分的标准详见第四章评审办法。</w:t>
      </w:r>
    </w:p>
    <w:p>
      <w:pPr>
        <w:spacing w:line="420" w:lineRule="exact"/>
        <w:ind w:firstLine="482"/>
        <w:rPr>
          <w:rFonts w:ascii="宋体" w:cs="宋体"/>
          <w:b/>
          <w:color w:val="auto"/>
          <w:szCs w:val="24"/>
        </w:rPr>
      </w:pPr>
      <w:r>
        <w:rPr>
          <w:rFonts w:ascii="宋体" w:hAnsi="宋体" w:cs="宋体"/>
          <w:b/>
          <w:color w:val="auto"/>
          <w:szCs w:val="24"/>
        </w:rPr>
        <w:t>25.</w:t>
      </w:r>
      <w:r>
        <w:rPr>
          <w:rFonts w:hint="eastAsia" w:ascii="宋体" w:hAnsi="宋体" w:cs="宋体"/>
          <w:b/>
          <w:color w:val="auto"/>
          <w:szCs w:val="24"/>
        </w:rPr>
        <w:t>推荐成交候选供应商</w:t>
      </w:r>
    </w:p>
    <w:p>
      <w:pPr>
        <w:spacing w:line="420" w:lineRule="exact"/>
        <w:ind w:firstLine="480"/>
        <w:rPr>
          <w:rFonts w:ascii="宋体" w:cs="宋体"/>
          <w:color w:val="auto"/>
          <w:szCs w:val="21"/>
        </w:rPr>
      </w:pPr>
      <w:r>
        <w:rPr>
          <w:rFonts w:ascii="宋体" w:hAnsi="宋体" w:cs="宋体"/>
          <w:color w:val="auto"/>
          <w:szCs w:val="21"/>
        </w:rPr>
        <w:t>25.1</w:t>
      </w:r>
      <w:r>
        <w:rPr>
          <w:rFonts w:hint="eastAsia" w:ascii="宋体" w:hAnsi="宋体" w:cs="宋体"/>
          <w:color w:val="auto"/>
          <w:szCs w:val="21"/>
        </w:rPr>
        <w:t>磋商小组将根据综合评分情况，按照评审得分由高到低顺序推荐</w:t>
      </w:r>
      <w:r>
        <w:rPr>
          <w:rFonts w:ascii="宋体" w:hAnsi="宋体" w:cs="宋体"/>
          <w:color w:val="auto"/>
          <w:szCs w:val="21"/>
        </w:rPr>
        <w:t>3</w:t>
      </w:r>
      <w:r>
        <w:rPr>
          <w:rFonts w:hint="eastAsia" w:ascii="宋体" w:hAnsi="宋体" w:cs="宋体"/>
          <w:color w:val="auto"/>
          <w:szCs w:val="21"/>
        </w:rPr>
        <w:t>名以上成交候选供应商，并编写评审报告。符合本须知第</w:t>
      </w:r>
      <w:r>
        <w:rPr>
          <w:rFonts w:ascii="宋体" w:hAnsi="宋体" w:cs="宋体"/>
          <w:color w:val="auto"/>
          <w:szCs w:val="21"/>
        </w:rPr>
        <w:t>23.6</w:t>
      </w:r>
      <w:r>
        <w:rPr>
          <w:rFonts w:hint="eastAsia" w:ascii="宋体" w:hAnsi="宋体" w:cs="宋体"/>
          <w:color w:val="auto"/>
          <w:szCs w:val="21"/>
        </w:rPr>
        <w:t>条第一款情况的，可以推荐</w:t>
      </w:r>
      <w:r>
        <w:rPr>
          <w:rFonts w:ascii="宋体" w:hAnsi="宋体" w:cs="宋体"/>
          <w:color w:val="auto"/>
          <w:szCs w:val="21"/>
        </w:rPr>
        <w:t>2</w:t>
      </w:r>
      <w:r>
        <w:rPr>
          <w:rFonts w:hint="eastAsia" w:ascii="宋体" w:hAnsi="宋体" w:cs="宋体"/>
          <w:color w:val="auto"/>
          <w:szCs w:val="21"/>
        </w:rPr>
        <w:t>家成交候选供应商。</w:t>
      </w:r>
    </w:p>
    <w:p>
      <w:pPr>
        <w:spacing w:line="420" w:lineRule="exact"/>
        <w:ind w:firstLine="480"/>
        <w:rPr>
          <w:rFonts w:ascii="宋体" w:cs="宋体"/>
          <w:color w:val="auto"/>
          <w:szCs w:val="21"/>
        </w:rPr>
      </w:pPr>
      <w:r>
        <w:rPr>
          <w:rFonts w:ascii="宋体" w:hAnsi="宋体" w:cs="宋体"/>
          <w:color w:val="auto"/>
          <w:szCs w:val="21"/>
        </w:rPr>
        <w:t>25.2</w:t>
      </w:r>
      <w:r>
        <w:rPr>
          <w:rFonts w:hint="eastAsia" w:ascii="宋体" w:hAnsi="宋体" w:cs="宋体"/>
          <w:color w:val="auto"/>
          <w:szCs w:val="21"/>
        </w:rPr>
        <w:t>评审报告将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641"/>
        </w:tabs>
        <w:spacing w:line="420" w:lineRule="exact"/>
        <w:ind w:firstLine="482"/>
        <w:outlineLvl w:val="0"/>
        <w:rPr>
          <w:rFonts w:ascii="宋体" w:cs="宋体"/>
          <w:b/>
          <w:bCs/>
          <w:color w:val="auto"/>
          <w:szCs w:val="24"/>
        </w:rPr>
      </w:pPr>
      <w:r>
        <w:rPr>
          <w:rFonts w:ascii="宋体" w:hAnsi="宋体" w:cs="宋体"/>
          <w:b/>
          <w:bCs/>
          <w:color w:val="auto"/>
          <w:szCs w:val="24"/>
        </w:rPr>
        <w:t>26.</w:t>
      </w:r>
      <w:r>
        <w:rPr>
          <w:rFonts w:hint="eastAsia" w:ascii="宋体" w:hAnsi="宋体" w:cs="宋体"/>
          <w:b/>
          <w:bCs/>
          <w:color w:val="auto"/>
          <w:szCs w:val="24"/>
        </w:rPr>
        <w:t>成交供应商</w:t>
      </w:r>
    </w:p>
    <w:p>
      <w:pPr>
        <w:spacing w:line="420" w:lineRule="exact"/>
        <w:ind w:firstLine="480"/>
        <w:rPr>
          <w:rFonts w:ascii="宋体" w:cs="宋体"/>
          <w:color w:val="auto"/>
        </w:rPr>
      </w:pPr>
      <w:r>
        <w:rPr>
          <w:rFonts w:ascii="宋体" w:hAnsi="宋体" w:cs="宋体"/>
          <w:color w:val="auto"/>
        </w:rPr>
        <w:t xml:space="preserve">26.1 </w:t>
      </w:r>
      <w:r>
        <w:rPr>
          <w:rFonts w:hint="eastAsia" w:ascii="宋体" w:hAnsi="宋体" w:cs="宋体"/>
          <w:color w:val="auto"/>
        </w:rPr>
        <w:t>采购代理机构将在评审结束后</w:t>
      </w:r>
      <w:r>
        <w:rPr>
          <w:rFonts w:ascii="宋体" w:hAnsi="宋体" w:cs="宋体"/>
          <w:color w:val="auto"/>
        </w:rPr>
        <w:t>2</w:t>
      </w:r>
      <w:r>
        <w:rPr>
          <w:rFonts w:hint="eastAsia" w:ascii="宋体" w:hAnsi="宋体" w:cs="宋体"/>
          <w:color w:val="auto"/>
        </w:rPr>
        <w:t>个工作日内将评审报告送招标采购人确认。</w:t>
      </w:r>
    </w:p>
    <w:p>
      <w:pPr>
        <w:spacing w:line="420" w:lineRule="exact"/>
        <w:ind w:firstLine="480"/>
        <w:rPr>
          <w:rFonts w:ascii="宋体" w:cs="宋体"/>
          <w:color w:val="auto"/>
        </w:rPr>
      </w:pPr>
      <w:r>
        <w:rPr>
          <w:rFonts w:ascii="宋体" w:hAnsi="宋体" w:cs="宋体"/>
          <w:color w:val="auto"/>
        </w:rPr>
        <w:t xml:space="preserve">26.2 </w:t>
      </w:r>
      <w:r>
        <w:rPr>
          <w:rFonts w:hint="eastAsia" w:ascii="宋体" w:hAnsi="宋体" w:cs="宋体"/>
          <w:color w:val="auto"/>
        </w:rPr>
        <w:t>磋商结果的确认。采购人应当对</w:t>
      </w:r>
      <w:r>
        <w:rPr>
          <w:rStyle w:val="59"/>
          <w:rFonts w:hint="eastAsia"/>
          <w:color w:val="auto"/>
          <w:sz w:val="24"/>
          <w:szCs w:val="24"/>
        </w:rPr>
        <w:t>磋商小组</w:t>
      </w:r>
      <w:r>
        <w:rPr>
          <w:rFonts w:hint="eastAsia" w:ascii="宋体" w:hAnsi="宋体" w:cs="宋体"/>
          <w:color w:val="auto"/>
        </w:rPr>
        <w:t>评审报告推荐的候选供应商进行确认。并按照排名依次与候选供应商就项目合同中可变的结论问题进行项目合同签署前的确认谈判，率先达成一致的候选供应商即为成交供应商。</w:t>
      </w:r>
    </w:p>
    <w:p>
      <w:pPr>
        <w:spacing w:line="420" w:lineRule="exact"/>
        <w:ind w:firstLine="480"/>
        <w:rPr>
          <w:rFonts w:ascii="宋体" w:cs="宋体"/>
          <w:color w:val="auto"/>
        </w:rPr>
      </w:pPr>
      <w:r>
        <w:rPr>
          <w:rFonts w:ascii="宋体" w:hAnsi="宋体" w:cs="宋体"/>
          <w:color w:val="auto"/>
        </w:rPr>
        <w:t xml:space="preserve">25.3 </w:t>
      </w:r>
      <w:r>
        <w:rPr>
          <w:rFonts w:hint="eastAsia" w:ascii="宋体" w:hAnsi="宋体" w:cs="宋体"/>
          <w:color w:val="auto"/>
        </w:rPr>
        <w:t>采购人应当在成交供应商确定后</w:t>
      </w:r>
      <w:r>
        <w:rPr>
          <w:rFonts w:ascii="宋体" w:hAnsi="宋体" w:cs="宋体"/>
          <w:color w:val="auto"/>
        </w:rPr>
        <w:t>10</w:t>
      </w:r>
      <w:r>
        <w:rPr>
          <w:rFonts w:hint="eastAsia" w:ascii="宋体" w:hAnsi="宋体" w:cs="宋体"/>
          <w:color w:val="auto"/>
        </w:rPr>
        <w:t>个工作日内，与成交供应商签署确认成交合同，</w:t>
      </w:r>
    </w:p>
    <w:p>
      <w:pPr>
        <w:spacing w:line="420" w:lineRule="exact"/>
        <w:ind w:firstLine="480"/>
        <w:rPr>
          <w:rFonts w:ascii="宋体" w:cs="宋体"/>
          <w:color w:val="auto"/>
        </w:rPr>
      </w:pPr>
      <w:r>
        <w:rPr>
          <w:rFonts w:ascii="宋体" w:hAnsi="宋体" w:cs="宋体"/>
          <w:color w:val="auto"/>
        </w:rPr>
        <w:t>25.4</w:t>
      </w:r>
      <w:r>
        <w:rPr>
          <w:rFonts w:hint="eastAsia" w:ascii="宋体" w:hAnsi="宋体" w:cs="宋体"/>
          <w:color w:val="auto"/>
        </w:rPr>
        <w:t>采购人或者采购代理机构应当在成交供应商确定后</w:t>
      </w:r>
      <w:r>
        <w:rPr>
          <w:rFonts w:ascii="宋体" w:hAnsi="宋体" w:cs="宋体"/>
          <w:color w:val="auto"/>
        </w:rPr>
        <w:t>2</w:t>
      </w:r>
      <w:r>
        <w:rPr>
          <w:rFonts w:hint="eastAsia" w:ascii="宋体" w:hAnsi="宋体" w:cs="宋体"/>
          <w:color w:val="auto"/>
        </w:rPr>
        <w:t>个工作日内，在省级以上财政部门指定的政府采购信息发布媒体上公告成交结果，同时向成交供应商发出成交通知书，并将磋商文件随成交结果同时公告。</w:t>
      </w:r>
    </w:p>
    <w:p>
      <w:pPr>
        <w:spacing w:line="420" w:lineRule="exact"/>
        <w:ind w:firstLine="480"/>
        <w:rPr>
          <w:rFonts w:ascii="宋体" w:cs="宋体"/>
          <w:color w:val="auto"/>
        </w:rPr>
      </w:pPr>
      <w:r>
        <w:rPr>
          <w:rFonts w:ascii="宋体" w:hAnsi="宋体" w:cs="宋体"/>
          <w:color w:val="auto"/>
        </w:rPr>
        <w:t>25.5</w:t>
      </w:r>
      <w:r>
        <w:rPr>
          <w:rFonts w:hint="eastAsia" w:ascii="宋体" w:hAnsi="宋体" w:cs="宋体"/>
          <w:color w:val="auto"/>
        </w:rPr>
        <w:t>在领取成交通知书之后，签订合同5日内，成交供应商应当以支票、汇票、本票等非现金形式交纳履约保证金。</w:t>
      </w:r>
    </w:p>
    <w:p>
      <w:pPr>
        <w:tabs>
          <w:tab w:val="left" w:pos="641"/>
        </w:tabs>
        <w:spacing w:line="420" w:lineRule="exact"/>
        <w:ind w:firstLine="482"/>
        <w:rPr>
          <w:rFonts w:ascii="宋体" w:cs="宋体"/>
          <w:b/>
          <w:bCs/>
          <w:color w:val="auto"/>
          <w:szCs w:val="24"/>
        </w:rPr>
      </w:pPr>
      <w:r>
        <w:rPr>
          <w:rFonts w:ascii="宋体" w:hAnsi="宋体" w:cs="宋体"/>
          <w:b/>
          <w:bCs/>
          <w:color w:val="auto"/>
          <w:szCs w:val="24"/>
        </w:rPr>
        <w:t>27.</w:t>
      </w:r>
      <w:r>
        <w:rPr>
          <w:rFonts w:hint="eastAsia" w:ascii="宋体" w:hAnsi="宋体" w:cs="宋体"/>
          <w:b/>
          <w:bCs/>
          <w:color w:val="auto"/>
          <w:szCs w:val="24"/>
        </w:rPr>
        <w:t>合同的授予和执行</w:t>
      </w:r>
    </w:p>
    <w:p>
      <w:pPr>
        <w:spacing w:line="420" w:lineRule="exact"/>
        <w:ind w:firstLine="480"/>
        <w:rPr>
          <w:rFonts w:ascii="宋体" w:cs="宋体"/>
          <w:color w:val="auto"/>
        </w:rPr>
      </w:pPr>
      <w:r>
        <w:rPr>
          <w:rFonts w:ascii="宋体" w:hAnsi="宋体" w:cs="宋体"/>
          <w:color w:val="auto"/>
        </w:rPr>
        <w:t xml:space="preserve">27.1 </w:t>
      </w:r>
      <w:r>
        <w:rPr>
          <w:rFonts w:hint="eastAsia" w:ascii="宋体" w:hAnsi="宋体" w:cs="宋体"/>
          <w:color w:val="auto"/>
        </w:rPr>
        <w:t>采购人与成交供应商应当在成交通知书发出之日起</w:t>
      </w:r>
      <w:r>
        <w:rPr>
          <w:rFonts w:ascii="宋体" w:hAnsi="宋体" w:cs="宋体"/>
          <w:color w:val="auto"/>
        </w:rPr>
        <w:t>30</w:t>
      </w:r>
      <w:r>
        <w:rPr>
          <w:rFonts w:hint="eastAsia" w:ascii="宋体" w:hAnsi="宋体" w:cs="宋体"/>
          <w:color w:val="auto"/>
        </w:rPr>
        <w:t>日内，与成交供应商签订经本项目监管部门审核同意的服务合同。</w:t>
      </w:r>
    </w:p>
    <w:p>
      <w:pPr>
        <w:spacing w:line="420" w:lineRule="exact"/>
        <w:ind w:firstLine="480"/>
        <w:rPr>
          <w:rFonts w:ascii="宋体" w:cs="宋体"/>
          <w:color w:val="auto"/>
        </w:rPr>
      </w:pPr>
      <w:r>
        <w:rPr>
          <w:rFonts w:ascii="宋体" w:hAnsi="宋体" w:cs="宋体"/>
          <w:color w:val="auto"/>
        </w:rPr>
        <w:t>27.2</w:t>
      </w:r>
      <w:r>
        <w:rPr>
          <w:rFonts w:hint="eastAsia" w:ascii="宋体" w:hAnsi="宋体" w:cs="宋体"/>
          <w:color w:val="auto"/>
        </w:rPr>
        <w:t>成交供应商拒绝签订服务合同的，采购人可以按照第四章“评审方法”推荐成交候选供应商的原则确定其他供应商作为成交供应商并签订项目合同，也可以重新开展采购活动。拒绝签项目合同的成交供应商不得参加对该项目重新开展的采购活动。</w:t>
      </w:r>
    </w:p>
    <w:p>
      <w:pPr>
        <w:spacing w:line="420" w:lineRule="exact"/>
        <w:ind w:firstLine="480"/>
        <w:rPr>
          <w:rFonts w:ascii="宋体" w:cs="宋体"/>
          <w:color w:val="auto"/>
        </w:rPr>
      </w:pPr>
      <w:r>
        <w:rPr>
          <w:rFonts w:ascii="宋体" w:hAnsi="宋体" w:cs="宋体"/>
          <w:color w:val="auto"/>
        </w:rPr>
        <w:t>27.3</w:t>
      </w:r>
      <w:r>
        <w:rPr>
          <w:rFonts w:hint="eastAsia" w:ascii="宋体" w:hAnsi="宋体" w:cs="宋体"/>
          <w:color w:val="auto"/>
        </w:rPr>
        <w:t>出现下列情形之一的，采购人或者采购代理机构应当终止竞争性磋商采购活动，发布项目终止公告并说明原因，重新开展采购活动：</w:t>
      </w:r>
    </w:p>
    <w:p>
      <w:pPr>
        <w:numPr>
          <w:ilvl w:val="0"/>
          <w:numId w:val="4"/>
        </w:numPr>
        <w:spacing w:line="420" w:lineRule="exact"/>
        <w:ind w:firstLine="480"/>
        <w:rPr>
          <w:rFonts w:ascii="宋体" w:cs="宋体"/>
          <w:color w:val="auto"/>
        </w:rPr>
      </w:pPr>
      <w:r>
        <w:rPr>
          <w:rFonts w:hint="eastAsia" w:ascii="宋体" w:hAnsi="宋体" w:cs="宋体"/>
          <w:color w:val="auto"/>
        </w:rPr>
        <w:t>因情况变化，不再符合规定的竞争性磋商采购方式适用情形的；</w:t>
      </w:r>
    </w:p>
    <w:p>
      <w:pPr>
        <w:numPr>
          <w:ilvl w:val="0"/>
          <w:numId w:val="4"/>
        </w:numPr>
        <w:spacing w:line="420" w:lineRule="exact"/>
        <w:ind w:firstLine="480"/>
        <w:rPr>
          <w:rFonts w:ascii="宋体" w:cs="宋体"/>
          <w:color w:val="auto"/>
        </w:rPr>
      </w:pPr>
      <w:r>
        <w:rPr>
          <w:rFonts w:hint="eastAsia" w:ascii="宋体" w:hAnsi="宋体" w:cs="宋体"/>
          <w:color w:val="auto"/>
        </w:rPr>
        <w:t>出现影响采购公正的违法、违规行为的；</w:t>
      </w:r>
    </w:p>
    <w:p>
      <w:pPr>
        <w:numPr>
          <w:ilvl w:val="0"/>
          <w:numId w:val="4"/>
        </w:numPr>
        <w:spacing w:line="420" w:lineRule="exact"/>
        <w:ind w:firstLine="480"/>
        <w:rPr>
          <w:rFonts w:ascii="宋体" w:cs="宋体"/>
          <w:color w:val="auto"/>
        </w:rPr>
      </w:pPr>
      <w:r>
        <w:rPr>
          <w:rFonts w:hint="eastAsia" w:ascii="宋体" w:hAnsi="宋体" w:cs="宋体"/>
          <w:color w:val="auto"/>
        </w:rPr>
        <w:t>在采购过程中符合要求的供应商或者报价未超过采购预算的供应商方不足3家的。</w:t>
      </w:r>
    </w:p>
    <w:p>
      <w:pPr>
        <w:spacing w:line="420" w:lineRule="exact"/>
        <w:ind w:firstLine="480"/>
        <w:rPr>
          <w:rFonts w:ascii="宋体" w:cs="宋体"/>
          <w:color w:val="auto"/>
        </w:rPr>
      </w:pPr>
      <w:r>
        <w:rPr>
          <w:rFonts w:ascii="宋体" w:hAnsi="宋体" w:cs="宋体"/>
          <w:color w:val="auto"/>
        </w:rPr>
        <w:t>27.4</w:t>
      </w:r>
      <w:r>
        <w:rPr>
          <w:rFonts w:hint="eastAsia" w:ascii="宋体" w:hAnsi="宋体" w:cs="宋体"/>
          <w:color w:val="auto"/>
        </w:rPr>
        <w:t>在采购活动中因重大变故，采购任务取消的，采购人或者采购代理机构应当终止采购活动，通知所有参加采购活动的供应商，并将项目实施情况和采购任务取消原因报送本级监管部门。</w:t>
      </w:r>
    </w:p>
    <w:p>
      <w:pPr>
        <w:spacing w:line="420" w:lineRule="exact"/>
        <w:ind w:firstLine="480"/>
        <w:rPr>
          <w:rFonts w:ascii="宋体" w:cs="宋体"/>
          <w:color w:val="auto"/>
        </w:rPr>
      </w:pPr>
      <w:r>
        <w:rPr>
          <w:rFonts w:ascii="宋体" w:hAnsi="宋体" w:cs="宋体"/>
          <w:color w:val="auto"/>
        </w:rPr>
        <w:t>27.5</w:t>
      </w:r>
      <w:r>
        <w:rPr>
          <w:rFonts w:hint="eastAsia" w:ascii="宋体" w:hAnsi="宋体" w:cs="宋体"/>
          <w:color w:val="auto"/>
        </w:rPr>
        <w:t>项目合同必须报请本级主管部门审核同意，在获得同意前项目合同不得生效。</w:t>
      </w:r>
    </w:p>
    <w:p>
      <w:pPr>
        <w:spacing w:line="420" w:lineRule="exact"/>
        <w:ind w:firstLine="480"/>
        <w:rPr>
          <w:rFonts w:ascii="宋体" w:cs="宋体"/>
          <w:color w:val="auto"/>
        </w:rPr>
      </w:pPr>
      <w:r>
        <w:rPr>
          <w:rFonts w:ascii="宋体" w:hAnsi="宋体" w:cs="宋体"/>
          <w:color w:val="auto"/>
        </w:rPr>
        <w:t>27.6</w:t>
      </w:r>
      <w:r>
        <w:rPr>
          <w:rFonts w:hint="eastAsia" w:ascii="宋体" w:hAnsi="宋体" w:cs="宋体"/>
          <w:color w:val="auto"/>
        </w:rPr>
        <w:t>采购人和监管部门应监督供应商按照采购文件和项目服务项目合同约定提供的服务。</w:t>
      </w:r>
    </w:p>
    <w:p>
      <w:pPr>
        <w:tabs>
          <w:tab w:val="left" w:pos="641"/>
        </w:tabs>
        <w:spacing w:line="420" w:lineRule="exact"/>
        <w:ind w:firstLine="482"/>
        <w:rPr>
          <w:rFonts w:ascii="宋体" w:cs="宋体"/>
          <w:b/>
          <w:bCs/>
          <w:color w:val="auto"/>
          <w:szCs w:val="24"/>
        </w:rPr>
      </w:pPr>
      <w:bookmarkStart w:id="8" w:name="_Toc127973031"/>
      <w:bookmarkEnd w:id="8"/>
      <w:bookmarkStart w:id="9" w:name="_Toc137651730"/>
      <w:bookmarkEnd w:id="9"/>
      <w:r>
        <w:rPr>
          <w:rFonts w:ascii="宋体" w:hAnsi="宋体" w:cs="宋体"/>
          <w:b/>
          <w:bCs/>
          <w:color w:val="auto"/>
          <w:szCs w:val="24"/>
        </w:rPr>
        <w:t>28.</w:t>
      </w:r>
      <w:r>
        <w:rPr>
          <w:rFonts w:hint="eastAsia" w:ascii="宋体" w:hAnsi="宋体" w:cs="宋体"/>
          <w:b/>
          <w:bCs/>
          <w:color w:val="auto"/>
          <w:szCs w:val="24"/>
        </w:rPr>
        <w:t>保密</w:t>
      </w:r>
    </w:p>
    <w:p>
      <w:pPr>
        <w:spacing w:line="420" w:lineRule="exact"/>
        <w:ind w:firstLine="480"/>
        <w:rPr>
          <w:rFonts w:ascii="宋体" w:cs="宋体"/>
          <w:color w:val="auto"/>
        </w:rPr>
      </w:pPr>
      <w:r>
        <w:rPr>
          <w:rFonts w:hint="eastAsia" w:ascii="宋体" w:hAnsi="宋体" w:cs="宋体"/>
          <w:color w:val="auto"/>
        </w:rPr>
        <w:t>参与磋商活动的供应商应对磋商文件和响应文件中的涉及国家秘密和商业秘密进行保密，未经采购人书面同意不得扩散，否则承担相关法律责任。</w:t>
      </w:r>
    </w:p>
    <w:p>
      <w:pPr>
        <w:tabs>
          <w:tab w:val="left" w:pos="641"/>
        </w:tabs>
        <w:spacing w:line="420" w:lineRule="exact"/>
        <w:ind w:firstLine="482"/>
        <w:rPr>
          <w:rFonts w:ascii="宋体" w:cs="宋体"/>
          <w:b/>
          <w:bCs/>
          <w:color w:val="auto"/>
          <w:szCs w:val="24"/>
        </w:rPr>
      </w:pPr>
      <w:r>
        <w:rPr>
          <w:rFonts w:ascii="宋体" w:hAnsi="宋体" w:cs="宋体"/>
          <w:b/>
          <w:bCs/>
          <w:color w:val="auto"/>
          <w:szCs w:val="24"/>
        </w:rPr>
        <w:t>29.</w:t>
      </w:r>
      <w:r>
        <w:rPr>
          <w:rFonts w:hint="eastAsia" w:ascii="宋体" w:hAnsi="宋体" w:cs="宋体"/>
          <w:b/>
          <w:bCs/>
          <w:color w:val="auto"/>
          <w:szCs w:val="24"/>
        </w:rPr>
        <w:t>质疑投诉</w:t>
      </w:r>
    </w:p>
    <w:p>
      <w:pPr>
        <w:spacing w:line="420" w:lineRule="exact"/>
        <w:ind w:firstLine="480"/>
        <w:rPr>
          <w:rFonts w:ascii="宋体" w:cs="宋体"/>
          <w:color w:val="auto"/>
        </w:rPr>
      </w:pPr>
      <w:r>
        <w:rPr>
          <w:rFonts w:hint="eastAsia" w:ascii="宋体" w:hAnsi="宋体" w:cs="宋体"/>
          <w:color w:val="auto"/>
        </w:rPr>
        <w:t>参加竞争性磋商采购活动的询问、质疑和投诉，依照有关政府采购相关法律规定执行。</w:t>
      </w:r>
    </w:p>
    <w:p>
      <w:pPr>
        <w:tabs>
          <w:tab w:val="left" w:pos="641"/>
        </w:tabs>
        <w:spacing w:line="420" w:lineRule="exact"/>
        <w:rPr>
          <w:rFonts w:ascii="宋体" w:cs="宋体"/>
          <w:b/>
          <w:bCs/>
          <w:color w:val="auto"/>
          <w:szCs w:val="24"/>
        </w:rPr>
      </w:pPr>
      <w:r>
        <w:rPr>
          <w:rFonts w:ascii="宋体" w:hAnsi="宋体" w:cs="宋体"/>
          <w:b/>
          <w:bCs/>
          <w:color w:val="auto"/>
          <w:szCs w:val="24"/>
        </w:rPr>
        <w:t xml:space="preserve">    30.</w:t>
      </w:r>
      <w:r>
        <w:rPr>
          <w:rFonts w:hint="eastAsia" w:ascii="宋体" w:hAnsi="宋体" w:cs="宋体"/>
          <w:b/>
          <w:bCs/>
          <w:color w:val="auto"/>
          <w:szCs w:val="24"/>
        </w:rPr>
        <w:t>政府采购政策</w:t>
      </w:r>
    </w:p>
    <w:p>
      <w:pPr>
        <w:spacing w:line="420" w:lineRule="exact"/>
        <w:jc w:val="center"/>
        <w:rPr>
          <w:rFonts w:ascii="黑体" w:hAnsi="黑体" w:eastAsia="黑体"/>
          <w:color w:val="auto"/>
          <w:sz w:val="32"/>
          <w:szCs w:val="32"/>
        </w:rPr>
      </w:pPr>
      <w:r>
        <w:rPr>
          <w:rFonts w:ascii="宋体" w:hAnsi="宋体" w:cs="宋体"/>
          <w:color w:val="auto"/>
        </w:rPr>
        <w:t>30.1</w:t>
      </w:r>
      <w:r>
        <w:rPr>
          <w:rFonts w:hint="eastAsia" w:ascii="宋体" w:hAnsi="宋体" w:cs="宋体"/>
          <w:color w:val="auto"/>
        </w:rPr>
        <w:t>政府采购应当有助于实现国家的经济和</w:t>
      </w:r>
      <w:r>
        <w:rPr>
          <w:color w:val="auto"/>
        </w:rPr>
        <w:fldChar w:fldCharType="begin"/>
      </w:r>
      <w:r>
        <w:rPr>
          <w:color w:val="auto"/>
        </w:rPr>
        <w:instrText xml:space="preserve"> HYPERLINK "http://baike.baidu.com/view/391473.htm" </w:instrText>
      </w:r>
      <w:r>
        <w:rPr>
          <w:color w:val="auto"/>
        </w:rPr>
        <w:fldChar w:fldCharType="separate"/>
      </w:r>
      <w:r>
        <w:rPr>
          <w:rFonts w:hint="eastAsia" w:ascii="宋体" w:hAnsi="宋体" w:cs="宋体"/>
          <w:color w:val="auto"/>
        </w:rPr>
        <w:t>社会发展</w:t>
      </w:r>
      <w:r>
        <w:rPr>
          <w:rFonts w:hint="eastAsia" w:ascii="宋体" w:hAnsi="宋体" w:cs="宋体"/>
          <w:color w:val="auto"/>
        </w:rPr>
        <w:fldChar w:fldCharType="end"/>
      </w:r>
      <w:r>
        <w:rPr>
          <w:rFonts w:hint="eastAsia" w:ascii="宋体" w:hAnsi="宋体" w:cs="宋体"/>
          <w:color w:val="auto"/>
        </w:rPr>
        <w:t>政策目标，包括保护环境，扶持不发达地区和少数民族地区，促进中小企业发展等。政府采购应当采购本国货物、工程和服务。</w:t>
      </w:r>
      <w:r>
        <w:rPr>
          <w:color w:val="auto"/>
        </w:rPr>
        <w:br w:type="page"/>
      </w:r>
      <w:r>
        <w:rPr>
          <w:rFonts w:hint="eastAsia" w:ascii="黑体" w:hAnsi="黑体" w:eastAsia="黑体"/>
          <w:color w:val="auto"/>
          <w:sz w:val="32"/>
          <w:szCs w:val="32"/>
        </w:rPr>
        <w:t>第四章 评审办法</w:t>
      </w:r>
    </w:p>
    <w:p>
      <w:pPr>
        <w:pStyle w:val="27"/>
        <w:spacing w:before="0" w:line="440" w:lineRule="exact"/>
        <w:ind w:firstLine="482" w:firstLineChars="200"/>
        <w:jc w:val="both"/>
        <w:rPr>
          <w:color w:val="auto"/>
          <w:sz w:val="24"/>
          <w:szCs w:val="24"/>
        </w:rPr>
      </w:pPr>
      <w:bookmarkStart w:id="10" w:name="_Toc448307955"/>
      <w:bookmarkEnd w:id="10"/>
      <w:bookmarkStart w:id="11" w:name="_Toc431307779"/>
      <w:bookmarkEnd w:id="11"/>
      <w:r>
        <w:rPr>
          <w:rFonts w:hint="eastAsia"/>
          <w:color w:val="auto"/>
          <w:sz w:val="24"/>
          <w:szCs w:val="24"/>
        </w:rPr>
        <w:t>一、评审方法及评审原则</w:t>
      </w:r>
      <w:bookmarkStart w:id="12" w:name="_Toc431307789"/>
      <w:bookmarkEnd w:id="12"/>
      <w:bookmarkStart w:id="13" w:name="_Toc152042377"/>
      <w:bookmarkEnd w:id="13"/>
      <w:bookmarkStart w:id="14" w:name="_Toc152045600"/>
      <w:bookmarkEnd w:id="14"/>
      <w:bookmarkStart w:id="15" w:name="_Toc448307956"/>
      <w:bookmarkEnd w:id="15"/>
      <w:bookmarkStart w:id="16" w:name="_Toc415575790"/>
      <w:bookmarkEnd w:id="16"/>
      <w:bookmarkStart w:id="17" w:name="_Toc414277163"/>
      <w:bookmarkEnd w:id="17"/>
      <w:bookmarkStart w:id="18" w:name="_Toc414112651"/>
      <w:bookmarkEnd w:id="18"/>
      <w:bookmarkStart w:id="19" w:name="_Toc144974567"/>
      <w:bookmarkEnd w:id="19"/>
    </w:p>
    <w:p>
      <w:pPr>
        <w:pStyle w:val="27"/>
        <w:spacing w:before="0" w:line="440" w:lineRule="exact"/>
        <w:ind w:firstLine="482" w:firstLineChars="200"/>
        <w:jc w:val="both"/>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评审方法</w:t>
      </w:r>
    </w:p>
    <w:p>
      <w:pPr>
        <w:spacing w:line="400" w:lineRule="exact"/>
        <w:ind w:firstLine="482"/>
        <w:rPr>
          <w:rFonts w:ascii="宋体" w:cs="宋体"/>
          <w:color w:val="auto"/>
        </w:rPr>
      </w:pPr>
      <w:r>
        <w:rPr>
          <w:rFonts w:hint="eastAsia" w:ascii="宋体" w:hAnsi="宋体" w:cs="宋体"/>
          <w:color w:val="auto"/>
        </w:rPr>
        <w:t>本次评审采用综合评分法，满分</w:t>
      </w:r>
      <w:r>
        <w:rPr>
          <w:rFonts w:ascii="宋体" w:hAnsi="宋体" w:cs="宋体"/>
          <w:color w:val="auto"/>
        </w:rPr>
        <w:t>100</w:t>
      </w:r>
      <w:r>
        <w:rPr>
          <w:rFonts w:hint="eastAsia" w:ascii="宋体" w:hAnsi="宋体" w:cs="宋体"/>
          <w:color w:val="auto"/>
        </w:rPr>
        <w:t>分。磋商小组对满足磋商文件要求的响应文件，按照本章规定的评审标准进行评审，按评审办法的量化指标评审得分从高到低顺序推荐候选供应商。评分得分相同的，按照报价从由低到高顺序推荐。</w:t>
      </w:r>
    </w:p>
    <w:p>
      <w:pPr>
        <w:spacing w:line="440" w:lineRule="exact"/>
        <w:ind w:firstLine="482"/>
        <w:rPr>
          <w:rFonts w:ascii="宋体" w:cs="宋体"/>
          <w:b/>
          <w:color w:val="auto"/>
          <w:szCs w:val="24"/>
        </w:rPr>
      </w:pPr>
      <w:r>
        <w:rPr>
          <w:rFonts w:ascii="宋体" w:hAnsi="宋体" w:cs="宋体"/>
          <w:b/>
          <w:color w:val="auto"/>
          <w:szCs w:val="24"/>
        </w:rPr>
        <w:t>2.</w:t>
      </w:r>
      <w:r>
        <w:rPr>
          <w:rFonts w:hint="eastAsia" w:ascii="宋体" w:hAnsi="宋体" w:cs="宋体"/>
          <w:b/>
          <w:color w:val="auto"/>
          <w:szCs w:val="24"/>
        </w:rPr>
        <w:t>评审原则标准</w:t>
      </w:r>
      <w:bookmarkStart w:id="20" w:name="_Toc448307958"/>
      <w:bookmarkEnd w:id="20"/>
    </w:p>
    <w:p>
      <w:pPr>
        <w:spacing w:line="440" w:lineRule="exact"/>
        <w:ind w:firstLine="482"/>
        <w:rPr>
          <w:rFonts w:ascii="宋体" w:cs="宋体"/>
          <w:color w:val="auto"/>
          <w:szCs w:val="24"/>
        </w:rPr>
      </w:pPr>
      <w:r>
        <w:rPr>
          <w:rFonts w:ascii="宋体" w:hAnsi="宋体" w:cs="宋体"/>
          <w:color w:val="auto"/>
          <w:szCs w:val="24"/>
        </w:rPr>
        <w:t>2.1</w:t>
      </w:r>
      <w:r>
        <w:rPr>
          <w:rFonts w:hint="eastAsia" w:ascii="宋体" w:hAnsi="宋体" w:cs="宋体"/>
          <w:color w:val="auto"/>
          <w:szCs w:val="24"/>
        </w:rPr>
        <w:t>磋商响应文件初审</w:t>
      </w:r>
      <w:bookmarkStart w:id="21" w:name="_Toc448307959"/>
      <w:bookmarkEnd w:id="21"/>
    </w:p>
    <w:p>
      <w:pPr>
        <w:spacing w:line="440" w:lineRule="exact"/>
        <w:ind w:firstLine="482"/>
        <w:rPr>
          <w:rFonts w:ascii="宋体" w:cs="宋体"/>
          <w:b/>
          <w:color w:val="auto"/>
          <w:szCs w:val="24"/>
        </w:rPr>
      </w:pPr>
      <w:r>
        <w:rPr>
          <w:rFonts w:ascii="宋体" w:hAnsi="宋体" w:cs="宋体"/>
          <w:b/>
          <w:color w:val="auto"/>
          <w:szCs w:val="24"/>
        </w:rPr>
        <w:t>2.1.1</w:t>
      </w:r>
      <w:r>
        <w:rPr>
          <w:rFonts w:hint="eastAsia" w:ascii="宋体" w:hAnsi="宋体" w:cs="宋体"/>
          <w:b/>
          <w:color w:val="auto"/>
          <w:szCs w:val="24"/>
        </w:rPr>
        <w:t>资格性检查标准</w:t>
      </w:r>
    </w:p>
    <w:p>
      <w:pPr>
        <w:spacing w:line="400" w:lineRule="exact"/>
        <w:ind w:firstLine="482"/>
        <w:rPr>
          <w:rFonts w:ascii="宋体" w:cs="宋体"/>
          <w:color w:val="auto"/>
        </w:rPr>
      </w:pPr>
      <w:r>
        <w:rPr>
          <w:rFonts w:hint="eastAsia" w:ascii="宋体" w:hAnsi="宋体" w:cs="宋体"/>
          <w:color w:val="auto"/>
        </w:rPr>
        <w:t>由磋商小组进行资格审查。依据法律法规和磋商文件的规定，对响应文件中的资格证明、磋商保证金等进行检查，以确定供应商是否具备磋商资格。资格性检查评审标准：见评审方法前附表。</w:t>
      </w:r>
    </w:p>
    <w:p>
      <w:pPr>
        <w:spacing w:line="400" w:lineRule="exact"/>
        <w:ind w:firstLine="482"/>
        <w:rPr>
          <w:rFonts w:ascii="宋体" w:cs="宋体"/>
          <w:color w:val="auto"/>
        </w:rPr>
      </w:pPr>
      <w:r>
        <w:rPr>
          <w:rFonts w:hint="eastAsia" w:ascii="宋体" w:hAnsi="宋体" w:cs="宋体"/>
          <w:color w:val="auto"/>
        </w:rPr>
        <w:t>由磋商小组按照资格文件规定的审查标准对供应商进行资格审查。有一项不符合审查标准的，响应文件将不进入下一步评审。</w:t>
      </w:r>
    </w:p>
    <w:p>
      <w:pPr>
        <w:spacing w:line="400" w:lineRule="exact"/>
        <w:ind w:firstLine="482"/>
        <w:rPr>
          <w:rFonts w:ascii="宋体" w:cs="宋体"/>
          <w:color w:val="auto"/>
        </w:rPr>
      </w:pPr>
      <w:bookmarkStart w:id="22" w:name="_Toc448307960"/>
      <w:bookmarkEnd w:id="22"/>
      <w:r>
        <w:rPr>
          <w:rFonts w:ascii="宋体" w:hAnsi="宋体" w:cs="宋体"/>
          <w:color w:val="auto"/>
        </w:rPr>
        <w:t>2.1.2</w:t>
      </w:r>
      <w:r>
        <w:rPr>
          <w:rFonts w:hint="eastAsia" w:ascii="宋体" w:hAnsi="宋体" w:cs="宋体"/>
          <w:color w:val="auto"/>
        </w:rPr>
        <w:t>符合性审查标准</w:t>
      </w:r>
    </w:p>
    <w:p>
      <w:pPr>
        <w:spacing w:line="400" w:lineRule="exact"/>
        <w:ind w:firstLine="482"/>
        <w:rPr>
          <w:rFonts w:ascii="宋体" w:cs="宋体"/>
          <w:color w:val="auto"/>
        </w:rPr>
      </w:pPr>
      <w:r>
        <w:rPr>
          <w:rFonts w:hint="eastAsia" w:ascii="宋体" w:hAnsi="宋体" w:cs="宋体"/>
          <w:color w:val="auto"/>
        </w:rPr>
        <w:t>通过资格审查的供应商，由磋商小组进行符合性审查。依据磋商文件的规定，从响应文件的有效性、完整性和对磋商文件的响应程度进行审查，以确定是否对磋商文件的实质性要求做出响应。符合性检查评审标准：见评审方法附表。</w:t>
      </w:r>
      <w:bookmarkStart w:id="23" w:name="_Toc152042385"/>
      <w:bookmarkEnd w:id="23"/>
      <w:bookmarkStart w:id="24" w:name="_Toc414277170"/>
      <w:bookmarkEnd w:id="24"/>
      <w:bookmarkStart w:id="25" w:name="_Toc414112658"/>
      <w:bookmarkEnd w:id="25"/>
      <w:bookmarkStart w:id="26" w:name="_Toc152045607"/>
      <w:bookmarkEnd w:id="26"/>
      <w:bookmarkStart w:id="27" w:name="_Toc144974575"/>
      <w:bookmarkEnd w:id="27"/>
      <w:bookmarkStart w:id="28" w:name="_Toc448307961"/>
      <w:bookmarkEnd w:id="28"/>
    </w:p>
    <w:p>
      <w:pPr>
        <w:spacing w:line="400" w:lineRule="exact"/>
        <w:ind w:firstLine="482"/>
        <w:rPr>
          <w:rFonts w:ascii="宋体" w:cs="宋体"/>
          <w:color w:val="auto"/>
        </w:rPr>
      </w:pPr>
      <w:r>
        <w:rPr>
          <w:rFonts w:ascii="宋体" w:hAnsi="宋体" w:cs="宋体"/>
          <w:color w:val="auto"/>
        </w:rPr>
        <w:t>2.2</w:t>
      </w:r>
      <w:r>
        <w:rPr>
          <w:rFonts w:hint="eastAsia" w:ascii="宋体" w:hAnsi="宋体" w:cs="宋体"/>
          <w:color w:val="auto"/>
        </w:rPr>
        <w:t>澄清有关问题</w:t>
      </w:r>
    </w:p>
    <w:p>
      <w:pPr>
        <w:spacing w:line="400" w:lineRule="exact"/>
        <w:ind w:firstLine="482"/>
        <w:rPr>
          <w:rFonts w:ascii="宋体" w:cs="宋体"/>
          <w:color w:val="auto"/>
        </w:rPr>
      </w:pPr>
      <w:r>
        <w:rPr>
          <w:rFonts w:ascii="宋体" w:hAnsi="宋体" w:cs="宋体"/>
          <w:color w:val="auto"/>
        </w:rPr>
        <w:t>2.2.1</w:t>
      </w:r>
      <w:r>
        <w:rPr>
          <w:rFonts w:hint="eastAsia" w:ascii="宋体" w:hAnsi="宋体" w:cs="宋体"/>
          <w:color w:val="auto"/>
        </w:rPr>
        <w:t>对响应文件中含义不明确、同类问题表述不一致或者有明显文字和计算错误的内容，磋商小组可以书面形式（应当由磋商小组专家签字）要求响应供应商做出必要的澄清、说明或者纠正。供应商的澄清、说明或者补正应当采用书面形式，由其授权代表签字，并不得超出响应文件的范围或者改变响应文件的实质性内容。</w:t>
      </w:r>
    </w:p>
    <w:p>
      <w:pPr>
        <w:spacing w:line="400" w:lineRule="exact"/>
        <w:ind w:firstLine="482"/>
        <w:rPr>
          <w:rFonts w:ascii="宋体" w:cs="宋体"/>
          <w:color w:val="auto"/>
        </w:rPr>
      </w:pPr>
      <w:r>
        <w:rPr>
          <w:rFonts w:ascii="宋体" w:hAnsi="宋体" w:cs="宋体"/>
          <w:color w:val="auto"/>
        </w:rPr>
        <w:t>2.2.2</w:t>
      </w:r>
      <w:r>
        <w:rPr>
          <w:rFonts w:hint="eastAsia" w:ascii="宋体" w:hAnsi="宋体" w:cs="宋体"/>
          <w:color w:val="auto"/>
        </w:rPr>
        <w:t>磋商小组要求供应商澄清、说明或者更正响应文件应当以书面形式做出。供应商的澄清、说明或者更正应当由法定代表人或其授权代表签字或者加盖公章。</w:t>
      </w:r>
    </w:p>
    <w:p>
      <w:pPr>
        <w:spacing w:line="400" w:lineRule="exact"/>
        <w:ind w:firstLine="482"/>
        <w:rPr>
          <w:rFonts w:ascii="宋体" w:cs="宋体"/>
          <w:color w:val="auto"/>
        </w:rPr>
      </w:pPr>
      <w:r>
        <w:rPr>
          <w:rFonts w:ascii="宋体" w:hAnsi="宋体" w:cs="宋体"/>
          <w:color w:val="auto"/>
        </w:rPr>
        <w:t>2.3</w:t>
      </w:r>
      <w:r>
        <w:rPr>
          <w:rFonts w:hint="eastAsia" w:ascii="宋体" w:hAnsi="宋体" w:cs="宋体"/>
          <w:color w:val="auto"/>
        </w:rPr>
        <w:t>比较与评价</w:t>
      </w:r>
    </w:p>
    <w:p>
      <w:pPr>
        <w:spacing w:line="400" w:lineRule="exact"/>
        <w:ind w:firstLine="482"/>
        <w:rPr>
          <w:rFonts w:ascii="宋体" w:cs="宋体"/>
          <w:color w:val="auto"/>
        </w:rPr>
      </w:pPr>
      <w:r>
        <w:rPr>
          <w:rFonts w:ascii="宋体" w:hAnsi="宋体" w:cs="宋体"/>
          <w:color w:val="auto"/>
        </w:rPr>
        <w:t>2.3.1</w:t>
      </w:r>
      <w:r>
        <w:rPr>
          <w:rFonts w:hint="eastAsia" w:ascii="宋体" w:hAnsi="宋体" w:cs="宋体"/>
          <w:color w:val="auto"/>
        </w:rPr>
        <w:t>按磋商文件中规定的评标方法和标准，对资格性检查和符合性检查合格的响应文件进行详细评审，详细评审标准。</w:t>
      </w:r>
    </w:p>
    <w:p>
      <w:pPr>
        <w:spacing w:line="400" w:lineRule="exact"/>
        <w:ind w:firstLine="482"/>
        <w:rPr>
          <w:rFonts w:ascii="宋体" w:cs="宋体"/>
          <w:color w:val="auto"/>
        </w:rPr>
      </w:pPr>
      <w:r>
        <w:rPr>
          <w:rFonts w:ascii="宋体" w:hAnsi="宋体" w:cs="宋体"/>
          <w:color w:val="auto"/>
        </w:rPr>
        <w:t>2.3.2</w:t>
      </w:r>
      <w:r>
        <w:rPr>
          <w:rFonts w:hint="eastAsia" w:ascii="宋体" w:hAnsi="宋体" w:cs="宋体"/>
          <w:color w:val="auto"/>
        </w:rPr>
        <w:t>磋商小组按规定的量化指标和分值进行打分，并计算出综合评审得分；</w:t>
      </w:r>
    </w:p>
    <w:p>
      <w:pPr>
        <w:spacing w:line="400" w:lineRule="exact"/>
        <w:ind w:firstLine="482"/>
        <w:rPr>
          <w:rFonts w:ascii="宋体" w:cs="宋体"/>
          <w:color w:val="auto"/>
        </w:rPr>
      </w:pPr>
      <w:r>
        <w:rPr>
          <w:rFonts w:ascii="宋体" w:hAnsi="宋体" w:cs="宋体"/>
          <w:color w:val="auto"/>
        </w:rPr>
        <w:t>2.3.3</w:t>
      </w:r>
      <w:r>
        <w:rPr>
          <w:rFonts w:hint="eastAsia" w:ascii="宋体" w:hAnsi="宋体" w:cs="宋体"/>
          <w:color w:val="auto"/>
        </w:rPr>
        <w:t>汇总全体磋商小组对响应供商的打分总和，即供应商的最终评审得分；</w:t>
      </w:r>
    </w:p>
    <w:p>
      <w:pPr>
        <w:spacing w:line="400" w:lineRule="exact"/>
        <w:ind w:firstLine="482"/>
        <w:rPr>
          <w:rFonts w:ascii="宋体"/>
          <w:color w:val="auto"/>
          <w:szCs w:val="24"/>
        </w:rPr>
      </w:pPr>
      <w:r>
        <w:rPr>
          <w:rFonts w:ascii="宋体" w:hAnsi="宋体" w:cs="宋体"/>
          <w:color w:val="auto"/>
        </w:rPr>
        <w:t>2.3.4</w:t>
      </w:r>
      <w:r>
        <w:rPr>
          <w:rFonts w:hint="eastAsia" w:ascii="宋体" w:hAnsi="宋体" w:cs="宋体"/>
          <w:color w:val="auto"/>
        </w:rPr>
        <w:t>评分分值计算保留小数点后两位，小数点后两位</w:t>
      </w:r>
      <w:r>
        <w:rPr>
          <w:rFonts w:hint="eastAsia" w:ascii="宋体" w:hAnsi="宋体"/>
          <w:color w:val="auto"/>
          <w:szCs w:val="24"/>
        </w:rPr>
        <w:t>（采用四舍五入法）。</w:t>
      </w:r>
    </w:p>
    <w:p>
      <w:pPr>
        <w:spacing w:line="440" w:lineRule="exact"/>
        <w:ind w:firstLine="482"/>
        <w:rPr>
          <w:rFonts w:ascii="宋体" w:cs="宋体"/>
          <w:b/>
          <w:color w:val="auto"/>
          <w:szCs w:val="24"/>
        </w:rPr>
      </w:pPr>
      <w:bookmarkStart w:id="29" w:name="_Toc448307963"/>
      <w:bookmarkEnd w:id="29"/>
      <w:r>
        <w:rPr>
          <w:rFonts w:ascii="宋体" w:hAnsi="宋体" w:cs="宋体"/>
          <w:b/>
          <w:color w:val="auto"/>
          <w:szCs w:val="24"/>
        </w:rPr>
        <w:t>3.</w:t>
      </w:r>
      <w:r>
        <w:rPr>
          <w:rFonts w:hint="eastAsia" w:ascii="宋体" w:hAnsi="宋体" w:cs="宋体"/>
          <w:b/>
          <w:color w:val="auto"/>
          <w:szCs w:val="24"/>
        </w:rPr>
        <w:t>评审程序</w:t>
      </w:r>
    </w:p>
    <w:p>
      <w:pPr>
        <w:spacing w:line="440" w:lineRule="exact"/>
        <w:ind w:firstLine="482"/>
        <w:rPr>
          <w:rFonts w:ascii="宋体" w:cs="宋体"/>
          <w:b/>
          <w:color w:val="auto"/>
          <w:szCs w:val="24"/>
        </w:rPr>
      </w:pPr>
      <w:bookmarkStart w:id="30" w:name="_Toc448307964"/>
      <w:bookmarkEnd w:id="30"/>
      <w:r>
        <w:rPr>
          <w:rFonts w:ascii="宋体" w:hAnsi="宋体" w:cs="宋体"/>
          <w:b/>
          <w:color w:val="auto"/>
          <w:szCs w:val="24"/>
        </w:rPr>
        <w:t>3.1</w:t>
      </w:r>
      <w:r>
        <w:rPr>
          <w:rFonts w:hint="eastAsia" w:ascii="宋体" w:hAnsi="宋体" w:cs="宋体"/>
          <w:b/>
          <w:color w:val="auto"/>
          <w:szCs w:val="24"/>
        </w:rPr>
        <w:t>响应文件初审</w:t>
      </w:r>
    </w:p>
    <w:p>
      <w:pPr>
        <w:spacing w:line="400" w:lineRule="exact"/>
        <w:ind w:firstLine="482"/>
        <w:rPr>
          <w:rFonts w:ascii="宋体" w:cs="宋体"/>
          <w:color w:val="auto"/>
        </w:rPr>
      </w:pPr>
      <w:r>
        <w:rPr>
          <w:rFonts w:hint="eastAsia" w:ascii="宋体" w:hAnsi="宋体" w:cs="宋体"/>
          <w:color w:val="auto"/>
        </w:rPr>
        <w:t>磋商小组依据本章规定的检查标准，对响应文件进行初审。有一项不符合检查标准的，其磋商将被拒绝，不能进入后续评审或磋商程序。</w:t>
      </w:r>
      <w:bookmarkStart w:id="31" w:name="_Toc448307965"/>
      <w:bookmarkEnd w:id="31"/>
    </w:p>
    <w:p>
      <w:pPr>
        <w:spacing w:line="400" w:lineRule="exact"/>
        <w:ind w:firstLine="482"/>
        <w:rPr>
          <w:rFonts w:ascii="宋体" w:cs="宋体"/>
          <w:b/>
          <w:color w:val="auto"/>
          <w:szCs w:val="24"/>
        </w:rPr>
      </w:pPr>
      <w:r>
        <w:rPr>
          <w:rFonts w:ascii="宋体" w:hAnsi="宋体" w:cs="宋体"/>
          <w:b/>
          <w:color w:val="auto"/>
          <w:szCs w:val="24"/>
        </w:rPr>
        <w:t>3.2</w:t>
      </w:r>
      <w:r>
        <w:rPr>
          <w:rFonts w:hint="eastAsia" w:ascii="宋体" w:hAnsi="宋体" w:cs="宋体"/>
          <w:b/>
          <w:color w:val="auto"/>
          <w:szCs w:val="24"/>
        </w:rPr>
        <w:t>磋商</w:t>
      </w:r>
    </w:p>
    <w:p>
      <w:pPr>
        <w:spacing w:line="400" w:lineRule="exact"/>
        <w:ind w:firstLine="482"/>
        <w:rPr>
          <w:rFonts w:ascii="宋体" w:cs="宋体"/>
          <w:color w:val="auto"/>
        </w:rPr>
      </w:pPr>
      <w:r>
        <w:rPr>
          <w:rFonts w:hint="eastAsia" w:ascii="宋体" w:hAnsi="宋体" w:cs="宋体"/>
          <w:color w:val="auto"/>
        </w:rPr>
        <w:t>磋商程序详见竞争性磋商须知。</w:t>
      </w:r>
      <w:bookmarkStart w:id="32" w:name="_Toc448307966"/>
      <w:bookmarkEnd w:id="32"/>
    </w:p>
    <w:p>
      <w:pPr>
        <w:spacing w:line="400" w:lineRule="exact"/>
        <w:ind w:firstLine="482"/>
        <w:rPr>
          <w:rFonts w:ascii="宋体" w:cs="宋体"/>
          <w:b/>
          <w:bCs/>
          <w:color w:val="auto"/>
        </w:rPr>
      </w:pPr>
      <w:r>
        <w:rPr>
          <w:rFonts w:ascii="宋体" w:hAnsi="宋体" w:cs="宋体"/>
          <w:b/>
          <w:bCs/>
          <w:color w:val="auto"/>
        </w:rPr>
        <w:t>3.3</w:t>
      </w:r>
      <w:r>
        <w:rPr>
          <w:rFonts w:hint="eastAsia" w:ascii="宋体" w:hAnsi="宋体" w:cs="宋体"/>
          <w:b/>
          <w:bCs/>
          <w:color w:val="auto"/>
        </w:rPr>
        <w:t>澄清及算术修正</w:t>
      </w:r>
    </w:p>
    <w:p>
      <w:pPr>
        <w:spacing w:line="400" w:lineRule="exact"/>
        <w:ind w:firstLine="482"/>
        <w:rPr>
          <w:rFonts w:ascii="宋体" w:cs="宋体"/>
          <w:color w:val="auto"/>
        </w:rPr>
      </w:pPr>
      <w:r>
        <w:rPr>
          <w:rFonts w:hint="eastAsia" w:ascii="宋体" w:hAnsi="宋体" w:cs="宋体"/>
          <w:color w:val="auto"/>
        </w:rPr>
        <w:t>响应供应商应按照磋商小组和磋商文件的要求进行问题澄清。算数修正的要求和原则详见须知。</w:t>
      </w:r>
    </w:p>
    <w:p>
      <w:pPr>
        <w:spacing w:line="400" w:lineRule="exact"/>
        <w:ind w:firstLine="482"/>
        <w:rPr>
          <w:rFonts w:ascii="宋体" w:cs="宋体"/>
          <w:b/>
          <w:bCs/>
          <w:color w:val="auto"/>
        </w:rPr>
      </w:pPr>
      <w:r>
        <w:rPr>
          <w:rFonts w:ascii="宋体" w:hAnsi="宋体" w:cs="宋体"/>
          <w:b/>
          <w:bCs/>
          <w:color w:val="auto"/>
        </w:rPr>
        <w:t>3.4</w:t>
      </w:r>
      <w:r>
        <w:rPr>
          <w:rFonts w:hint="eastAsia" w:ascii="宋体" w:hAnsi="宋体" w:cs="宋体"/>
          <w:b/>
          <w:bCs/>
          <w:color w:val="auto"/>
        </w:rPr>
        <w:t>磋商最后报价</w:t>
      </w:r>
    </w:p>
    <w:p>
      <w:pPr>
        <w:spacing w:line="400" w:lineRule="exact"/>
        <w:ind w:firstLine="482"/>
        <w:rPr>
          <w:rFonts w:ascii="宋体" w:cs="宋体"/>
          <w:color w:val="auto"/>
        </w:rPr>
      </w:pPr>
      <w:r>
        <w:rPr>
          <w:rFonts w:hint="eastAsia" w:ascii="宋体" w:hAnsi="宋体" w:cs="宋体"/>
          <w:color w:val="auto"/>
        </w:rPr>
        <w:t>经过磋商符合要求的供应商进行最后报价，最后报价为报价得分的依据。</w:t>
      </w:r>
    </w:p>
    <w:p>
      <w:pPr>
        <w:spacing w:line="400" w:lineRule="exact"/>
        <w:ind w:firstLine="482"/>
        <w:rPr>
          <w:rFonts w:ascii="宋体" w:cs="宋体"/>
          <w:b/>
          <w:bCs/>
          <w:color w:val="auto"/>
        </w:rPr>
      </w:pPr>
      <w:r>
        <w:rPr>
          <w:rFonts w:ascii="宋体" w:hAnsi="宋体" w:cs="宋体"/>
          <w:b/>
          <w:bCs/>
          <w:color w:val="auto"/>
        </w:rPr>
        <w:t xml:space="preserve"> 3.5</w:t>
      </w:r>
      <w:r>
        <w:rPr>
          <w:rFonts w:hint="eastAsia" w:ascii="宋体" w:hAnsi="宋体" w:cs="宋体"/>
          <w:b/>
          <w:bCs/>
          <w:color w:val="auto"/>
        </w:rPr>
        <w:t>比较与评价</w:t>
      </w:r>
    </w:p>
    <w:p>
      <w:pPr>
        <w:spacing w:line="400" w:lineRule="exact"/>
        <w:ind w:firstLine="482"/>
        <w:rPr>
          <w:rFonts w:ascii="宋体"/>
          <w:color w:val="auto"/>
          <w:szCs w:val="24"/>
        </w:rPr>
      </w:pPr>
      <w:r>
        <w:rPr>
          <w:rFonts w:hint="eastAsia" w:ascii="宋体" w:hAnsi="宋体" w:cs="宋体"/>
          <w:color w:val="auto"/>
        </w:rPr>
        <w:t>磋商小组按照评审方法前附表进行比较和评价，评分分值计算保留小数点后两位</w:t>
      </w:r>
      <w:r>
        <w:rPr>
          <w:rFonts w:hint="eastAsia" w:ascii="宋体" w:hAnsi="宋体"/>
          <w:color w:val="auto"/>
          <w:szCs w:val="24"/>
        </w:rPr>
        <w:t>（采用四舍五入法）</w:t>
      </w:r>
    </w:p>
    <w:p>
      <w:pPr>
        <w:spacing w:line="400" w:lineRule="exact"/>
        <w:ind w:firstLine="482"/>
        <w:rPr>
          <w:rFonts w:ascii="宋体" w:cs="宋体"/>
          <w:b/>
          <w:bCs/>
          <w:color w:val="auto"/>
        </w:rPr>
      </w:pPr>
      <w:r>
        <w:rPr>
          <w:rFonts w:ascii="宋体" w:hAnsi="宋体" w:cs="宋体"/>
          <w:b/>
          <w:bCs/>
          <w:color w:val="auto"/>
        </w:rPr>
        <w:t>3.6</w:t>
      </w:r>
      <w:r>
        <w:rPr>
          <w:rFonts w:hint="eastAsia" w:ascii="宋体" w:hAnsi="宋体" w:cs="宋体"/>
          <w:b/>
          <w:bCs/>
          <w:color w:val="auto"/>
        </w:rPr>
        <w:t>推荐成交候选供应商</w:t>
      </w:r>
    </w:p>
    <w:p>
      <w:pPr>
        <w:spacing w:line="400" w:lineRule="exact"/>
        <w:ind w:firstLine="482"/>
        <w:rPr>
          <w:rFonts w:ascii="宋体" w:cs="宋体"/>
          <w:color w:val="auto"/>
        </w:rPr>
      </w:pPr>
      <w:r>
        <w:rPr>
          <w:rFonts w:ascii="宋体" w:hAnsi="宋体" w:cs="宋体"/>
          <w:color w:val="auto"/>
        </w:rPr>
        <w:t>3.6.1</w:t>
      </w:r>
      <w:r>
        <w:rPr>
          <w:rFonts w:hint="eastAsia" w:ascii="宋体" w:hAnsi="宋体" w:cs="宋体"/>
          <w:color w:val="auto"/>
        </w:rPr>
        <w:t>磋商小组按照综合评审得分由高到低的顺序推荐候选供应商。</w:t>
      </w:r>
    </w:p>
    <w:p>
      <w:pPr>
        <w:spacing w:line="400" w:lineRule="exact"/>
        <w:ind w:firstLine="482"/>
        <w:rPr>
          <w:rFonts w:ascii="宋体" w:cs="宋体"/>
          <w:color w:val="auto"/>
        </w:rPr>
      </w:pPr>
      <w:r>
        <w:rPr>
          <w:rFonts w:ascii="宋体" w:hAnsi="宋体" w:cs="宋体"/>
          <w:color w:val="auto"/>
        </w:rPr>
        <w:t>3.6.2</w:t>
      </w:r>
      <w:r>
        <w:rPr>
          <w:rFonts w:hint="eastAsia" w:ascii="宋体" w:hAnsi="宋体" w:cs="宋体"/>
          <w:color w:val="auto"/>
        </w:rPr>
        <w:t>磋商小组完成评审后，向采购人提交书面评审报告。</w:t>
      </w:r>
    </w:p>
    <w:p>
      <w:pPr>
        <w:spacing w:line="400" w:lineRule="exact"/>
        <w:ind w:firstLine="482"/>
        <w:rPr>
          <w:rFonts w:ascii="宋体" w:cs="宋体"/>
          <w:b/>
          <w:bCs/>
          <w:color w:val="auto"/>
        </w:rPr>
      </w:pPr>
      <w:r>
        <w:rPr>
          <w:rFonts w:hint="eastAsia" w:ascii="宋体" w:hAnsi="宋体" w:cs="宋体"/>
          <w:b/>
          <w:bCs/>
          <w:color w:val="auto"/>
        </w:rPr>
        <w:t>二、评审方法附表</w:t>
      </w:r>
    </w:p>
    <w:p>
      <w:pPr>
        <w:spacing w:line="400" w:lineRule="exact"/>
        <w:ind w:firstLine="482"/>
        <w:rPr>
          <w:b/>
          <w:color w:val="auto"/>
        </w:rPr>
      </w:pPr>
      <w:r>
        <w:rPr>
          <w:b/>
          <w:color w:val="auto"/>
          <w:szCs w:val="24"/>
        </w:rPr>
        <w:t>1</w:t>
      </w:r>
      <w:r>
        <w:rPr>
          <w:rFonts w:hint="eastAsia"/>
          <w:b/>
          <w:color w:val="auto"/>
          <w:szCs w:val="24"/>
        </w:rPr>
        <w:t>．响应文件审查内容</w:t>
      </w:r>
    </w:p>
    <w:tbl>
      <w:tblPr>
        <w:tblStyle w:val="33"/>
        <w:tblW w:w="9931" w:type="dxa"/>
        <w:jc w:val="right"/>
        <w:tblInd w:w="-10" w:type="dxa"/>
        <w:tblLayout w:type="fixed"/>
        <w:tblCellMar>
          <w:top w:w="0" w:type="dxa"/>
          <w:left w:w="10" w:type="dxa"/>
          <w:bottom w:w="0" w:type="dxa"/>
          <w:right w:w="10" w:type="dxa"/>
        </w:tblCellMar>
      </w:tblPr>
      <w:tblGrid>
        <w:gridCol w:w="1830"/>
        <w:gridCol w:w="8101"/>
      </w:tblGrid>
      <w:tr>
        <w:tblPrEx>
          <w:tblLayout w:type="fixed"/>
          <w:tblCellMar>
            <w:top w:w="0" w:type="dxa"/>
            <w:left w:w="10" w:type="dxa"/>
            <w:bottom w:w="0" w:type="dxa"/>
            <w:right w:w="10" w:type="dxa"/>
          </w:tblCellMar>
        </w:tblPrEx>
        <w:trPr>
          <w:trHeight w:val="307" w:hRule="atLeast"/>
          <w:jc w:val="right"/>
        </w:trPr>
        <w:tc>
          <w:tcPr>
            <w:tcW w:w="1830"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color w:val="auto"/>
                <w:sz w:val="21"/>
                <w:szCs w:val="21"/>
              </w:rPr>
            </w:pPr>
            <w:r>
              <w:rPr>
                <w:rFonts w:hint="eastAsia" w:ascii="宋体" w:hAnsi="宋体" w:cs="Arial"/>
                <w:b/>
                <w:color w:val="auto"/>
                <w:sz w:val="21"/>
                <w:szCs w:val="21"/>
              </w:rPr>
              <w:t>项目</w:t>
            </w:r>
          </w:p>
        </w:tc>
        <w:tc>
          <w:tcPr>
            <w:tcW w:w="8101"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b/>
                <w:color w:val="auto"/>
                <w:sz w:val="21"/>
                <w:szCs w:val="21"/>
              </w:rPr>
            </w:pPr>
            <w:r>
              <w:rPr>
                <w:rFonts w:hint="eastAsia" w:ascii="宋体" w:hAnsi="宋体" w:cs="Arial"/>
                <w:b/>
                <w:color w:val="auto"/>
                <w:sz w:val="21"/>
                <w:szCs w:val="21"/>
              </w:rPr>
              <w:t>响应文件内容</w:t>
            </w:r>
          </w:p>
        </w:tc>
      </w:tr>
      <w:tr>
        <w:tblPrEx>
          <w:tblLayout w:type="fixed"/>
          <w:tblCellMar>
            <w:top w:w="0" w:type="dxa"/>
            <w:left w:w="10" w:type="dxa"/>
            <w:bottom w:w="0" w:type="dxa"/>
            <w:right w:w="10" w:type="dxa"/>
          </w:tblCellMar>
        </w:tblPrEx>
        <w:trPr>
          <w:trHeight w:val="215" w:hRule="atLeast"/>
          <w:jc w:val="right"/>
        </w:trPr>
        <w:tc>
          <w:tcPr>
            <w:tcW w:w="183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color w:val="auto"/>
                <w:sz w:val="21"/>
                <w:szCs w:val="21"/>
              </w:rPr>
            </w:pPr>
            <w:r>
              <w:rPr>
                <w:rFonts w:hint="eastAsia" w:ascii="宋体" w:hAnsi="宋体" w:cs="Arial"/>
                <w:b/>
                <w:color w:val="auto"/>
                <w:sz w:val="21"/>
                <w:szCs w:val="21"/>
              </w:rPr>
              <w:t>投标文件</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color w:val="auto"/>
                <w:sz w:val="21"/>
                <w:szCs w:val="21"/>
              </w:rPr>
            </w:pPr>
            <w:r>
              <w:rPr>
                <w:rFonts w:hint="eastAsia" w:ascii="宋体" w:hAnsi="宋体" w:cs="Arial"/>
                <w:color w:val="auto"/>
                <w:sz w:val="21"/>
                <w:szCs w:val="21"/>
              </w:rPr>
              <w:t>封面</w:t>
            </w:r>
          </w:p>
        </w:tc>
      </w:tr>
      <w:tr>
        <w:tblPrEx>
          <w:tblLayout w:type="fixed"/>
          <w:tblCellMar>
            <w:top w:w="0" w:type="dxa"/>
            <w:left w:w="10" w:type="dxa"/>
            <w:bottom w:w="0" w:type="dxa"/>
            <w:right w:w="10" w:type="dxa"/>
          </w:tblCellMar>
        </w:tblPrEx>
        <w:trPr>
          <w:trHeight w:val="330"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color w:val="auto"/>
                <w:sz w:val="21"/>
                <w:szCs w:val="21"/>
              </w:rPr>
            </w:pPr>
            <w:r>
              <w:rPr>
                <w:rFonts w:hint="eastAsia" w:ascii="宋体" w:hAnsi="宋体" w:cs="Arial"/>
                <w:b/>
                <w:color w:val="auto"/>
                <w:sz w:val="21"/>
                <w:szCs w:val="21"/>
              </w:rPr>
              <w:t>资格性审查材料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color w:val="auto"/>
                <w:sz w:val="21"/>
                <w:szCs w:val="21"/>
              </w:rPr>
            </w:pPr>
            <w:bookmarkStart w:id="33" w:name="定位_【循环符合性证明材料】_201244141212"/>
            <w:bookmarkEnd w:id="33"/>
            <w:bookmarkStart w:id="34" w:name="定位_【循环符合性证明材料】_20122614258"/>
            <w:bookmarkEnd w:id="34"/>
            <w:bookmarkStart w:id="35" w:name="定位_【循环符合性证明材料】_20122314636"/>
            <w:bookmarkEnd w:id="35"/>
            <w:r>
              <w:rPr>
                <w:rFonts w:ascii="宋体" w:hAnsi="宋体" w:cs="Arial"/>
                <w:color w:val="auto"/>
                <w:sz w:val="21"/>
                <w:szCs w:val="21"/>
              </w:rPr>
              <w:t>1.</w:t>
            </w:r>
            <w:r>
              <w:rPr>
                <w:rFonts w:hint="eastAsia" w:ascii="宋体" w:hAnsi="宋体" w:cs="Arial"/>
                <w:color w:val="auto"/>
                <w:sz w:val="21"/>
                <w:szCs w:val="21"/>
              </w:rPr>
              <w:t>营业执照副本复印件（或三证合一）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rPr>
            </w:p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color w:val="auto"/>
                <w:sz w:val="21"/>
                <w:szCs w:val="21"/>
              </w:rPr>
            </w:pPr>
            <w:r>
              <w:rPr>
                <w:rFonts w:ascii="宋体" w:hAnsi="宋体" w:cs="Arial"/>
                <w:color w:val="auto"/>
                <w:sz w:val="21"/>
                <w:szCs w:val="21"/>
              </w:rPr>
              <w:t>2.</w:t>
            </w:r>
            <w:r>
              <w:rPr>
                <w:rFonts w:hint="eastAsia" w:ascii="宋体" w:hAnsi="宋体" w:cs="Arial"/>
                <w:color w:val="auto"/>
                <w:sz w:val="21"/>
                <w:szCs w:val="21"/>
              </w:rPr>
              <w:t>税务登记证副本复印件（或三证合一）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rPr>
            </w:p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color w:val="auto"/>
                <w:sz w:val="21"/>
                <w:szCs w:val="21"/>
              </w:rPr>
            </w:pPr>
            <w:r>
              <w:rPr>
                <w:rFonts w:ascii="宋体" w:hAnsi="宋体" w:cs="Arial"/>
                <w:color w:val="auto"/>
                <w:sz w:val="21"/>
                <w:szCs w:val="21"/>
              </w:rPr>
              <w:t>3.</w:t>
            </w:r>
            <w:r>
              <w:rPr>
                <w:rFonts w:hint="eastAsia" w:ascii="宋体" w:hAnsi="宋体" w:cs="Arial"/>
                <w:color w:val="auto"/>
                <w:sz w:val="21"/>
                <w:szCs w:val="21"/>
              </w:rPr>
              <w:t>法定代表人资格证明书或法定代表人授权委托书</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rPr>
            </w:p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color w:val="auto"/>
                <w:sz w:val="21"/>
                <w:szCs w:val="21"/>
              </w:rPr>
            </w:pPr>
            <w:r>
              <w:rPr>
                <w:rFonts w:ascii="宋体" w:hAnsi="宋体" w:cs="Arial"/>
                <w:color w:val="auto"/>
                <w:sz w:val="21"/>
                <w:szCs w:val="21"/>
              </w:rPr>
              <w:t>4.</w:t>
            </w:r>
            <w:r>
              <w:rPr>
                <w:rFonts w:hint="eastAsia" w:ascii="宋体" w:hAnsi="宋体" w:cs="Arial"/>
                <w:color w:val="auto"/>
                <w:sz w:val="21"/>
                <w:szCs w:val="21"/>
              </w:rPr>
              <w:t>被授权人身份证复印件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rPr>
            </w:p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color w:val="auto"/>
                <w:sz w:val="21"/>
                <w:szCs w:val="21"/>
              </w:rPr>
            </w:pPr>
            <w:r>
              <w:rPr>
                <w:rFonts w:ascii="宋体" w:hAnsi="宋体" w:cs="宋体"/>
                <w:color w:val="auto"/>
                <w:sz w:val="21"/>
                <w:szCs w:val="21"/>
              </w:rPr>
              <w:t>5.</w:t>
            </w:r>
            <w:r>
              <w:rPr>
                <w:rFonts w:hint="eastAsia" w:ascii="宋体" w:hAnsi="宋体" w:cs="宋体"/>
                <w:color w:val="auto"/>
                <w:sz w:val="21"/>
                <w:szCs w:val="21"/>
              </w:rPr>
              <w:t>磋商保证金证明复印件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rPr>
            </w:p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color w:val="auto"/>
                <w:sz w:val="21"/>
                <w:szCs w:val="21"/>
              </w:rPr>
            </w:pPr>
            <w:r>
              <w:rPr>
                <w:rFonts w:ascii="宋体" w:hAnsi="宋体" w:cs="Arial"/>
                <w:color w:val="auto"/>
                <w:sz w:val="21"/>
                <w:szCs w:val="21"/>
              </w:rPr>
              <w:t>6.2017</w:t>
            </w:r>
            <w:r>
              <w:rPr>
                <w:rFonts w:hint="eastAsia" w:ascii="宋体" w:hAnsi="宋体" w:cs="Arial"/>
                <w:color w:val="auto"/>
                <w:sz w:val="21"/>
                <w:szCs w:val="21"/>
              </w:rPr>
              <w:t>年度通过中介机构出具财务审计报告报复印件或投标经营方参加磋商前</w:t>
            </w:r>
            <w:r>
              <w:rPr>
                <w:rFonts w:ascii="宋体" w:hAnsi="宋体" w:cs="Arial"/>
                <w:color w:val="auto"/>
                <w:sz w:val="21"/>
                <w:szCs w:val="21"/>
              </w:rPr>
              <w:t>1</w:t>
            </w:r>
            <w:r>
              <w:rPr>
                <w:rFonts w:hint="eastAsia" w:ascii="宋体" w:hAnsi="宋体" w:cs="Arial"/>
                <w:color w:val="auto"/>
                <w:sz w:val="21"/>
                <w:szCs w:val="21"/>
              </w:rPr>
              <w:t>个月的财务报表。</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rPr>
            </w:p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color w:val="auto"/>
                <w:sz w:val="21"/>
                <w:szCs w:val="21"/>
              </w:rPr>
            </w:pPr>
            <w:r>
              <w:rPr>
                <w:rFonts w:ascii="宋体" w:hAnsi="宋体" w:cs="Arial"/>
                <w:color w:val="auto"/>
                <w:sz w:val="21"/>
                <w:szCs w:val="21"/>
              </w:rPr>
              <w:t>7.2018</w:t>
            </w:r>
            <w:r>
              <w:rPr>
                <w:rFonts w:hint="eastAsia" w:ascii="宋体" w:hAnsi="宋体" w:cs="Arial"/>
                <w:color w:val="auto"/>
                <w:sz w:val="21"/>
                <w:szCs w:val="21"/>
              </w:rPr>
              <w:t>年任意一个月依法缴纳税收和社会保障资金的证明材料；</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rPr>
            </w:p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color w:val="auto"/>
                <w:sz w:val="21"/>
                <w:szCs w:val="21"/>
              </w:rPr>
            </w:pPr>
            <w:r>
              <w:rPr>
                <w:rFonts w:ascii="宋体" w:hAnsi="宋体" w:cs="宋体"/>
                <w:color w:val="auto"/>
                <w:sz w:val="21"/>
                <w:szCs w:val="21"/>
              </w:rPr>
              <w:t>8</w:t>
            </w:r>
            <w:r>
              <w:rPr>
                <w:rFonts w:ascii="宋体" w:cs="宋体"/>
                <w:color w:val="auto"/>
                <w:sz w:val="21"/>
                <w:szCs w:val="21"/>
              </w:rPr>
              <w:t>.</w:t>
            </w:r>
            <w:r>
              <w:rPr>
                <w:rFonts w:hint="eastAsia" w:ascii="宋体" w:hAnsi="宋体" w:cs="宋体"/>
                <w:color w:val="auto"/>
                <w:sz w:val="21"/>
                <w:szCs w:val="21"/>
              </w:rPr>
              <w:t>参加政府采购活动前三年内，在经营活动中没有重大违法记录声明</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rPr>
            </w:p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ind w:left="1523" w:right="-4625" w:hanging="1523"/>
              <w:rPr>
                <w:rFonts w:ascii="宋体" w:cs="宋体"/>
                <w:color w:val="auto"/>
                <w:sz w:val="21"/>
                <w:szCs w:val="21"/>
              </w:rPr>
            </w:pPr>
            <w:r>
              <w:rPr>
                <w:rFonts w:ascii="宋体" w:hAnsi="宋体" w:cs="宋体"/>
                <w:color w:val="auto"/>
                <w:sz w:val="21"/>
                <w:szCs w:val="21"/>
              </w:rPr>
              <w:t>9</w:t>
            </w:r>
            <w:r>
              <w:rPr>
                <w:rFonts w:ascii="宋体" w:cs="宋体"/>
                <w:color w:val="auto"/>
                <w:sz w:val="21"/>
                <w:szCs w:val="21"/>
              </w:rPr>
              <w:t>.</w:t>
            </w:r>
            <w:r>
              <w:rPr>
                <w:rFonts w:hint="eastAsia" w:ascii="宋体" w:hAnsi="宋体" w:cs="宋体"/>
                <w:color w:val="auto"/>
                <w:sz w:val="21"/>
                <w:szCs w:val="21"/>
              </w:rPr>
              <w:t>具有履行合同所必需的设备和专业技术能力承诺书</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rPr>
            </w:p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ind w:left="1523" w:right="-4625" w:hanging="1523"/>
              <w:rPr>
                <w:rFonts w:ascii="宋体" w:hAnsi="宋体" w:cs="宋体"/>
                <w:color w:val="auto"/>
                <w:sz w:val="21"/>
                <w:szCs w:val="21"/>
              </w:rPr>
            </w:pPr>
            <w:r>
              <w:rPr>
                <w:rFonts w:hint="eastAsia" w:ascii="宋体" w:hAnsi="宋体" w:cs="宋体"/>
                <w:color w:val="auto"/>
                <w:sz w:val="21"/>
                <w:szCs w:val="21"/>
              </w:rPr>
              <w:t>10.安全生产许可证复印件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rPr>
            </w:p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1</w:t>
            </w:r>
            <w:r>
              <w:rPr>
                <w:rFonts w:ascii="宋体" w:hAnsi="宋体" w:cs="宋体"/>
                <w:color w:val="auto"/>
                <w:sz w:val="21"/>
                <w:szCs w:val="21"/>
              </w:rPr>
              <w:t>.</w:t>
            </w:r>
            <w:r>
              <w:rPr>
                <w:rFonts w:hint="eastAsia" w:ascii="宋体" w:hAnsi="宋体" w:cs="宋体"/>
                <w:color w:val="auto"/>
                <w:sz w:val="21"/>
                <w:szCs w:val="21"/>
              </w:rPr>
              <w:t>未被列入</w:t>
            </w:r>
            <w:r>
              <w:rPr>
                <w:rFonts w:hint="eastAsia" w:ascii="宋体" w:cs="宋体"/>
                <w:color w:val="auto"/>
                <w:sz w:val="21"/>
                <w:szCs w:val="21"/>
              </w:rPr>
              <w:t>“</w:t>
            </w:r>
            <w:r>
              <w:rPr>
                <w:rFonts w:hint="eastAsia" w:ascii="宋体" w:hAnsi="宋体" w:cs="宋体"/>
                <w:color w:val="auto"/>
                <w:sz w:val="21"/>
                <w:szCs w:val="21"/>
              </w:rPr>
              <w:t>信用中国</w:t>
            </w:r>
            <w:r>
              <w:rPr>
                <w:rFonts w:hint="eastAsia" w:ascii="宋体" w:cs="宋体"/>
                <w:color w:val="auto"/>
                <w:sz w:val="21"/>
                <w:szCs w:val="21"/>
              </w:rPr>
              <w:t>”</w:t>
            </w:r>
            <w:r>
              <w:rPr>
                <w:rFonts w:hint="eastAsia" w:ascii="宋体" w:hAnsi="宋体" w:cs="宋体"/>
                <w:color w:val="auto"/>
                <w:sz w:val="21"/>
                <w:szCs w:val="21"/>
              </w:rPr>
              <w:t>（</w:t>
            </w:r>
            <w:r>
              <w:rPr>
                <w:rFonts w:ascii="宋体" w:hAnsi="宋体" w:cs="宋体"/>
                <w:color w:val="auto"/>
                <w:sz w:val="21"/>
                <w:szCs w:val="21"/>
              </w:rPr>
              <w:t>www.creditchina.gov.cn</w:t>
            </w:r>
            <w:r>
              <w:rPr>
                <w:rFonts w:hint="eastAsia" w:ascii="宋体" w:hAnsi="宋体" w:cs="宋体"/>
                <w:color w:val="auto"/>
                <w:sz w:val="21"/>
                <w:szCs w:val="21"/>
              </w:rPr>
              <w:t>）、中国政府采购网（</w:t>
            </w:r>
            <w:r>
              <w:rPr>
                <w:rFonts w:ascii="宋体" w:hAnsi="宋体" w:cs="宋体"/>
                <w:color w:val="auto"/>
                <w:sz w:val="21"/>
                <w:szCs w:val="21"/>
              </w:rPr>
              <w:t>www.ccgp.gov.cn</w:t>
            </w:r>
            <w:r>
              <w:rPr>
                <w:rFonts w:hint="eastAsia" w:ascii="宋体" w:hAnsi="宋体" w:cs="宋体"/>
                <w:color w:val="auto"/>
                <w:sz w:val="21"/>
                <w:szCs w:val="21"/>
              </w:rPr>
              <w:t>）渠道信用记录失信被执行人（执行期内）、重大税收违法案件当事人名单、政府采购严重违法失信行为记录名单的投标人。</w:t>
            </w:r>
          </w:p>
        </w:tc>
      </w:tr>
      <w:tr>
        <w:tblPrEx>
          <w:tblLayout w:type="fixed"/>
          <w:tblCellMar>
            <w:top w:w="0" w:type="dxa"/>
            <w:left w:w="10" w:type="dxa"/>
            <w:bottom w:w="0" w:type="dxa"/>
            <w:right w:w="10" w:type="dxa"/>
          </w:tblCellMar>
        </w:tblPrEx>
        <w:trPr>
          <w:trHeight w:val="184"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color w:val="auto"/>
                <w:sz w:val="21"/>
                <w:szCs w:val="21"/>
              </w:rPr>
            </w:pPr>
            <w:r>
              <w:rPr>
                <w:rFonts w:hint="eastAsia" w:ascii="宋体" w:hAnsi="宋体" w:cs="Arial"/>
                <w:b/>
                <w:color w:val="auto"/>
                <w:sz w:val="21"/>
                <w:szCs w:val="21"/>
              </w:rPr>
              <w:t>符合性审查材料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color w:val="auto"/>
                <w:sz w:val="21"/>
                <w:szCs w:val="21"/>
              </w:rPr>
            </w:pPr>
            <w:r>
              <w:rPr>
                <w:rFonts w:ascii="宋体" w:hAnsi="宋体" w:cs="宋体"/>
                <w:color w:val="auto"/>
                <w:sz w:val="21"/>
                <w:szCs w:val="21"/>
              </w:rPr>
              <w:t>1.</w:t>
            </w:r>
            <w:r>
              <w:rPr>
                <w:rFonts w:hint="eastAsia" w:ascii="宋体" w:hAnsi="宋体" w:cs="宋体"/>
                <w:color w:val="auto"/>
                <w:sz w:val="21"/>
                <w:szCs w:val="21"/>
              </w:rPr>
              <w:t>响应文件签署</w:t>
            </w:r>
          </w:p>
        </w:tc>
      </w:tr>
      <w:tr>
        <w:tblPrEx>
          <w:tblLayout w:type="fixed"/>
          <w:tblCellMar>
            <w:top w:w="0" w:type="dxa"/>
            <w:left w:w="10" w:type="dxa"/>
            <w:bottom w:w="0" w:type="dxa"/>
            <w:right w:w="10" w:type="dxa"/>
          </w:tblCellMar>
        </w:tblPrEx>
        <w:trPr>
          <w:trHeight w:val="232"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rPr>
            </w:p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color w:val="auto"/>
                <w:sz w:val="21"/>
                <w:szCs w:val="21"/>
              </w:rPr>
            </w:pPr>
            <w:r>
              <w:rPr>
                <w:rFonts w:ascii="宋体" w:hAnsi="宋体" w:cs="宋体"/>
                <w:bCs/>
                <w:color w:val="auto"/>
                <w:sz w:val="21"/>
                <w:szCs w:val="21"/>
              </w:rPr>
              <w:t>2.</w:t>
            </w:r>
            <w:r>
              <w:rPr>
                <w:rFonts w:hint="eastAsia" w:ascii="宋体" w:hAnsi="宋体" w:cs="宋体"/>
                <w:bCs/>
                <w:color w:val="auto"/>
                <w:sz w:val="21"/>
                <w:szCs w:val="21"/>
              </w:rPr>
              <w:t>磋商函</w:t>
            </w:r>
          </w:p>
        </w:tc>
      </w:tr>
      <w:tr>
        <w:tblPrEx>
          <w:tblLayout w:type="fixed"/>
          <w:tblCellMar>
            <w:top w:w="0" w:type="dxa"/>
            <w:left w:w="10" w:type="dxa"/>
            <w:bottom w:w="0" w:type="dxa"/>
            <w:right w:w="10" w:type="dxa"/>
          </w:tblCellMar>
        </w:tblPrEx>
        <w:trPr>
          <w:trHeight w:val="23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rPr>
            </w:p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color w:val="auto"/>
                <w:sz w:val="21"/>
                <w:szCs w:val="21"/>
              </w:rPr>
            </w:pPr>
            <w:r>
              <w:rPr>
                <w:rFonts w:ascii="宋体" w:hAnsi="宋体" w:cs="宋体"/>
                <w:bCs/>
                <w:color w:val="auto"/>
                <w:sz w:val="21"/>
                <w:szCs w:val="21"/>
              </w:rPr>
              <w:t>3.</w:t>
            </w:r>
            <w:r>
              <w:rPr>
                <w:rFonts w:hint="eastAsia" w:ascii="宋体" w:hAnsi="宋体" w:cs="Arial"/>
                <w:color w:val="auto"/>
                <w:sz w:val="21"/>
                <w:szCs w:val="21"/>
              </w:rPr>
              <w:t>报价一览表</w:t>
            </w:r>
          </w:p>
        </w:tc>
      </w:tr>
      <w:tr>
        <w:tblPrEx>
          <w:tblLayout w:type="fixed"/>
          <w:tblCellMar>
            <w:top w:w="0" w:type="dxa"/>
            <w:left w:w="10" w:type="dxa"/>
            <w:bottom w:w="0" w:type="dxa"/>
            <w:right w:w="10" w:type="dxa"/>
          </w:tblCellMar>
        </w:tblPrEx>
        <w:trPr>
          <w:trHeight w:val="141"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rPr>
            </w:p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color w:val="auto"/>
                <w:sz w:val="21"/>
                <w:szCs w:val="21"/>
              </w:rPr>
            </w:pPr>
            <w:r>
              <w:rPr>
                <w:rFonts w:ascii="宋体" w:hAnsi="宋体" w:cs="宋体"/>
                <w:bCs/>
                <w:color w:val="auto"/>
                <w:sz w:val="21"/>
                <w:szCs w:val="21"/>
              </w:rPr>
              <w:t>4.</w:t>
            </w:r>
            <w:r>
              <w:rPr>
                <w:rFonts w:hint="eastAsia" w:ascii="宋体" w:hAnsi="宋体" w:cs="Arial"/>
                <w:color w:val="auto"/>
                <w:sz w:val="21"/>
                <w:szCs w:val="21"/>
              </w:rPr>
              <w:t>分项报价一览表</w:t>
            </w:r>
          </w:p>
        </w:tc>
      </w:tr>
      <w:tr>
        <w:tblPrEx>
          <w:tblLayout w:type="fixed"/>
          <w:tblCellMar>
            <w:top w:w="0" w:type="dxa"/>
            <w:left w:w="10" w:type="dxa"/>
            <w:bottom w:w="0" w:type="dxa"/>
            <w:right w:w="10" w:type="dxa"/>
          </w:tblCellMar>
        </w:tblPrEx>
        <w:trPr>
          <w:trHeight w:val="175"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rPr>
            </w:p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color w:val="auto"/>
                <w:sz w:val="21"/>
                <w:szCs w:val="21"/>
              </w:rPr>
            </w:pPr>
            <w:r>
              <w:rPr>
                <w:rFonts w:ascii="宋体" w:hAnsi="宋体" w:cs="Arial"/>
                <w:color w:val="auto"/>
                <w:sz w:val="21"/>
                <w:szCs w:val="21"/>
              </w:rPr>
              <w:t>5.</w:t>
            </w:r>
            <w:r>
              <w:rPr>
                <w:rFonts w:hint="eastAsia" w:ascii="宋体" w:hAnsi="宋体" w:cs="Arial"/>
                <w:color w:val="auto"/>
                <w:sz w:val="21"/>
                <w:szCs w:val="21"/>
              </w:rPr>
              <w:t>响应表</w:t>
            </w:r>
          </w:p>
        </w:tc>
      </w:tr>
      <w:tr>
        <w:tblPrEx>
          <w:tblLayout w:type="fixed"/>
          <w:tblCellMar>
            <w:top w:w="0" w:type="dxa"/>
            <w:left w:w="10" w:type="dxa"/>
            <w:bottom w:w="0" w:type="dxa"/>
            <w:right w:w="10" w:type="dxa"/>
          </w:tblCellMar>
        </w:tblPrEx>
        <w:trPr>
          <w:trHeight w:val="237"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rPr>
            </w:p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color w:val="auto"/>
                <w:sz w:val="21"/>
                <w:szCs w:val="21"/>
              </w:rPr>
            </w:pPr>
            <w:r>
              <w:rPr>
                <w:rFonts w:ascii="宋体" w:hAnsi="宋体" w:cs="Arial"/>
                <w:color w:val="auto"/>
                <w:sz w:val="21"/>
                <w:szCs w:val="21"/>
              </w:rPr>
              <w:t>6.</w:t>
            </w:r>
            <w:r>
              <w:rPr>
                <w:rFonts w:hint="eastAsia" w:ascii="宋体" w:hAnsi="宋体" w:cs="Arial"/>
                <w:color w:val="auto"/>
                <w:sz w:val="21"/>
                <w:szCs w:val="21"/>
              </w:rPr>
              <w:t>提供服务方案（技术、图纸）及服务承诺</w:t>
            </w:r>
          </w:p>
        </w:tc>
      </w:tr>
      <w:tr>
        <w:tblPrEx>
          <w:tblLayout w:type="fixed"/>
          <w:tblCellMar>
            <w:top w:w="0" w:type="dxa"/>
            <w:left w:w="10" w:type="dxa"/>
            <w:bottom w:w="0" w:type="dxa"/>
            <w:right w:w="10" w:type="dxa"/>
          </w:tblCellMar>
        </w:tblPrEx>
        <w:trPr>
          <w:trHeight w:val="285" w:hRule="atLeast"/>
          <w:jc w:val="right"/>
        </w:trPr>
        <w:tc>
          <w:tcPr>
            <w:tcW w:w="1830" w:type="dxa"/>
            <w:tcBorders>
              <w:top w:val="single" w:color="000000" w:sz="4" w:space="0"/>
              <w:left w:val="double" w:color="000000" w:sz="4" w:space="0"/>
              <w:bottom w:val="double" w:color="000000" w:sz="4" w:space="0"/>
              <w:right w:val="single" w:color="000000" w:sz="4" w:space="0"/>
            </w:tcBorders>
            <w:tcMar>
              <w:top w:w="0" w:type="dxa"/>
              <w:left w:w="108" w:type="dxa"/>
              <w:bottom w:w="0" w:type="dxa"/>
              <w:right w:w="108" w:type="dxa"/>
            </w:tcMar>
            <w:vAlign w:val="center"/>
          </w:tcPr>
          <w:p>
            <w:pPr>
              <w:jc w:val="center"/>
              <w:rPr>
                <w:rFonts w:ascii="宋体" w:cs="Arial"/>
                <w:b/>
                <w:color w:val="auto"/>
                <w:sz w:val="21"/>
                <w:szCs w:val="21"/>
              </w:rPr>
            </w:pPr>
            <w:r>
              <w:rPr>
                <w:rFonts w:hint="eastAsia" w:ascii="宋体" w:hAnsi="宋体" w:cs="Arial"/>
                <w:b/>
                <w:color w:val="auto"/>
                <w:sz w:val="21"/>
                <w:szCs w:val="21"/>
              </w:rPr>
              <w:t>其他材料</w:t>
            </w:r>
          </w:p>
        </w:tc>
        <w:tc>
          <w:tcPr>
            <w:tcW w:w="8101" w:type="dxa"/>
            <w:tcBorders>
              <w:top w:val="single" w:color="000000" w:sz="4" w:space="0"/>
              <w:left w:val="single" w:color="000000" w:sz="4" w:space="0"/>
              <w:bottom w:val="double" w:color="000000" w:sz="4" w:space="0"/>
              <w:right w:val="double" w:color="000000" w:sz="4" w:space="0"/>
            </w:tcBorders>
            <w:tcMar>
              <w:top w:w="0" w:type="dxa"/>
              <w:left w:w="108" w:type="dxa"/>
              <w:bottom w:w="0" w:type="dxa"/>
              <w:right w:w="108" w:type="dxa"/>
            </w:tcMar>
            <w:vAlign w:val="center"/>
          </w:tcPr>
          <w:p>
            <w:pPr>
              <w:rPr>
                <w:rFonts w:ascii="宋体" w:cs="Arial"/>
                <w:color w:val="auto"/>
                <w:sz w:val="21"/>
                <w:szCs w:val="21"/>
              </w:rPr>
            </w:pPr>
            <w:r>
              <w:rPr>
                <w:rFonts w:hint="eastAsia" w:ascii="宋体" w:hAnsi="宋体" w:cs="Arial"/>
                <w:color w:val="auto"/>
                <w:sz w:val="21"/>
                <w:szCs w:val="21"/>
              </w:rPr>
              <w:t>供应商认为需要提供的其他相关数据和材料</w:t>
            </w:r>
          </w:p>
        </w:tc>
      </w:tr>
    </w:tbl>
    <w:p>
      <w:pPr>
        <w:spacing w:line="440" w:lineRule="exact"/>
        <w:ind w:firstLine="480"/>
        <w:rPr>
          <w:rFonts w:ascii="宋体" w:cs="Arial"/>
          <w:b/>
          <w:color w:val="auto"/>
        </w:rPr>
      </w:pPr>
      <w:r>
        <w:rPr>
          <w:rFonts w:ascii="宋体" w:hAnsi="宋体" w:cs="Arial"/>
          <w:b/>
          <w:color w:val="auto"/>
        </w:rPr>
        <w:t>2</w:t>
      </w:r>
      <w:r>
        <w:rPr>
          <w:rFonts w:hint="eastAsia" w:ascii="宋体" w:hAnsi="宋体" w:cs="Arial"/>
          <w:b/>
          <w:color w:val="auto"/>
        </w:rPr>
        <w:t>．</w:t>
      </w:r>
      <w:r>
        <w:rPr>
          <w:rFonts w:hint="eastAsia" w:ascii="宋体" w:hAnsi="宋体"/>
          <w:b/>
          <w:color w:val="auto"/>
          <w:szCs w:val="24"/>
        </w:rPr>
        <w:t>特别说明</w:t>
      </w:r>
    </w:p>
    <w:p>
      <w:pPr>
        <w:spacing w:line="440" w:lineRule="exact"/>
        <w:ind w:firstLine="480"/>
        <w:rPr>
          <w:rFonts w:ascii="宋体" w:cs="Arial"/>
          <w:color w:val="auto"/>
        </w:rPr>
      </w:pPr>
      <w:r>
        <w:rPr>
          <w:rFonts w:hint="eastAsia" w:ascii="宋体" w:hAnsi="宋体" w:cs="Arial"/>
          <w:color w:val="auto"/>
        </w:rPr>
        <w:t>（</w:t>
      </w:r>
      <w:r>
        <w:rPr>
          <w:rFonts w:ascii="宋体" w:hAnsi="宋体" w:cs="Arial"/>
          <w:color w:val="auto"/>
        </w:rPr>
        <w:t>1</w:t>
      </w:r>
      <w:r>
        <w:rPr>
          <w:rFonts w:hint="eastAsia" w:ascii="宋体" w:hAnsi="宋体" w:cs="Arial"/>
          <w:color w:val="auto"/>
        </w:rPr>
        <w:t>）“资格性审查材料”和“符合性审查材料”均须加盖投标方的公章。“资格性审查材料”和“符合性审查材料”中有一项不符合要求，响应文件无效。</w:t>
      </w:r>
    </w:p>
    <w:p>
      <w:pPr>
        <w:spacing w:line="440" w:lineRule="exact"/>
        <w:ind w:firstLine="480"/>
        <w:rPr>
          <w:rFonts w:ascii="宋体" w:cs="Arial"/>
          <w:color w:val="auto"/>
        </w:rPr>
      </w:pPr>
      <w:r>
        <w:rPr>
          <w:rFonts w:hint="eastAsia" w:ascii="宋体" w:hAnsi="宋体" w:cs="Arial"/>
          <w:color w:val="auto"/>
        </w:rPr>
        <w:t>（</w:t>
      </w:r>
      <w:r>
        <w:rPr>
          <w:rFonts w:ascii="宋体" w:hAnsi="宋体" w:cs="Arial"/>
          <w:color w:val="auto"/>
        </w:rPr>
        <w:t>2</w:t>
      </w:r>
      <w:r>
        <w:rPr>
          <w:rFonts w:hint="eastAsia" w:ascii="宋体" w:hAnsi="宋体" w:cs="Arial"/>
          <w:color w:val="auto"/>
        </w:rPr>
        <w:t>）对于给定格式的，须按照给定的格式进行填报，没有给定格式的，投标经营方可以自行设计。</w:t>
      </w:r>
    </w:p>
    <w:p>
      <w:pPr>
        <w:spacing w:line="440" w:lineRule="exact"/>
        <w:ind w:firstLine="480"/>
        <w:rPr>
          <w:rFonts w:ascii="宋体" w:cs="Arial"/>
          <w:color w:val="auto"/>
        </w:rPr>
      </w:pPr>
      <w:r>
        <w:rPr>
          <w:rFonts w:hint="eastAsia" w:ascii="宋体" w:hAnsi="宋体" w:cs="Arial"/>
          <w:color w:val="auto"/>
        </w:rPr>
        <w:t>（</w:t>
      </w:r>
      <w:r>
        <w:rPr>
          <w:rFonts w:ascii="宋体" w:hAnsi="宋体" w:cs="Arial"/>
          <w:color w:val="auto"/>
        </w:rPr>
        <w:t>3</w:t>
      </w:r>
      <w:r>
        <w:rPr>
          <w:rFonts w:hint="eastAsia" w:ascii="宋体" w:hAnsi="宋体" w:cs="Arial"/>
          <w:color w:val="auto"/>
        </w:rPr>
        <w:t>）不具有独立运作并自负盈亏的企业法人的分公司没有企业法人授权的拒绝参加谈判。</w:t>
      </w:r>
    </w:p>
    <w:p>
      <w:pPr>
        <w:spacing w:line="440" w:lineRule="exact"/>
        <w:ind w:firstLine="480"/>
        <w:rPr>
          <w:rFonts w:ascii="宋体" w:cs="Arial"/>
          <w:bCs/>
          <w:color w:val="auto"/>
        </w:rPr>
      </w:pPr>
      <w:r>
        <w:rPr>
          <w:rFonts w:hint="eastAsia" w:ascii="宋体" w:hAnsi="宋体" w:cs="Arial"/>
          <w:bCs/>
          <w:color w:val="auto"/>
        </w:rPr>
        <w:t>（</w:t>
      </w:r>
      <w:r>
        <w:rPr>
          <w:rFonts w:ascii="宋体" w:hAnsi="宋体" w:cs="Arial"/>
          <w:bCs/>
          <w:color w:val="auto"/>
        </w:rPr>
        <w:t>4</w:t>
      </w:r>
      <w:r>
        <w:rPr>
          <w:rFonts w:hint="eastAsia" w:ascii="宋体" w:hAnsi="宋体" w:cs="Arial"/>
          <w:b/>
          <w:bCs/>
          <w:color w:val="auto"/>
        </w:rPr>
        <w:t>）依据磋商文件的要求，所提供的资格证明文件，磋商响应文件中须提供复印件，评审现场不再对原件进行审查。</w:t>
      </w:r>
    </w:p>
    <w:p>
      <w:pPr>
        <w:spacing w:line="440" w:lineRule="exact"/>
        <w:ind w:firstLine="482"/>
        <w:rPr>
          <w:rFonts w:ascii="宋体" w:cs="Arial"/>
          <w:color w:val="auto"/>
        </w:rPr>
      </w:pPr>
      <w:r>
        <w:rPr>
          <w:rFonts w:hint="eastAsia" w:ascii="宋体" w:hAnsi="宋体" w:cs="Arial"/>
          <w:color w:val="auto"/>
        </w:rPr>
        <w:t>（</w:t>
      </w:r>
      <w:r>
        <w:rPr>
          <w:rFonts w:ascii="宋体" w:hAnsi="宋体" w:cs="Arial"/>
          <w:color w:val="auto"/>
        </w:rPr>
        <w:t>5</w:t>
      </w:r>
      <w:r>
        <w:rPr>
          <w:rFonts w:hint="eastAsia" w:ascii="宋体" w:hAnsi="宋体" w:cs="Arial"/>
          <w:color w:val="auto"/>
        </w:rPr>
        <w:t>）磋商文件第二章“采购项目需求及相关要求”中的各项服务及其他要求，响应文件必须完全满足，且须提供更加完整详尽服务方案。</w:t>
      </w:r>
    </w:p>
    <w:p>
      <w:pPr>
        <w:spacing w:line="400" w:lineRule="exact"/>
        <w:ind w:firstLine="540"/>
        <w:rPr>
          <w:rFonts w:ascii="宋体"/>
          <w:color w:val="auto"/>
          <w:szCs w:val="24"/>
        </w:rPr>
      </w:pPr>
      <w:r>
        <w:rPr>
          <w:rFonts w:ascii="宋体" w:hAnsi="宋体"/>
          <w:color w:val="auto"/>
          <w:szCs w:val="24"/>
        </w:rPr>
        <w:t>3</w:t>
      </w:r>
      <w:r>
        <w:rPr>
          <w:rFonts w:ascii="宋体"/>
          <w:color w:val="auto"/>
          <w:szCs w:val="24"/>
        </w:rPr>
        <w:t>.</w:t>
      </w:r>
      <w:r>
        <w:rPr>
          <w:rFonts w:hint="eastAsia" w:ascii="宋体" w:hAnsi="宋体"/>
          <w:color w:val="auto"/>
          <w:szCs w:val="24"/>
        </w:rPr>
        <w:t>响应文件有下列情形之一的，按照无效响应文件（或拒绝参加磋商）处理：</w:t>
      </w:r>
    </w:p>
    <w:p>
      <w:pPr>
        <w:spacing w:line="400" w:lineRule="exact"/>
        <w:ind w:firstLine="540"/>
        <w:rPr>
          <w:rFonts w:ascii="宋体"/>
          <w:color w:val="auto"/>
          <w:szCs w:val="24"/>
        </w:rPr>
      </w:pPr>
      <w:r>
        <w:rPr>
          <w:rFonts w:hint="eastAsia" w:ascii="宋体" w:hAnsi="宋体"/>
          <w:color w:val="auto"/>
          <w:szCs w:val="24"/>
        </w:rPr>
        <w:t>（</w:t>
      </w:r>
      <w:r>
        <w:rPr>
          <w:rFonts w:ascii="宋体" w:hAnsi="宋体"/>
          <w:color w:val="auto"/>
          <w:szCs w:val="24"/>
        </w:rPr>
        <w:t>1</w:t>
      </w:r>
      <w:r>
        <w:rPr>
          <w:rFonts w:hint="eastAsia" w:ascii="宋体" w:hAnsi="宋体"/>
          <w:color w:val="auto"/>
          <w:szCs w:val="24"/>
        </w:rPr>
        <w:t>）未提供谈判响应文件所要求的“符合性审查材料”和“资格性审查材料”，或虽然提供了上述材料但未加盖投标经营方公章的；</w:t>
      </w:r>
    </w:p>
    <w:p>
      <w:pPr>
        <w:spacing w:line="400" w:lineRule="exact"/>
        <w:ind w:firstLine="540"/>
        <w:rPr>
          <w:rFonts w:ascii="宋体"/>
          <w:color w:val="auto"/>
          <w:szCs w:val="24"/>
        </w:rPr>
      </w:pPr>
      <w:r>
        <w:rPr>
          <w:rFonts w:hint="eastAsia" w:ascii="宋体" w:hAnsi="宋体"/>
          <w:color w:val="auto"/>
          <w:szCs w:val="24"/>
        </w:rPr>
        <w:t>（</w:t>
      </w:r>
      <w:r>
        <w:rPr>
          <w:rFonts w:ascii="宋体" w:hAnsi="宋体"/>
          <w:color w:val="auto"/>
          <w:szCs w:val="24"/>
        </w:rPr>
        <w:t>2</w:t>
      </w:r>
      <w:r>
        <w:rPr>
          <w:rFonts w:hint="eastAsia" w:ascii="宋体" w:hAnsi="宋体"/>
          <w:color w:val="auto"/>
          <w:szCs w:val="24"/>
        </w:rPr>
        <w:t>）谈判投标经营方的法定代表人（代表人）或其授权委托人未参加磋商会议且未在开标报价记录上签字确认的；</w:t>
      </w:r>
    </w:p>
    <w:p>
      <w:pPr>
        <w:spacing w:line="400" w:lineRule="exact"/>
        <w:ind w:firstLine="540"/>
        <w:outlineLvl w:val="0"/>
        <w:rPr>
          <w:rFonts w:ascii="宋体"/>
          <w:color w:val="auto"/>
          <w:szCs w:val="24"/>
        </w:rPr>
      </w:pPr>
      <w:r>
        <w:rPr>
          <w:rFonts w:hint="eastAsia" w:ascii="宋体" w:hAnsi="宋体"/>
          <w:color w:val="auto"/>
          <w:szCs w:val="24"/>
        </w:rPr>
        <w:t>（</w:t>
      </w:r>
      <w:r>
        <w:rPr>
          <w:rFonts w:ascii="宋体" w:hAnsi="宋体"/>
          <w:color w:val="auto"/>
          <w:szCs w:val="24"/>
        </w:rPr>
        <w:t>3</w:t>
      </w:r>
      <w:r>
        <w:rPr>
          <w:rFonts w:hint="eastAsia" w:ascii="宋体" w:hAnsi="宋体"/>
          <w:color w:val="auto"/>
          <w:szCs w:val="24"/>
        </w:rPr>
        <w:t>）未满足谈判文件“采购项目需求及相关要求”的；</w:t>
      </w:r>
    </w:p>
    <w:p>
      <w:pPr>
        <w:spacing w:line="400" w:lineRule="exact"/>
        <w:ind w:firstLine="540"/>
        <w:rPr>
          <w:rFonts w:ascii="宋体"/>
          <w:color w:val="auto"/>
          <w:szCs w:val="24"/>
        </w:rPr>
      </w:pPr>
      <w:r>
        <w:rPr>
          <w:rFonts w:hint="eastAsia" w:ascii="宋体" w:hAnsi="宋体"/>
          <w:color w:val="auto"/>
          <w:szCs w:val="24"/>
        </w:rPr>
        <w:t>（</w:t>
      </w:r>
      <w:r>
        <w:rPr>
          <w:rFonts w:ascii="宋体" w:hAnsi="宋体"/>
          <w:color w:val="auto"/>
          <w:szCs w:val="24"/>
        </w:rPr>
        <w:t>4</w:t>
      </w:r>
      <w:r>
        <w:rPr>
          <w:rFonts w:hint="eastAsia" w:ascii="宋体" w:hAnsi="宋体"/>
          <w:color w:val="auto"/>
          <w:szCs w:val="24"/>
        </w:rPr>
        <w:t>）磋商响应文件附有不能接受的条件的；</w:t>
      </w:r>
    </w:p>
    <w:p>
      <w:pPr>
        <w:spacing w:line="400" w:lineRule="exact"/>
        <w:ind w:firstLine="540"/>
        <w:rPr>
          <w:rFonts w:ascii="宋体"/>
          <w:color w:val="auto"/>
          <w:szCs w:val="24"/>
        </w:rPr>
      </w:pPr>
      <w:r>
        <w:rPr>
          <w:rFonts w:hint="eastAsia" w:ascii="宋体" w:hAnsi="宋体"/>
          <w:color w:val="auto"/>
          <w:szCs w:val="24"/>
        </w:rPr>
        <w:t>（</w:t>
      </w:r>
      <w:r>
        <w:rPr>
          <w:rFonts w:ascii="宋体" w:hAnsi="宋体"/>
          <w:color w:val="auto"/>
          <w:szCs w:val="24"/>
        </w:rPr>
        <w:t>6</w:t>
      </w:r>
      <w:r>
        <w:rPr>
          <w:rFonts w:hint="eastAsia" w:ascii="宋体" w:hAnsi="宋体"/>
          <w:color w:val="auto"/>
          <w:szCs w:val="24"/>
        </w:rPr>
        <w:t>）磋商响应文件中未提供法人授权书原件和被授权人身份证复印件的，或者法定代表人参加磋商未提供身份证复印件的；</w:t>
      </w:r>
    </w:p>
    <w:p>
      <w:pPr>
        <w:spacing w:line="400" w:lineRule="exact"/>
        <w:ind w:firstLine="540"/>
        <w:outlineLvl w:val="0"/>
        <w:rPr>
          <w:rFonts w:ascii="宋体"/>
          <w:color w:val="auto"/>
          <w:szCs w:val="24"/>
        </w:rPr>
      </w:pPr>
      <w:r>
        <w:rPr>
          <w:rFonts w:hint="eastAsia" w:ascii="宋体" w:hAnsi="宋体"/>
          <w:color w:val="auto"/>
          <w:szCs w:val="24"/>
        </w:rPr>
        <w:t>（</w:t>
      </w:r>
      <w:r>
        <w:rPr>
          <w:rFonts w:ascii="宋体" w:hAnsi="宋体"/>
          <w:color w:val="auto"/>
          <w:szCs w:val="24"/>
        </w:rPr>
        <w:t>7</w:t>
      </w:r>
      <w:r>
        <w:rPr>
          <w:rFonts w:hint="eastAsia" w:ascii="宋体" w:hAnsi="宋体"/>
          <w:color w:val="auto"/>
          <w:szCs w:val="24"/>
        </w:rPr>
        <w:t>）响应文件未提供要求提供的相关证明文件复印件的；</w:t>
      </w:r>
    </w:p>
    <w:p>
      <w:pPr>
        <w:spacing w:line="400" w:lineRule="exact"/>
        <w:ind w:firstLine="540"/>
        <w:rPr>
          <w:rFonts w:ascii="宋体"/>
          <w:color w:val="auto"/>
          <w:szCs w:val="24"/>
        </w:rPr>
      </w:pPr>
      <w:r>
        <w:rPr>
          <w:rFonts w:hint="eastAsia" w:ascii="宋体" w:hAnsi="宋体"/>
          <w:color w:val="auto"/>
          <w:szCs w:val="24"/>
        </w:rPr>
        <w:t>（</w:t>
      </w:r>
      <w:r>
        <w:rPr>
          <w:rFonts w:ascii="宋体" w:hAnsi="宋体"/>
          <w:color w:val="auto"/>
          <w:szCs w:val="24"/>
        </w:rPr>
        <w:t>8</w:t>
      </w:r>
      <w:r>
        <w:rPr>
          <w:rFonts w:hint="eastAsia" w:ascii="宋体" w:hAnsi="宋体"/>
          <w:color w:val="auto"/>
          <w:szCs w:val="24"/>
        </w:rPr>
        <w:t>）响应文件出现不符合法律、法规规定的其他实质性要求的；</w:t>
      </w:r>
    </w:p>
    <w:p>
      <w:pPr>
        <w:spacing w:line="400" w:lineRule="exact"/>
        <w:ind w:firstLine="540"/>
        <w:rPr>
          <w:rFonts w:ascii="宋体"/>
          <w:color w:val="auto"/>
          <w:szCs w:val="24"/>
        </w:rPr>
      </w:pPr>
      <w:r>
        <w:rPr>
          <w:rFonts w:hint="eastAsia" w:ascii="宋体" w:hAnsi="宋体"/>
          <w:color w:val="auto"/>
          <w:szCs w:val="24"/>
        </w:rPr>
        <w:t>（</w:t>
      </w:r>
      <w:r>
        <w:rPr>
          <w:rFonts w:ascii="宋体" w:hAnsi="宋体"/>
          <w:color w:val="auto"/>
          <w:szCs w:val="24"/>
        </w:rPr>
        <w:t>9</w:t>
      </w:r>
      <w:r>
        <w:rPr>
          <w:rFonts w:hint="eastAsia" w:ascii="宋体" w:hAnsi="宋体"/>
          <w:color w:val="auto"/>
          <w:szCs w:val="24"/>
        </w:rPr>
        <w:t>）出现影响采购公正的违法、违规行为的。如</w:t>
      </w:r>
      <w:r>
        <w:rPr>
          <w:rFonts w:hint="eastAsia" w:ascii="宋体" w:hAnsi="宋体" w:cs="宋体"/>
          <w:color w:val="auto"/>
          <w:szCs w:val="24"/>
        </w:rPr>
        <w:t>提供虚假材料等。</w:t>
      </w:r>
    </w:p>
    <w:p>
      <w:pPr>
        <w:spacing w:line="400" w:lineRule="exact"/>
        <w:ind w:firstLine="542"/>
        <w:outlineLvl w:val="0"/>
        <w:rPr>
          <w:rFonts w:ascii="宋体"/>
          <w:b/>
          <w:bCs/>
          <w:color w:val="auto"/>
          <w:szCs w:val="24"/>
        </w:rPr>
      </w:pPr>
      <w:r>
        <w:rPr>
          <w:rFonts w:ascii="宋体" w:hAnsi="宋体"/>
          <w:b/>
          <w:bCs/>
          <w:color w:val="auto"/>
          <w:szCs w:val="24"/>
        </w:rPr>
        <w:t>4.</w:t>
      </w:r>
      <w:r>
        <w:rPr>
          <w:rFonts w:hint="eastAsia" w:ascii="宋体" w:hAnsi="宋体"/>
          <w:b/>
          <w:bCs/>
          <w:color w:val="auto"/>
          <w:szCs w:val="24"/>
        </w:rPr>
        <w:t>磋商评审办法</w:t>
      </w:r>
    </w:p>
    <w:p>
      <w:pPr>
        <w:spacing w:line="400" w:lineRule="exact"/>
        <w:ind w:firstLine="540"/>
        <w:rPr>
          <w:rFonts w:ascii="宋体"/>
          <w:bCs/>
          <w:color w:val="auto"/>
          <w:szCs w:val="24"/>
        </w:rPr>
      </w:pPr>
      <w:r>
        <w:rPr>
          <w:rFonts w:ascii="宋体" w:hAnsi="宋体"/>
          <w:bCs/>
          <w:color w:val="auto"/>
          <w:szCs w:val="24"/>
        </w:rPr>
        <w:t>4.1</w:t>
      </w:r>
      <w:r>
        <w:rPr>
          <w:rFonts w:hint="eastAsia" w:ascii="宋体" w:hAnsi="宋体"/>
          <w:bCs/>
          <w:color w:val="auto"/>
          <w:szCs w:val="24"/>
        </w:rPr>
        <w:t>项目不能详细列明采购标的技术、服务要求，需经磋商由供应商提供最终设计方案和解决方案，供应商最后提交的方案不符合采购文件的要求或者不符合招标采购人提出技术要求，磋商小组将取消其最后报价资格。磋商结束后，磋商小组要求实质性响应的供商在规定时间内提交最后报价。</w:t>
      </w:r>
    </w:p>
    <w:p>
      <w:pPr>
        <w:spacing w:line="400" w:lineRule="exact"/>
        <w:ind w:firstLine="540"/>
        <w:rPr>
          <w:rFonts w:ascii="宋体"/>
          <w:bCs/>
          <w:color w:val="auto"/>
          <w:szCs w:val="24"/>
        </w:rPr>
      </w:pPr>
      <w:r>
        <w:rPr>
          <w:rFonts w:ascii="宋体" w:hAnsi="宋体"/>
          <w:bCs/>
          <w:color w:val="auto"/>
          <w:szCs w:val="24"/>
        </w:rPr>
        <w:t>4.2</w:t>
      </w:r>
      <w:r>
        <w:rPr>
          <w:rFonts w:hint="eastAsia" w:ascii="宋体" w:hAnsi="宋体"/>
          <w:bCs/>
          <w:color w:val="auto"/>
          <w:szCs w:val="24"/>
        </w:rPr>
        <w:t>经磋商确定最终满足采购需求和提交最后报价的供应商后</w:t>
      </w:r>
      <w:r>
        <w:rPr>
          <w:rFonts w:ascii="宋体"/>
          <w:bCs/>
          <w:color w:val="auto"/>
          <w:szCs w:val="24"/>
        </w:rPr>
        <w:t>,</w:t>
      </w:r>
      <w:r>
        <w:rPr>
          <w:rFonts w:hint="eastAsia" w:ascii="宋体" w:hAnsi="宋体"/>
          <w:bCs/>
          <w:color w:val="auto"/>
          <w:szCs w:val="24"/>
        </w:rPr>
        <w:t>由磋商小组采用综合评分法对提交最后报价的供应商的响应文件和最后报价进行综合评分。符合相关规定的情形，最后报价的供应商可以为</w:t>
      </w:r>
      <w:r>
        <w:rPr>
          <w:rFonts w:ascii="宋体" w:hAnsi="宋体"/>
          <w:bCs/>
          <w:color w:val="auto"/>
          <w:szCs w:val="24"/>
        </w:rPr>
        <w:t>2</w:t>
      </w:r>
      <w:r>
        <w:rPr>
          <w:rFonts w:hint="eastAsia" w:ascii="宋体" w:hAnsi="宋体"/>
          <w:bCs/>
          <w:color w:val="auto"/>
          <w:szCs w:val="24"/>
        </w:rPr>
        <w:t>家。</w:t>
      </w:r>
    </w:p>
    <w:p>
      <w:pPr>
        <w:spacing w:line="400" w:lineRule="exact"/>
        <w:ind w:firstLine="540"/>
        <w:rPr>
          <w:rFonts w:ascii="宋体"/>
          <w:b/>
          <w:bCs/>
          <w:color w:val="auto"/>
          <w:szCs w:val="24"/>
        </w:rPr>
      </w:pPr>
      <w:r>
        <w:rPr>
          <w:rFonts w:ascii="宋体" w:hAnsi="宋体" w:cs="宋体"/>
          <w:color w:val="auto"/>
          <w:szCs w:val="24"/>
        </w:rPr>
        <w:t>4.3</w:t>
      </w:r>
      <w:r>
        <w:rPr>
          <w:rFonts w:hint="eastAsia" w:ascii="宋体" w:hAnsi="宋体" w:cs="宋体"/>
          <w:color w:val="auto"/>
          <w:szCs w:val="24"/>
        </w:rPr>
        <w:t>评审小组认为有供应商的报价明显低于其他通过符合审查供应商的报价，有可能影响产品质量或者不能诚信履约的，应当要求其在评审现场合理的时地内提出书面说明，必要时提交相关证明材料；供应商不能证明其报价合理性的，评审小组应当将其作为无效报价处理。</w:t>
      </w:r>
    </w:p>
    <w:p>
      <w:pPr>
        <w:spacing w:line="400" w:lineRule="exact"/>
        <w:ind w:firstLine="542"/>
        <w:rPr>
          <w:rFonts w:ascii="宋体"/>
          <w:b/>
          <w:bCs/>
          <w:color w:val="auto"/>
          <w:szCs w:val="24"/>
        </w:rPr>
      </w:pPr>
      <w:r>
        <w:rPr>
          <w:rFonts w:ascii="宋体" w:hAnsi="宋体"/>
          <w:b/>
          <w:bCs/>
          <w:color w:val="auto"/>
          <w:szCs w:val="24"/>
        </w:rPr>
        <w:t>5.</w:t>
      </w:r>
      <w:r>
        <w:rPr>
          <w:rFonts w:hint="eastAsia" w:ascii="宋体" w:hAnsi="宋体"/>
          <w:b/>
          <w:bCs/>
          <w:color w:val="auto"/>
          <w:szCs w:val="24"/>
        </w:rPr>
        <w:t>采购</w:t>
      </w:r>
      <w:r>
        <w:rPr>
          <w:rFonts w:hint="eastAsia" w:ascii="宋体" w:hAnsi="宋体" w:cs="Times New Roman"/>
          <w:b/>
          <w:bCs/>
          <w:color w:val="auto"/>
          <w:szCs w:val="24"/>
        </w:rPr>
        <w:t>综合评分法，满分</w:t>
      </w:r>
      <w:r>
        <w:rPr>
          <w:rFonts w:ascii="宋体" w:hAnsi="宋体" w:cs="Times New Roman"/>
          <w:b/>
          <w:bCs/>
          <w:color w:val="auto"/>
          <w:szCs w:val="24"/>
        </w:rPr>
        <w:t>100</w:t>
      </w:r>
      <w:r>
        <w:rPr>
          <w:rFonts w:hint="eastAsia" w:ascii="宋体" w:hAnsi="宋体" w:cs="Times New Roman"/>
          <w:b/>
          <w:bCs/>
          <w:color w:val="auto"/>
          <w:szCs w:val="24"/>
        </w:rPr>
        <w:t>分。</w:t>
      </w:r>
    </w:p>
    <w:tbl>
      <w:tblPr>
        <w:tblStyle w:val="33"/>
        <w:tblW w:w="10488" w:type="dxa"/>
        <w:tblInd w:w="-246"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628"/>
        <w:gridCol w:w="1843"/>
        <w:gridCol w:w="860"/>
        <w:gridCol w:w="715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Ex>
        <w:trPr>
          <w:trHeight w:val="369" w:hRule="atLeast"/>
        </w:trPr>
        <w:tc>
          <w:tcPr>
            <w:tcW w:w="628" w:type="dxa"/>
            <w:tcMar>
              <w:top w:w="0" w:type="dxa"/>
              <w:left w:w="108" w:type="dxa"/>
              <w:bottom w:w="0" w:type="dxa"/>
              <w:right w:w="108" w:type="dxa"/>
            </w:tcMar>
            <w:vAlign w:val="center"/>
          </w:tcPr>
          <w:p>
            <w:pPr>
              <w:ind w:left="-190" w:right="-108" w:firstLine="48"/>
              <w:jc w:val="center"/>
              <w:rPr>
                <w:rFonts w:ascii="宋体"/>
                <w:b/>
                <w:color w:val="auto"/>
                <w:szCs w:val="24"/>
              </w:rPr>
            </w:pPr>
            <w:r>
              <w:rPr>
                <w:rFonts w:hint="eastAsia" w:ascii="宋体" w:hAnsi="宋体"/>
                <w:b/>
                <w:bCs/>
                <w:color w:val="auto"/>
                <w:szCs w:val="24"/>
              </w:rPr>
              <w:t>序号</w:t>
            </w:r>
          </w:p>
        </w:tc>
        <w:tc>
          <w:tcPr>
            <w:tcW w:w="1843" w:type="dxa"/>
            <w:tcMar>
              <w:top w:w="0" w:type="dxa"/>
              <w:left w:w="108" w:type="dxa"/>
              <w:bottom w:w="0" w:type="dxa"/>
              <w:right w:w="108" w:type="dxa"/>
            </w:tcMar>
            <w:vAlign w:val="center"/>
          </w:tcPr>
          <w:p>
            <w:pPr>
              <w:widowControl/>
              <w:jc w:val="center"/>
              <w:rPr>
                <w:b/>
                <w:color w:val="auto"/>
                <w:szCs w:val="24"/>
              </w:rPr>
            </w:pPr>
            <w:r>
              <w:rPr>
                <w:rFonts w:hint="eastAsia" w:ascii="宋体" w:hAnsi="宋体"/>
                <w:b/>
                <w:bCs/>
                <w:color w:val="auto"/>
                <w:szCs w:val="24"/>
              </w:rPr>
              <w:t>评审项目</w:t>
            </w:r>
          </w:p>
        </w:tc>
        <w:tc>
          <w:tcPr>
            <w:tcW w:w="860" w:type="dxa"/>
            <w:tcMar>
              <w:top w:w="0" w:type="dxa"/>
              <w:left w:w="108" w:type="dxa"/>
              <w:bottom w:w="0" w:type="dxa"/>
              <w:right w:w="108" w:type="dxa"/>
            </w:tcMar>
            <w:vAlign w:val="center"/>
          </w:tcPr>
          <w:p>
            <w:pPr>
              <w:widowControl/>
              <w:ind w:right="-108"/>
              <w:jc w:val="center"/>
              <w:rPr>
                <w:b/>
                <w:color w:val="auto"/>
                <w:szCs w:val="24"/>
              </w:rPr>
            </w:pPr>
            <w:r>
              <w:rPr>
                <w:rFonts w:hint="eastAsia" w:ascii="宋体" w:hAnsi="宋体"/>
                <w:b/>
                <w:bCs/>
                <w:color w:val="auto"/>
                <w:szCs w:val="24"/>
              </w:rPr>
              <w:t>分值</w:t>
            </w:r>
          </w:p>
        </w:tc>
        <w:tc>
          <w:tcPr>
            <w:tcW w:w="7157" w:type="dxa"/>
            <w:tcMar>
              <w:top w:w="0" w:type="dxa"/>
              <w:left w:w="108" w:type="dxa"/>
              <w:bottom w:w="0" w:type="dxa"/>
              <w:right w:w="108" w:type="dxa"/>
            </w:tcMar>
            <w:vAlign w:val="center"/>
          </w:tcPr>
          <w:p>
            <w:pPr>
              <w:widowControl/>
              <w:jc w:val="center"/>
              <w:rPr>
                <w:b/>
                <w:color w:val="auto"/>
                <w:szCs w:val="24"/>
              </w:rPr>
            </w:pPr>
            <w:r>
              <w:rPr>
                <w:rFonts w:hint="eastAsia" w:ascii="宋体" w:hAnsi="宋体"/>
                <w:b/>
                <w:bCs/>
                <w:color w:val="auto"/>
                <w:szCs w:val="24"/>
              </w:rPr>
              <w:t>评分标准细则</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Ex>
        <w:trPr>
          <w:trHeight w:val="344" w:hRule="atLeast"/>
        </w:trPr>
        <w:tc>
          <w:tcPr>
            <w:tcW w:w="628" w:type="dxa"/>
            <w:tcMar>
              <w:top w:w="0" w:type="dxa"/>
              <w:left w:w="108" w:type="dxa"/>
              <w:bottom w:w="0" w:type="dxa"/>
              <w:right w:w="108" w:type="dxa"/>
            </w:tcMar>
            <w:vAlign w:val="center"/>
          </w:tcPr>
          <w:p>
            <w:pPr>
              <w:widowControl/>
              <w:jc w:val="center"/>
              <w:rPr>
                <w:rFonts w:ascii="宋体" w:cs="宋体"/>
                <w:color w:val="auto"/>
                <w:sz w:val="21"/>
                <w:szCs w:val="21"/>
              </w:rPr>
            </w:pPr>
            <w:r>
              <w:rPr>
                <w:rFonts w:ascii="宋体" w:hAnsi="宋体" w:cs="宋体"/>
                <w:color w:val="auto"/>
                <w:sz w:val="21"/>
                <w:szCs w:val="21"/>
              </w:rPr>
              <w:t>1</w:t>
            </w:r>
          </w:p>
        </w:tc>
        <w:tc>
          <w:tcPr>
            <w:tcW w:w="1843" w:type="dxa"/>
            <w:tcMar>
              <w:top w:w="0" w:type="dxa"/>
              <w:left w:w="108" w:type="dxa"/>
              <w:bottom w:w="0" w:type="dxa"/>
              <w:right w:w="108" w:type="dxa"/>
            </w:tcMar>
            <w:vAlign w:val="center"/>
          </w:tcPr>
          <w:p>
            <w:pPr>
              <w:jc w:val="center"/>
              <w:rPr>
                <w:rFonts w:ascii="宋体"/>
                <w:bCs/>
                <w:color w:val="auto"/>
                <w:sz w:val="21"/>
                <w:szCs w:val="21"/>
              </w:rPr>
            </w:pPr>
            <w:r>
              <w:rPr>
                <w:rFonts w:hint="eastAsia" w:ascii="宋体" w:hAnsi="宋体"/>
                <w:bCs/>
                <w:color w:val="auto"/>
                <w:sz w:val="21"/>
                <w:szCs w:val="21"/>
              </w:rPr>
              <w:t>报价</w:t>
            </w:r>
          </w:p>
        </w:tc>
        <w:tc>
          <w:tcPr>
            <w:tcW w:w="860" w:type="dxa"/>
            <w:tcMar>
              <w:top w:w="0" w:type="dxa"/>
              <w:left w:w="108" w:type="dxa"/>
              <w:bottom w:w="0" w:type="dxa"/>
              <w:right w:w="108" w:type="dxa"/>
            </w:tcMar>
            <w:vAlign w:val="center"/>
          </w:tcPr>
          <w:p>
            <w:pPr>
              <w:widowControl/>
              <w:ind w:right="-108" w:hanging="185"/>
              <w:jc w:val="center"/>
              <w:rPr>
                <w:rFonts w:ascii="宋体" w:cs="宋体"/>
                <w:color w:val="auto"/>
                <w:sz w:val="21"/>
                <w:szCs w:val="21"/>
              </w:rPr>
            </w:pPr>
            <w:r>
              <w:rPr>
                <w:rFonts w:hint="eastAsia" w:ascii="宋体" w:cs="宋体"/>
                <w:color w:val="auto"/>
                <w:sz w:val="21"/>
                <w:szCs w:val="21"/>
              </w:rPr>
              <w:t>30</w:t>
            </w:r>
          </w:p>
        </w:tc>
        <w:tc>
          <w:tcPr>
            <w:tcW w:w="7157" w:type="dxa"/>
            <w:tcMar>
              <w:top w:w="0" w:type="dxa"/>
              <w:left w:w="108" w:type="dxa"/>
              <w:bottom w:w="0" w:type="dxa"/>
              <w:right w:w="108" w:type="dxa"/>
            </w:tcMar>
            <w:vAlign w:val="center"/>
          </w:tcPr>
          <w:p>
            <w:pPr>
              <w:widowControl/>
              <w:rPr>
                <w:rFonts w:ascii="宋体" w:cs="宋体"/>
                <w:color w:val="auto"/>
                <w:sz w:val="21"/>
                <w:szCs w:val="21"/>
              </w:rPr>
            </w:pPr>
            <w:r>
              <w:rPr>
                <w:rFonts w:hint="eastAsia" w:ascii="宋体" w:hAnsi="宋体" w:cs="宋体"/>
                <w:color w:val="auto"/>
                <w:sz w:val="21"/>
                <w:szCs w:val="21"/>
              </w:rPr>
              <w:t>供应商报价得分=最低有效报价/有效磋商报价*30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Ex>
        <w:trPr>
          <w:trHeight w:val="416" w:hRule="atLeast"/>
        </w:trPr>
        <w:tc>
          <w:tcPr>
            <w:tcW w:w="628" w:type="dxa"/>
            <w:tcMar>
              <w:top w:w="0" w:type="dxa"/>
              <w:left w:w="108" w:type="dxa"/>
              <w:bottom w:w="0" w:type="dxa"/>
              <w:right w:w="108" w:type="dxa"/>
            </w:tcMar>
            <w:vAlign w:val="center"/>
          </w:tcPr>
          <w:p>
            <w:pPr>
              <w:jc w:val="center"/>
              <w:rPr>
                <w:rFonts w:ascii="宋体" w:cs="宋体"/>
                <w:color w:val="auto"/>
                <w:sz w:val="21"/>
                <w:szCs w:val="21"/>
              </w:rPr>
            </w:pPr>
            <w:r>
              <w:rPr>
                <w:rFonts w:hint="eastAsia" w:ascii="宋体" w:hAnsi="宋体" w:cs="宋体"/>
                <w:color w:val="auto"/>
                <w:sz w:val="21"/>
                <w:szCs w:val="21"/>
              </w:rPr>
              <w:t>2</w:t>
            </w:r>
          </w:p>
        </w:tc>
        <w:tc>
          <w:tcPr>
            <w:tcW w:w="1843" w:type="dxa"/>
            <w:tcMar>
              <w:top w:w="0" w:type="dxa"/>
              <w:left w:w="108" w:type="dxa"/>
              <w:bottom w:w="0" w:type="dxa"/>
              <w:right w:w="108" w:type="dxa"/>
            </w:tcMar>
            <w:vAlign w:val="center"/>
          </w:tcPr>
          <w:p>
            <w:pPr>
              <w:widowControl/>
              <w:jc w:val="center"/>
              <w:rPr>
                <w:rFonts w:ascii="宋体" w:cs="宋体"/>
                <w:color w:val="auto"/>
                <w:sz w:val="21"/>
                <w:szCs w:val="21"/>
              </w:rPr>
            </w:pPr>
            <w:r>
              <w:rPr>
                <w:rFonts w:hint="eastAsia" w:ascii="宋体" w:hAnsi="宋体"/>
                <w:color w:val="auto"/>
                <w:sz w:val="21"/>
                <w:szCs w:val="21"/>
              </w:rPr>
              <w:t>实施方案</w:t>
            </w:r>
          </w:p>
        </w:tc>
        <w:tc>
          <w:tcPr>
            <w:tcW w:w="860" w:type="dxa"/>
            <w:tcMar>
              <w:top w:w="0" w:type="dxa"/>
              <w:left w:w="108" w:type="dxa"/>
              <w:bottom w:w="0" w:type="dxa"/>
              <w:right w:w="108" w:type="dxa"/>
            </w:tcMar>
            <w:vAlign w:val="center"/>
          </w:tcPr>
          <w:p>
            <w:pPr>
              <w:widowControl/>
              <w:jc w:val="center"/>
              <w:rPr>
                <w:rFonts w:ascii="宋体" w:cs="宋体"/>
                <w:color w:val="auto"/>
                <w:sz w:val="21"/>
                <w:szCs w:val="21"/>
              </w:rPr>
            </w:pPr>
            <w:r>
              <w:rPr>
                <w:rFonts w:ascii="宋体" w:hAnsi="宋体" w:cs="宋体"/>
                <w:color w:val="auto"/>
                <w:sz w:val="21"/>
                <w:szCs w:val="21"/>
              </w:rPr>
              <w:t>35</w:t>
            </w:r>
          </w:p>
        </w:tc>
        <w:tc>
          <w:tcPr>
            <w:tcW w:w="7157" w:type="dxa"/>
            <w:tcMar>
              <w:top w:w="0" w:type="dxa"/>
              <w:left w:w="108" w:type="dxa"/>
              <w:bottom w:w="0" w:type="dxa"/>
              <w:right w:w="108" w:type="dxa"/>
            </w:tcMar>
            <w:vAlign w:val="center"/>
          </w:tcPr>
          <w:p>
            <w:pPr>
              <w:pStyle w:val="53"/>
              <w:widowControl/>
              <w:spacing w:line="14" w:lineRule="exact"/>
              <w:jc w:val="both"/>
              <w:rPr>
                <w:rFonts w:eastAsia="Times New Roman"/>
                <w:b/>
                <w:color w:val="auto"/>
                <w:sz w:val="21"/>
                <w:szCs w:val="21"/>
              </w:rPr>
            </w:pPr>
            <w:r>
              <w:rPr>
                <w:rFonts w:hint="eastAsia" w:ascii="宋体" w:hAnsi="宋体" w:cs="宋体"/>
                <w:b/>
                <w:color w:val="auto"/>
                <w:sz w:val="21"/>
                <w:szCs w:val="21"/>
              </w:rPr>
              <w:t>（</w:t>
            </w:r>
          </w:p>
          <w:p>
            <w:pPr>
              <w:pStyle w:val="53"/>
              <w:widowControl/>
              <w:spacing w:line="240" w:lineRule="auto"/>
              <w:ind w:firstLine="34"/>
              <w:jc w:val="both"/>
              <w:rPr>
                <w:rFonts w:ascii="宋体" w:cs="Arial"/>
                <w:color w:val="auto"/>
                <w:sz w:val="21"/>
                <w:szCs w:val="21"/>
              </w:rPr>
            </w:pPr>
            <w:r>
              <w:rPr>
                <w:rFonts w:hint="eastAsia" w:ascii="宋体" w:cs="Arial"/>
                <w:color w:val="auto"/>
                <w:sz w:val="21"/>
                <w:szCs w:val="21"/>
              </w:rPr>
              <w:t>（1）整体实施方案完整，各区域方案描述详细，专家综合评审，方案完整可行全面体现了项目环境功能13-15分；方案完整可行能够体现了项目环境功能</w:t>
            </w:r>
            <w:r>
              <w:rPr>
                <w:rFonts w:hint="eastAsia" w:ascii="宋体" w:cs="Arial"/>
                <w:color w:val="auto"/>
                <w:sz w:val="21"/>
                <w:szCs w:val="21"/>
              </w:rPr>
              <w:t>10-12</w:t>
            </w:r>
            <w:r>
              <w:rPr>
                <w:rFonts w:hint="eastAsia" w:ascii="宋体" w:cs="Arial"/>
                <w:color w:val="auto"/>
                <w:sz w:val="21"/>
                <w:szCs w:val="21"/>
              </w:rPr>
              <w:t>分；方案基本可行体现了环境的基本功能</w:t>
            </w:r>
            <w:r>
              <w:rPr>
                <w:rFonts w:hint="eastAsia" w:ascii="宋体" w:cs="Arial"/>
                <w:color w:val="auto"/>
                <w:sz w:val="21"/>
                <w:szCs w:val="21"/>
              </w:rPr>
              <w:t>5-9</w:t>
            </w:r>
            <w:r>
              <w:rPr>
                <w:rFonts w:hint="eastAsia" w:ascii="宋体" w:cs="Arial"/>
                <w:color w:val="auto"/>
                <w:sz w:val="21"/>
                <w:szCs w:val="21"/>
              </w:rPr>
              <w:t>分；方案不完整缺少部分区域功能建设设计者不得分。</w:t>
            </w:r>
          </w:p>
          <w:p>
            <w:pPr>
              <w:pStyle w:val="53"/>
              <w:widowControl/>
              <w:spacing w:line="240" w:lineRule="auto"/>
              <w:ind w:firstLine="34"/>
              <w:jc w:val="both"/>
              <w:rPr>
                <w:rFonts w:ascii="宋体" w:cs="Arial"/>
                <w:color w:val="auto"/>
                <w:sz w:val="21"/>
                <w:szCs w:val="21"/>
              </w:rPr>
            </w:pPr>
            <w:r>
              <w:rPr>
                <w:rFonts w:hint="eastAsia" w:ascii="宋体" w:cs="Arial"/>
                <w:color w:val="auto"/>
                <w:sz w:val="21"/>
                <w:szCs w:val="21"/>
              </w:rPr>
              <w:t>（2）根据所提供的建设设计图纸的规范性、完整性综合评价，一档10分，第二档8分，第三档4</w:t>
            </w:r>
            <w:r>
              <w:rPr>
                <w:rFonts w:hint="eastAsia" w:ascii="宋体" w:cs="Arial"/>
                <w:color w:val="auto"/>
                <w:sz w:val="21"/>
                <w:szCs w:val="21"/>
              </w:rPr>
              <w:t>分</w:t>
            </w:r>
            <w:r>
              <w:rPr>
                <w:rFonts w:hint="eastAsia" w:ascii="宋体" w:cs="Arial"/>
                <w:color w:val="auto"/>
                <w:sz w:val="21"/>
                <w:szCs w:val="21"/>
              </w:rPr>
              <w:t>，无设计图纸或设计图纸严重</w:t>
            </w:r>
            <w:r>
              <w:rPr>
                <w:rFonts w:hint="eastAsia" w:ascii="宋体" w:hAnsi="宋体" w:cs="宋体"/>
                <w:color w:val="auto"/>
                <w:sz w:val="21"/>
                <w:szCs w:val="21"/>
              </w:rPr>
              <w:t>缺陷者不得分。</w:t>
            </w:r>
          </w:p>
          <w:p>
            <w:pPr>
              <w:pStyle w:val="53"/>
              <w:widowControl/>
              <w:spacing w:line="240" w:lineRule="auto"/>
              <w:ind w:firstLine="34"/>
              <w:jc w:val="both"/>
              <w:rPr>
                <w:rFonts w:ascii="宋体" w:cs="Arial"/>
                <w:color w:val="auto"/>
                <w:sz w:val="21"/>
                <w:szCs w:val="21"/>
              </w:rPr>
            </w:pPr>
            <w:r>
              <w:rPr>
                <w:rFonts w:hint="eastAsia" w:ascii="宋体" w:cs="Arial"/>
                <w:color w:val="auto"/>
                <w:sz w:val="21"/>
                <w:szCs w:val="21"/>
              </w:rPr>
              <w:t>（3）施工方法、工艺、质量及安全措施等综合评价，一档5分，第二档4分，三档2分。</w:t>
            </w:r>
          </w:p>
          <w:p>
            <w:pPr>
              <w:pStyle w:val="53"/>
              <w:widowControl/>
              <w:spacing w:line="240" w:lineRule="auto"/>
              <w:ind w:firstLine="34"/>
              <w:jc w:val="both"/>
              <w:rPr>
                <w:rFonts w:ascii="宋体" w:cs="Arial"/>
                <w:color w:val="auto"/>
                <w:sz w:val="21"/>
                <w:szCs w:val="21"/>
              </w:rPr>
            </w:pPr>
            <w:r>
              <w:rPr>
                <w:rFonts w:hint="eastAsia" w:ascii="宋体" w:cs="Arial"/>
                <w:color w:val="auto"/>
                <w:sz w:val="21"/>
                <w:szCs w:val="21"/>
              </w:rPr>
              <w:t>（4）</w:t>
            </w:r>
            <w:r>
              <w:rPr>
                <w:rFonts w:hint="eastAsia" w:ascii="宋体" w:hAnsi="宋体" w:cs="宋体"/>
                <w:color w:val="auto"/>
                <w:sz w:val="21"/>
                <w:szCs w:val="21"/>
              </w:rPr>
              <w:t>根据功能分区特色定位，文化创意、环境设计布局效果等评定，好的4-5分，较好3-2分，无不得分。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Ex>
        <w:trPr>
          <w:trHeight w:val="440" w:hRule="atLeast"/>
        </w:trPr>
        <w:tc>
          <w:tcPr>
            <w:tcW w:w="628" w:type="dxa"/>
            <w:tcMar>
              <w:top w:w="0" w:type="dxa"/>
              <w:left w:w="108" w:type="dxa"/>
              <w:bottom w:w="0" w:type="dxa"/>
              <w:right w:w="108" w:type="dxa"/>
            </w:tcMar>
            <w:vAlign w:val="center"/>
          </w:tcPr>
          <w:p>
            <w:pPr>
              <w:widowControl/>
              <w:jc w:val="center"/>
              <w:rPr>
                <w:rFonts w:ascii="宋体" w:cs="宋体"/>
                <w:bCs/>
                <w:color w:val="auto"/>
                <w:sz w:val="21"/>
                <w:szCs w:val="21"/>
              </w:rPr>
            </w:pPr>
            <w:r>
              <w:rPr>
                <w:rFonts w:hint="eastAsia" w:ascii="宋体" w:hAnsi="宋体" w:cs="宋体"/>
                <w:bCs/>
                <w:color w:val="auto"/>
                <w:sz w:val="21"/>
                <w:szCs w:val="21"/>
              </w:rPr>
              <w:t>3</w:t>
            </w:r>
          </w:p>
        </w:tc>
        <w:tc>
          <w:tcPr>
            <w:tcW w:w="1843" w:type="dxa"/>
            <w:tcMar>
              <w:top w:w="0" w:type="dxa"/>
              <w:left w:w="108" w:type="dxa"/>
              <w:bottom w:w="0" w:type="dxa"/>
              <w:right w:w="108" w:type="dxa"/>
            </w:tcMar>
            <w:vAlign w:val="center"/>
          </w:tcPr>
          <w:p>
            <w:pPr>
              <w:ind w:left="-1" w:right="-30" w:hanging="107"/>
              <w:jc w:val="center"/>
              <w:rPr>
                <w:rFonts w:ascii="宋体"/>
                <w:color w:val="auto"/>
                <w:sz w:val="21"/>
                <w:szCs w:val="21"/>
              </w:rPr>
            </w:pPr>
            <w:r>
              <w:rPr>
                <w:rFonts w:hint="eastAsia" w:ascii="宋体" w:hAnsi="宋体" w:cs="宋体"/>
                <w:color w:val="auto"/>
                <w:sz w:val="21"/>
                <w:szCs w:val="21"/>
              </w:rPr>
              <w:t>陈述及答辩</w:t>
            </w:r>
          </w:p>
        </w:tc>
        <w:tc>
          <w:tcPr>
            <w:tcW w:w="860" w:type="dxa"/>
            <w:tcMar>
              <w:top w:w="0" w:type="dxa"/>
              <w:left w:w="108" w:type="dxa"/>
              <w:bottom w:w="0" w:type="dxa"/>
              <w:right w:w="108" w:type="dxa"/>
            </w:tcMar>
            <w:vAlign w:val="center"/>
          </w:tcPr>
          <w:p>
            <w:pPr>
              <w:jc w:val="center"/>
              <w:rPr>
                <w:rFonts w:ascii="宋体" w:cs="Arial"/>
                <w:color w:val="auto"/>
                <w:sz w:val="21"/>
                <w:szCs w:val="21"/>
              </w:rPr>
            </w:pPr>
            <w:r>
              <w:rPr>
                <w:rFonts w:hint="eastAsia" w:ascii="宋体" w:cs="Arial"/>
                <w:color w:val="auto"/>
                <w:sz w:val="21"/>
                <w:szCs w:val="21"/>
              </w:rPr>
              <w:t>5</w:t>
            </w:r>
          </w:p>
        </w:tc>
        <w:tc>
          <w:tcPr>
            <w:tcW w:w="7157" w:type="dxa"/>
            <w:tcMar>
              <w:top w:w="0" w:type="dxa"/>
              <w:left w:w="108" w:type="dxa"/>
              <w:bottom w:w="0" w:type="dxa"/>
              <w:right w:w="108" w:type="dxa"/>
            </w:tcMar>
            <w:vAlign w:val="center"/>
          </w:tcPr>
          <w:p>
            <w:pPr>
              <w:pStyle w:val="53"/>
              <w:widowControl/>
              <w:spacing w:line="240" w:lineRule="auto"/>
              <w:ind w:firstLine="252" w:firstLineChars="120"/>
              <w:jc w:val="both"/>
              <w:rPr>
                <w:rFonts w:ascii="宋体" w:hAnsi="宋体" w:cs="宋体"/>
                <w:color w:val="auto"/>
                <w:sz w:val="21"/>
                <w:szCs w:val="21"/>
              </w:rPr>
            </w:pPr>
            <w:r>
              <w:rPr>
                <w:rFonts w:hint="eastAsia" w:ascii="宋体" w:hAnsi="宋体" w:cs="宋体"/>
                <w:color w:val="auto"/>
                <w:sz w:val="21"/>
                <w:szCs w:val="21"/>
              </w:rPr>
              <w:t>磋商代表按照签到顺序</w:t>
            </w:r>
            <w:r>
              <w:rPr>
                <w:rFonts w:hint="eastAsia" w:cs="仿宋" w:eastAsiaTheme="minorEastAsia"/>
                <w:color w:val="auto"/>
                <w:sz w:val="21"/>
                <w:szCs w:val="21"/>
              </w:rPr>
              <w:t>，</w:t>
            </w:r>
            <w:r>
              <w:rPr>
                <w:rFonts w:hint="eastAsia" w:ascii="宋体" w:hAnsi="宋体" w:cs="宋体"/>
                <w:color w:val="auto"/>
                <w:sz w:val="21"/>
                <w:szCs w:val="21"/>
              </w:rPr>
              <w:t>采取</w:t>
            </w:r>
            <w:r>
              <w:rPr>
                <w:rFonts w:eastAsia="Times New Roman" w:cs="仿宋"/>
                <w:color w:val="auto"/>
                <w:sz w:val="21"/>
                <w:szCs w:val="21"/>
              </w:rPr>
              <w:t>PPT</w:t>
            </w:r>
            <w:r>
              <w:rPr>
                <w:rFonts w:hint="eastAsia" w:ascii="宋体" w:hAnsi="宋体" w:cs="宋体"/>
                <w:color w:val="auto"/>
                <w:sz w:val="21"/>
                <w:szCs w:val="21"/>
              </w:rPr>
              <w:t>形式介绍项目实施方案。要求能够清晰明了的分析项目情况</w:t>
            </w:r>
            <w:r>
              <w:rPr>
                <w:rFonts w:eastAsia="Times New Roman" w:cs="仿宋"/>
                <w:color w:val="auto"/>
                <w:sz w:val="21"/>
                <w:szCs w:val="21"/>
              </w:rPr>
              <w:t>,</w:t>
            </w:r>
            <w:r>
              <w:rPr>
                <w:rFonts w:hint="eastAsia" w:cs="仿宋" w:eastAsiaTheme="minorEastAsia"/>
                <w:color w:val="auto"/>
                <w:sz w:val="21"/>
                <w:szCs w:val="21"/>
              </w:rPr>
              <w:t>理解项目建设内函，供应商</w:t>
            </w:r>
            <w:r>
              <w:rPr>
                <w:rFonts w:hint="eastAsia" w:ascii="宋体" w:hAnsi="宋体" w:cs="宋体"/>
                <w:color w:val="auto"/>
                <w:sz w:val="21"/>
                <w:szCs w:val="21"/>
              </w:rPr>
              <w:t>对此类项目的熟悉程度</w:t>
            </w:r>
            <w:r>
              <w:rPr>
                <w:rFonts w:eastAsia="Times New Roman" w:cs="仿宋"/>
                <w:color w:val="auto"/>
                <w:sz w:val="21"/>
                <w:szCs w:val="21"/>
              </w:rPr>
              <w:t>,</w:t>
            </w:r>
            <w:r>
              <w:rPr>
                <w:rFonts w:hint="eastAsia" w:ascii="宋体" w:hAnsi="宋体" w:cs="宋体"/>
                <w:color w:val="auto"/>
                <w:sz w:val="21"/>
                <w:szCs w:val="21"/>
              </w:rPr>
              <w:t>实施方案和计划合理可行</w:t>
            </w:r>
            <w:r>
              <w:rPr>
                <w:rFonts w:hint="eastAsia" w:cs="仿宋" w:eastAsiaTheme="minorEastAsia"/>
                <w:color w:val="auto"/>
                <w:sz w:val="21"/>
                <w:szCs w:val="21"/>
              </w:rPr>
              <w:t>，</w:t>
            </w:r>
            <w:r>
              <w:rPr>
                <w:rFonts w:hint="eastAsia" w:ascii="宋体" w:hAnsi="宋体" w:cs="宋体"/>
                <w:color w:val="auto"/>
                <w:sz w:val="21"/>
                <w:szCs w:val="21"/>
              </w:rPr>
              <w:t>对建设服务过程中的所有内容考虑周详等</w:t>
            </w:r>
            <w:r>
              <w:rPr>
                <w:rFonts w:hint="eastAsia" w:cs="仿宋" w:eastAsiaTheme="minorEastAsia"/>
                <w:color w:val="auto"/>
                <w:sz w:val="21"/>
                <w:szCs w:val="21"/>
              </w:rPr>
              <w:t>；</w:t>
            </w:r>
            <w:r>
              <w:rPr>
                <w:rFonts w:hint="eastAsia" w:ascii="宋体" w:hAnsi="宋体" w:cs="宋体"/>
                <w:color w:val="auto"/>
                <w:sz w:val="21"/>
                <w:szCs w:val="21"/>
              </w:rPr>
              <w:t>对专家提出问题答辨等综合评定，一档5分；二档3-4分；三档1</w:t>
            </w:r>
            <w:r>
              <w:rPr>
                <w:rFonts w:ascii="宋体" w:hAnsi="宋体" w:cs="宋体"/>
                <w:color w:val="auto"/>
                <w:sz w:val="21"/>
                <w:szCs w:val="21"/>
              </w:rPr>
              <w:t>-</w:t>
            </w:r>
            <w:r>
              <w:rPr>
                <w:rFonts w:hint="eastAsia" w:ascii="宋体" w:hAnsi="宋体" w:cs="宋体"/>
                <w:color w:val="auto"/>
                <w:sz w:val="21"/>
                <w:szCs w:val="21"/>
              </w:rPr>
              <w:t>2分。</w:t>
            </w:r>
          </w:p>
          <w:p>
            <w:pPr>
              <w:pStyle w:val="53"/>
              <w:widowControl/>
              <w:spacing w:line="240" w:lineRule="auto"/>
              <w:ind w:firstLine="252" w:firstLineChars="120"/>
              <w:jc w:val="both"/>
              <w:rPr>
                <w:rFonts w:ascii="宋体" w:cs="宋体"/>
                <w:color w:val="auto"/>
                <w:sz w:val="21"/>
                <w:szCs w:val="21"/>
              </w:rPr>
            </w:pPr>
            <w:r>
              <w:rPr>
                <w:rFonts w:hint="eastAsia" w:ascii="宋体" w:hAnsi="宋体" w:cs="宋体"/>
                <w:color w:val="auto"/>
                <w:sz w:val="21"/>
                <w:szCs w:val="21"/>
              </w:rPr>
              <w:t>（注：自备陈述工具）</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Ex>
        <w:trPr>
          <w:trHeight w:val="440" w:hRule="atLeast"/>
        </w:trPr>
        <w:tc>
          <w:tcPr>
            <w:tcW w:w="628" w:type="dxa"/>
            <w:tcMar>
              <w:top w:w="0" w:type="dxa"/>
              <w:left w:w="108" w:type="dxa"/>
              <w:bottom w:w="0" w:type="dxa"/>
              <w:right w:w="108" w:type="dxa"/>
            </w:tcMar>
            <w:vAlign w:val="center"/>
          </w:tcPr>
          <w:p>
            <w:pPr>
              <w:widowControl/>
              <w:jc w:val="center"/>
              <w:rPr>
                <w:rFonts w:ascii="宋体" w:hAnsi="宋体" w:cs="宋体"/>
                <w:bCs/>
                <w:color w:val="auto"/>
                <w:sz w:val="21"/>
                <w:szCs w:val="21"/>
              </w:rPr>
            </w:pPr>
            <w:r>
              <w:rPr>
                <w:rFonts w:hint="eastAsia" w:ascii="宋体" w:hAnsi="宋体" w:cs="宋体"/>
                <w:bCs/>
                <w:color w:val="auto"/>
                <w:sz w:val="21"/>
                <w:szCs w:val="21"/>
              </w:rPr>
              <w:t>4</w:t>
            </w:r>
          </w:p>
        </w:tc>
        <w:tc>
          <w:tcPr>
            <w:tcW w:w="1843" w:type="dxa"/>
            <w:tcMar>
              <w:top w:w="0" w:type="dxa"/>
              <w:left w:w="108" w:type="dxa"/>
              <w:bottom w:w="0" w:type="dxa"/>
              <w:right w:w="108" w:type="dxa"/>
            </w:tcMar>
            <w:vAlign w:val="center"/>
          </w:tcPr>
          <w:p>
            <w:pPr>
              <w:jc w:val="center"/>
              <w:rPr>
                <w:rFonts w:ascii="宋体"/>
                <w:color w:val="auto"/>
                <w:sz w:val="21"/>
                <w:szCs w:val="21"/>
              </w:rPr>
            </w:pPr>
            <w:r>
              <w:rPr>
                <w:rFonts w:hint="eastAsia" w:ascii="宋体" w:hAnsi="宋体"/>
                <w:bCs/>
                <w:color w:val="auto"/>
                <w:sz w:val="21"/>
                <w:szCs w:val="21"/>
              </w:rPr>
              <w:t>专业技术人员</w:t>
            </w:r>
          </w:p>
        </w:tc>
        <w:tc>
          <w:tcPr>
            <w:tcW w:w="860" w:type="dxa"/>
            <w:tcMar>
              <w:top w:w="0" w:type="dxa"/>
              <w:left w:w="108" w:type="dxa"/>
              <w:bottom w:w="0" w:type="dxa"/>
              <w:right w:w="108" w:type="dxa"/>
            </w:tcMar>
            <w:vAlign w:val="center"/>
          </w:tcPr>
          <w:p>
            <w:pPr>
              <w:widowControl/>
              <w:jc w:val="center"/>
              <w:rPr>
                <w:rFonts w:ascii="宋体"/>
                <w:bCs/>
                <w:color w:val="auto"/>
                <w:sz w:val="21"/>
                <w:szCs w:val="21"/>
              </w:rPr>
            </w:pPr>
            <w:r>
              <w:rPr>
                <w:rFonts w:hint="eastAsia" w:ascii="宋体" w:hAnsi="宋体"/>
                <w:bCs/>
                <w:color w:val="auto"/>
                <w:sz w:val="21"/>
                <w:szCs w:val="21"/>
              </w:rPr>
              <w:t>8</w:t>
            </w:r>
          </w:p>
        </w:tc>
        <w:tc>
          <w:tcPr>
            <w:tcW w:w="7157" w:type="dxa"/>
            <w:tcMar>
              <w:top w:w="0" w:type="dxa"/>
              <w:left w:w="108" w:type="dxa"/>
              <w:bottom w:w="0" w:type="dxa"/>
              <w:right w:w="108" w:type="dxa"/>
            </w:tcMar>
            <w:vAlign w:val="center"/>
          </w:tcPr>
          <w:p>
            <w:pPr>
              <w:widowControl/>
              <w:rPr>
                <w:rFonts w:eastAsia="Times New Roman"/>
                <w:color w:val="auto"/>
                <w:sz w:val="21"/>
                <w:szCs w:val="21"/>
              </w:rPr>
            </w:pPr>
            <w:r>
              <w:rPr>
                <w:rFonts w:hint="eastAsia" w:ascii="宋体" w:hAnsi="宋体" w:cs="宋体"/>
                <w:color w:val="auto"/>
                <w:sz w:val="21"/>
                <w:szCs w:val="21"/>
              </w:rPr>
              <w:t>（</w:t>
            </w:r>
            <w:r>
              <w:rPr>
                <w:rFonts w:eastAsia="Times New Roman"/>
                <w:color w:val="auto"/>
                <w:sz w:val="21"/>
                <w:szCs w:val="21"/>
              </w:rPr>
              <w:t>1</w:t>
            </w:r>
            <w:r>
              <w:rPr>
                <w:rFonts w:hint="eastAsia" w:ascii="宋体" w:hAnsi="宋体" w:cs="宋体"/>
                <w:color w:val="auto"/>
                <w:sz w:val="21"/>
                <w:szCs w:val="21"/>
              </w:rPr>
              <w:t>）拟派驻项目负责人（或技术负责人）具有相关专业设计师资质得1分，</w:t>
            </w:r>
            <w:r>
              <w:rPr>
                <w:rFonts w:hint="eastAsia" w:ascii="宋体" w:hAnsi="宋体" w:cs="宋体"/>
                <w:color w:val="auto"/>
                <w:sz w:val="21"/>
                <w:szCs w:val="21"/>
              </w:rPr>
              <w:t>且</w:t>
            </w:r>
            <w:r>
              <w:rPr>
                <w:rFonts w:hint="eastAsia" w:ascii="宋体" w:hAnsi="宋体" w:cs="宋体"/>
                <w:color w:val="auto"/>
                <w:sz w:val="21"/>
                <w:szCs w:val="21"/>
              </w:rPr>
              <w:t>具有2年以上管理经验，每有一项类似项目业绩得</w:t>
            </w:r>
            <w:r>
              <w:rPr>
                <w:rFonts w:ascii="宋体" w:hAnsi="宋体" w:cs="宋体"/>
                <w:color w:val="auto"/>
                <w:sz w:val="21"/>
                <w:szCs w:val="21"/>
              </w:rPr>
              <w:t>1</w:t>
            </w:r>
            <w:r>
              <w:rPr>
                <w:rFonts w:hint="eastAsia" w:ascii="宋体" w:hAnsi="宋体" w:cs="宋体"/>
                <w:color w:val="auto"/>
                <w:sz w:val="21"/>
                <w:szCs w:val="21"/>
              </w:rPr>
              <w:t>分，最多2分。本项共3分。（以资质证书和业绩合同原件为准）</w:t>
            </w:r>
          </w:p>
          <w:p>
            <w:pPr>
              <w:widowControl/>
              <w:rPr>
                <w:rFonts w:ascii="宋体" w:cs="宋体"/>
                <w:color w:val="auto"/>
                <w:sz w:val="21"/>
                <w:szCs w:val="21"/>
              </w:rPr>
            </w:pPr>
            <w:r>
              <w:rPr>
                <w:rFonts w:hint="eastAsia" w:ascii="宋体" w:hAnsi="宋体" w:cs="宋体"/>
                <w:color w:val="auto"/>
                <w:sz w:val="21"/>
                <w:szCs w:val="21"/>
              </w:rPr>
              <w:t>（</w:t>
            </w:r>
            <w:r>
              <w:rPr>
                <w:rFonts w:eastAsia="Times New Roman"/>
                <w:color w:val="auto"/>
                <w:sz w:val="21"/>
                <w:szCs w:val="21"/>
              </w:rPr>
              <w:t>2</w:t>
            </w:r>
            <w:r>
              <w:rPr>
                <w:rFonts w:hint="eastAsia" w:ascii="宋体" w:hAnsi="宋体" w:cs="宋体"/>
                <w:color w:val="auto"/>
                <w:sz w:val="21"/>
                <w:szCs w:val="21"/>
              </w:rPr>
              <w:t>）项目团队人员有结构师证书得1分；有电气工师证书得1分；有安全管理师（员）证书得1分；有机电安装工程师证书得1分，有计算机（网络）通信项目管理师证书1分。（以提供证书原件为准）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Ex>
        <w:trPr>
          <w:trHeight w:val="440" w:hRule="atLeast"/>
        </w:trPr>
        <w:tc>
          <w:tcPr>
            <w:tcW w:w="628" w:type="dxa"/>
            <w:tcMar>
              <w:top w:w="0" w:type="dxa"/>
              <w:left w:w="108" w:type="dxa"/>
              <w:bottom w:w="0" w:type="dxa"/>
              <w:right w:w="108" w:type="dxa"/>
            </w:tcMar>
            <w:vAlign w:val="center"/>
          </w:tcPr>
          <w:p>
            <w:pPr>
              <w:widowControl/>
              <w:jc w:val="center"/>
              <w:rPr>
                <w:rFonts w:ascii="宋体" w:hAnsi="宋体" w:cs="宋体"/>
                <w:bCs/>
                <w:color w:val="auto"/>
                <w:sz w:val="21"/>
                <w:szCs w:val="21"/>
              </w:rPr>
            </w:pPr>
            <w:r>
              <w:rPr>
                <w:rFonts w:hint="eastAsia" w:ascii="宋体" w:hAnsi="宋体" w:cs="宋体"/>
                <w:bCs/>
                <w:color w:val="auto"/>
                <w:sz w:val="21"/>
                <w:szCs w:val="21"/>
              </w:rPr>
              <w:t>5</w:t>
            </w:r>
          </w:p>
        </w:tc>
        <w:tc>
          <w:tcPr>
            <w:tcW w:w="1843" w:type="dxa"/>
            <w:tcMar>
              <w:top w:w="0" w:type="dxa"/>
              <w:left w:w="108" w:type="dxa"/>
              <w:bottom w:w="0" w:type="dxa"/>
              <w:right w:w="108" w:type="dxa"/>
            </w:tcMar>
            <w:vAlign w:val="center"/>
          </w:tcPr>
          <w:p>
            <w:pPr>
              <w:jc w:val="center"/>
              <w:rPr>
                <w:rFonts w:ascii="宋体" w:hAnsi="宋体"/>
                <w:bCs/>
                <w:color w:val="auto"/>
                <w:sz w:val="21"/>
                <w:szCs w:val="21"/>
              </w:rPr>
            </w:pPr>
            <w:r>
              <w:rPr>
                <w:rFonts w:hint="eastAsia" w:ascii="宋体" w:hAnsi="宋体"/>
                <w:bCs/>
                <w:color w:val="auto"/>
                <w:sz w:val="21"/>
                <w:szCs w:val="21"/>
              </w:rPr>
              <w:t>业绩</w:t>
            </w:r>
          </w:p>
        </w:tc>
        <w:tc>
          <w:tcPr>
            <w:tcW w:w="860" w:type="dxa"/>
            <w:tcMar>
              <w:top w:w="0" w:type="dxa"/>
              <w:left w:w="108" w:type="dxa"/>
              <w:bottom w:w="0" w:type="dxa"/>
              <w:right w:w="108" w:type="dxa"/>
            </w:tcMar>
            <w:vAlign w:val="center"/>
          </w:tcPr>
          <w:p>
            <w:pPr>
              <w:widowControl/>
              <w:jc w:val="center"/>
              <w:rPr>
                <w:rFonts w:ascii="宋体" w:hAnsi="宋体"/>
                <w:bCs/>
                <w:color w:val="auto"/>
                <w:sz w:val="21"/>
                <w:szCs w:val="21"/>
              </w:rPr>
            </w:pPr>
            <w:r>
              <w:rPr>
                <w:rFonts w:hint="eastAsia" w:ascii="宋体" w:hAnsi="宋体"/>
                <w:bCs/>
                <w:color w:val="auto"/>
                <w:sz w:val="21"/>
                <w:szCs w:val="21"/>
              </w:rPr>
              <w:t>8</w:t>
            </w:r>
          </w:p>
        </w:tc>
        <w:tc>
          <w:tcPr>
            <w:tcW w:w="7157" w:type="dxa"/>
            <w:tcMar>
              <w:top w:w="0" w:type="dxa"/>
              <w:left w:w="108" w:type="dxa"/>
              <w:bottom w:w="0" w:type="dxa"/>
              <w:right w:w="108" w:type="dxa"/>
            </w:tcMar>
            <w:vAlign w:val="center"/>
          </w:tcPr>
          <w:p>
            <w:pPr>
              <w:widowControl/>
              <w:rPr>
                <w:rFonts w:ascii="宋体" w:hAnsi="宋体" w:cs="宋体"/>
                <w:color w:val="auto"/>
                <w:sz w:val="21"/>
                <w:szCs w:val="21"/>
              </w:rPr>
            </w:pPr>
            <w:r>
              <w:rPr>
                <w:rFonts w:hint="eastAsia" w:ascii="宋体" w:hAnsi="宋体" w:cs="宋体"/>
                <w:color w:val="auto"/>
                <w:sz w:val="21"/>
                <w:szCs w:val="21"/>
              </w:rPr>
              <w:t>投标人2016年1月1日以来承接过类似项目业绩，合同金额100万元及以上的，每项合同得2分，最多得4分;合同金额50万元至100万元之间的，每项合同1分，最多4分。（投标文件中附加盖公章的合同及验收报告复印件，开标时提供原件，以合同签订时间为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Ex>
        <w:trPr>
          <w:trHeight w:val="518" w:hRule="atLeast"/>
        </w:trPr>
        <w:tc>
          <w:tcPr>
            <w:tcW w:w="628" w:type="dxa"/>
            <w:tcMar>
              <w:top w:w="0" w:type="dxa"/>
              <w:left w:w="108" w:type="dxa"/>
              <w:bottom w:w="0" w:type="dxa"/>
              <w:right w:w="108" w:type="dxa"/>
            </w:tcMar>
            <w:vAlign w:val="center"/>
          </w:tcPr>
          <w:p>
            <w:pPr>
              <w:widowControl/>
              <w:jc w:val="center"/>
              <w:rPr>
                <w:rFonts w:ascii="宋体" w:cs="宋体"/>
                <w:bCs/>
                <w:color w:val="auto"/>
                <w:sz w:val="21"/>
                <w:szCs w:val="21"/>
              </w:rPr>
            </w:pPr>
            <w:r>
              <w:rPr>
                <w:rFonts w:ascii="宋体" w:hAnsi="宋体" w:cs="宋体"/>
                <w:bCs/>
                <w:color w:val="auto"/>
                <w:sz w:val="21"/>
                <w:szCs w:val="21"/>
              </w:rPr>
              <w:t>6</w:t>
            </w:r>
          </w:p>
        </w:tc>
        <w:tc>
          <w:tcPr>
            <w:tcW w:w="1843" w:type="dxa"/>
            <w:tcMar>
              <w:top w:w="0" w:type="dxa"/>
              <w:left w:w="108" w:type="dxa"/>
              <w:bottom w:w="0" w:type="dxa"/>
              <w:right w:w="108" w:type="dxa"/>
            </w:tcMar>
            <w:vAlign w:val="center"/>
          </w:tcPr>
          <w:p>
            <w:pPr>
              <w:jc w:val="center"/>
              <w:rPr>
                <w:rFonts w:ascii="宋体"/>
                <w:color w:val="auto"/>
                <w:sz w:val="21"/>
                <w:szCs w:val="21"/>
              </w:rPr>
            </w:pPr>
            <w:r>
              <w:rPr>
                <w:rFonts w:hint="eastAsia" w:ascii="宋体"/>
                <w:color w:val="auto"/>
                <w:sz w:val="21"/>
                <w:szCs w:val="21"/>
              </w:rPr>
              <w:t>设备材料节能环保认证</w:t>
            </w:r>
          </w:p>
        </w:tc>
        <w:tc>
          <w:tcPr>
            <w:tcW w:w="860" w:type="dxa"/>
            <w:tcMar>
              <w:top w:w="0" w:type="dxa"/>
              <w:left w:w="108" w:type="dxa"/>
              <w:bottom w:w="0" w:type="dxa"/>
              <w:right w:w="108" w:type="dxa"/>
            </w:tcMar>
            <w:vAlign w:val="center"/>
          </w:tcPr>
          <w:p>
            <w:pPr>
              <w:jc w:val="center"/>
              <w:rPr>
                <w:rFonts w:ascii="宋体"/>
                <w:color w:val="auto"/>
                <w:sz w:val="21"/>
                <w:szCs w:val="21"/>
              </w:rPr>
            </w:pPr>
            <w:r>
              <w:rPr>
                <w:rFonts w:hint="eastAsia" w:ascii="宋体" w:hAnsi="宋体"/>
                <w:color w:val="auto"/>
                <w:sz w:val="21"/>
                <w:szCs w:val="21"/>
              </w:rPr>
              <w:t>6</w:t>
            </w:r>
          </w:p>
        </w:tc>
        <w:tc>
          <w:tcPr>
            <w:tcW w:w="7157" w:type="dxa"/>
            <w:tcMar>
              <w:top w:w="0" w:type="dxa"/>
              <w:left w:w="108" w:type="dxa"/>
              <w:bottom w:w="0" w:type="dxa"/>
              <w:right w:w="108" w:type="dxa"/>
            </w:tcMar>
            <w:vAlign w:val="center"/>
          </w:tcPr>
          <w:p>
            <w:pPr>
              <w:rPr>
                <w:rFonts w:ascii="宋体" w:hAnsi="宋体" w:cs="宋体"/>
                <w:color w:val="auto"/>
                <w:sz w:val="21"/>
                <w:szCs w:val="21"/>
              </w:rPr>
            </w:pPr>
            <w:r>
              <w:rPr>
                <w:rFonts w:hint="eastAsia" w:ascii="宋体" w:hAnsi="宋体" w:cs="宋体"/>
                <w:color w:val="auto"/>
                <w:sz w:val="21"/>
                <w:szCs w:val="21"/>
              </w:rPr>
              <w:t>（1）所采用的照明设备、水嘴、便器等应为节能产品，每提供一种节能认证证明加1分，最多4分。（提供认证证书复印件或政府网站节能清单截图）</w:t>
            </w:r>
          </w:p>
          <w:p>
            <w:pPr>
              <w:rPr>
                <w:rFonts w:eastAsia="Times New Roman"/>
                <w:color w:val="auto"/>
                <w:sz w:val="21"/>
                <w:szCs w:val="21"/>
              </w:rPr>
            </w:pPr>
            <w:r>
              <w:rPr>
                <w:rFonts w:hint="eastAsia" w:ascii="宋体" w:hAnsi="宋体" w:cs="宋体"/>
                <w:color w:val="auto"/>
                <w:sz w:val="21"/>
                <w:szCs w:val="21"/>
              </w:rPr>
              <w:t>（2）所采用装饰材料具有环境标志产品认证者，每项1分，最多</w:t>
            </w:r>
            <w:r>
              <w:rPr>
                <w:rFonts w:hint="eastAsia" w:ascii="宋体" w:hAnsi="宋体" w:cs="宋体"/>
                <w:color w:val="auto"/>
                <w:sz w:val="21"/>
                <w:szCs w:val="21"/>
              </w:rPr>
              <w:t>2分</w:t>
            </w:r>
            <w:r>
              <w:rPr>
                <w:rFonts w:hint="eastAsia" w:ascii="宋体" w:hAnsi="宋体" w:cs="宋体"/>
                <w:color w:val="auto"/>
                <w:sz w:val="21"/>
                <w:szCs w:val="21"/>
              </w:rPr>
              <w:t>。（提供产品认证证书复印件或政府网站环保清单截图）</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Ex>
        <w:trPr>
          <w:trHeight w:val="518" w:hRule="atLeast"/>
        </w:trPr>
        <w:tc>
          <w:tcPr>
            <w:tcW w:w="628" w:type="dxa"/>
            <w:tcMar>
              <w:top w:w="0" w:type="dxa"/>
              <w:left w:w="108" w:type="dxa"/>
              <w:bottom w:w="0" w:type="dxa"/>
              <w:right w:w="108" w:type="dxa"/>
            </w:tcMar>
            <w:vAlign w:val="center"/>
          </w:tcPr>
          <w:p>
            <w:pPr>
              <w:widowControl/>
              <w:jc w:val="center"/>
              <w:rPr>
                <w:rFonts w:ascii="宋体" w:hAnsi="宋体" w:cs="宋体"/>
                <w:bCs/>
                <w:color w:val="auto"/>
                <w:sz w:val="21"/>
                <w:szCs w:val="21"/>
              </w:rPr>
            </w:pPr>
            <w:r>
              <w:rPr>
                <w:rFonts w:hint="eastAsia" w:ascii="宋体" w:hAnsi="宋体" w:cs="宋体"/>
                <w:bCs/>
                <w:color w:val="auto"/>
                <w:sz w:val="21"/>
                <w:szCs w:val="21"/>
              </w:rPr>
              <w:t>7</w:t>
            </w:r>
          </w:p>
        </w:tc>
        <w:tc>
          <w:tcPr>
            <w:tcW w:w="1843" w:type="dxa"/>
            <w:tcMar>
              <w:top w:w="0" w:type="dxa"/>
              <w:left w:w="108" w:type="dxa"/>
              <w:bottom w:w="0" w:type="dxa"/>
              <w:right w:w="108" w:type="dxa"/>
            </w:tcMar>
            <w:vAlign w:val="center"/>
          </w:tcPr>
          <w:p>
            <w:pPr>
              <w:jc w:val="center"/>
              <w:rPr>
                <w:rFonts w:ascii="宋体"/>
                <w:color w:val="auto"/>
                <w:sz w:val="21"/>
                <w:szCs w:val="21"/>
              </w:rPr>
            </w:pPr>
            <w:r>
              <w:rPr>
                <w:rFonts w:hint="eastAsia" w:ascii="宋体"/>
                <w:color w:val="auto"/>
                <w:sz w:val="21"/>
                <w:szCs w:val="21"/>
              </w:rPr>
              <w:t>售后服务</w:t>
            </w:r>
          </w:p>
        </w:tc>
        <w:tc>
          <w:tcPr>
            <w:tcW w:w="860" w:type="dxa"/>
            <w:tcMar>
              <w:top w:w="0" w:type="dxa"/>
              <w:left w:w="108" w:type="dxa"/>
              <w:bottom w:w="0" w:type="dxa"/>
              <w:right w:w="108" w:type="dxa"/>
            </w:tcMar>
            <w:vAlign w:val="center"/>
          </w:tcPr>
          <w:p>
            <w:pPr>
              <w:jc w:val="center"/>
              <w:rPr>
                <w:rFonts w:ascii="宋体" w:hAnsi="宋体"/>
                <w:color w:val="auto"/>
                <w:sz w:val="21"/>
                <w:szCs w:val="21"/>
              </w:rPr>
            </w:pPr>
            <w:r>
              <w:rPr>
                <w:rFonts w:hint="eastAsia" w:ascii="宋体" w:hAnsi="宋体"/>
                <w:color w:val="auto"/>
                <w:sz w:val="21"/>
                <w:szCs w:val="21"/>
              </w:rPr>
              <w:t>8</w:t>
            </w:r>
          </w:p>
        </w:tc>
        <w:tc>
          <w:tcPr>
            <w:tcW w:w="7157" w:type="dxa"/>
            <w:tcMar>
              <w:top w:w="0" w:type="dxa"/>
              <w:left w:w="108" w:type="dxa"/>
              <w:bottom w:w="0" w:type="dxa"/>
              <w:right w:w="108" w:type="dxa"/>
            </w:tcMar>
            <w:vAlign w:val="center"/>
          </w:tcPr>
          <w:p>
            <w:pPr>
              <w:pStyle w:val="87"/>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（1）具有专职售后服务机构和维保技术人员者5分；</w:t>
            </w:r>
          </w:p>
          <w:p>
            <w:pPr>
              <w:rPr>
                <w:rFonts w:ascii="宋体" w:hAnsi="宋体" w:cs="宋体"/>
                <w:color w:val="auto"/>
                <w:sz w:val="21"/>
                <w:szCs w:val="21"/>
              </w:rPr>
            </w:pPr>
            <w:r>
              <w:rPr>
                <w:rFonts w:hint="eastAsia" w:ascii="宋体" w:hAnsi="宋体" w:cs="宋体"/>
                <w:color w:val="auto"/>
                <w:sz w:val="21"/>
                <w:szCs w:val="21"/>
              </w:rPr>
              <w:t>（2）在规定的质保期基础上每增加1年加1分，最多3分。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 w:type="dxa"/>
            <w:bottom w:w="0" w:type="dxa"/>
            <w:right w:w="10" w:type="dxa"/>
          </w:tblCellMar>
        </w:tblPrEx>
        <w:trPr>
          <w:trHeight w:val="302" w:hRule="atLeast"/>
        </w:trPr>
        <w:tc>
          <w:tcPr>
            <w:tcW w:w="10488" w:type="dxa"/>
            <w:gridSpan w:val="4"/>
            <w:tcMar>
              <w:top w:w="0" w:type="dxa"/>
              <w:left w:w="108" w:type="dxa"/>
              <w:bottom w:w="0" w:type="dxa"/>
              <w:right w:w="108" w:type="dxa"/>
            </w:tcMar>
            <w:vAlign w:val="center"/>
          </w:tcPr>
          <w:p>
            <w:pPr>
              <w:spacing w:line="360" w:lineRule="exact"/>
              <w:jc w:val="left"/>
              <w:rPr>
                <w:rFonts w:ascii="宋体"/>
                <w:color w:val="auto"/>
                <w:sz w:val="21"/>
                <w:szCs w:val="21"/>
              </w:rPr>
            </w:pPr>
            <w:r>
              <w:rPr>
                <w:rFonts w:hint="eastAsia" w:ascii="宋体" w:hAnsi="宋体"/>
                <w:color w:val="auto"/>
                <w:sz w:val="21"/>
                <w:szCs w:val="21"/>
              </w:rPr>
              <w:t>注：（</w:t>
            </w:r>
            <w:r>
              <w:rPr>
                <w:rFonts w:ascii="宋体" w:hAnsi="宋体"/>
                <w:color w:val="auto"/>
                <w:sz w:val="21"/>
                <w:szCs w:val="21"/>
              </w:rPr>
              <w:t>1</w:t>
            </w:r>
            <w:r>
              <w:rPr>
                <w:rFonts w:hint="eastAsia" w:ascii="宋体" w:hAnsi="宋体"/>
                <w:color w:val="auto"/>
                <w:sz w:val="21"/>
                <w:szCs w:val="21"/>
              </w:rPr>
              <w:t>）本评分办法中的各种有效证明材料，投标文件中必须提供复印件，要求提供原件的，投标现场必须提供，否则不得分。</w:t>
            </w:r>
          </w:p>
          <w:p>
            <w:pPr>
              <w:spacing w:line="360" w:lineRule="exact"/>
              <w:jc w:val="left"/>
              <w:rPr>
                <w:rFonts w:ascii="宋体"/>
                <w:color w:val="auto"/>
                <w:sz w:val="21"/>
                <w:szCs w:val="21"/>
              </w:rPr>
            </w:pPr>
            <w:r>
              <w:rPr>
                <w:rFonts w:hint="eastAsia" w:ascii="宋体" w:hAnsi="宋体"/>
                <w:color w:val="auto"/>
                <w:sz w:val="21"/>
                <w:szCs w:val="21"/>
              </w:rPr>
              <w:t>（</w:t>
            </w:r>
            <w:r>
              <w:rPr>
                <w:rFonts w:ascii="宋体" w:hAnsi="宋体"/>
                <w:color w:val="auto"/>
                <w:sz w:val="21"/>
                <w:szCs w:val="21"/>
              </w:rPr>
              <w:t>2</w:t>
            </w:r>
            <w:r>
              <w:rPr>
                <w:rFonts w:hint="eastAsia" w:ascii="宋体" w:hAnsi="宋体"/>
                <w:color w:val="auto"/>
                <w:sz w:val="21"/>
                <w:szCs w:val="21"/>
              </w:rPr>
              <w:t>）全体磋商小组成员对供应商评分算术平均值为该投标人最终评审得分，评分和计算结果均保留小数点后</w:t>
            </w:r>
            <w:r>
              <w:rPr>
                <w:rFonts w:ascii="宋体" w:hAnsi="宋体"/>
                <w:color w:val="auto"/>
                <w:sz w:val="21"/>
                <w:szCs w:val="21"/>
              </w:rPr>
              <w:t>2</w:t>
            </w:r>
            <w:r>
              <w:rPr>
                <w:rFonts w:hint="eastAsia" w:ascii="宋体" w:hAnsi="宋体"/>
                <w:color w:val="auto"/>
                <w:sz w:val="21"/>
                <w:szCs w:val="21"/>
              </w:rPr>
              <w:t>位（采用四舍五入法）。</w:t>
            </w:r>
          </w:p>
        </w:tc>
      </w:tr>
    </w:tbl>
    <w:p>
      <w:pPr>
        <w:topLinePunct/>
        <w:spacing w:line="360" w:lineRule="auto"/>
        <w:ind w:firstLine="480" w:firstLineChars="200"/>
        <w:contextualSpacing/>
        <w:rPr>
          <w:rFonts w:cs="仿宋_GB2312" w:asciiTheme="minorEastAsia" w:hAnsiTheme="minorEastAsia"/>
          <w:color w:val="auto"/>
          <w:szCs w:val="21"/>
        </w:rPr>
      </w:pPr>
      <w:bookmarkStart w:id="36" w:name="_Toc448307933"/>
      <w:bookmarkEnd w:id="36"/>
      <w:r>
        <w:rPr>
          <w:rFonts w:hint="eastAsia" w:cs="仿宋_GB2312" w:asciiTheme="minorEastAsia" w:hAnsiTheme="minorEastAsia"/>
          <w:color w:val="auto"/>
          <w:szCs w:val="21"/>
        </w:rPr>
        <w:t>注：</w:t>
      </w:r>
    </w:p>
    <w:p>
      <w:pPr>
        <w:topLinePunct/>
        <w:spacing w:line="360" w:lineRule="auto"/>
        <w:ind w:firstLine="48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w:t>
      </w:r>
      <w:bookmarkStart w:id="61" w:name="_GoBack"/>
      <w:bookmarkEnd w:id="61"/>
      <w:r>
        <w:rPr>
          <w:rFonts w:hint="eastAsia" w:cs="仿宋_GB2312" w:asciiTheme="minorEastAsia" w:hAnsiTheme="minorEastAsia"/>
          <w:color w:val="auto"/>
          <w:szCs w:val="21"/>
          <w:lang w:val="zh-CN"/>
        </w:rPr>
        <w:t>企业投标应提供《中小企业声明函》，如为联合投标的，联合体各方需分别填写《中小企业声明函》。</w:t>
      </w:r>
    </w:p>
    <w:p>
      <w:pPr>
        <w:pStyle w:val="53"/>
        <w:spacing w:line="360" w:lineRule="auto"/>
        <w:ind w:firstLine="0"/>
        <w:jc w:val="both"/>
        <w:rPr>
          <w:rFonts w:ascii="黑体" w:hAnsi="黑体" w:eastAsia="黑体"/>
          <w:color w:val="auto"/>
          <w:sz w:val="32"/>
          <w:szCs w:val="32"/>
        </w:rPr>
      </w:pPr>
    </w:p>
    <w:p>
      <w:pPr>
        <w:pStyle w:val="53"/>
        <w:spacing w:line="360" w:lineRule="auto"/>
        <w:jc w:val="center"/>
        <w:rPr>
          <w:rFonts w:ascii="黑体" w:hAnsi="黑体" w:eastAsia="黑体"/>
          <w:color w:val="auto"/>
          <w:sz w:val="32"/>
          <w:szCs w:val="32"/>
        </w:rPr>
      </w:pPr>
    </w:p>
    <w:p>
      <w:pPr>
        <w:pStyle w:val="53"/>
        <w:spacing w:line="360" w:lineRule="auto"/>
        <w:jc w:val="center"/>
        <w:rPr>
          <w:rFonts w:ascii="黑体" w:hAnsi="黑体" w:eastAsia="黑体"/>
          <w:color w:val="auto"/>
          <w:sz w:val="32"/>
          <w:szCs w:val="32"/>
        </w:rPr>
      </w:pPr>
    </w:p>
    <w:p>
      <w:pPr>
        <w:pStyle w:val="53"/>
        <w:spacing w:line="360" w:lineRule="auto"/>
        <w:jc w:val="center"/>
        <w:rPr>
          <w:rFonts w:ascii="黑体" w:hAnsi="黑体" w:eastAsia="黑体"/>
          <w:color w:val="auto"/>
          <w:sz w:val="32"/>
          <w:szCs w:val="32"/>
        </w:rPr>
      </w:pPr>
    </w:p>
    <w:p>
      <w:pPr>
        <w:pStyle w:val="53"/>
        <w:spacing w:line="360" w:lineRule="auto"/>
        <w:jc w:val="center"/>
        <w:rPr>
          <w:rFonts w:ascii="黑体" w:hAnsi="黑体" w:eastAsia="黑体"/>
          <w:color w:val="auto"/>
          <w:sz w:val="32"/>
          <w:szCs w:val="32"/>
        </w:rPr>
      </w:pPr>
    </w:p>
    <w:p>
      <w:pPr>
        <w:pStyle w:val="53"/>
        <w:spacing w:line="360" w:lineRule="auto"/>
        <w:jc w:val="center"/>
        <w:rPr>
          <w:rFonts w:ascii="黑体" w:hAnsi="黑体" w:eastAsia="黑体"/>
          <w:color w:val="auto"/>
          <w:sz w:val="32"/>
          <w:szCs w:val="32"/>
        </w:rPr>
      </w:pPr>
    </w:p>
    <w:p>
      <w:pPr>
        <w:pStyle w:val="53"/>
        <w:spacing w:line="360" w:lineRule="auto"/>
        <w:jc w:val="center"/>
        <w:rPr>
          <w:rFonts w:ascii="黑体" w:hAnsi="黑体" w:eastAsia="黑体"/>
          <w:color w:val="auto"/>
          <w:sz w:val="32"/>
          <w:szCs w:val="32"/>
        </w:rPr>
      </w:pPr>
    </w:p>
    <w:p>
      <w:pPr>
        <w:pStyle w:val="53"/>
        <w:spacing w:line="360" w:lineRule="auto"/>
        <w:jc w:val="center"/>
        <w:rPr>
          <w:rFonts w:ascii="黑体" w:hAnsi="黑体" w:eastAsia="黑体"/>
          <w:color w:val="auto"/>
          <w:sz w:val="32"/>
          <w:szCs w:val="32"/>
        </w:rPr>
      </w:pPr>
    </w:p>
    <w:p>
      <w:pPr>
        <w:pStyle w:val="53"/>
        <w:spacing w:line="360" w:lineRule="auto"/>
        <w:jc w:val="center"/>
        <w:rPr>
          <w:rFonts w:ascii="黑体" w:hAnsi="黑体" w:eastAsia="黑体"/>
          <w:color w:val="auto"/>
          <w:sz w:val="32"/>
          <w:szCs w:val="32"/>
        </w:rPr>
      </w:pPr>
    </w:p>
    <w:p>
      <w:pPr>
        <w:pStyle w:val="53"/>
        <w:spacing w:line="360" w:lineRule="auto"/>
        <w:jc w:val="center"/>
        <w:rPr>
          <w:rFonts w:ascii="黑体" w:hAnsi="黑体" w:eastAsia="黑体"/>
          <w:color w:val="auto"/>
          <w:sz w:val="32"/>
          <w:szCs w:val="32"/>
        </w:rPr>
      </w:pPr>
    </w:p>
    <w:p>
      <w:pPr>
        <w:pStyle w:val="53"/>
        <w:spacing w:line="360" w:lineRule="auto"/>
        <w:jc w:val="center"/>
        <w:rPr>
          <w:rFonts w:ascii="黑体" w:hAnsi="黑体" w:eastAsia="黑体"/>
          <w:color w:val="auto"/>
          <w:sz w:val="32"/>
          <w:szCs w:val="32"/>
        </w:rPr>
      </w:pPr>
    </w:p>
    <w:p>
      <w:pPr>
        <w:pStyle w:val="53"/>
        <w:spacing w:line="360" w:lineRule="auto"/>
        <w:jc w:val="center"/>
        <w:rPr>
          <w:rFonts w:ascii="黑体" w:hAnsi="黑体" w:eastAsia="黑体"/>
          <w:color w:val="auto"/>
          <w:sz w:val="32"/>
          <w:szCs w:val="32"/>
        </w:rPr>
      </w:pPr>
    </w:p>
    <w:p>
      <w:pPr>
        <w:pStyle w:val="53"/>
        <w:spacing w:line="360" w:lineRule="auto"/>
        <w:jc w:val="center"/>
        <w:rPr>
          <w:rFonts w:ascii="黑体" w:hAnsi="黑体" w:eastAsia="黑体"/>
          <w:color w:val="auto"/>
          <w:sz w:val="32"/>
          <w:szCs w:val="32"/>
        </w:rPr>
      </w:pPr>
    </w:p>
    <w:p>
      <w:pPr>
        <w:pStyle w:val="53"/>
        <w:spacing w:line="360" w:lineRule="auto"/>
        <w:jc w:val="center"/>
        <w:rPr>
          <w:rFonts w:ascii="黑体" w:hAnsi="黑体" w:eastAsia="黑体"/>
          <w:color w:val="auto"/>
          <w:sz w:val="32"/>
          <w:szCs w:val="32"/>
        </w:rPr>
      </w:pPr>
    </w:p>
    <w:p>
      <w:pPr>
        <w:pStyle w:val="53"/>
        <w:spacing w:line="360" w:lineRule="auto"/>
        <w:jc w:val="center"/>
        <w:rPr>
          <w:rFonts w:ascii="黑体" w:hAnsi="黑体" w:eastAsia="黑体"/>
          <w:color w:val="auto"/>
          <w:sz w:val="32"/>
          <w:szCs w:val="32"/>
        </w:rPr>
      </w:pPr>
    </w:p>
    <w:p>
      <w:pPr>
        <w:pStyle w:val="53"/>
        <w:spacing w:line="360" w:lineRule="auto"/>
        <w:jc w:val="center"/>
        <w:rPr>
          <w:rFonts w:ascii="黑体" w:hAnsi="黑体" w:eastAsia="黑体"/>
          <w:color w:val="auto"/>
          <w:sz w:val="32"/>
          <w:szCs w:val="32"/>
        </w:rPr>
      </w:pPr>
    </w:p>
    <w:p>
      <w:pPr>
        <w:pStyle w:val="53"/>
        <w:spacing w:line="360" w:lineRule="auto"/>
        <w:jc w:val="center"/>
        <w:rPr>
          <w:rFonts w:ascii="黑体" w:hAnsi="黑体" w:eastAsia="黑体"/>
          <w:color w:val="auto"/>
          <w:sz w:val="32"/>
          <w:szCs w:val="32"/>
        </w:rPr>
      </w:pPr>
      <w:r>
        <w:rPr>
          <w:rFonts w:hint="eastAsia" w:ascii="黑体" w:hAnsi="黑体" w:eastAsia="黑体"/>
          <w:color w:val="auto"/>
          <w:sz w:val="32"/>
          <w:szCs w:val="32"/>
        </w:rPr>
        <w:t>第五章  项目合同</w:t>
      </w:r>
    </w:p>
    <w:p>
      <w:pPr>
        <w:pStyle w:val="53"/>
        <w:spacing w:line="360" w:lineRule="auto"/>
        <w:jc w:val="center"/>
        <w:outlineLvl w:val="0"/>
        <w:rPr>
          <w:color w:val="auto"/>
          <w:szCs w:val="24"/>
        </w:rPr>
      </w:pPr>
      <w:r>
        <w:rPr>
          <w:rFonts w:hint="eastAsia" w:ascii="黑体" w:hAnsi="黑体" w:eastAsia="黑体"/>
          <w:color w:val="auto"/>
          <w:szCs w:val="24"/>
        </w:rPr>
        <w:t>（须以最后签订的服务合同为准）</w:t>
      </w:r>
    </w:p>
    <w:p>
      <w:pPr>
        <w:spacing w:line="360" w:lineRule="auto"/>
        <w:ind w:firstLine="482"/>
        <w:outlineLvl w:val="0"/>
        <w:rPr>
          <w:rFonts w:eastAsia="Times New Roman"/>
          <w:b/>
          <w:color w:val="auto"/>
          <w:szCs w:val="24"/>
        </w:rPr>
      </w:pPr>
      <w:r>
        <w:rPr>
          <w:rFonts w:hint="eastAsia" w:ascii="宋体" w:hAnsi="宋体" w:cs="宋体"/>
          <w:b/>
          <w:color w:val="auto"/>
          <w:szCs w:val="24"/>
        </w:rPr>
        <w:t>一、采购合同通用条款</w:t>
      </w:r>
    </w:p>
    <w:p>
      <w:pPr>
        <w:spacing w:line="420" w:lineRule="exact"/>
        <w:ind w:firstLine="480"/>
        <w:rPr>
          <w:rFonts w:eastAsia="Times New Roman"/>
          <w:b/>
          <w:color w:val="auto"/>
          <w:szCs w:val="24"/>
        </w:rPr>
      </w:pPr>
      <w:r>
        <w:rPr>
          <w:rFonts w:eastAsia="Times New Roman"/>
          <w:b/>
          <w:color w:val="auto"/>
          <w:szCs w:val="24"/>
        </w:rPr>
        <w:t>1.</w:t>
      </w:r>
      <w:r>
        <w:rPr>
          <w:rFonts w:hint="eastAsia" w:ascii="宋体" w:hAnsi="宋体" w:cs="宋体"/>
          <w:b/>
          <w:color w:val="auto"/>
          <w:szCs w:val="24"/>
        </w:rPr>
        <w:t>术语的定义</w:t>
      </w:r>
    </w:p>
    <w:p>
      <w:pPr>
        <w:spacing w:line="420" w:lineRule="exact"/>
        <w:ind w:firstLine="480"/>
        <w:rPr>
          <w:rFonts w:eastAsia="Times New Roman"/>
          <w:color w:val="auto"/>
          <w:szCs w:val="24"/>
        </w:rPr>
      </w:pPr>
      <w:r>
        <w:rPr>
          <w:rFonts w:hint="eastAsia" w:ascii="宋体" w:hAnsi="宋体" w:cs="宋体"/>
          <w:color w:val="auto"/>
          <w:szCs w:val="24"/>
        </w:rPr>
        <w:t>政府采购合同下列术语应解释为：</w:t>
      </w:r>
    </w:p>
    <w:p>
      <w:pPr>
        <w:spacing w:line="420" w:lineRule="exact"/>
        <w:ind w:firstLine="480"/>
        <w:rPr>
          <w:rFonts w:eastAsia="Times New Roman"/>
          <w:color w:val="auto"/>
          <w:szCs w:val="24"/>
        </w:rPr>
      </w:pPr>
      <w:r>
        <w:rPr>
          <w:rFonts w:hint="eastAsia" w:ascii="宋体" w:hAnsi="宋体" w:cs="宋体"/>
          <w:color w:val="auto"/>
          <w:szCs w:val="24"/>
        </w:rPr>
        <w:t>（</w:t>
      </w:r>
      <w:r>
        <w:rPr>
          <w:rFonts w:eastAsia="Times New Roman"/>
          <w:color w:val="auto"/>
          <w:szCs w:val="24"/>
        </w:rPr>
        <w:t>1</w:t>
      </w:r>
      <w:r>
        <w:rPr>
          <w:rFonts w:hint="eastAsia" w:ascii="宋体" w:hAnsi="宋体" w:cs="宋体"/>
          <w:color w:val="auto"/>
          <w:szCs w:val="24"/>
        </w:rPr>
        <w:t>）</w:t>
      </w:r>
      <w:r>
        <w:rPr>
          <w:rFonts w:eastAsia="Times New Roman"/>
          <w:color w:val="auto"/>
          <w:szCs w:val="24"/>
        </w:rPr>
        <w:t>“</w:t>
      </w:r>
      <w:r>
        <w:rPr>
          <w:rFonts w:hint="eastAsia" w:ascii="宋体" w:hAnsi="宋体" w:cs="宋体"/>
          <w:color w:val="auto"/>
          <w:szCs w:val="24"/>
        </w:rPr>
        <w:t>政府采购合同</w:t>
      </w:r>
      <w:r>
        <w:rPr>
          <w:rFonts w:eastAsia="Times New Roman"/>
          <w:color w:val="auto"/>
          <w:szCs w:val="24"/>
        </w:rPr>
        <w:t>”</w:t>
      </w:r>
      <w:r>
        <w:rPr>
          <w:rFonts w:hint="eastAsia" w:ascii="宋体" w:hAnsi="宋体" w:cs="宋体"/>
          <w:color w:val="auto"/>
          <w:szCs w:val="24"/>
        </w:rPr>
        <w:t>是指委托和受托双方签署的、政府采购合同格式中载明的委托和受托双方所达成的协议，标段包括所有的附件、附录和构成政府采购合同的所有文件。</w:t>
      </w:r>
    </w:p>
    <w:p>
      <w:pPr>
        <w:spacing w:line="420" w:lineRule="exact"/>
        <w:ind w:firstLine="480"/>
        <w:rPr>
          <w:rFonts w:eastAsia="Times New Roman"/>
          <w:color w:val="auto"/>
          <w:szCs w:val="24"/>
        </w:rPr>
      </w:pPr>
      <w:r>
        <w:rPr>
          <w:rFonts w:hint="eastAsia" w:ascii="宋体" w:hAnsi="宋体" w:cs="宋体"/>
          <w:color w:val="auto"/>
          <w:szCs w:val="24"/>
        </w:rPr>
        <w:t>（</w:t>
      </w:r>
      <w:r>
        <w:rPr>
          <w:rFonts w:eastAsia="Times New Roman"/>
          <w:color w:val="auto"/>
          <w:szCs w:val="24"/>
        </w:rPr>
        <w:t>2</w:t>
      </w:r>
      <w:r>
        <w:rPr>
          <w:rFonts w:hint="eastAsia" w:ascii="宋体" w:hAnsi="宋体" w:cs="宋体"/>
          <w:color w:val="auto"/>
          <w:szCs w:val="24"/>
        </w:rPr>
        <w:t>）</w:t>
      </w:r>
      <w:r>
        <w:rPr>
          <w:rFonts w:eastAsia="Times New Roman"/>
          <w:color w:val="auto"/>
          <w:szCs w:val="24"/>
        </w:rPr>
        <w:t>“</w:t>
      </w:r>
      <w:r>
        <w:rPr>
          <w:rFonts w:hint="eastAsia" w:ascii="宋体" w:hAnsi="宋体" w:cs="宋体"/>
          <w:color w:val="auto"/>
          <w:szCs w:val="24"/>
        </w:rPr>
        <w:t>合同价格</w:t>
      </w:r>
      <w:r>
        <w:rPr>
          <w:rFonts w:eastAsia="Times New Roman"/>
          <w:color w:val="auto"/>
          <w:szCs w:val="24"/>
        </w:rPr>
        <w:t>”</w:t>
      </w:r>
      <w:r>
        <w:rPr>
          <w:rFonts w:hint="eastAsia" w:ascii="宋体" w:hAnsi="宋体" w:cs="宋体"/>
          <w:color w:val="auto"/>
          <w:szCs w:val="24"/>
        </w:rPr>
        <w:t>是指根据政府采购合同规定，受托方在正确地完全履行政府采购合同义务后委托方应支付给受托方的货币数量。</w:t>
      </w:r>
    </w:p>
    <w:p>
      <w:pPr>
        <w:spacing w:line="420" w:lineRule="exact"/>
        <w:ind w:firstLine="480"/>
        <w:rPr>
          <w:rFonts w:eastAsia="Times New Roman"/>
          <w:color w:val="auto"/>
          <w:szCs w:val="24"/>
        </w:rPr>
      </w:pPr>
      <w:r>
        <w:rPr>
          <w:rFonts w:hint="eastAsia" w:ascii="宋体" w:hAnsi="宋体" w:cs="宋体"/>
          <w:color w:val="auto"/>
          <w:szCs w:val="24"/>
        </w:rPr>
        <w:t>（</w:t>
      </w:r>
      <w:r>
        <w:rPr>
          <w:rFonts w:eastAsia="Times New Roman"/>
          <w:color w:val="auto"/>
          <w:szCs w:val="24"/>
        </w:rPr>
        <w:t>3</w:t>
      </w:r>
      <w:r>
        <w:rPr>
          <w:rFonts w:hint="eastAsia" w:ascii="宋体" w:hAnsi="宋体" w:cs="宋体"/>
          <w:color w:val="auto"/>
          <w:szCs w:val="24"/>
        </w:rPr>
        <w:t>）</w:t>
      </w:r>
      <w:r>
        <w:rPr>
          <w:rFonts w:eastAsia="Times New Roman"/>
          <w:color w:val="auto"/>
          <w:szCs w:val="24"/>
        </w:rPr>
        <w:t>“</w:t>
      </w:r>
      <w:r>
        <w:rPr>
          <w:rFonts w:hint="eastAsia" w:ascii="宋体" w:hAnsi="宋体" w:cs="宋体"/>
          <w:color w:val="auto"/>
          <w:szCs w:val="24"/>
        </w:rPr>
        <w:t>服务</w:t>
      </w:r>
      <w:r>
        <w:rPr>
          <w:rFonts w:eastAsia="Times New Roman"/>
          <w:color w:val="auto"/>
          <w:szCs w:val="24"/>
        </w:rPr>
        <w:t>”</w:t>
      </w:r>
      <w:r>
        <w:rPr>
          <w:rFonts w:hint="eastAsia" w:ascii="宋体" w:hAnsi="宋体" w:cs="宋体"/>
          <w:color w:val="auto"/>
          <w:szCs w:val="24"/>
        </w:rPr>
        <w:t>是指根据政府采购合同服务清单中所规定的服务内容。</w:t>
      </w:r>
    </w:p>
    <w:p>
      <w:pPr>
        <w:spacing w:line="420" w:lineRule="exact"/>
        <w:ind w:firstLine="480"/>
        <w:rPr>
          <w:rFonts w:eastAsia="Times New Roman"/>
          <w:color w:val="auto"/>
          <w:szCs w:val="24"/>
        </w:rPr>
      </w:pPr>
      <w:r>
        <w:rPr>
          <w:rFonts w:hint="eastAsia" w:ascii="宋体" w:hAnsi="宋体" w:cs="宋体"/>
          <w:color w:val="auto"/>
          <w:szCs w:val="24"/>
        </w:rPr>
        <w:t>（</w:t>
      </w:r>
      <w:r>
        <w:rPr>
          <w:rFonts w:eastAsia="Times New Roman"/>
          <w:color w:val="auto"/>
          <w:szCs w:val="24"/>
        </w:rPr>
        <w:t>4</w:t>
      </w:r>
      <w:r>
        <w:rPr>
          <w:rFonts w:hint="eastAsia" w:ascii="宋体" w:hAnsi="宋体" w:cs="宋体"/>
          <w:color w:val="auto"/>
          <w:szCs w:val="24"/>
        </w:rPr>
        <w:t>）</w:t>
      </w:r>
      <w:r>
        <w:rPr>
          <w:rFonts w:eastAsia="Times New Roman"/>
          <w:color w:val="auto"/>
          <w:szCs w:val="24"/>
        </w:rPr>
        <w:t>“</w:t>
      </w:r>
      <w:r>
        <w:rPr>
          <w:rFonts w:hint="eastAsia" w:ascii="宋体" w:hAnsi="宋体" w:cs="宋体"/>
          <w:color w:val="auto"/>
          <w:szCs w:val="24"/>
        </w:rPr>
        <w:t>合同条款</w:t>
      </w:r>
      <w:r>
        <w:rPr>
          <w:rFonts w:eastAsia="Times New Roman"/>
          <w:color w:val="auto"/>
          <w:szCs w:val="24"/>
        </w:rPr>
        <w:t>”</w:t>
      </w:r>
      <w:r>
        <w:rPr>
          <w:rFonts w:hint="eastAsia" w:ascii="宋体" w:hAnsi="宋体" w:cs="宋体"/>
          <w:color w:val="auto"/>
          <w:szCs w:val="24"/>
        </w:rPr>
        <w:t>是指本章所述全部内容。</w:t>
      </w:r>
    </w:p>
    <w:p>
      <w:pPr>
        <w:spacing w:line="420" w:lineRule="exact"/>
        <w:ind w:firstLine="480"/>
        <w:rPr>
          <w:rFonts w:eastAsia="Times New Roman"/>
          <w:color w:val="auto"/>
          <w:szCs w:val="24"/>
        </w:rPr>
      </w:pPr>
      <w:r>
        <w:rPr>
          <w:rFonts w:hint="eastAsia" w:ascii="宋体" w:hAnsi="宋体" w:cs="宋体"/>
          <w:color w:val="auto"/>
          <w:szCs w:val="24"/>
        </w:rPr>
        <w:t>（</w:t>
      </w:r>
      <w:r>
        <w:rPr>
          <w:rFonts w:eastAsia="Times New Roman"/>
          <w:color w:val="auto"/>
          <w:szCs w:val="24"/>
        </w:rPr>
        <w:t>5</w:t>
      </w:r>
      <w:r>
        <w:rPr>
          <w:rFonts w:hint="eastAsia" w:ascii="宋体" w:hAnsi="宋体" w:cs="宋体"/>
          <w:color w:val="auto"/>
          <w:szCs w:val="24"/>
        </w:rPr>
        <w:t>）</w:t>
      </w:r>
      <w:r>
        <w:rPr>
          <w:rFonts w:eastAsia="Times New Roman"/>
          <w:color w:val="auto"/>
          <w:szCs w:val="24"/>
        </w:rPr>
        <w:t>“</w:t>
      </w:r>
      <w:r>
        <w:rPr>
          <w:rFonts w:hint="eastAsia" w:ascii="宋体" w:hAnsi="宋体" w:cs="宋体"/>
          <w:color w:val="auto"/>
          <w:szCs w:val="24"/>
        </w:rPr>
        <w:t>合同专用条款</w:t>
      </w:r>
      <w:r>
        <w:rPr>
          <w:rFonts w:eastAsia="Times New Roman"/>
          <w:color w:val="auto"/>
          <w:szCs w:val="24"/>
        </w:rPr>
        <w:t xml:space="preserve"> ”</w:t>
      </w:r>
      <w:r>
        <w:rPr>
          <w:rFonts w:hint="eastAsia" w:ascii="宋体" w:hAnsi="宋体" w:cs="宋体"/>
          <w:color w:val="auto"/>
          <w:szCs w:val="24"/>
        </w:rPr>
        <w:t>是指文件正文部分第四章</w:t>
      </w:r>
      <w:r>
        <w:rPr>
          <w:rFonts w:eastAsia="Times New Roman"/>
          <w:color w:val="auto"/>
          <w:szCs w:val="24"/>
        </w:rPr>
        <w:t>“</w:t>
      </w:r>
      <w:r>
        <w:rPr>
          <w:rFonts w:hint="eastAsia" w:ascii="宋体" w:hAnsi="宋体" w:cs="宋体"/>
          <w:color w:val="auto"/>
          <w:szCs w:val="24"/>
        </w:rPr>
        <w:t>采购合同专用条款</w:t>
      </w:r>
      <w:r>
        <w:rPr>
          <w:rFonts w:eastAsia="Times New Roman"/>
          <w:color w:val="auto"/>
          <w:szCs w:val="24"/>
        </w:rPr>
        <w:t>”</w:t>
      </w:r>
      <w:r>
        <w:rPr>
          <w:rFonts w:hint="eastAsia" w:ascii="宋体" w:hAnsi="宋体" w:cs="宋体"/>
          <w:color w:val="auto"/>
          <w:szCs w:val="24"/>
        </w:rPr>
        <w:t>。</w:t>
      </w:r>
    </w:p>
    <w:p>
      <w:pPr>
        <w:spacing w:line="420" w:lineRule="exact"/>
        <w:ind w:firstLine="480"/>
        <w:rPr>
          <w:rFonts w:eastAsia="Times New Roman"/>
          <w:color w:val="auto"/>
          <w:szCs w:val="24"/>
        </w:rPr>
      </w:pPr>
      <w:r>
        <w:rPr>
          <w:rFonts w:hint="eastAsia" w:ascii="宋体" w:hAnsi="宋体" w:cs="宋体"/>
          <w:color w:val="auto"/>
          <w:szCs w:val="24"/>
        </w:rPr>
        <w:t>（</w:t>
      </w:r>
      <w:r>
        <w:rPr>
          <w:rFonts w:eastAsia="Times New Roman"/>
          <w:color w:val="auto"/>
          <w:szCs w:val="24"/>
        </w:rPr>
        <w:t>6</w:t>
      </w:r>
      <w:r>
        <w:rPr>
          <w:rFonts w:hint="eastAsia" w:ascii="宋体" w:hAnsi="宋体" w:cs="宋体"/>
          <w:color w:val="auto"/>
          <w:szCs w:val="24"/>
        </w:rPr>
        <w:t>）</w:t>
      </w:r>
      <w:r>
        <w:rPr>
          <w:rFonts w:eastAsia="Times New Roman"/>
          <w:color w:val="auto"/>
          <w:szCs w:val="24"/>
        </w:rPr>
        <w:t>“</w:t>
      </w:r>
      <w:r>
        <w:rPr>
          <w:rFonts w:hint="eastAsia" w:ascii="宋体" w:hAnsi="宋体" w:cs="宋体"/>
          <w:color w:val="auto"/>
          <w:szCs w:val="24"/>
        </w:rPr>
        <w:t>委托方</w:t>
      </w:r>
      <w:r>
        <w:rPr>
          <w:rFonts w:eastAsia="Times New Roman"/>
          <w:color w:val="auto"/>
          <w:szCs w:val="24"/>
        </w:rPr>
        <w:t>”</w:t>
      </w:r>
      <w:r>
        <w:rPr>
          <w:rFonts w:hint="eastAsia" w:ascii="宋体" w:hAnsi="宋体" w:cs="宋体"/>
          <w:color w:val="auto"/>
          <w:szCs w:val="24"/>
        </w:rPr>
        <w:t>是指采购文件正文部分第一章</w:t>
      </w:r>
      <w:r>
        <w:rPr>
          <w:rFonts w:eastAsia="Times New Roman"/>
          <w:color w:val="auto"/>
          <w:szCs w:val="24"/>
        </w:rPr>
        <w:t>“</w:t>
      </w:r>
      <w:r>
        <w:rPr>
          <w:rFonts w:hint="eastAsia" w:ascii="宋体" w:hAnsi="宋体" w:cs="宋体"/>
          <w:color w:val="auto"/>
          <w:szCs w:val="24"/>
        </w:rPr>
        <w:t>采购项目基本内容及要求</w:t>
      </w:r>
      <w:r>
        <w:rPr>
          <w:rFonts w:eastAsia="Times New Roman"/>
          <w:color w:val="auto"/>
          <w:szCs w:val="24"/>
        </w:rPr>
        <w:t>”</w:t>
      </w:r>
      <w:r>
        <w:rPr>
          <w:rFonts w:hint="eastAsia" w:ascii="宋体" w:hAnsi="宋体" w:cs="宋体"/>
          <w:color w:val="auto"/>
          <w:szCs w:val="24"/>
        </w:rPr>
        <w:t>中所述购买服务的单位。</w:t>
      </w:r>
    </w:p>
    <w:p>
      <w:pPr>
        <w:spacing w:line="420" w:lineRule="exact"/>
        <w:ind w:firstLine="480"/>
        <w:rPr>
          <w:rFonts w:eastAsia="Times New Roman"/>
          <w:color w:val="auto"/>
          <w:szCs w:val="24"/>
        </w:rPr>
      </w:pPr>
      <w:r>
        <w:rPr>
          <w:rFonts w:hint="eastAsia" w:ascii="宋体" w:hAnsi="宋体" w:cs="宋体"/>
          <w:color w:val="auto"/>
          <w:szCs w:val="24"/>
        </w:rPr>
        <w:t>（</w:t>
      </w:r>
      <w:r>
        <w:rPr>
          <w:rFonts w:eastAsia="Times New Roman"/>
          <w:color w:val="auto"/>
          <w:szCs w:val="24"/>
        </w:rPr>
        <w:t>7</w:t>
      </w:r>
      <w:r>
        <w:rPr>
          <w:rFonts w:hint="eastAsia" w:ascii="宋体" w:hAnsi="宋体" w:cs="宋体"/>
          <w:color w:val="auto"/>
          <w:szCs w:val="24"/>
        </w:rPr>
        <w:t>）</w:t>
      </w:r>
      <w:r>
        <w:rPr>
          <w:rFonts w:eastAsia="Times New Roman"/>
          <w:color w:val="auto"/>
          <w:szCs w:val="24"/>
        </w:rPr>
        <w:t>“</w:t>
      </w:r>
      <w:r>
        <w:rPr>
          <w:rFonts w:hint="eastAsia" w:ascii="宋体" w:hAnsi="宋体" w:cs="宋体"/>
          <w:color w:val="auto"/>
          <w:szCs w:val="24"/>
        </w:rPr>
        <w:t>受托方</w:t>
      </w:r>
      <w:r>
        <w:rPr>
          <w:rFonts w:eastAsia="Times New Roman"/>
          <w:color w:val="auto"/>
          <w:szCs w:val="24"/>
        </w:rPr>
        <w:t>”</w:t>
      </w:r>
      <w:r>
        <w:rPr>
          <w:rFonts w:hint="eastAsia" w:ascii="宋体" w:hAnsi="宋体" w:cs="宋体"/>
          <w:color w:val="auto"/>
          <w:szCs w:val="24"/>
        </w:rPr>
        <w:t>是指通过采购确定的提供采购文件正文中</w:t>
      </w:r>
      <w:r>
        <w:rPr>
          <w:rFonts w:eastAsia="Times New Roman"/>
          <w:color w:val="auto"/>
          <w:szCs w:val="24"/>
        </w:rPr>
        <w:t>“</w:t>
      </w:r>
      <w:r>
        <w:rPr>
          <w:rFonts w:hint="eastAsia" w:ascii="宋体" w:hAnsi="宋体" w:cs="宋体"/>
          <w:color w:val="auto"/>
          <w:szCs w:val="24"/>
        </w:rPr>
        <w:t>采购项目需求</w:t>
      </w:r>
      <w:r>
        <w:rPr>
          <w:rFonts w:eastAsia="Times New Roman"/>
          <w:color w:val="auto"/>
          <w:szCs w:val="24"/>
        </w:rPr>
        <w:t>”</w:t>
      </w:r>
      <w:r>
        <w:rPr>
          <w:rFonts w:hint="eastAsia" w:ascii="宋体" w:hAnsi="宋体" w:cs="宋体"/>
          <w:color w:val="auto"/>
          <w:szCs w:val="24"/>
        </w:rPr>
        <w:t>中所述服务的成交投标经营方。</w:t>
      </w:r>
    </w:p>
    <w:p>
      <w:pPr>
        <w:spacing w:line="420" w:lineRule="exact"/>
        <w:ind w:firstLine="480"/>
        <w:rPr>
          <w:rFonts w:eastAsia="Times New Roman"/>
          <w:color w:val="auto"/>
          <w:szCs w:val="24"/>
        </w:rPr>
      </w:pPr>
      <w:r>
        <w:rPr>
          <w:rFonts w:hint="eastAsia" w:ascii="宋体" w:hAnsi="宋体" w:cs="宋体"/>
          <w:color w:val="auto"/>
          <w:szCs w:val="24"/>
        </w:rPr>
        <w:t>（</w:t>
      </w:r>
      <w:r>
        <w:rPr>
          <w:rFonts w:eastAsia="Times New Roman"/>
          <w:color w:val="auto"/>
          <w:szCs w:val="24"/>
        </w:rPr>
        <w:t>8</w:t>
      </w:r>
      <w:r>
        <w:rPr>
          <w:rFonts w:hint="eastAsia" w:ascii="宋体" w:hAnsi="宋体" w:cs="宋体"/>
          <w:color w:val="auto"/>
          <w:szCs w:val="24"/>
        </w:rPr>
        <w:t>）</w:t>
      </w:r>
      <w:r>
        <w:rPr>
          <w:rFonts w:eastAsia="Times New Roman"/>
          <w:color w:val="auto"/>
          <w:szCs w:val="24"/>
        </w:rPr>
        <w:t>“</w:t>
      </w:r>
      <w:r>
        <w:rPr>
          <w:rFonts w:hint="eastAsia" w:ascii="宋体" w:hAnsi="宋体" w:cs="宋体"/>
          <w:color w:val="auto"/>
          <w:szCs w:val="24"/>
        </w:rPr>
        <w:t>现场</w:t>
      </w:r>
      <w:r>
        <w:rPr>
          <w:rFonts w:eastAsia="Times New Roman"/>
          <w:color w:val="auto"/>
          <w:szCs w:val="24"/>
        </w:rPr>
        <w:t>”</w:t>
      </w:r>
      <w:r>
        <w:rPr>
          <w:rFonts w:hint="eastAsia" w:ascii="宋体" w:hAnsi="宋体" w:cs="宋体"/>
          <w:color w:val="auto"/>
          <w:szCs w:val="24"/>
        </w:rPr>
        <w:t>是指政府采购合同规定的履行相关服务的地点。</w:t>
      </w:r>
    </w:p>
    <w:p>
      <w:pPr>
        <w:spacing w:line="420" w:lineRule="exact"/>
        <w:ind w:firstLine="480"/>
        <w:rPr>
          <w:rFonts w:eastAsia="Times New Roman"/>
          <w:color w:val="auto"/>
          <w:szCs w:val="24"/>
        </w:rPr>
      </w:pPr>
      <w:r>
        <w:rPr>
          <w:rFonts w:hint="eastAsia" w:ascii="宋体" w:hAnsi="宋体" w:cs="宋体"/>
          <w:color w:val="auto"/>
          <w:szCs w:val="24"/>
        </w:rPr>
        <w:t>（</w:t>
      </w:r>
      <w:r>
        <w:rPr>
          <w:rFonts w:eastAsia="Times New Roman"/>
          <w:color w:val="auto"/>
          <w:szCs w:val="24"/>
        </w:rPr>
        <w:t>9</w:t>
      </w:r>
      <w:r>
        <w:rPr>
          <w:rFonts w:hint="eastAsia" w:ascii="宋体" w:hAnsi="宋体" w:cs="宋体"/>
          <w:color w:val="auto"/>
          <w:szCs w:val="24"/>
        </w:rPr>
        <w:t>）</w:t>
      </w:r>
      <w:r>
        <w:rPr>
          <w:rFonts w:eastAsia="Times New Roman"/>
          <w:color w:val="auto"/>
          <w:szCs w:val="24"/>
        </w:rPr>
        <w:t>“</w:t>
      </w:r>
      <w:r>
        <w:rPr>
          <w:rFonts w:hint="eastAsia" w:ascii="宋体" w:hAnsi="宋体" w:cs="宋体"/>
          <w:color w:val="auto"/>
          <w:szCs w:val="24"/>
        </w:rPr>
        <w:t>验收</w:t>
      </w:r>
      <w:r>
        <w:rPr>
          <w:rFonts w:eastAsia="Times New Roman"/>
          <w:color w:val="auto"/>
          <w:szCs w:val="24"/>
        </w:rPr>
        <w:t>”</w:t>
      </w:r>
      <w:r>
        <w:rPr>
          <w:rFonts w:hint="eastAsia" w:ascii="宋体" w:hAnsi="宋体" w:cs="宋体"/>
          <w:color w:val="auto"/>
          <w:szCs w:val="24"/>
        </w:rPr>
        <w:t>是指委托、受托双方和采购机构依据强制性的国家技术质量规范和政府采购合同规定，确认政府采购合同向下的服务符合政府采购合同规定的活动。</w:t>
      </w:r>
    </w:p>
    <w:p>
      <w:pPr>
        <w:spacing w:line="420" w:lineRule="exact"/>
        <w:ind w:firstLine="480"/>
        <w:rPr>
          <w:rFonts w:eastAsia="Times New Roman"/>
          <w:color w:val="auto"/>
          <w:szCs w:val="24"/>
        </w:rPr>
      </w:pPr>
      <w:r>
        <w:rPr>
          <w:rFonts w:hint="eastAsia" w:ascii="宋体" w:hAnsi="宋体" w:cs="宋体"/>
          <w:color w:val="auto"/>
          <w:szCs w:val="24"/>
        </w:rPr>
        <w:t>（</w:t>
      </w:r>
      <w:r>
        <w:rPr>
          <w:rFonts w:eastAsia="Times New Roman"/>
          <w:color w:val="auto"/>
          <w:szCs w:val="24"/>
        </w:rPr>
        <w:t>10</w:t>
      </w:r>
      <w:r>
        <w:rPr>
          <w:rFonts w:hint="eastAsia" w:ascii="宋体" w:hAnsi="宋体" w:cs="宋体"/>
          <w:color w:val="auto"/>
          <w:szCs w:val="24"/>
        </w:rPr>
        <w:t>）</w:t>
      </w:r>
      <w:r>
        <w:rPr>
          <w:rFonts w:eastAsia="Times New Roman"/>
          <w:color w:val="auto"/>
          <w:szCs w:val="24"/>
        </w:rPr>
        <w:t>“</w:t>
      </w:r>
      <w:r>
        <w:rPr>
          <w:rFonts w:hint="eastAsia" w:ascii="宋体" w:hAnsi="宋体" w:cs="宋体"/>
          <w:color w:val="auto"/>
          <w:szCs w:val="24"/>
        </w:rPr>
        <w:t>天</w:t>
      </w:r>
      <w:r>
        <w:rPr>
          <w:rFonts w:eastAsia="Times New Roman"/>
          <w:color w:val="auto"/>
          <w:szCs w:val="24"/>
        </w:rPr>
        <w:t>”</w:t>
      </w:r>
      <w:r>
        <w:rPr>
          <w:rFonts w:hint="eastAsia" w:ascii="宋体" w:hAnsi="宋体" w:cs="宋体"/>
          <w:color w:val="auto"/>
          <w:szCs w:val="24"/>
        </w:rPr>
        <w:t>指日历天数（如无特别说明）</w:t>
      </w:r>
    </w:p>
    <w:p>
      <w:pPr>
        <w:spacing w:line="420" w:lineRule="exact"/>
        <w:ind w:firstLine="480"/>
        <w:rPr>
          <w:rFonts w:eastAsia="Times New Roman"/>
          <w:color w:val="auto"/>
          <w:szCs w:val="24"/>
        </w:rPr>
      </w:pPr>
      <w:r>
        <w:rPr>
          <w:rFonts w:hint="eastAsia" w:ascii="宋体" w:hAnsi="宋体" w:cs="宋体"/>
          <w:color w:val="auto"/>
          <w:szCs w:val="24"/>
        </w:rPr>
        <w:t>（</w:t>
      </w:r>
      <w:r>
        <w:rPr>
          <w:rFonts w:eastAsia="Times New Roman"/>
          <w:color w:val="auto"/>
          <w:szCs w:val="24"/>
        </w:rPr>
        <w:t>11</w:t>
      </w:r>
      <w:r>
        <w:rPr>
          <w:rFonts w:hint="eastAsia" w:ascii="宋体" w:hAnsi="宋体" w:cs="宋体"/>
          <w:color w:val="auto"/>
          <w:szCs w:val="24"/>
        </w:rPr>
        <w:t>）</w:t>
      </w:r>
      <w:r>
        <w:rPr>
          <w:rFonts w:eastAsia="Times New Roman"/>
          <w:color w:val="auto"/>
          <w:szCs w:val="24"/>
        </w:rPr>
        <w:t>“</w:t>
      </w:r>
      <w:r>
        <w:rPr>
          <w:rFonts w:hint="eastAsia" w:ascii="宋体" w:hAnsi="宋体" w:cs="宋体"/>
          <w:color w:val="auto"/>
          <w:szCs w:val="24"/>
        </w:rPr>
        <w:t>检验</w:t>
      </w:r>
      <w:r>
        <w:rPr>
          <w:rFonts w:eastAsia="Times New Roman"/>
          <w:color w:val="auto"/>
          <w:szCs w:val="24"/>
        </w:rPr>
        <w:t>”</w:t>
      </w:r>
      <w:r>
        <w:rPr>
          <w:rFonts w:hint="eastAsia" w:ascii="宋体" w:hAnsi="宋体" w:cs="宋体"/>
          <w:color w:val="auto"/>
          <w:szCs w:val="24"/>
        </w:rPr>
        <w:t>是指委托方按照政府采购合同约定的标准对受托方所提供的服务进行检测与查验。</w:t>
      </w:r>
    </w:p>
    <w:p>
      <w:pPr>
        <w:spacing w:line="420" w:lineRule="exact"/>
        <w:ind w:firstLine="480"/>
        <w:rPr>
          <w:rFonts w:eastAsia="Times New Roman"/>
          <w:color w:val="auto"/>
          <w:szCs w:val="24"/>
        </w:rPr>
      </w:pPr>
      <w:r>
        <w:rPr>
          <w:rFonts w:hint="eastAsia" w:ascii="宋体" w:hAnsi="宋体" w:cs="宋体"/>
          <w:color w:val="auto"/>
          <w:szCs w:val="24"/>
        </w:rPr>
        <w:t>（</w:t>
      </w:r>
      <w:r>
        <w:rPr>
          <w:rFonts w:eastAsia="Times New Roman"/>
          <w:color w:val="auto"/>
          <w:szCs w:val="24"/>
        </w:rPr>
        <w:t>12</w:t>
      </w:r>
      <w:r>
        <w:rPr>
          <w:rFonts w:hint="eastAsia" w:ascii="宋体" w:hAnsi="宋体" w:cs="宋体"/>
          <w:color w:val="auto"/>
          <w:szCs w:val="24"/>
        </w:rPr>
        <w:t>）</w:t>
      </w:r>
      <w:r>
        <w:rPr>
          <w:rFonts w:eastAsia="Times New Roman"/>
          <w:color w:val="auto"/>
          <w:szCs w:val="24"/>
        </w:rPr>
        <w:t>“</w:t>
      </w:r>
      <w:r>
        <w:rPr>
          <w:rFonts w:hint="eastAsia" w:ascii="宋体" w:hAnsi="宋体" w:cs="宋体"/>
          <w:color w:val="auto"/>
          <w:szCs w:val="24"/>
        </w:rPr>
        <w:t>检验合格证书</w:t>
      </w:r>
      <w:r>
        <w:rPr>
          <w:rFonts w:eastAsia="Times New Roman"/>
          <w:color w:val="auto"/>
          <w:szCs w:val="24"/>
        </w:rPr>
        <w:t>”</w:t>
      </w:r>
      <w:r>
        <w:rPr>
          <w:rFonts w:hint="eastAsia" w:ascii="宋体" w:hAnsi="宋体" w:cs="宋体"/>
          <w:color w:val="auto"/>
          <w:szCs w:val="24"/>
        </w:rPr>
        <w:t>是指检验完成后由委托方和受托方共同签署的检验合格确认书。</w:t>
      </w:r>
    </w:p>
    <w:p>
      <w:pPr>
        <w:spacing w:line="420" w:lineRule="exact"/>
        <w:ind w:firstLine="480"/>
        <w:rPr>
          <w:rFonts w:eastAsia="Times New Roman"/>
          <w:color w:val="auto"/>
          <w:szCs w:val="24"/>
        </w:rPr>
      </w:pPr>
      <w:r>
        <w:rPr>
          <w:rFonts w:hint="eastAsia" w:ascii="宋体" w:hAnsi="宋体" w:cs="宋体"/>
          <w:color w:val="auto"/>
          <w:szCs w:val="24"/>
        </w:rPr>
        <w:t>（</w:t>
      </w:r>
      <w:r>
        <w:rPr>
          <w:rFonts w:eastAsia="Times New Roman"/>
          <w:color w:val="auto"/>
          <w:szCs w:val="24"/>
        </w:rPr>
        <w:t>13</w:t>
      </w:r>
      <w:r>
        <w:rPr>
          <w:rFonts w:hint="eastAsia" w:ascii="宋体" w:hAnsi="宋体" w:cs="宋体"/>
          <w:color w:val="auto"/>
          <w:szCs w:val="24"/>
        </w:rPr>
        <w:t>）</w:t>
      </w:r>
      <w:r>
        <w:rPr>
          <w:rFonts w:eastAsia="Times New Roman"/>
          <w:color w:val="auto"/>
          <w:szCs w:val="24"/>
        </w:rPr>
        <w:t>“</w:t>
      </w:r>
      <w:r>
        <w:rPr>
          <w:rFonts w:hint="eastAsia" w:ascii="宋体" w:hAnsi="宋体" w:cs="宋体"/>
          <w:color w:val="auto"/>
          <w:szCs w:val="24"/>
        </w:rPr>
        <w:t>政府采购项目验收报告单</w:t>
      </w:r>
      <w:r>
        <w:rPr>
          <w:rFonts w:eastAsia="Times New Roman"/>
          <w:color w:val="auto"/>
          <w:szCs w:val="24"/>
        </w:rPr>
        <w:t>”</w:t>
      </w:r>
      <w:r>
        <w:rPr>
          <w:rFonts w:hint="eastAsia" w:ascii="宋体" w:hAnsi="宋体" w:cs="宋体"/>
          <w:color w:val="auto"/>
          <w:szCs w:val="24"/>
        </w:rPr>
        <w:t>是指委托方或采购机构根据验收合格证书和受托方共同签署的最终验收确认书。</w:t>
      </w:r>
    </w:p>
    <w:p>
      <w:pPr>
        <w:spacing w:line="420" w:lineRule="exact"/>
        <w:ind w:firstLine="480"/>
        <w:rPr>
          <w:rFonts w:eastAsia="Times New Roman"/>
          <w:color w:val="auto"/>
          <w:szCs w:val="24"/>
        </w:rPr>
      </w:pPr>
      <w:r>
        <w:rPr>
          <w:rFonts w:hint="eastAsia" w:ascii="宋体" w:hAnsi="宋体" w:cs="宋体"/>
          <w:color w:val="auto"/>
          <w:szCs w:val="24"/>
        </w:rPr>
        <w:t>（</w:t>
      </w:r>
      <w:r>
        <w:rPr>
          <w:rFonts w:eastAsia="Times New Roman"/>
          <w:color w:val="auto"/>
          <w:szCs w:val="24"/>
        </w:rPr>
        <w:t>14</w:t>
      </w:r>
      <w:r>
        <w:rPr>
          <w:rFonts w:hint="eastAsia" w:ascii="宋体" w:hAnsi="宋体" w:cs="宋体"/>
          <w:color w:val="auto"/>
          <w:szCs w:val="24"/>
        </w:rPr>
        <w:t>）</w:t>
      </w:r>
      <w:r>
        <w:rPr>
          <w:rFonts w:eastAsia="Times New Roman"/>
          <w:color w:val="auto"/>
          <w:szCs w:val="24"/>
        </w:rPr>
        <w:t>“</w:t>
      </w:r>
      <w:r>
        <w:rPr>
          <w:rFonts w:hint="eastAsia" w:ascii="宋体" w:hAnsi="宋体" w:cs="宋体"/>
          <w:color w:val="auto"/>
          <w:szCs w:val="24"/>
        </w:rPr>
        <w:t>第三方</w:t>
      </w:r>
      <w:r>
        <w:rPr>
          <w:rFonts w:eastAsia="Times New Roman"/>
          <w:color w:val="auto"/>
          <w:szCs w:val="24"/>
        </w:rPr>
        <w:t>”</w:t>
      </w:r>
      <w:r>
        <w:rPr>
          <w:rFonts w:hint="eastAsia" w:ascii="宋体" w:hAnsi="宋体" w:cs="宋体"/>
          <w:color w:val="auto"/>
          <w:szCs w:val="24"/>
        </w:rPr>
        <w:t>是指政府采购合同双方以外的任何中国境内、外的自然人、法人或其他经济组织。</w:t>
      </w:r>
    </w:p>
    <w:p>
      <w:pPr>
        <w:spacing w:line="420" w:lineRule="exact"/>
        <w:ind w:firstLine="480"/>
        <w:rPr>
          <w:rFonts w:eastAsia="Times New Roman"/>
          <w:color w:val="auto"/>
          <w:szCs w:val="24"/>
        </w:rPr>
      </w:pPr>
      <w:r>
        <w:rPr>
          <w:rFonts w:hint="eastAsia" w:ascii="宋体" w:hAnsi="宋体" w:cs="宋体"/>
          <w:color w:val="auto"/>
          <w:szCs w:val="24"/>
        </w:rPr>
        <w:t>（</w:t>
      </w:r>
      <w:r>
        <w:rPr>
          <w:rFonts w:eastAsia="Times New Roman"/>
          <w:color w:val="auto"/>
          <w:szCs w:val="24"/>
        </w:rPr>
        <w:t>15</w:t>
      </w:r>
      <w:r>
        <w:rPr>
          <w:rFonts w:hint="eastAsia" w:ascii="宋体" w:hAnsi="宋体" w:cs="宋体"/>
          <w:color w:val="auto"/>
          <w:szCs w:val="24"/>
        </w:rPr>
        <w:t>）</w:t>
      </w:r>
      <w:r>
        <w:rPr>
          <w:rFonts w:eastAsia="Times New Roman"/>
          <w:color w:val="auto"/>
          <w:szCs w:val="24"/>
        </w:rPr>
        <w:t>“</w:t>
      </w:r>
      <w:r>
        <w:rPr>
          <w:rFonts w:hint="eastAsia" w:ascii="宋体" w:hAnsi="宋体" w:cs="宋体"/>
          <w:color w:val="auto"/>
          <w:szCs w:val="24"/>
        </w:rPr>
        <w:t>法律、法规</w:t>
      </w:r>
      <w:r>
        <w:rPr>
          <w:rFonts w:eastAsia="Times New Roman"/>
          <w:color w:val="auto"/>
          <w:szCs w:val="24"/>
        </w:rPr>
        <w:t>”</w:t>
      </w:r>
      <w:r>
        <w:rPr>
          <w:rFonts w:hint="eastAsia" w:ascii="宋体" w:hAnsi="宋体" w:cs="宋体"/>
          <w:color w:val="auto"/>
          <w:szCs w:val="24"/>
        </w:rPr>
        <w:t>是指由中国各级政府及有关部门制定的法律、行政法规、地方性法规、规章及其他规范性文本。</w:t>
      </w:r>
    </w:p>
    <w:p>
      <w:pPr>
        <w:spacing w:line="420" w:lineRule="exact"/>
        <w:ind w:firstLine="480"/>
        <w:rPr>
          <w:rFonts w:eastAsia="Times New Roman"/>
          <w:color w:val="auto"/>
          <w:szCs w:val="24"/>
        </w:rPr>
      </w:pPr>
      <w:r>
        <w:rPr>
          <w:rFonts w:hint="eastAsia" w:ascii="宋体" w:hAnsi="宋体" w:cs="宋体"/>
          <w:color w:val="auto"/>
          <w:szCs w:val="24"/>
        </w:rPr>
        <w:t>（</w:t>
      </w:r>
      <w:r>
        <w:rPr>
          <w:rFonts w:eastAsia="Times New Roman"/>
          <w:color w:val="auto"/>
          <w:szCs w:val="24"/>
        </w:rPr>
        <w:t>16</w:t>
      </w:r>
      <w:r>
        <w:rPr>
          <w:rFonts w:hint="eastAsia" w:ascii="宋体" w:hAnsi="宋体" w:cs="宋体"/>
          <w:color w:val="auto"/>
          <w:szCs w:val="24"/>
        </w:rPr>
        <w:t>）</w:t>
      </w:r>
      <w:r>
        <w:rPr>
          <w:rFonts w:eastAsia="Times New Roman"/>
          <w:color w:val="auto"/>
          <w:szCs w:val="24"/>
        </w:rPr>
        <w:t>“</w:t>
      </w:r>
      <w:r>
        <w:rPr>
          <w:rFonts w:hint="eastAsia" w:ascii="宋体" w:hAnsi="宋体" w:cs="宋体"/>
          <w:color w:val="auto"/>
          <w:szCs w:val="24"/>
        </w:rPr>
        <w:t>采购文件</w:t>
      </w:r>
      <w:r>
        <w:rPr>
          <w:rFonts w:eastAsia="Times New Roman"/>
          <w:color w:val="auto"/>
          <w:szCs w:val="24"/>
        </w:rPr>
        <w:t>”</w:t>
      </w:r>
      <w:r>
        <w:rPr>
          <w:rFonts w:hint="eastAsia" w:ascii="宋体" w:hAnsi="宋体" w:cs="宋体"/>
          <w:color w:val="auto"/>
          <w:szCs w:val="24"/>
        </w:rPr>
        <w:t>是指由采购代理机构发布的采购文本。</w:t>
      </w:r>
    </w:p>
    <w:p>
      <w:pPr>
        <w:spacing w:line="420" w:lineRule="exact"/>
        <w:ind w:firstLine="480"/>
        <w:rPr>
          <w:rFonts w:ascii="宋体" w:cs="宋体"/>
          <w:color w:val="auto"/>
          <w:szCs w:val="24"/>
        </w:rPr>
      </w:pPr>
      <w:r>
        <w:rPr>
          <w:rFonts w:hint="eastAsia" w:ascii="宋体" w:hAnsi="宋体" w:cs="宋体"/>
          <w:color w:val="auto"/>
          <w:szCs w:val="24"/>
        </w:rPr>
        <w:t>（</w:t>
      </w:r>
      <w:r>
        <w:rPr>
          <w:rFonts w:ascii="宋体" w:hAnsi="宋体" w:cs="宋体"/>
          <w:color w:val="auto"/>
          <w:szCs w:val="24"/>
        </w:rPr>
        <w:t>17</w:t>
      </w:r>
      <w:r>
        <w:rPr>
          <w:rFonts w:hint="eastAsia" w:ascii="宋体" w:hAnsi="宋体" w:cs="宋体"/>
          <w:color w:val="auto"/>
          <w:szCs w:val="24"/>
        </w:rPr>
        <w:t>）</w:t>
      </w:r>
      <w:r>
        <w:rPr>
          <w:rFonts w:hint="eastAsia" w:ascii="宋体" w:cs="宋体"/>
          <w:color w:val="auto"/>
          <w:szCs w:val="24"/>
        </w:rPr>
        <w:t>“</w:t>
      </w:r>
      <w:r>
        <w:rPr>
          <w:rFonts w:hint="eastAsia" w:ascii="宋体" w:hAnsi="宋体" w:cs="宋体"/>
          <w:color w:val="auto"/>
          <w:szCs w:val="24"/>
        </w:rPr>
        <w:t>响应文件</w:t>
      </w:r>
      <w:r>
        <w:rPr>
          <w:rFonts w:hint="eastAsia" w:ascii="宋体" w:cs="宋体"/>
          <w:color w:val="auto"/>
          <w:szCs w:val="24"/>
        </w:rPr>
        <w:t>”</w:t>
      </w:r>
      <w:r>
        <w:rPr>
          <w:rFonts w:hint="eastAsia" w:ascii="宋体" w:hAnsi="宋体" w:cs="宋体"/>
          <w:color w:val="auto"/>
          <w:szCs w:val="24"/>
        </w:rPr>
        <w:t>是指受托方按照采购代理机构发布的采购文件的要求编制、递交并最终被评审小组接受的响应文本。</w:t>
      </w:r>
    </w:p>
    <w:p>
      <w:pPr>
        <w:spacing w:line="420" w:lineRule="exact"/>
        <w:ind w:firstLine="480"/>
        <w:rPr>
          <w:rFonts w:ascii="宋体" w:cs="宋体"/>
          <w:color w:val="auto"/>
          <w:szCs w:val="24"/>
        </w:rPr>
      </w:pPr>
      <w:r>
        <w:rPr>
          <w:rFonts w:ascii="宋体" w:hAnsi="宋体" w:cs="宋体"/>
          <w:color w:val="auto"/>
          <w:szCs w:val="24"/>
        </w:rPr>
        <w:t>2.</w:t>
      </w:r>
      <w:r>
        <w:rPr>
          <w:rFonts w:hint="eastAsia" w:ascii="宋体" w:hAnsi="宋体" w:cs="宋体"/>
          <w:color w:val="auto"/>
          <w:szCs w:val="24"/>
        </w:rPr>
        <w:t>来源地</w:t>
      </w:r>
    </w:p>
    <w:p>
      <w:pPr>
        <w:spacing w:line="420" w:lineRule="exact"/>
        <w:ind w:firstLine="480"/>
        <w:rPr>
          <w:rFonts w:ascii="宋体" w:cs="宋体"/>
          <w:color w:val="auto"/>
          <w:szCs w:val="24"/>
        </w:rPr>
      </w:pPr>
      <w:r>
        <w:rPr>
          <w:rFonts w:hint="eastAsia" w:ascii="宋体" w:hAnsi="宋体" w:cs="宋体"/>
          <w:color w:val="auto"/>
          <w:szCs w:val="24"/>
        </w:rPr>
        <w:t>本条所述的“来源地</w:t>
      </w:r>
      <w:r>
        <w:rPr>
          <w:rFonts w:hint="eastAsia" w:ascii="宋体" w:cs="宋体"/>
          <w:color w:val="auto"/>
          <w:szCs w:val="24"/>
        </w:rPr>
        <w:t>”</w:t>
      </w:r>
      <w:r>
        <w:rPr>
          <w:rFonts w:hint="eastAsia" w:ascii="宋体" w:hAnsi="宋体" w:cs="宋体"/>
          <w:color w:val="auto"/>
          <w:szCs w:val="24"/>
        </w:rPr>
        <w:t>是指提供服务的来源地。服务的来源地有别于受托方的国籍。</w:t>
      </w:r>
    </w:p>
    <w:p>
      <w:pPr>
        <w:spacing w:line="420" w:lineRule="exact"/>
        <w:ind w:firstLine="480"/>
        <w:rPr>
          <w:rFonts w:ascii="宋体" w:cs="宋体"/>
          <w:color w:val="auto"/>
          <w:szCs w:val="24"/>
        </w:rPr>
      </w:pPr>
      <w:r>
        <w:rPr>
          <w:rFonts w:ascii="宋体" w:hAnsi="宋体" w:cs="宋体"/>
          <w:color w:val="auto"/>
          <w:szCs w:val="24"/>
        </w:rPr>
        <w:t>3.</w:t>
      </w:r>
      <w:r>
        <w:rPr>
          <w:rFonts w:hint="eastAsia" w:ascii="宋体" w:hAnsi="宋体" w:cs="宋体"/>
          <w:color w:val="auto"/>
          <w:szCs w:val="24"/>
        </w:rPr>
        <w:t>技术范围与服务内容</w:t>
      </w:r>
    </w:p>
    <w:p>
      <w:pPr>
        <w:spacing w:line="420" w:lineRule="exact"/>
        <w:ind w:firstLine="480"/>
        <w:rPr>
          <w:rFonts w:ascii="宋体" w:cs="宋体"/>
          <w:color w:val="auto"/>
          <w:szCs w:val="24"/>
        </w:rPr>
      </w:pPr>
      <w:r>
        <w:rPr>
          <w:rFonts w:ascii="宋体" w:hAnsi="宋体" w:cs="宋体"/>
          <w:color w:val="auto"/>
          <w:szCs w:val="24"/>
        </w:rPr>
        <w:t>3.1</w:t>
      </w:r>
      <w:r>
        <w:rPr>
          <w:rFonts w:hint="eastAsia" w:ascii="宋体" w:hAnsi="宋体" w:cs="宋体"/>
          <w:color w:val="auto"/>
          <w:szCs w:val="24"/>
        </w:rPr>
        <w:t>投标服务的技术规范应与采购文件规定的技术规范（如果有的话）相一致。若无相应说明，则以国家有关部门最新颁布的相应标准及规范为准。</w:t>
      </w:r>
    </w:p>
    <w:p>
      <w:pPr>
        <w:spacing w:line="420" w:lineRule="exact"/>
        <w:ind w:firstLine="480"/>
        <w:rPr>
          <w:rFonts w:ascii="宋体" w:cs="宋体"/>
          <w:color w:val="auto"/>
          <w:szCs w:val="24"/>
        </w:rPr>
      </w:pPr>
      <w:r>
        <w:rPr>
          <w:rFonts w:ascii="宋体" w:hAnsi="宋体" w:cs="宋体"/>
          <w:color w:val="auto"/>
          <w:szCs w:val="24"/>
        </w:rPr>
        <w:t>3.2</w:t>
      </w:r>
      <w:r>
        <w:rPr>
          <w:rFonts w:hint="eastAsia" w:ascii="宋体" w:hAnsi="宋体" w:cs="宋体"/>
          <w:color w:val="auto"/>
          <w:szCs w:val="24"/>
        </w:rPr>
        <w:t>投标服务的服务内容应与采购文件规定的服务内容及响应文件中的服务指标响应表一致。</w:t>
      </w:r>
    </w:p>
    <w:p>
      <w:pPr>
        <w:spacing w:line="420" w:lineRule="exact"/>
        <w:ind w:firstLine="480"/>
        <w:rPr>
          <w:rFonts w:ascii="宋体" w:cs="宋体"/>
          <w:color w:val="auto"/>
          <w:szCs w:val="24"/>
        </w:rPr>
      </w:pPr>
      <w:r>
        <w:rPr>
          <w:rFonts w:ascii="宋体" w:hAnsi="宋体" w:cs="宋体"/>
          <w:color w:val="auto"/>
          <w:szCs w:val="24"/>
        </w:rPr>
        <w:t>4.</w:t>
      </w:r>
      <w:r>
        <w:rPr>
          <w:rFonts w:hint="eastAsia" w:ascii="宋体" w:hAnsi="宋体" w:cs="宋体"/>
          <w:color w:val="auto"/>
          <w:szCs w:val="24"/>
        </w:rPr>
        <w:t>知识产权</w:t>
      </w:r>
    </w:p>
    <w:p>
      <w:pPr>
        <w:spacing w:line="420" w:lineRule="exact"/>
        <w:ind w:firstLine="480"/>
        <w:rPr>
          <w:rFonts w:ascii="宋体" w:cs="宋体"/>
          <w:color w:val="auto"/>
          <w:szCs w:val="24"/>
        </w:rPr>
      </w:pPr>
      <w:r>
        <w:rPr>
          <w:rFonts w:hint="eastAsia" w:ascii="宋体" w:hAnsi="宋体" w:cs="宋体"/>
          <w:color w:val="auto"/>
          <w:szCs w:val="24"/>
        </w:rPr>
        <w:t>受托方应保证，委托方在其接受该服务或其任何一部分服务时不接受第三方提出的侵犯专利权、著作权、商标权和工业设计权等的起诉。如果任何第三方提出侵权指控，受托方须与第三方交涉并承担由此发生的一切责任，费用和经济赔偿。</w:t>
      </w:r>
    </w:p>
    <w:p>
      <w:pPr>
        <w:spacing w:line="420" w:lineRule="exact"/>
        <w:ind w:firstLine="480"/>
        <w:rPr>
          <w:rFonts w:ascii="宋体" w:cs="宋体"/>
          <w:color w:val="auto"/>
          <w:szCs w:val="24"/>
        </w:rPr>
      </w:pPr>
      <w:r>
        <w:rPr>
          <w:rFonts w:ascii="宋体" w:hAnsi="宋体" w:cs="宋体"/>
          <w:color w:val="auto"/>
          <w:szCs w:val="24"/>
        </w:rPr>
        <w:t>5.</w:t>
      </w:r>
      <w:r>
        <w:rPr>
          <w:rFonts w:hint="eastAsia" w:ascii="宋体" w:hAnsi="宋体" w:cs="宋体"/>
          <w:color w:val="auto"/>
          <w:szCs w:val="24"/>
        </w:rPr>
        <w:t>完成方式</w:t>
      </w:r>
    </w:p>
    <w:p>
      <w:pPr>
        <w:spacing w:line="420" w:lineRule="exact"/>
        <w:ind w:firstLine="480"/>
        <w:rPr>
          <w:rFonts w:ascii="宋体" w:cs="宋体"/>
          <w:color w:val="auto"/>
          <w:szCs w:val="24"/>
        </w:rPr>
      </w:pPr>
      <w:r>
        <w:rPr>
          <w:rFonts w:hint="eastAsia" w:ascii="宋体" w:hAnsi="宋体" w:cs="宋体"/>
          <w:color w:val="auto"/>
          <w:szCs w:val="24"/>
        </w:rPr>
        <w:t>受托方应按照采购文件正文部分</w:t>
      </w:r>
      <w:r>
        <w:rPr>
          <w:rFonts w:hint="eastAsia" w:ascii="宋体" w:cs="宋体"/>
          <w:color w:val="auto"/>
          <w:szCs w:val="24"/>
        </w:rPr>
        <w:t>“</w:t>
      </w:r>
      <w:r>
        <w:rPr>
          <w:rFonts w:hint="eastAsia" w:ascii="宋体" w:hAnsi="宋体" w:cs="宋体"/>
          <w:color w:val="auto"/>
          <w:szCs w:val="24"/>
        </w:rPr>
        <w:t>竞争性磋商须知</w:t>
      </w:r>
      <w:r>
        <w:rPr>
          <w:rFonts w:hint="eastAsia" w:ascii="宋体" w:cs="宋体"/>
          <w:color w:val="auto"/>
          <w:szCs w:val="24"/>
        </w:rPr>
        <w:t>”</w:t>
      </w:r>
      <w:r>
        <w:rPr>
          <w:rFonts w:hint="eastAsia" w:ascii="宋体" w:hAnsi="宋体" w:cs="宋体"/>
          <w:color w:val="auto"/>
          <w:szCs w:val="24"/>
        </w:rPr>
        <w:t>规定的时间和地点完成服务。</w:t>
      </w:r>
    </w:p>
    <w:p>
      <w:pPr>
        <w:spacing w:line="420" w:lineRule="exact"/>
        <w:ind w:firstLine="480"/>
        <w:rPr>
          <w:rFonts w:ascii="宋体" w:cs="宋体"/>
          <w:color w:val="auto"/>
          <w:szCs w:val="24"/>
        </w:rPr>
      </w:pPr>
      <w:r>
        <w:rPr>
          <w:rFonts w:ascii="宋体" w:hAnsi="宋体" w:cs="宋体"/>
          <w:color w:val="auto"/>
          <w:szCs w:val="24"/>
        </w:rPr>
        <w:t>6.</w:t>
      </w:r>
      <w:r>
        <w:rPr>
          <w:rFonts w:hint="eastAsia" w:ascii="宋体" w:hAnsi="宋体" w:cs="宋体"/>
          <w:color w:val="auto"/>
          <w:szCs w:val="24"/>
        </w:rPr>
        <w:t>付款</w:t>
      </w:r>
    </w:p>
    <w:p>
      <w:pPr>
        <w:spacing w:line="420" w:lineRule="exact"/>
        <w:ind w:firstLine="480"/>
        <w:rPr>
          <w:rFonts w:ascii="宋体" w:cs="宋体"/>
          <w:color w:val="auto"/>
          <w:szCs w:val="24"/>
        </w:rPr>
      </w:pPr>
      <w:r>
        <w:rPr>
          <w:rFonts w:hint="eastAsia" w:ascii="宋体" w:hAnsi="宋体" w:cs="宋体"/>
          <w:color w:val="auto"/>
          <w:szCs w:val="24"/>
        </w:rPr>
        <w:t>详见采购文件规定。</w:t>
      </w:r>
    </w:p>
    <w:p>
      <w:pPr>
        <w:spacing w:line="420" w:lineRule="exact"/>
        <w:ind w:firstLine="480"/>
        <w:rPr>
          <w:rFonts w:ascii="宋体" w:cs="宋体"/>
          <w:color w:val="auto"/>
          <w:szCs w:val="24"/>
        </w:rPr>
      </w:pPr>
      <w:r>
        <w:rPr>
          <w:rFonts w:ascii="宋体" w:hAnsi="宋体" w:cs="宋体"/>
          <w:color w:val="auto"/>
          <w:szCs w:val="24"/>
        </w:rPr>
        <w:t>7.</w:t>
      </w:r>
      <w:r>
        <w:rPr>
          <w:rFonts w:hint="eastAsia" w:ascii="宋体" w:hAnsi="宋体" w:cs="宋体"/>
          <w:color w:val="auto"/>
          <w:szCs w:val="24"/>
        </w:rPr>
        <w:t>附带（伴随）服务</w:t>
      </w:r>
    </w:p>
    <w:p>
      <w:pPr>
        <w:spacing w:line="420" w:lineRule="exact"/>
        <w:ind w:firstLine="480"/>
        <w:rPr>
          <w:rFonts w:ascii="宋体" w:cs="宋体"/>
          <w:color w:val="auto"/>
          <w:szCs w:val="24"/>
        </w:rPr>
      </w:pPr>
      <w:r>
        <w:rPr>
          <w:rFonts w:ascii="宋体" w:hAnsi="宋体" w:cs="宋体"/>
          <w:color w:val="auto"/>
          <w:szCs w:val="24"/>
        </w:rPr>
        <w:t>7.1</w:t>
      </w:r>
      <w:r>
        <w:rPr>
          <w:rFonts w:hint="eastAsia" w:ascii="宋体" w:hAnsi="宋体" w:cs="宋体"/>
          <w:color w:val="auto"/>
          <w:szCs w:val="24"/>
        </w:rPr>
        <w:t>附带（伴随）服务的费用应标段括在合同价格中，委托方不在单独的进行支付。</w:t>
      </w:r>
    </w:p>
    <w:p>
      <w:pPr>
        <w:spacing w:line="420" w:lineRule="exact"/>
        <w:ind w:firstLine="480"/>
        <w:rPr>
          <w:rFonts w:ascii="宋体" w:cs="宋体"/>
          <w:color w:val="auto"/>
          <w:szCs w:val="24"/>
        </w:rPr>
      </w:pPr>
      <w:r>
        <w:rPr>
          <w:rFonts w:ascii="宋体" w:hAnsi="宋体" w:cs="宋体"/>
          <w:color w:val="auto"/>
          <w:szCs w:val="24"/>
        </w:rPr>
        <w:t>7.2</w:t>
      </w:r>
      <w:r>
        <w:rPr>
          <w:rFonts w:hint="eastAsia" w:ascii="宋体" w:hAnsi="宋体" w:cs="宋体"/>
          <w:color w:val="auto"/>
          <w:szCs w:val="24"/>
        </w:rPr>
        <w:t>附带（伴随）服务标段（但不限于）</w:t>
      </w:r>
      <w:r>
        <w:rPr>
          <w:rFonts w:ascii="宋体" w:hAnsi="宋体" w:cs="宋体"/>
          <w:color w:val="auto"/>
          <w:szCs w:val="24"/>
        </w:rPr>
        <w:t>:</w:t>
      </w:r>
    </w:p>
    <w:p>
      <w:pPr>
        <w:spacing w:line="420" w:lineRule="exact"/>
        <w:ind w:firstLine="480"/>
        <w:rPr>
          <w:rFonts w:ascii="宋体" w:cs="宋体"/>
          <w:color w:val="auto"/>
          <w:szCs w:val="24"/>
        </w:rPr>
      </w:pPr>
      <w:r>
        <w:rPr>
          <w:rFonts w:hint="eastAsia" w:ascii="宋体" w:hAnsi="宋体" w:cs="宋体"/>
          <w:color w:val="auto"/>
          <w:szCs w:val="24"/>
        </w:rPr>
        <w:t>（</w:t>
      </w:r>
      <w:r>
        <w:rPr>
          <w:rFonts w:ascii="宋体" w:hAnsi="宋体" w:cs="宋体"/>
          <w:color w:val="auto"/>
          <w:szCs w:val="24"/>
        </w:rPr>
        <w:t>1</w:t>
      </w:r>
      <w:r>
        <w:rPr>
          <w:rFonts w:hint="eastAsia" w:ascii="宋体" w:hAnsi="宋体" w:cs="宋体"/>
          <w:color w:val="auto"/>
          <w:szCs w:val="24"/>
        </w:rPr>
        <w:t>）实施或将监督所提供服务的现场组装和启动；</w:t>
      </w:r>
    </w:p>
    <w:p>
      <w:pPr>
        <w:spacing w:line="420" w:lineRule="exact"/>
        <w:ind w:firstLine="480"/>
        <w:rPr>
          <w:rFonts w:ascii="宋体" w:cs="宋体"/>
          <w:color w:val="auto"/>
          <w:szCs w:val="24"/>
        </w:rPr>
      </w:pPr>
      <w:r>
        <w:rPr>
          <w:rFonts w:hint="eastAsia" w:ascii="宋体" w:hAnsi="宋体" w:cs="宋体"/>
          <w:color w:val="auto"/>
          <w:szCs w:val="24"/>
        </w:rPr>
        <w:t>（</w:t>
      </w:r>
      <w:r>
        <w:rPr>
          <w:rFonts w:ascii="宋体" w:hAnsi="宋体" w:cs="宋体"/>
          <w:color w:val="auto"/>
          <w:szCs w:val="24"/>
        </w:rPr>
        <w:t>2</w:t>
      </w:r>
      <w:r>
        <w:rPr>
          <w:rFonts w:hint="eastAsia" w:ascii="宋体" w:hAnsi="宋体" w:cs="宋体"/>
          <w:color w:val="auto"/>
          <w:szCs w:val="24"/>
        </w:rPr>
        <w:t>）提供服务组装和修缮所需的工具；</w:t>
      </w:r>
    </w:p>
    <w:p>
      <w:pPr>
        <w:spacing w:line="420" w:lineRule="exact"/>
        <w:ind w:firstLine="480"/>
        <w:rPr>
          <w:rFonts w:ascii="宋体" w:cs="宋体"/>
          <w:color w:val="auto"/>
          <w:szCs w:val="24"/>
        </w:rPr>
      </w:pPr>
      <w:r>
        <w:rPr>
          <w:rFonts w:hint="eastAsia" w:ascii="宋体" w:hAnsi="宋体" w:cs="宋体"/>
          <w:color w:val="auto"/>
          <w:szCs w:val="24"/>
        </w:rPr>
        <w:t>（</w:t>
      </w:r>
      <w:r>
        <w:rPr>
          <w:rFonts w:ascii="宋体" w:hAnsi="宋体" w:cs="宋体"/>
          <w:color w:val="auto"/>
          <w:szCs w:val="24"/>
        </w:rPr>
        <w:t>3</w:t>
      </w:r>
      <w:r>
        <w:rPr>
          <w:rFonts w:hint="eastAsia" w:ascii="宋体" w:hAnsi="宋体" w:cs="宋体"/>
          <w:color w:val="auto"/>
          <w:szCs w:val="24"/>
        </w:rPr>
        <w:t>）为所供服务提供详细的操作和修缮手册；</w:t>
      </w:r>
    </w:p>
    <w:p>
      <w:pPr>
        <w:spacing w:line="420" w:lineRule="exact"/>
        <w:ind w:firstLine="480"/>
        <w:rPr>
          <w:rFonts w:ascii="宋体" w:cs="宋体"/>
          <w:color w:val="auto"/>
          <w:szCs w:val="24"/>
        </w:rPr>
      </w:pPr>
      <w:r>
        <w:rPr>
          <w:rFonts w:hint="eastAsia" w:ascii="宋体" w:hAnsi="宋体" w:cs="宋体"/>
          <w:color w:val="auto"/>
          <w:szCs w:val="24"/>
        </w:rPr>
        <w:t>（</w:t>
      </w:r>
      <w:r>
        <w:rPr>
          <w:rFonts w:ascii="宋体" w:hAnsi="宋体" w:cs="宋体"/>
          <w:color w:val="auto"/>
          <w:szCs w:val="24"/>
        </w:rPr>
        <w:t>4</w:t>
      </w:r>
      <w:r>
        <w:rPr>
          <w:rFonts w:hint="eastAsia" w:ascii="宋体" w:hAnsi="宋体" w:cs="宋体"/>
          <w:color w:val="auto"/>
          <w:szCs w:val="24"/>
        </w:rPr>
        <w:t>）在双方商定的一定期限内对所提供服务实施运行或监督或修缮，但前提条件是该服务并不能免除受托方在质量保证期内所承担的义务；</w:t>
      </w:r>
    </w:p>
    <w:p>
      <w:pPr>
        <w:spacing w:line="420" w:lineRule="exact"/>
        <w:ind w:firstLine="482"/>
        <w:rPr>
          <w:rFonts w:ascii="宋体" w:cs="宋体"/>
          <w:color w:val="auto"/>
          <w:szCs w:val="24"/>
        </w:rPr>
      </w:pPr>
      <w:r>
        <w:rPr>
          <w:rFonts w:ascii="宋体" w:hAnsi="宋体" w:cs="宋体"/>
          <w:color w:val="auto"/>
          <w:szCs w:val="24"/>
        </w:rPr>
        <w:t>8.</w:t>
      </w:r>
      <w:r>
        <w:rPr>
          <w:rFonts w:hint="eastAsia" w:ascii="宋体" w:hAnsi="宋体" w:cs="宋体"/>
          <w:color w:val="auto"/>
          <w:szCs w:val="24"/>
        </w:rPr>
        <w:t>质量保证期</w:t>
      </w:r>
    </w:p>
    <w:p>
      <w:pPr>
        <w:spacing w:line="420" w:lineRule="exact"/>
        <w:ind w:firstLine="480"/>
        <w:rPr>
          <w:rFonts w:ascii="宋体" w:cs="宋体"/>
          <w:color w:val="auto"/>
          <w:szCs w:val="24"/>
        </w:rPr>
      </w:pPr>
      <w:r>
        <w:rPr>
          <w:rFonts w:ascii="宋体" w:hAnsi="宋体" w:cs="宋体"/>
          <w:color w:val="auto"/>
          <w:szCs w:val="24"/>
        </w:rPr>
        <w:t>8.1</w:t>
      </w:r>
      <w:r>
        <w:rPr>
          <w:rFonts w:hint="eastAsia" w:ascii="宋体" w:hAnsi="宋体" w:cs="宋体"/>
          <w:color w:val="auto"/>
          <w:szCs w:val="24"/>
        </w:rPr>
        <w:t>详见采购文件正文部分。</w:t>
      </w:r>
    </w:p>
    <w:p>
      <w:pPr>
        <w:spacing w:line="420" w:lineRule="exact"/>
        <w:ind w:firstLine="480"/>
        <w:rPr>
          <w:rFonts w:ascii="宋体" w:cs="宋体"/>
          <w:color w:val="auto"/>
          <w:szCs w:val="24"/>
        </w:rPr>
      </w:pPr>
      <w:r>
        <w:rPr>
          <w:rFonts w:ascii="宋体" w:hAnsi="宋体" w:cs="宋体"/>
          <w:color w:val="auto"/>
          <w:szCs w:val="24"/>
        </w:rPr>
        <w:t>8.2</w:t>
      </w:r>
      <w:r>
        <w:rPr>
          <w:rFonts w:hint="eastAsia" w:ascii="宋体" w:hAnsi="宋体" w:cs="宋体"/>
          <w:color w:val="auto"/>
          <w:szCs w:val="24"/>
        </w:rPr>
        <w:t>如果采购文件没有特殊要求，则以受托方在响应文件中提交服务承诺为准。如果在上述的规定中有不一致之处，则以委托方最有利为准。</w:t>
      </w:r>
    </w:p>
    <w:p>
      <w:pPr>
        <w:spacing w:line="420" w:lineRule="exact"/>
        <w:ind w:firstLine="480"/>
        <w:rPr>
          <w:rFonts w:ascii="宋体" w:cs="宋体"/>
          <w:color w:val="auto"/>
          <w:szCs w:val="24"/>
        </w:rPr>
      </w:pPr>
      <w:r>
        <w:rPr>
          <w:rFonts w:ascii="宋体" w:hAnsi="宋体" w:cs="宋体"/>
          <w:color w:val="auto"/>
          <w:szCs w:val="24"/>
        </w:rPr>
        <w:t>9</w:t>
      </w:r>
      <w:r>
        <w:rPr>
          <w:rFonts w:hint="eastAsia" w:ascii="宋体" w:hAnsi="宋体" w:cs="宋体"/>
          <w:color w:val="auto"/>
          <w:szCs w:val="24"/>
        </w:rPr>
        <w:t>质量保证</w:t>
      </w:r>
    </w:p>
    <w:p>
      <w:pPr>
        <w:spacing w:line="420" w:lineRule="exact"/>
        <w:ind w:firstLine="480"/>
        <w:rPr>
          <w:rFonts w:ascii="宋体" w:cs="宋体"/>
          <w:color w:val="auto"/>
          <w:szCs w:val="24"/>
        </w:rPr>
      </w:pPr>
      <w:r>
        <w:rPr>
          <w:rFonts w:ascii="宋体" w:hAnsi="宋体" w:cs="宋体"/>
          <w:color w:val="auto"/>
          <w:szCs w:val="24"/>
        </w:rPr>
        <w:t>9.1</w:t>
      </w:r>
      <w:r>
        <w:rPr>
          <w:rFonts w:hint="eastAsia" w:ascii="宋体" w:hAnsi="宋体" w:cs="宋体"/>
          <w:color w:val="auto"/>
          <w:szCs w:val="24"/>
        </w:rPr>
        <w:t>受托方应保证政府采购合同项下所提供服务是由受托方提供的，并完全符合强制性的国家技术质量规定和政府采购合同规定的质量、性能和技术规范的要求。</w:t>
      </w:r>
    </w:p>
    <w:p>
      <w:pPr>
        <w:spacing w:line="420" w:lineRule="exact"/>
        <w:ind w:firstLine="480"/>
        <w:rPr>
          <w:rFonts w:eastAsia="Times New Roman"/>
          <w:color w:val="auto"/>
          <w:szCs w:val="24"/>
        </w:rPr>
      </w:pPr>
      <w:r>
        <w:rPr>
          <w:rFonts w:eastAsia="Times New Roman"/>
          <w:color w:val="auto"/>
          <w:szCs w:val="24"/>
        </w:rPr>
        <w:t>9.2</w:t>
      </w:r>
      <w:r>
        <w:rPr>
          <w:rFonts w:hint="eastAsia" w:ascii="宋体" w:hAnsi="宋体" w:cs="宋体"/>
          <w:color w:val="auto"/>
          <w:szCs w:val="24"/>
        </w:rPr>
        <w:t>受托方应保证其所提供的服务在服务最终验收合格交付的服务由于设计的缺陷而产生的故障负责。</w:t>
      </w:r>
    </w:p>
    <w:p>
      <w:pPr>
        <w:spacing w:line="420" w:lineRule="exact"/>
        <w:ind w:firstLine="480"/>
        <w:rPr>
          <w:rFonts w:eastAsia="Times New Roman"/>
          <w:color w:val="auto"/>
          <w:szCs w:val="24"/>
        </w:rPr>
      </w:pPr>
      <w:r>
        <w:rPr>
          <w:rFonts w:eastAsia="Times New Roman"/>
          <w:color w:val="auto"/>
          <w:szCs w:val="24"/>
        </w:rPr>
        <w:t>9.3</w:t>
      </w:r>
      <w:r>
        <w:rPr>
          <w:rFonts w:hint="eastAsia" w:ascii="宋体" w:hAnsi="宋体" w:cs="宋体"/>
          <w:color w:val="auto"/>
          <w:szCs w:val="24"/>
        </w:rPr>
        <w:t>根据委托方按检验标准自己检验结果或委托有资质的相关质检机构的检验结果，发现服务的质量或性能与政府采购合同不符；或者在质量保证期内，证实服务是存在缺陷（标段潜在的缺陷等），委托方应尽快以书面形式通知受托方。受托方在收到通知后应在政府采购合同规定的期限内免费修缮或更换有缺陷的部分。</w:t>
      </w:r>
    </w:p>
    <w:p>
      <w:pPr>
        <w:spacing w:line="420" w:lineRule="exact"/>
        <w:ind w:firstLine="480"/>
        <w:rPr>
          <w:rFonts w:eastAsia="Times New Roman"/>
          <w:color w:val="auto"/>
          <w:szCs w:val="24"/>
        </w:rPr>
      </w:pPr>
      <w:r>
        <w:rPr>
          <w:rFonts w:eastAsia="Times New Roman"/>
          <w:color w:val="auto"/>
          <w:szCs w:val="24"/>
        </w:rPr>
        <w:t>9.4</w:t>
      </w:r>
      <w:r>
        <w:rPr>
          <w:rFonts w:hint="eastAsia" w:ascii="宋体" w:hAnsi="宋体" w:cs="宋体"/>
          <w:color w:val="auto"/>
          <w:szCs w:val="24"/>
        </w:rPr>
        <w:t>如果受托方在收到通知后在政府采购合同规定的时间内，没有弥补缺陷，委托方可采取必要的补救措施，但由此引发的风险和费用有受托方承担。</w:t>
      </w:r>
    </w:p>
    <w:p>
      <w:pPr>
        <w:spacing w:line="420" w:lineRule="exact"/>
        <w:ind w:firstLine="480"/>
        <w:outlineLvl w:val="0"/>
        <w:rPr>
          <w:rFonts w:eastAsia="Times New Roman"/>
          <w:color w:val="auto"/>
          <w:szCs w:val="24"/>
        </w:rPr>
      </w:pPr>
      <w:r>
        <w:rPr>
          <w:rFonts w:eastAsia="Times New Roman"/>
          <w:color w:val="auto"/>
          <w:szCs w:val="24"/>
        </w:rPr>
        <w:t>10.</w:t>
      </w:r>
      <w:r>
        <w:rPr>
          <w:rFonts w:hint="eastAsia" w:ascii="宋体" w:hAnsi="宋体" w:cs="宋体"/>
          <w:color w:val="auto"/>
          <w:szCs w:val="24"/>
        </w:rPr>
        <w:t>检验和验收</w:t>
      </w:r>
    </w:p>
    <w:p>
      <w:pPr>
        <w:spacing w:line="420" w:lineRule="exact"/>
        <w:ind w:firstLine="480"/>
        <w:rPr>
          <w:rFonts w:eastAsia="Times New Roman"/>
          <w:color w:val="auto"/>
          <w:szCs w:val="24"/>
        </w:rPr>
      </w:pPr>
      <w:r>
        <w:rPr>
          <w:rFonts w:eastAsia="Times New Roman"/>
          <w:color w:val="auto"/>
          <w:szCs w:val="24"/>
        </w:rPr>
        <w:t>10.1</w:t>
      </w:r>
      <w:r>
        <w:rPr>
          <w:rFonts w:hint="eastAsia" w:ascii="宋体" w:hAnsi="宋体" w:cs="宋体"/>
          <w:color w:val="auto"/>
          <w:szCs w:val="24"/>
        </w:rPr>
        <w:t>完成服务后，委托方或采购代理机构（有具体项目决定）应在采购合同规定的时间内组织验收，并在</w:t>
      </w:r>
      <w:r>
        <w:rPr>
          <w:rFonts w:eastAsia="Times New Roman"/>
          <w:color w:val="auto"/>
          <w:szCs w:val="24"/>
        </w:rPr>
        <w:t>“</w:t>
      </w:r>
      <w:r>
        <w:rPr>
          <w:rFonts w:hint="eastAsia" w:ascii="宋体" w:hAnsi="宋体" w:cs="宋体"/>
          <w:color w:val="auto"/>
          <w:szCs w:val="24"/>
        </w:rPr>
        <w:t>采购项目验收报告单</w:t>
      </w:r>
      <w:r>
        <w:rPr>
          <w:rFonts w:eastAsia="Times New Roman"/>
          <w:color w:val="auto"/>
          <w:szCs w:val="24"/>
        </w:rPr>
        <w:t>”</w:t>
      </w:r>
      <w:r>
        <w:rPr>
          <w:rFonts w:hint="eastAsia" w:ascii="宋体" w:hAnsi="宋体" w:cs="宋体"/>
          <w:color w:val="auto"/>
          <w:szCs w:val="24"/>
        </w:rPr>
        <w:t>上签字。</w:t>
      </w:r>
      <w:r>
        <w:rPr>
          <w:rFonts w:eastAsia="Times New Roman"/>
          <w:color w:val="auto"/>
          <w:szCs w:val="24"/>
        </w:rPr>
        <w:t>“</w:t>
      </w:r>
      <w:r>
        <w:rPr>
          <w:rFonts w:hint="eastAsia" w:ascii="宋体" w:hAnsi="宋体" w:cs="宋体"/>
          <w:color w:val="auto"/>
          <w:szCs w:val="24"/>
        </w:rPr>
        <w:t>采购项目验收报告单</w:t>
      </w:r>
      <w:r>
        <w:rPr>
          <w:rFonts w:eastAsia="Times New Roman"/>
          <w:color w:val="auto"/>
          <w:szCs w:val="24"/>
        </w:rPr>
        <w:t>”</w:t>
      </w:r>
      <w:r>
        <w:rPr>
          <w:rFonts w:hint="eastAsia" w:ascii="宋体" w:hAnsi="宋体" w:cs="宋体"/>
          <w:color w:val="auto"/>
          <w:szCs w:val="24"/>
        </w:rPr>
        <w:t>将作为申请付款文件的一部分。</w:t>
      </w:r>
    </w:p>
    <w:p>
      <w:pPr>
        <w:spacing w:line="420" w:lineRule="exact"/>
        <w:ind w:firstLine="480"/>
        <w:rPr>
          <w:rFonts w:eastAsia="Times New Roman"/>
          <w:color w:val="auto"/>
          <w:szCs w:val="24"/>
        </w:rPr>
      </w:pPr>
      <w:r>
        <w:rPr>
          <w:rFonts w:eastAsia="Times New Roman"/>
          <w:color w:val="auto"/>
          <w:szCs w:val="24"/>
        </w:rPr>
        <w:t>10.2</w:t>
      </w:r>
      <w:r>
        <w:rPr>
          <w:rFonts w:hint="eastAsia" w:ascii="宋体" w:hAnsi="宋体" w:cs="宋体"/>
          <w:color w:val="auto"/>
          <w:szCs w:val="24"/>
        </w:rPr>
        <w:t>如果任何被检验或检测的服务不能满足采购文件规定的技术规格要求，委托方可以拒绝该服务，受托方应更换被拒接的服务，或者免费进行必要的修缮，以满足采购文件规定的技术规格的要求。</w:t>
      </w:r>
    </w:p>
    <w:p>
      <w:pPr>
        <w:spacing w:line="420" w:lineRule="exact"/>
        <w:ind w:firstLine="480"/>
        <w:rPr>
          <w:rFonts w:eastAsia="Times New Roman"/>
          <w:color w:val="auto"/>
          <w:szCs w:val="24"/>
        </w:rPr>
      </w:pPr>
      <w:r>
        <w:rPr>
          <w:rFonts w:eastAsia="Times New Roman"/>
          <w:color w:val="auto"/>
          <w:szCs w:val="24"/>
        </w:rPr>
        <w:t>10.3</w:t>
      </w:r>
      <w:r>
        <w:rPr>
          <w:rFonts w:hint="eastAsia" w:ascii="宋体" w:hAnsi="宋体" w:cs="宋体"/>
          <w:color w:val="auto"/>
          <w:szCs w:val="24"/>
        </w:rPr>
        <w:t>有委托方或采购代理机构按《河南省政府采购项目履约验收程序规范》规定组织对服务进行检查验收，发生的相关费用有受托方承担。</w:t>
      </w:r>
    </w:p>
    <w:p>
      <w:pPr>
        <w:spacing w:line="420" w:lineRule="exact"/>
        <w:ind w:firstLine="480"/>
        <w:outlineLvl w:val="0"/>
        <w:rPr>
          <w:rFonts w:eastAsia="Times New Roman"/>
          <w:color w:val="auto"/>
          <w:szCs w:val="24"/>
        </w:rPr>
      </w:pPr>
      <w:r>
        <w:rPr>
          <w:rFonts w:eastAsia="Times New Roman"/>
          <w:color w:val="auto"/>
          <w:szCs w:val="24"/>
        </w:rPr>
        <w:t>11.</w:t>
      </w:r>
      <w:r>
        <w:rPr>
          <w:rFonts w:hint="eastAsia" w:ascii="宋体" w:hAnsi="宋体" w:cs="宋体"/>
          <w:color w:val="auto"/>
          <w:szCs w:val="24"/>
        </w:rPr>
        <w:t>索赔</w:t>
      </w:r>
    </w:p>
    <w:p>
      <w:pPr>
        <w:spacing w:line="420" w:lineRule="exact"/>
        <w:ind w:firstLine="480"/>
        <w:rPr>
          <w:rFonts w:eastAsia="Times New Roman"/>
          <w:color w:val="auto"/>
          <w:szCs w:val="24"/>
        </w:rPr>
      </w:pPr>
      <w:r>
        <w:rPr>
          <w:rFonts w:eastAsia="Times New Roman"/>
          <w:color w:val="auto"/>
          <w:szCs w:val="24"/>
        </w:rPr>
        <w:t>11.1</w:t>
      </w:r>
      <w:r>
        <w:rPr>
          <w:rFonts w:hint="eastAsia" w:ascii="宋体" w:hAnsi="宋体" w:cs="宋体"/>
          <w:color w:val="auto"/>
          <w:szCs w:val="24"/>
        </w:rPr>
        <w:t>如果服务的质量、数量、性能等与政府采购合同不符，或在规定的质量保证期内证实服务存在缺陷（标段潜在缺陷等）委托方有权根据有资质的质检机构的检验结果向受托方提出索赔。</w:t>
      </w:r>
    </w:p>
    <w:p>
      <w:pPr>
        <w:spacing w:line="420" w:lineRule="exact"/>
        <w:ind w:firstLine="480"/>
        <w:rPr>
          <w:rFonts w:ascii="宋体" w:cs="宋体"/>
          <w:color w:val="auto"/>
          <w:szCs w:val="24"/>
        </w:rPr>
      </w:pPr>
      <w:r>
        <w:rPr>
          <w:rFonts w:eastAsia="Times New Roman"/>
          <w:color w:val="auto"/>
          <w:szCs w:val="24"/>
        </w:rPr>
        <w:t>11.2</w:t>
      </w:r>
      <w:r>
        <w:rPr>
          <w:rFonts w:hint="eastAsia" w:ascii="宋体" w:hAnsi="宋体" w:cs="宋体"/>
          <w:color w:val="auto"/>
          <w:szCs w:val="24"/>
        </w:rPr>
        <w:t>在政府合同规定的验收期和质量保证期内，如果受托方对委托方提出的索赔负有责任，受托方应该按照委托方同意的方式解决索赔事宜。</w:t>
      </w:r>
    </w:p>
    <w:p>
      <w:pPr>
        <w:spacing w:line="420" w:lineRule="exact"/>
        <w:ind w:firstLine="480"/>
        <w:rPr>
          <w:rFonts w:ascii="宋体" w:cs="宋体"/>
          <w:color w:val="auto"/>
          <w:szCs w:val="24"/>
        </w:rPr>
      </w:pPr>
      <w:r>
        <w:rPr>
          <w:rFonts w:eastAsia="Times New Roman"/>
          <w:color w:val="auto"/>
          <w:szCs w:val="24"/>
        </w:rPr>
        <w:t>11.3</w:t>
      </w:r>
      <w:r>
        <w:rPr>
          <w:rFonts w:hint="eastAsia" w:ascii="宋体" w:hAnsi="宋体" w:cs="宋体"/>
          <w:color w:val="auto"/>
          <w:szCs w:val="24"/>
        </w:rPr>
        <w:t>如果受托方在政府采购合同规定的索赔通知期限内，未对委托方的索赔通知做出答复，则上述索赔应视为已被受托方接受，如受托方未能在委托方提出的在政府采购合同规定的期限内或委托方同意的更长时间内，按照本政府采购合同</w:t>
      </w:r>
      <w:r>
        <w:rPr>
          <w:rFonts w:hint="eastAsia" w:ascii="宋体" w:hAnsi="宋体" w:cs="宋体"/>
          <w:color w:val="auto"/>
          <w:szCs w:val="24"/>
        </w:rPr>
        <w:t>履行</w:t>
      </w:r>
      <w:r>
        <w:rPr>
          <w:rFonts w:hint="eastAsia" w:ascii="宋体" w:hAnsi="宋体" w:cs="宋体"/>
          <w:color w:val="auto"/>
          <w:szCs w:val="24"/>
        </w:rPr>
        <w:t>。</w:t>
      </w:r>
    </w:p>
    <w:p>
      <w:pPr>
        <w:spacing w:line="420" w:lineRule="exact"/>
        <w:ind w:firstLine="480"/>
        <w:rPr>
          <w:rFonts w:ascii="宋体" w:cs="宋体"/>
          <w:color w:val="auto"/>
          <w:szCs w:val="24"/>
        </w:rPr>
      </w:pPr>
      <w:r>
        <w:rPr>
          <w:rFonts w:eastAsia="Times New Roman"/>
          <w:color w:val="auto"/>
          <w:szCs w:val="24"/>
        </w:rPr>
        <w:t>11.2</w:t>
      </w:r>
      <w:r>
        <w:rPr>
          <w:rFonts w:hint="eastAsia" w:ascii="宋体" w:hAnsi="宋体" w:cs="宋体"/>
          <w:color w:val="auto"/>
          <w:szCs w:val="24"/>
        </w:rPr>
        <w:t>条确定的方式解决索赔事宜，委托方将从受托方的履约保证金或者应支付给受托方的合同款项中扣回索赔金额，如果这些金额不足以补偿索赔金额，委托方有权向受托方提出不足部分的补偿。</w:t>
      </w:r>
    </w:p>
    <w:p>
      <w:pPr>
        <w:spacing w:line="420" w:lineRule="exact"/>
        <w:ind w:firstLine="480"/>
        <w:rPr>
          <w:rFonts w:ascii="宋体" w:cs="宋体"/>
          <w:color w:val="auto"/>
          <w:szCs w:val="24"/>
        </w:rPr>
      </w:pPr>
      <w:r>
        <w:rPr>
          <w:rFonts w:ascii="宋体" w:hAnsi="宋体" w:cs="宋体"/>
          <w:color w:val="auto"/>
          <w:szCs w:val="24"/>
        </w:rPr>
        <w:t>12.</w:t>
      </w:r>
      <w:r>
        <w:rPr>
          <w:rFonts w:hint="eastAsia" w:ascii="宋体" w:hAnsi="宋体" w:cs="宋体"/>
          <w:color w:val="auto"/>
          <w:szCs w:val="24"/>
        </w:rPr>
        <w:t>受托方履约延误和误期赔偿</w:t>
      </w:r>
    </w:p>
    <w:p>
      <w:pPr>
        <w:spacing w:line="420" w:lineRule="exact"/>
        <w:ind w:firstLine="480"/>
        <w:rPr>
          <w:rFonts w:ascii="宋体" w:cs="宋体"/>
          <w:color w:val="auto"/>
          <w:szCs w:val="24"/>
        </w:rPr>
      </w:pPr>
      <w:r>
        <w:rPr>
          <w:rFonts w:ascii="宋体" w:hAnsi="宋体" w:cs="宋体"/>
          <w:color w:val="auto"/>
          <w:szCs w:val="24"/>
        </w:rPr>
        <w:t>12.1</w:t>
      </w:r>
      <w:r>
        <w:rPr>
          <w:rFonts w:hint="eastAsia" w:ascii="宋体" w:hAnsi="宋体" w:cs="宋体"/>
          <w:color w:val="auto"/>
          <w:szCs w:val="24"/>
        </w:rPr>
        <w:t>如受托方无正当理由而拖延提供服务，委托方有权提出误期赔偿或解除政府采购合同。</w:t>
      </w:r>
    </w:p>
    <w:p>
      <w:pPr>
        <w:spacing w:line="420" w:lineRule="exact"/>
        <w:ind w:firstLine="480"/>
        <w:rPr>
          <w:rFonts w:eastAsia="Times New Roman"/>
          <w:color w:val="auto"/>
          <w:szCs w:val="24"/>
        </w:rPr>
      </w:pPr>
      <w:r>
        <w:rPr>
          <w:rFonts w:eastAsia="Times New Roman"/>
          <w:color w:val="auto"/>
          <w:szCs w:val="24"/>
        </w:rPr>
        <w:t>12.2</w:t>
      </w:r>
      <w:r>
        <w:rPr>
          <w:rFonts w:hint="eastAsia" w:ascii="宋体" w:hAnsi="宋体" w:cs="宋体"/>
          <w:color w:val="auto"/>
          <w:szCs w:val="24"/>
        </w:rPr>
        <w:t>在履行政府采购合同过程中，如果受托方遇到妨碍按时提供服务的情况时，应及时以书面形式将拖延的事实，可能拖延的期限和理由通知委托方。委托方在收到受委托方通知后，应尽快对情况进行评价，并确定是否通过政府采购合同，酌情延长提供服务时间。</w:t>
      </w:r>
    </w:p>
    <w:p>
      <w:pPr>
        <w:spacing w:line="420" w:lineRule="exact"/>
        <w:ind w:firstLine="480"/>
        <w:rPr>
          <w:rFonts w:eastAsia="Times New Roman"/>
          <w:color w:val="auto"/>
          <w:szCs w:val="24"/>
        </w:rPr>
      </w:pPr>
      <w:r>
        <w:rPr>
          <w:rFonts w:eastAsia="Times New Roman"/>
          <w:color w:val="auto"/>
          <w:szCs w:val="24"/>
        </w:rPr>
        <w:t>12.3</w:t>
      </w:r>
      <w:r>
        <w:rPr>
          <w:rFonts w:hint="eastAsia" w:ascii="宋体" w:hAnsi="宋体" w:cs="宋体"/>
          <w:color w:val="auto"/>
          <w:szCs w:val="24"/>
        </w:rPr>
        <w:t>除本合同条款第</w:t>
      </w:r>
      <w:r>
        <w:rPr>
          <w:rFonts w:eastAsia="Times New Roman"/>
          <w:color w:val="auto"/>
          <w:szCs w:val="24"/>
        </w:rPr>
        <w:t>13</w:t>
      </w:r>
      <w:r>
        <w:rPr>
          <w:rFonts w:hint="eastAsia" w:ascii="宋体" w:hAnsi="宋体" w:cs="宋体"/>
          <w:color w:val="auto"/>
          <w:szCs w:val="24"/>
        </w:rPr>
        <w:t>条规定外，如果受托方没有按照采购规定的时间提供服务，委托方可以要求受托方支付违约金。违约金按约定计收，但违约金的最高限额为未提供服务的合同价格的</w:t>
      </w:r>
      <w:r>
        <w:rPr>
          <w:rFonts w:eastAsia="Times New Roman"/>
          <w:color w:val="auto"/>
          <w:szCs w:val="24"/>
        </w:rPr>
        <w:t>5%</w:t>
      </w:r>
      <w:r>
        <w:rPr>
          <w:rFonts w:hint="eastAsia" w:ascii="宋体" w:hAnsi="宋体" w:cs="宋体"/>
          <w:color w:val="auto"/>
          <w:szCs w:val="24"/>
        </w:rPr>
        <w:t>。一周按</w:t>
      </w:r>
      <w:r>
        <w:rPr>
          <w:rFonts w:eastAsia="Times New Roman"/>
          <w:color w:val="auto"/>
          <w:szCs w:val="24"/>
        </w:rPr>
        <w:t>7</w:t>
      </w:r>
      <w:r>
        <w:rPr>
          <w:rFonts w:hint="eastAsia" w:ascii="宋体" w:hAnsi="宋体" w:cs="宋体"/>
          <w:color w:val="auto"/>
          <w:szCs w:val="24"/>
        </w:rPr>
        <w:t>天计算，不足</w:t>
      </w:r>
      <w:r>
        <w:rPr>
          <w:rFonts w:eastAsia="Times New Roman"/>
          <w:color w:val="auto"/>
          <w:szCs w:val="24"/>
        </w:rPr>
        <w:t>7</w:t>
      </w:r>
      <w:r>
        <w:rPr>
          <w:rFonts w:hint="eastAsia" w:ascii="宋体" w:hAnsi="宋体" w:cs="宋体"/>
          <w:color w:val="auto"/>
          <w:szCs w:val="24"/>
        </w:rPr>
        <w:t>天的按一周计算。如果达到最高限额，委托方有权解除政府采购合同。</w:t>
      </w:r>
    </w:p>
    <w:p>
      <w:pPr>
        <w:spacing w:line="420" w:lineRule="exact"/>
        <w:ind w:firstLine="480"/>
        <w:outlineLvl w:val="0"/>
        <w:rPr>
          <w:rFonts w:eastAsia="Times New Roman"/>
          <w:color w:val="auto"/>
          <w:szCs w:val="24"/>
        </w:rPr>
      </w:pPr>
      <w:r>
        <w:rPr>
          <w:rFonts w:eastAsia="Times New Roman"/>
          <w:color w:val="auto"/>
          <w:szCs w:val="24"/>
        </w:rPr>
        <w:t>13.</w:t>
      </w:r>
      <w:r>
        <w:rPr>
          <w:rFonts w:hint="eastAsia" w:ascii="宋体" w:hAnsi="宋体" w:cs="宋体"/>
          <w:color w:val="auto"/>
          <w:szCs w:val="24"/>
        </w:rPr>
        <w:t>不可抗力</w:t>
      </w:r>
    </w:p>
    <w:p>
      <w:pPr>
        <w:spacing w:line="420" w:lineRule="exact"/>
        <w:ind w:firstLine="480"/>
        <w:rPr>
          <w:rFonts w:eastAsia="Times New Roman"/>
          <w:color w:val="auto"/>
          <w:szCs w:val="24"/>
        </w:rPr>
      </w:pPr>
      <w:r>
        <w:rPr>
          <w:rFonts w:eastAsia="Times New Roman"/>
          <w:color w:val="auto"/>
          <w:szCs w:val="24"/>
        </w:rPr>
        <w:t>13.1</w:t>
      </w:r>
      <w:r>
        <w:rPr>
          <w:rFonts w:hint="eastAsia" w:ascii="宋体" w:hAnsi="宋体" w:cs="宋体"/>
          <w:color w:val="auto"/>
          <w:szCs w:val="24"/>
        </w:rPr>
        <w:t>尽管有本合同条款第</w:t>
      </w:r>
      <w:r>
        <w:rPr>
          <w:rFonts w:eastAsia="Times New Roman"/>
          <w:color w:val="auto"/>
          <w:szCs w:val="24"/>
        </w:rPr>
        <w:t>11</w:t>
      </w:r>
      <w:r>
        <w:rPr>
          <w:rFonts w:hint="eastAsia" w:ascii="宋体" w:hAnsi="宋体" w:cs="宋体"/>
          <w:color w:val="auto"/>
          <w:szCs w:val="24"/>
        </w:rPr>
        <w:t>条和第</w:t>
      </w:r>
      <w:r>
        <w:rPr>
          <w:rFonts w:eastAsia="Times New Roman"/>
          <w:color w:val="auto"/>
          <w:szCs w:val="24"/>
        </w:rPr>
        <w:t>12</w:t>
      </w:r>
      <w:r>
        <w:rPr>
          <w:rFonts w:hint="eastAsia" w:ascii="宋体" w:hAnsi="宋体" w:cs="宋体"/>
          <w:color w:val="auto"/>
          <w:szCs w:val="24"/>
        </w:rPr>
        <w:t>条的规定，如果受托方因不可抗力而导致政府采购合同实施延误或不能履行政府采购合同义务的话，在不可抗力影响的范围内受托方的履约保证金或者应支付给受托方的合同款项不能被没收，也不应该承担违约赔偿或终止政府采购合同的责任。</w:t>
      </w:r>
    </w:p>
    <w:p>
      <w:pPr>
        <w:spacing w:line="420" w:lineRule="exact"/>
        <w:ind w:firstLine="480"/>
        <w:rPr>
          <w:rFonts w:eastAsia="Times New Roman"/>
          <w:color w:val="auto"/>
          <w:szCs w:val="24"/>
        </w:rPr>
      </w:pPr>
      <w:r>
        <w:rPr>
          <w:rFonts w:eastAsia="Times New Roman"/>
          <w:color w:val="auto"/>
          <w:szCs w:val="24"/>
        </w:rPr>
        <w:t>13.2</w:t>
      </w:r>
      <w:r>
        <w:rPr>
          <w:rFonts w:hint="eastAsia" w:ascii="宋体" w:hAnsi="宋体" w:cs="宋体"/>
          <w:color w:val="auto"/>
          <w:szCs w:val="24"/>
        </w:rPr>
        <w:t>本条所述的</w:t>
      </w:r>
      <w:r>
        <w:rPr>
          <w:rFonts w:eastAsia="Times New Roman"/>
          <w:color w:val="auto"/>
          <w:szCs w:val="24"/>
        </w:rPr>
        <w:t>“</w:t>
      </w:r>
      <w:r>
        <w:rPr>
          <w:rFonts w:hint="eastAsia" w:ascii="宋体" w:hAnsi="宋体" w:cs="宋体"/>
          <w:color w:val="auto"/>
          <w:szCs w:val="24"/>
        </w:rPr>
        <w:t>不可抗力</w:t>
      </w:r>
      <w:r>
        <w:rPr>
          <w:rFonts w:eastAsia="Times New Roman"/>
          <w:color w:val="auto"/>
          <w:szCs w:val="24"/>
        </w:rPr>
        <w:t>”</w:t>
      </w:r>
      <w:r>
        <w:rPr>
          <w:rFonts w:hint="eastAsia" w:ascii="宋体" w:hAnsi="宋体" w:cs="宋体"/>
          <w:color w:val="auto"/>
          <w:szCs w:val="24"/>
        </w:rPr>
        <w:t>是指那些受托方无法控制、不可预见的事件，但不包括标段受托方的违约或疏忽。不可抗力事件标段，但不限于：战争、严重火灾、洪水、台风、地震、防疫限制和禁运及其他双方商定的事件。</w:t>
      </w:r>
    </w:p>
    <w:p>
      <w:pPr>
        <w:spacing w:line="420" w:lineRule="exact"/>
        <w:ind w:firstLine="480"/>
        <w:rPr>
          <w:rFonts w:eastAsia="Times New Roman"/>
          <w:color w:val="auto"/>
          <w:szCs w:val="24"/>
        </w:rPr>
      </w:pPr>
      <w:r>
        <w:rPr>
          <w:rFonts w:eastAsia="Times New Roman"/>
          <w:color w:val="auto"/>
          <w:szCs w:val="24"/>
        </w:rPr>
        <w:t>13.3</w:t>
      </w:r>
      <w:r>
        <w:rPr>
          <w:rFonts w:hint="eastAsia" w:ascii="宋体" w:hAnsi="宋体" w:cs="宋体"/>
          <w:color w:val="auto"/>
          <w:szCs w:val="24"/>
        </w:rPr>
        <w:t>在不可抗力事件发生后，受托方应尽快以书面形式将不可抗力的情况和原因通知委托方。除委托方书面另行通知要求外，受托方应尽可能继续履行政府采购合同义务，以及寻求采取合理的方案，履行不受不可抗力影响的其他事项。如果不可抗力事件影响延续超过</w:t>
      </w:r>
      <w:r>
        <w:rPr>
          <w:rFonts w:eastAsia="Times New Roman"/>
          <w:color w:val="auto"/>
          <w:szCs w:val="24"/>
        </w:rPr>
        <w:t>120</w:t>
      </w:r>
      <w:r>
        <w:rPr>
          <w:rFonts w:hint="eastAsia" w:ascii="宋体" w:hAnsi="宋体" w:cs="宋体"/>
          <w:color w:val="auto"/>
          <w:szCs w:val="24"/>
        </w:rPr>
        <w:t>天，双方应通过友好协商在合理的时间内就进一步实施政府采购合同达成协议。</w:t>
      </w:r>
    </w:p>
    <w:p>
      <w:pPr>
        <w:spacing w:line="420" w:lineRule="exact"/>
        <w:ind w:firstLine="480"/>
        <w:rPr>
          <w:rFonts w:eastAsia="Times New Roman"/>
          <w:color w:val="auto"/>
          <w:szCs w:val="24"/>
        </w:rPr>
      </w:pPr>
      <w:r>
        <w:rPr>
          <w:rFonts w:eastAsia="Times New Roman"/>
          <w:color w:val="auto"/>
          <w:szCs w:val="24"/>
        </w:rPr>
        <w:t>13.4</w:t>
      </w:r>
      <w:r>
        <w:rPr>
          <w:rFonts w:hint="eastAsia" w:ascii="宋体" w:hAnsi="宋体" w:cs="宋体"/>
          <w:color w:val="auto"/>
          <w:szCs w:val="24"/>
        </w:rPr>
        <w:t>不可抗力时政府采购合同的某些内容有变更必要的，双方应通过协商达成进一步履行政府采购合同协议，因不可抗力致使政府采购合同不能履行的，政府采购合同终止。</w:t>
      </w:r>
    </w:p>
    <w:p>
      <w:pPr>
        <w:spacing w:line="420" w:lineRule="exact"/>
        <w:ind w:firstLine="480"/>
        <w:outlineLvl w:val="0"/>
        <w:rPr>
          <w:rFonts w:eastAsia="Times New Roman"/>
          <w:color w:val="auto"/>
          <w:szCs w:val="24"/>
        </w:rPr>
      </w:pPr>
      <w:r>
        <w:rPr>
          <w:rFonts w:eastAsia="Times New Roman"/>
          <w:color w:val="auto"/>
          <w:szCs w:val="24"/>
        </w:rPr>
        <w:t>14.</w:t>
      </w:r>
      <w:r>
        <w:rPr>
          <w:rFonts w:hint="eastAsia" w:ascii="宋体" w:hAnsi="宋体" w:cs="宋体"/>
          <w:color w:val="auto"/>
          <w:szCs w:val="24"/>
        </w:rPr>
        <w:t>税费</w:t>
      </w:r>
    </w:p>
    <w:p>
      <w:pPr>
        <w:spacing w:line="420" w:lineRule="exact"/>
        <w:ind w:firstLine="480"/>
        <w:rPr>
          <w:rFonts w:eastAsia="Times New Roman"/>
          <w:color w:val="auto"/>
          <w:szCs w:val="24"/>
        </w:rPr>
      </w:pPr>
      <w:r>
        <w:rPr>
          <w:rFonts w:hint="eastAsia" w:ascii="宋体" w:hAnsi="宋体" w:cs="宋体"/>
          <w:color w:val="auto"/>
          <w:szCs w:val="24"/>
        </w:rPr>
        <w:t>与政府采购合同的一切税费均适用于中华人民共和国法律的相关规定。</w:t>
      </w:r>
    </w:p>
    <w:p>
      <w:pPr>
        <w:spacing w:line="420" w:lineRule="exact"/>
        <w:ind w:firstLine="480"/>
        <w:outlineLvl w:val="0"/>
        <w:rPr>
          <w:rFonts w:eastAsia="Times New Roman"/>
          <w:color w:val="auto"/>
          <w:szCs w:val="24"/>
        </w:rPr>
      </w:pPr>
      <w:r>
        <w:rPr>
          <w:rFonts w:eastAsia="Times New Roman"/>
          <w:color w:val="auto"/>
          <w:szCs w:val="24"/>
        </w:rPr>
        <w:t>15.</w:t>
      </w:r>
      <w:r>
        <w:rPr>
          <w:rFonts w:hint="eastAsia" w:ascii="宋体" w:hAnsi="宋体" w:cs="宋体"/>
          <w:color w:val="auto"/>
          <w:szCs w:val="24"/>
        </w:rPr>
        <w:t>争议的解决</w:t>
      </w:r>
    </w:p>
    <w:p>
      <w:pPr>
        <w:spacing w:line="420" w:lineRule="exact"/>
        <w:ind w:firstLine="480"/>
        <w:rPr>
          <w:rFonts w:eastAsia="Times New Roman"/>
          <w:color w:val="auto"/>
          <w:szCs w:val="24"/>
        </w:rPr>
      </w:pPr>
      <w:r>
        <w:rPr>
          <w:rFonts w:eastAsia="Times New Roman"/>
          <w:color w:val="auto"/>
          <w:szCs w:val="24"/>
        </w:rPr>
        <w:t>15.1</w:t>
      </w:r>
      <w:r>
        <w:rPr>
          <w:rFonts w:hint="eastAsia" w:ascii="宋体" w:hAnsi="宋体" w:cs="宋体"/>
          <w:color w:val="auto"/>
          <w:szCs w:val="24"/>
        </w:rPr>
        <w:t>政府采购合同实施或与政府采购合同有关的一切争议应通过双方友好解决。如自双方协商开始之日起</w:t>
      </w:r>
      <w:r>
        <w:rPr>
          <w:rFonts w:eastAsia="Times New Roman"/>
          <w:color w:val="auto"/>
          <w:szCs w:val="24"/>
        </w:rPr>
        <w:t>15</w:t>
      </w:r>
      <w:r>
        <w:rPr>
          <w:rFonts w:hint="eastAsia" w:ascii="宋体" w:hAnsi="宋体" w:cs="宋体"/>
          <w:color w:val="auto"/>
          <w:szCs w:val="24"/>
        </w:rPr>
        <w:t>日内得不到解决，双方应将争议提交同级政府采购监督管理部门调解。调解不成的，将向委托方所在地仲裁机构提起仲裁或者向委托方所在地人民政府提起诉讼。</w:t>
      </w:r>
    </w:p>
    <w:p>
      <w:pPr>
        <w:spacing w:line="420" w:lineRule="exact"/>
        <w:ind w:firstLine="480"/>
        <w:rPr>
          <w:rFonts w:eastAsia="Times New Roman"/>
          <w:color w:val="auto"/>
          <w:szCs w:val="24"/>
        </w:rPr>
      </w:pPr>
      <w:r>
        <w:rPr>
          <w:rFonts w:eastAsia="Times New Roman"/>
          <w:color w:val="auto"/>
          <w:szCs w:val="24"/>
        </w:rPr>
        <w:t>15.2</w:t>
      </w:r>
      <w:r>
        <w:rPr>
          <w:rFonts w:hint="eastAsia" w:ascii="宋体" w:hAnsi="宋体" w:cs="宋体"/>
          <w:color w:val="auto"/>
          <w:szCs w:val="24"/>
        </w:rPr>
        <w:t>仲裁裁决为最终裁决，对双方均有约束力。当事人一方在规定时间内不履行仲裁机构裁决的，另一方可申请人民法院强制执行。</w:t>
      </w:r>
    </w:p>
    <w:p>
      <w:pPr>
        <w:spacing w:line="420" w:lineRule="exact"/>
        <w:ind w:firstLine="480"/>
        <w:rPr>
          <w:rFonts w:eastAsia="Times New Roman"/>
          <w:color w:val="auto"/>
          <w:szCs w:val="24"/>
        </w:rPr>
      </w:pPr>
      <w:r>
        <w:rPr>
          <w:rFonts w:eastAsia="Times New Roman"/>
          <w:color w:val="auto"/>
          <w:szCs w:val="24"/>
        </w:rPr>
        <w:t>15.3</w:t>
      </w:r>
      <w:r>
        <w:rPr>
          <w:rFonts w:hint="eastAsia" w:ascii="宋体" w:hAnsi="宋体" w:cs="宋体"/>
          <w:color w:val="auto"/>
          <w:szCs w:val="24"/>
        </w:rPr>
        <w:t>仲裁（或诉讼）费用除仲裁机关（或人民法院）另有裁决外，应由败诉方负担。</w:t>
      </w:r>
    </w:p>
    <w:p>
      <w:pPr>
        <w:spacing w:line="420" w:lineRule="exact"/>
        <w:ind w:firstLine="480"/>
        <w:rPr>
          <w:rFonts w:eastAsia="Times New Roman"/>
          <w:color w:val="auto"/>
          <w:szCs w:val="24"/>
        </w:rPr>
      </w:pPr>
      <w:r>
        <w:rPr>
          <w:rFonts w:eastAsia="Times New Roman"/>
          <w:color w:val="auto"/>
          <w:szCs w:val="24"/>
        </w:rPr>
        <w:t>15.4</w:t>
      </w:r>
      <w:r>
        <w:rPr>
          <w:rFonts w:hint="eastAsia" w:ascii="宋体" w:hAnsi="宋体" w:cs="宋体"/>
          <w:color w:val="auto"/>
          <w:szCs w:val="24"/>
        </w:rPr>
        <w:t>在仲裁（或诉讼）期间，除正在进行仲裁（或诉讼）的部分外，政府采购合同其他部分继续执行。</w:t>
      </w:r>
    </w:p>
    <w:p>
      <w:pPr>
        <w:spacing w:line="420" w:lineRule="exact"/>
        <w:ind w:firstLine="480"/>
        <w:outlineLvl w:val="0"/>
        <w:rPr>
          <w:rFonts w:eastAsia="Times New Roman"/>
          <w:color w:val="auto"/>
          <w:szCs w:val="24"/>
        </w:rPr>
      </w:pPr>
      <w:r>
        <w:rPr>
          <w:rFonts w:eastAsia="Times New Roman"/>
          <w:color w:val="auto"/>
          <w:szCs w:val="24"/>
        </w:rPr>
        <w:t>16.</w:t>
      </w:r>
      <w:r>
        <w:rPr>
          <w:rFonts w:hint="eastAsia" w:ascii="宋体" w:hAnsi="宋体" w:cs="宋体"/>
          <w:color w:val="auto"/>
          <w:szCs w:val="24"/>
        </w:rPr>
        <w:t>违约终止政府采购合同</w:t>
      </w:r>
    </w:p>
    <w:p>
      <w:pPr>
        <w:spacing w:line="420" w:lineRule="exact"/>
        <w:ind w:firstLine="480"/>
        <w:rPr>
          <w:rFonts w:eastAsia="Times New Roman"/>
          <w:color w:val="auto"/>
          <w:szCs w:val="24"/>
        </w:rPr>
      </w:pPr>
      <w:r>
        <w:rPr>
          <w:rFonts w:eastAsia="Times New Roman"/>
          <w:color w:val="auto"/>
          <w:szCs w:val="24"/>
        </w:rPr>
        <w:t>16.1</w:t>
      </w:r>
      <w:r>
        <w:rPr>
          <w:rFonts w:hint="eastAsia" w:ascii="宋体" w:hAnsi="宋体" w:cs="宋体"/>
          <w:color w:val="auto"/>
          <w:szCs w:val="24"/>
        </w:rPr>
        <w:t>在受托方违约的情况下，委托方经同级政府采购监督管理部门审批后，可向受托方发出书面通知书，提出终止部分或全部政府采购合同，同时保留向受托方追诉的权利。</w:t>
      </w:r>
    </w:p>
    <w:p>
      <w:pPr>
        <w:spacing w:line="420" w:lineRule="exact"/>
        <w:ind w:firstLine="480"/>
        <w:rPr>
          <w:rFonts w:eastAsia="Times New Roman"/>
          <w:color w:val="auto"/>
          <w:szCs w:val="24"/>
        </w:rPr>
      </w:pPr>
      <w:r>
        <w:rPr>
          <w:rFonts w:eastAsia="Times New Roman"/>
          <w:color w:val="auto"/>
          <w:szCs w:val="24"/>
        </w:rPr>
        <w:t>16.2</w:t>
      </w:r>
      <w:r>
        <w:rPr>
          <w:rFonts w:hint="eastAsia" w:ascii="宋体" w:hAnsi="宋体" w:cs="宋体"/>
          <w:color w:val="auto"/>
          <w:szCs w:val="24"/>
        </w:rPr>
        <w:t>如果在委托方根据本合同条款第</w:t>
      </w:r>
      <w:r>
        <w:rPr>
          <w:rFonts w:eastAsia="Times New Roman"/>
          <w:color w:val="auto"/>
          <w:szCs w:val="24"/>
        </w:rPr>
        <w:t>16.1</w:t>
      </w:r>
      <w:r>
        <w:rPr>
          <w:rFonts w:hint="eastAsia" w:ascii="宋体" w:hAnsi="宋体" w:cs="宋体"/>
          <w:color w:val="auto"/>
          <w:szCs w:val="24"/>
        </w:rPr>
        <w:t>条规定，终止全部或部分政府采购合同后，应当遵循诚实信用原则、以同级政府采购监督管理机关同意的方式，购买与未提供的服务类似的服务，受托方应承担委托方购买类似服务而产生的额外支出。部分解除政府采购合同的，受托方应继续履行政府采购合同中未解除的部分。</w:t>
      </w:r>
    </w:p>
    <w:p>
      <w:pPr>
        <w:spacing w:line="420" w:lineRule="exact"/>
        <w:ind w:firstLine="480"/>
        <w:rPr>
          <w:rFonts w:eastAsia="Times New Roman"/>
          <w:color w:val="auto"/>
          <w:szCs w:val="24"/>
        </w:rPr>
      </w:pPr>
      <w:r>
        <w:rPr>
          <w:rFonts w:eastAsia="Times New Roman"/>
          <w:color w:val="auto"/>
          <w:szCs w:val="24"/>
        </w:rPr>
        <w:t>16.3</w:t>
      </w:r>
      <w:r>
        <w:rPr>
          <w:rFonts w:hint="eastAsia" w:ascii="宋体" w:hAnsi="宋体" w:cs="宋体"/>
          <w:color w:val="auto"/>
          <w:szCs w:val="24"/>
        </w:rPr>
        <w:t>申办企业应承诺，如果因为技术、资金等方面的原因，不能按时间进度完成建设任务的，自动放弃承办资格，否则市政府有权终止承办企业承办资格。</w:t>
      </w:r>
    </w:p>
    <w:p>
      <w:pPr>
        <w:spacing w:line="420" w:lineRule="exact"/>
        <w:ind w:firstLine="480"/>
        <w:outlineLvl w:val="0"/>
        <w:rPr>
          <w:rFonts w:eastAsia="Times New Roman"/>
          <w:color w:val="auto"/>
          <w:szCs w:val="24"/>
        </w:rPr>
      </w:pPr>
      <w:r>
        <w:rPr>
          <w:rFonts w:eastAsia="Times New Roman"/>
          <w:color w:val="auto"/>
          <w:szCs w:val="24"/>
        </w:rPr>
        <w:t>17.</w:t>
      </w:r>
      <w:r>
        <w:rPr>
          <w:rFonts w:hint="eastAsia" w:ascii="宋体" w:hAnsi="宋体" w:cs="宋体"/>
          <w:color w:val="auto"/>
          <w:szCs w:val="24"/>
        </w:rPr>
        <w:t>破产终止政府采购合同</w:t>
      </w:r>
    </w:p>
    <w:p>
      <w:pPr>
        <w:spacing w:line="420" w:lineRule="exact"/>
        <w:ind w:firstLine="480"/>
        <w:rPr>
          <w:rFonts w:eastAsia="Times New Roman"/>
          <w:color w:val="auto"/>
          <w:szCs w:val="24"/>
        </w:rPr>
      </w:pPr>
      <w:r>
        <w:rPr>
          <w:rFonts w:hint="eastAsia" w:ascii="宋体" w:hAnsi="宋体" w:cs="宋体"/>
          <w:color w:val="auto"/>
          <w:szCs w:val="24"/>
        </w:rPr>
        <w:t>如果受托方破产或无赔偿能力时，受托方经同级政府采购监督管理部门审批后可以在任何时候以书面形式通知受托方。提出终止政府采购合同而不给受托方补偿或补救措施的权利，政府采购合同的终止，将不损害或影响委托方已经采取或将要采取的任何行动。</w:t>
      </w:r>
    </w:p>
    <w:p>
      <w:pPr>
        <w:spacing w:line="420" w:lineRule="exact"/>
        <w:ind w:firstLine="480"/>
        <w:rPr>
          <w:rFonts w:eastAsia="Times New Roman"/>
          <w:color w:val="auto"/>
          <w:szCs w:val="24"/>
        </w:rPr>
      </w:pPr>
      <w:r>
        <w:rPr>
          <w:rFonts w:eastAsia="Times New Roman"/>
          <w:color w:val="auto"/>
          <w:szCs w:val="24"/>
        </w:rPr>
        <w:t>18.</w:t>
      </w:r>
      <w:r>
        <w:rPr>
          <w:rFonts w:hint="eastAsia" w:ascii="宋体" w:hAnsi="宋体" w:cs="宋体"/>
          <w:color w:val="auto"/>
          <w:szCs w:val="24"/>
        </w:rPr>
        <w:t>转让和分标段</w:t>
      </w:r>
    </w:p>
    <w:p>
      <w:pPr>
        <w:spacing w:line="420" w:lineRule="exact"/>
        <w:ind w:firstLine="480"/>
        <w:rPr>
          <w:rFonts w:eastAsia="Times New Roman"/>
          <w:color w:val="auto"/>
          <w:szCs w:val="24"/>
        </w:rPr>
      </w:pPr>
      <w:r>
        <w:rPr>
          <w:rFonts w:eastAsia="Times New Roman"/>
          <w:color w:val="auto"/>
          <w:szCs w:val="24"/>
        </w:rPr>
        <w:t>18.1</w:t>
      </w:r>
      <w:r>
        <w:rPr>
          <w:rFonts w:hint="eastAsia" w:ascii="宋体" w:hAnsi="宋体" w:cs="宋体"/>
          <w:color w:val="auto"/>
          <w:szCs w:val="24"/>
        </w:rPr>
        <w:t>政府采购合同不能擅自转让或分标段。</w:t>
      </w:r>
    </w:p>
    <w:p>
      <w:pPr>
        <w:spacing w:line="420" w:lineRule="exact"/>
        <w:ind w:firstLine="480"/>
        <w:rPr>
          <w:rFonts w:eastAsia="Times New Roman"/>
          <w:color w:val="auto"/>
          <w:szCs w:val="24"/>
        </w:rPr>
      </w:pPr>
      <w:r>
        <w:rPr>
          <w:rFonts w:eastAsia="Times New Roman"/>
          <w:color w:val="auto"/>
          <w:szCs w:val="24"/>
        </w:rPr>
        <w:t>18.2</w:t>
      </w:r>
      <w:r>
        <w:rPr>
          <w:rFonts w:hint="eastAsia" w:ascii="宋体" w:hAnsi="宋体" w:cs="宋体"/>
          <w:color w:val="auto"/>
          <w:szCs w:val="24"/>
        </w:rPr>
        <w:t>经委托方和同级政府采购监督管理部门事先书面同意，受托方可以将政府采购合同项下非主体、非关键性工作分标段给他人完成。接受分标段的人应当具备相应的资格要求，并不得再次分标段。分标段后不得终止受托方履行政府采购合同的责任和义务。接受分标段的人与受托方共同对委托方连带承担政府采购合同的责任和义务。</w:t>
      </w:r>
    </w:p>
    <w:p>
      <w:pPr>
        <w:spacing w:line="420" w:lineRule="exact"/>
        <w:ind w:firstLine="480"/>
        <w:outlineLvl w:val="0"/>
        <w:rPr>
          <w:rFonts w:eastAsia="Times New Roman"/>
          <w:color w:val="auto"/>
          <w:szCs w:val="24"/>
        </w:rPr>
      </w:pPr>
      <w:r>
        <w:rPr>
          <w:rFonts w:eastAsia="Times New Roman"/>
          <w:color w:val="auto"/>
          <w:szCs w:val="24"/>
        </w:rPr>
        <w:t>19.</w:t>
      </w:r>
      <w:r>
        <w:rPr>
          <w:rFonts w:hint="eastAsia" w:ascii="宋体" w:hAnsi="宋体" w:cs="宋体"/>
          <w:color w:val="auto"/>
          <w:szCs w:val="24"/>
        </w:rPr>
        <w:t>合同修改</w:t>
      </w:r>
    </w:p>
    <w:p>
      <w:pPr>
        <w:spacing w:line="420" w:lineRule="exact"/>
        <w:ind w:firstLine="480"/>
        <w:rPr>
          <w:rFonts w:eastAsia="Times New Roman"/>
          <w:color w:val="auto"/>
          <w:szCs w:val="24"/>
        </w:rPr>
      </w:pPr>
      <w:r>
        <w:rPr>
          <w:rFonts w:hint="eastAsia" w:ascii="宋体" w:hAnsi="宋体" w:cs="宋体"/>
          <w:color w:val="auto"/>
          <w:szCs w:val="24"/>
        </w:rPr>
        <w:t>委托方和受托方都不得擅自变更政府采购合同，但继续履行将损害国家和社会公共利益的除外。如必须对政府采购合同条款进行修改时，当事人双方共同签署书面文件，作为政府采购合同的补充，并报同级政府采购监督管理部门备案。</w:t>
      </w:r>
    </w:p>
    <w:p>
      <w:pPr>
        <w:spacing w:line="420" w:lineRule="exact"/>
        <w:ind w:firstLine="480"/>
        <w:outlineLvl w:val="0"/>
        <w:rPr>
          <w:rFonts w:eastAsia="Times New Roman"/>
          <w:color w:val="auto"/>
          <w:szCs w:val="24"/>
        </w:rPr>
      </w:pPr>
      <w:r>
        <w:rPr>
          <w:rFonts w:eastAsia="Times New Roman"/>
          <w:color w:val="auto"/>
          <w:szCs w:val="24"/>
        </w:rPr>
        <w:t>20.</w:t>
      </w:r>
      <w:r>
        <w:rPr>
          <w:rFonts w:hint="eastAsia" w:ascii="宋体" w:hAnsi="宋体" w:cs="宋体"/>
          <w:color w:val="auto"/>
          <w:szCs w:val="24"/>
        </w:rPr>
        <w:t>通知</w:t>
      </w:r>
    </w:p>
    <w:p>
      <w:pPr>
        <w:spacing w:line="420" w:lineRule="exact"/>
        <w:ind w:firstLine="480"/>
        <w:rPr>
          <w:rFonts w:eastAsia="Times New Roman"/>
          <w:color w:val="auto"/>
          <w:szCs w:val="24"/>
        </w:rPr>
      </w:pPr>
      <w:r>
        <w:rPr>
          <w:rFonts w:hint="eastAsia" w:ascii="宋体" w:hAnsi="宋体" w:cs="宋体"/>
          <w:color w:val="auto"/>
          <w:szCs w:val="24"/>
        </w:rPr>
        <w:t>政府采购合同一方给另一方的通知都应该以书面形式发送规定的对方地址。通知以送达日期或通知书规定的生效日期为生效日期，两者中以晚的一个日期为准。</w:t>
      </w:r>
    </w:p>
    <w:p>
      <w:pPr>
        <w:spacing w:line="420" w:lineRule="exact"/>
        <w:ind w:firstLine="480"/>
        <w:outlineLvl w:val="0"/>
        <w:rPr>
          <w:rFonts w:eastAsia="Times New Roman"/>
          <w:color w:val="auto"/>
          <w:szCs w:val="24"/>
        </w:rPr>
      </w:pPr>
      <w:r>
        <w:rPr>
          <w:rFonts w:eastAsia="Times New Roman"/>
          <w:color w:val="auto"/>
          <w:szCs w:val="24"/>
        </w:rPr>
        <w:t>21.</w:t>
      </w:r>
      <w:r>
        <w:rPr>
          <w:rFonts w:hint="eastAsia" w:ascii="宋体" w:hAnsi="宋体" w:cs="宋体"/>
          <w:color w:val="auto"/>
          <w:szCs w:val="24"/>
        </w:rPr>
        <w:t>适合法律</w:t>
      </w:r>
    </w:p>
    <w:p>
      <w:pPr>
        <w:spacing w:line="420" w:lineRule="exact"/>
        <w:ind w:firstLine="480"/>
        <w:rPr>
          <w:rFonts w:eastAsia="Times New Roman"/>
          <w:color w:val="auto"/>
          <w:szCs w:val="24"/>
        </w:rPr>
      </w:pPr>
      <w:r>
        <w:rPr>
          <w:rFonts w:hint="eastAsia" w:ascii="宋体" w:hAnsi="宋体" w:cs="宋体"/>
          <w:color w:val="auto"/>
          <w:szCs w:val="24"/>
        </w:rPr>
        <w:t>政府采购合同应按照中华人民共和国的现行法律进行解释。</w:t>
      </w:r>
    </w:p>
    <w:p>
      <w:pPr>
        <w:spacing w:line="420" w:lineRule="exact"/>
        <w:ind w:firstLine="480"/>
        <w:outlineLvl w:val="0"/>
        <w:rPr>
          <w:rFonts w:eastAsia="Times New Roman"/>
          <w:color w:val="auto"/>
          <w:szCs w:val="24"/>
        </w:rPr>
      </w:pPr>
      <w:r>
        <w:rPr>
          <w:rFonts w:eastAsia="Times New Roman"/>
          <w:color w:val="auto"/>
          <w:szCs w:val="24"/>
        </w:rPr>
        <w:t>22.</w:t>
      </w:r>
      <w:r>
        <w:rPr>
          <w:rFonts w:hint="eastAsia" w:ascii="宋体" w:hAnsi="宋体" w:cs="宋体"/>
          <w:color w:val="auto"/>
          <w:szCs w:val="24"/>
        </w:rPr>
        <w:t>合同生效</w:t>
      </w:r>
    </w:p>
    <w:p>
      <w:pPr>
        <w:spacing w:line="420" w:lineRule="exact"/>
        <w:ind w:firstLine="480"/>
        <w:rPr>
          <w:rFonts w:eastAsia="Times New Roman"/>
          <w:color w:val="auto"/>
          <w:szCs w:val="24"/>
        </w:rPr>
      </w:pPr>
      <w:r>
        <w:rPr>
          <w:rFonts w:eastAsia="Times New Roman"/>
          <w:color w:val="auto"/>
          <w:szCs w:val="24"/>
        </w:rPr>
        <w:t>22.1</w:t>
      </w:r>
      <w:r>
        <w:rPr>
          <w:rFonts w:hint="eastAsia" w:ascii="宋体" w:hAnsi="宋体" w:cs="宋体"/>
          <w:color w:val="auto"/>
          <w:szCs w:val="24"/>
        </w:rPr>
        <w:t>政府采购合同内容的确定应已采购文件和投标文件为基础，不得违背其实质性内容。政府采购合同签订之日起七个工作日，委托方应当将政府采购合同报同级政府采购监督管理主管部门备案。政府采购合同将在委托双方签字盖章后开始生效。</w:t>
      </w:r>
    </w:p>
    <w:p>
      <w:pPr>
        <w:spacing w:line="420" w:lineRule="exact"/>
        <w:ind w:firstLine="480"/>
        <w:rPr>
          <w:rFonts w:eastAsia="Times New Roman"/>
          <w:color w:val="auto"/>
          <w:szCs w:val="24"/>
        </w:rPr>
      </w:pPr>
      <w:r>
        <w:rPr>
          <w:rFonts w:eastAsia="Times New Roman"/>
          <w:color w:val="auto"/>
          <w:szCs w:val="24"/>
        </w:rPr>
        <w:t>22.2</w:t>
      </w:r>
      <w:r>
        <w:rPr>
          <w:rFonts w:hint="eastAsia" w:ascii="宋体" w:hAnsi="宋体" w:cs="宋体"/>
          <w:color w:val="auto"/>
          <w:szCs w:val="24"/>
        </w:rPr>
        <w:t>政府采购合同一式四份。委托和受托双方各执二份。</w:t>
      </w:r>
    </w:p>
    <w:p>
      <w:pPr>
        <w:spacing w:line="420" w:lineRule="exact"/>
        <w:ind w:firstLine="480"/>
        <w:outlineLvl w:val="0"/>
        <w:rPr>
          <w:rFonts w:eastAsia="Times New Roman"/>
          <w:color w:val="auto"/>
          <w:szCs w:val="24"/>
        </w:rPr>
      </w:pPr>
      <w:r>
        <w:rPr>
          <w:rFonts w:eastAsia="Times New Roman"/>
          <w:color w:val="auto"/>
          <w:szCs w:val="24"/>
        </w:rPr>
        <w:t>23.</w:t>
      </w:r>
      <w:r>
        <w:rPr>
          <w:rFonts w:hint="eastAsia" w:ascii="宋体" w:hAnsi="宋体" w:cs="宋体"/>
          <w:color w:val="auto"/>
          <w:szCs w:val="24"/>
        </w:rPr>
        <w:t>补充条款</w:t>
      </w:r>
    </w:p>
    <w:p>
      <w:pPr>
        <w:spacing w:line="420" w:lineRule="exact"/>
        <w:ind w:firstLine="480"/>
        <w:rPr>
          <w:rFonts w:ascii="宋体" w:hAnsi="宋体" w:cs="宋体"/>
          <w:b/>
          <w:color w:val="auto"/>
          <w:szCs w:val="24"/>
        </w:rPr>
      </w:pPr>
      <w:r>
        <w:rPr>
          <w:rFonts w:hint="eastAsia" w:ascii="宋体" w:hAnsi="宋体" w:cs="宋体"/>
          <w:color w:val="auto"/>
          <w:szCs w:val="24"/>
        </w:rPr>
        <w:t>如需修改或补充政府采购合同内容，经协商，双方签署书面修改或补充协议，该协议将作为政府采购合同的一个组成部分。</w:t>
      </w:r>
    </w:p>
    <w:p>
      <w:pPr>
        <w:spacing w:line="420" w:lineRule="exact"/>
        <w:ind w:firstLine="480"/>
        <w:rPr>
          <w:rFonts w:eastAsia="Times New Roman"/>
          <w:b/>
          <w:color w:val="auto"/>
          <w:szCs w:val="24"/>
        </w:rPr>
      </w:pPr>
      <w:r>
        <w:rPr>
          <w:rFonts w:hint="eastAsia" w:ascii="宋体" w:hAnsi="宋体" w:cs="宋体"/>
          <w:b/>
          <w:color w:val="auto"/>
          <w:szCs w:val="24"/>
        </w:rPr>
        <w:t>二、采购合同专用条款（以签订的实际合同为准）</w:t>
      </w:r>
    </w:p>
    <w:p>
      <w:pPr>
        <w:spacing w:line="420" w:lineRule="exact"/>
        <w:ind w:firstLine="480"/>
        <w:rPr>
          <w:rFonts w:ascii="宋体" w:hAnsi="宋体" w:cs="宋体"/>
          <w:color w:val="auto"/>
          <w:szCs w:val="24"/>
        </w:rPr>
      </w:pPr>
      <w:r>
        <w:rPr>
          <w:rFonts w:hint="eastAsia" w:ascii="宋体" w:hAnsi="宋体" w:cs="宋体"/>
          <w:color w:val="auto"/>
          <w:szCs w:val="24"/>
        </w:rPr>
        <w:t>注：</w:t>
      </w:r>
    </w:p>
    <w:p>
      <w:pPr>
        <w:numPr>
          <w:ilvl w:val="0"/>
          <w:numId w:val="5"/>
        </w:numPr>
        <w:spacing w:line="420" w:lineRule="exact"/>
        <w:rPr>
          <w:rFonts w:ascii="宋体" w:hAnsi="宋体" w:cs="宋体"/>
          <w:color w:val="auto"/>
          <w:szCs w:val="24"/>
        </w:rPr>
      </w:pPr>
      <w:r>
        <w:rPr>
          <w:rFonts w:hint="eastAsia" w:ascii="宋体" w:hAnsi="宋体" w:cs="宋体"/>
          <w:color w:val="auto"/>
          <w:szCs w:val="24"/>
        </w:rPr>
        <w:t>专用条款不偏离招标文件规定；</w:t>
      </w:r>
    </w:p>
    <w:p>
      <w:pPr>
        <w:numPr>
          <w:ilvl w:val="0"/>
          <w:numId w:val="5"/>
        </w:numPr>
        <w:spacing w:line="420" w:lineRule="exact"/>
        <w:rPr>
          <w:rFonts w:ascii="宋体" w:hAnsi="宋体" w:cs="宋体"/>
          <w:color w:val="auto"/>
          <w:szCs w:val="24"/>
        </w:rPr>
      </w:pPr>
      <w:r>
        <w:rPr>
          <w:rFonts w:hint="eastAsia" w:ascii="宋体" w:hAnsi="宋体" w:cs="宋体"/>
          <w:color w:val="auto"/>
          <w:szCs w:val="24"/>
        </w:rPr>
        <w:t>通用条款与专用条款不符以专用条款为准。</w:t>
      </w:r>
    </w:p>
    <w:p>
      <w:pPr>
        <w:spacing w:line="420" w:lineRule="exact"/>
        <w:ind w:firstLine="480"/>
        <w:rPr>
          <w:rFonts w:eastAsia="Times New Roman"/>
          <w:color w:val="auto"/>
          <w:szCs w:val="24"/>
        </w:rPr>
      </w:pPr>
      <w:r>
        <w:rPr>
          <w:color w:val="auto"/>
        </w:rPr>
        <w:br w:type="page"/>
      </w:r>
    </w:p>
    <w:p>
      <w:pPr>
        <w:pStyle w:val="53"/>
        <w:spacing w:line="360" w:lineRule="auto"/>
        <w:jc w:val="center"/>
        <w:rPr>
          <w:rFonts w:ascii="黑体" w:hAnsi="黑体" w:eastAsia="黑体"/>
          <w:color w:val="auto"/>
          <w:sz w:val="32"/>
          <w:szCs w:val="32"/>
        </w:rPr>
      </w:pPr>
      <w:bookmarkStart w:id="37" w:name="_Toc448307969"/>
      <w:bookmarkEnd w:id="37"/>
      <w:bookmarkStart w:id="38" w:name="_Toc431307796"/>
      <w:bookmarkEnd w:id="38"/>
      <w:r>
        <w:rPr>
          <w:rFonts w:hint="eastAsia" w:ascii="黑体" w:hAnsi="黑体" w:eastAsia="黑体"/>
          <w:color w:val="auto"/>
          <w:sz w:val="32"/>
          <w:szCs w:val="32"/>
        </w:rPr>
        <w:t>第六章  响应文件格式</w:t>
      </w:r>
    </w:p>
    <w:p>
      <w:pPr>
        <w:jc w:val="center"/>
        <w:rPr>
          <w:rFonts w:ascii="宋体" w:cs="宋体"/>
          <w:b/>
          <w:color w:val="auto"/>
          <w:sz w:val="44"/>
          <w:szCs w:val="44"/>
        </w:rPr>
      </w:pPr>
      <w:r>
        <w:rPr>
          <w:rFonts w:hint="eastAsia"/>
          <w:b/>
          <w:color w:val="auto"/>
          <w:sz w:val="30"/>
          <w:szCs w:val="30"/>
        </w:rPr>
        <w:t>（参考）</w:t>
      </w:r>
      <w:r>
        <w:rPr>
          <w:color w:val="auto"/>
        </w:rPr>
        <w:br w:type="page"/>
      </w:r>
    </w:p>
    <w:p>
      <w:pPr>
        <w:jc w:val="right"/>
        <w:rPr>
          <w:rFonts w:ascii="宋体" w:cs="宋体"/>
          <w:b/>
          <w:color w:val="auto"/>
          <w:sz w:val="44"/>
          <w:szCs w:val="44"/>
        </w:rPr>
      </w:pPr>
      <w:r>
        <w:rPr>
          <w:rFonts w:hint="eastAsia" w:ascii="宋体" w:hAnsi="宋体" w:cs="宋体"/>
          <w:b/>
          <w:color w:val="auto"/>
          <w:sz w:val="44"/>
          <w:szCs w:val="44"/>
        </w:rPr>
        <w:t>封面（正或副本）</w:t>
      </w:r>
    </w:p>
    <w:p>
      <w:pPr>
        <w:spacing w:line="360" w:lineRule="auto"/>
        <w:jc w:val="center"/>
        <w:rPr>
          <w:rFonts w:ascii="宋体" w:cs="宋体"/>
          <w:b/>
          <w:color w:val="auto"/>
          <w:sz w:val="44"/>
          <w:szCs w:val="44"/>
        </w:rPr>
      </w:pPr>
    </w:p>
    <w:p>
      <w:pPr>
        <w:spacing w:line="360" w:lineRule="auto"/>
        <w:jc w:val="center"/>
        <w:rPr>
          <w:rFonts w:ascii="宋体" w:cs="宋体"/>
          <w:b/>
          <w:color w:val="auto"/>
          <w:sz w:val="44"/>
          <w:szCs w:val="44"/>
        </w:rPr>
      </w:pPr>
    </w:p>
    <w:p>
      <w:pPr>
        <w:jc w:val="center"/>
        <w:rPr>
          <w:rFonts w:ascii="隶书" w:hAnsi="隶书" w:eastAsia="隶书"/>
          <w:b/>
          <w:color w:val="auto"/>
          <w:sz w:val="52"/>
          <w:szCs w:val="52"/>
        </w:rPr>
      </w:pPr>
      <w:r>
        <w:rPr>
          <w:rFonts w:hint="eastAsia" w:ascii="隶书" w:hAnsi="隶书" w:eastAsia="隶书"/>
          <w:b/>
          <w:color w:val="auto"/>
          <w:sz w:val="52"/>
          <w:szCs w:val="52"/>
        </w:rPr>
        <w:t>许昌融智传媒有限公司</w:t>
      </w:r>
    </w:p>
    <w:p>
      <w:pPr>
        <w:jc w:val="center"/>
        <w:rPr>
          <w:rFonts w:ascii="隶书" w:hAnsi="隶书" w:eastAsia="隶书"/>
          <w:b/>
          <w:color w:val="auto"/>
          <w:sz w:val="52"/>
          <w:szCs w:val="52"/>
        </w:rPr>
      </w:pPr>
      <w:r>
        <w:rPr>
          <w:rFonts w:hint="eastAsia" w:ascii="隶书" w:hAnsi="隶书" w:eastAsia="隶书"/>
          <w:b/>
          <w:color w:val="auto"/>
          <w:sz w:val="52"/>
          <w:szCs w:val="52"/>
        </w:rPr>
        <w:t>“全媒体中央厨房”物理空间</w:t>
      </w:r>
    </w:p>
    <w:p>
      <w:pPr>
        <w:spacing w:line="360" w:lineRule="auto"/>
        <w:jc w:val="center"/>
        <w:rPr>
          <w:rFonts w:ascii="隶书" w:hAnsi="隶书" w:eastAsia="隶书" w:cs="宋体"/>
          <w:b/>
          <w:color w:val="auto"/>
          <w:sz w:val="44"/>
          <w:szCs w:val="44"/>
        </w:rPr>
      </w:pPr>
      <w:r>
        <w:rPr>
          <w:rFonts w:hint="eastAsia" w:ascii="隶书" w:hAnsi="隶书" w:eastAsia="隶书"/>
          <w:b/>
          <w:color w:val="auto"/>
          <w:sz w:val="52"/>
          <w:szCs w:val="52"/>
        </w:rPr>
        <w:t>建设项目</w:t>
      </w:r>
    </w:p>
    <w:p>
      <w:pPr>
        <w:spacing w:line="360" w:lineRule="auto"/>
        <w:jc w:val="center"/>
        <w:rPr>
          <w:rFonts w:ascii="隶书" w:hAnsi="隶书" w:eastAsia="隶书" w:cs="宋体"/>
          <w:color w:val="auto"/>
          <w:sz w:val="32"/>
          <w:szCs w:val="32"/>
        </w:rPr>
      </w:pPr>
    </w:p>
    <w:p>
      <w:pPr>
        <w:spacing w:line="360" w:lineRule="auto"/>
        <w:jc w:val="center"/>
        <w:rPr>
          <w:rFonts w:ascii="隶书" w:hAnsi="隶书" w:eastAsia="隶书" w:cs="宋体"/>
          <w:b/>
          <w:color w:val="auto"/>
          <w:spacing w:val="50"/>
          <w:sz w:val="32"/>
          <w:szCs w:val="32"/>
        </w:rPr>
      </w:pPr>
    </w:p>
    <w:p>
      <w:pPr>
        <w:spacing w:line="360" w:lineRule="auto"/>
        <w:jc w:val="center"/>
        <w:rPr>
          <w:rFonts w:ascii="隶书" w:hAnsi="隶书" w:eastAsia="隶书" w:cs="宋体"/>
          <w:b/>
          <w:color w:val="auto"/>
          <w:spacing w:val="50"/>
          <w:sz w:val="32"/>
          <w:szCs w:val="32"/>
        </w:rPr>
      </w:pPr>
    </w:p>
    <w:p>
      <w:pPr>
        <w:spacing w:line="360" w:lineRule="auto"/>
        <w:jc w:val="center"/>
        <w:rPr>
          <w:rFonts w:ascii="隶书" w:hAnsi="隶书" w:eastAsia="隶书" w:cs="宋体"/>
          <w:b/>
          <w:color w:val="auto"/>
          <w:spacing w:val="50"/>
          <w:sz w:val="32"/>
          <w:szCs w:val="32"/>
        </w:rPr>
      </w:pPr>
    </w:p>
    <w:p>
      <w:pPr>
        <w:spacing w:line="360" w:lineRule="auto"/>
        <w:jc w:val="center"/>
        <w:rPr>
          <w:rFonts w:ascii="隶书" w:hAnsi="隶书" w:eastAsia="隶书" w:cs="宋体"/>
          <w:b/>
          <w:color w:val="auto"/>
          <w:spacing w:val="43"/>
          <w:sz w:val="72"/>
          <w:szCs w:val="28"/>
        </w:rPr>
      </w:pPr>
      <w:r>
        <w:rPr>
          <w:rFonts w:hint="eastAsia" w:ascii="隶书" w:hAnsi="隶书" w:eastAsia="隶书" w:cs="宋体"/>
          <w:b/>
          <w:color w:val="auto"/>
          <w:spacing w:val="43"/>
          <w:sz w:val="72"/>
          <w:szCs w:val="28"/>
        </w:rPr>
        <w:t>竞争性磋商响应文件</w:t>
      </w:r>
    </w:p>
    <w:p>
      <w:pPr>
        <w:spacing w:line="360" w:lineRule="auto"/>
        <w:jc w:val="center"/>
        <w:rPr>
          <w:rFonts w:ascii="宋体" w:cs="宋体"/>
          <w:b/>
          <w:color w:val="auto"/>
          <w:sz w:val="32"/>
          <w:szCs w:val="32"/>
        </w:rPr>
      </w:pPr>
    </w:p>
    <w:p>
      <w:pPr>
        <w:spacing w:line="360" w:lineRule="auto"/>
        <w:jc w:val="center"/>
        <w:rPr>
          <w:rFonts w:ascii="宋体" w:cs="宋体"/>
          <w:color w:val="auto"/>
        </w:rPr>
      </w:pPr>
    </w:p>
    <w:p>
      <w:pPr>
        <w:spacing w:line="360" w:lineRule="auto"/>
        <w:jc w:val="center"/>
        <w:rPr>
          <w:rFonts w:ascii="宋体" w:cs="宋体"/>
          <w:color w:val="auto"/>
        </w:rPr>
      </w:pPr>
    </w:p>
    <w:p>
      <w:pPr>
        <w:spacing w:line="360" w:lineRule="auto"/>
        <w:ind w:firstLine="900"/>
        <w:jc w:val="left"/>
        <w:rPr>
          <w:rFonts w:ascii="隶书" w:hAnsi="隶书" w:eastAsia="隶书"/>
          <w:b/>
          <w:color w:val="auto"/>
          <w:sz w:val="36"/>
          <w:szCs w:val="36"/>
        </w:rPr>
      </w:pPr>
      <w:r>
        <w:rPr>
          <w:rFonts w:hint="eastAsia" w:ascii="隶书" w:hAnsi="隶书" w:eastAsia="隶书"/>
          <w:b/>
          <w:color w:val="auto"/>
          <w:sz w:val="36"/>
          <w:szCs w:val="36"/>
        </w:rPr>
        <w:t>项目名称：</w:t>
      </w:r>
    </w:p>
    <w:p>
      <w:pPr>
        <w:spacing w:line="360" w:lineRule="auto"/>
        <w:ind w:firstLine="900"/>
        <w:jc w:val="left"/>
        <w:rPr>
          <w:rFonts w:ascii="隶书" w:hAnsi="隶书" w:eastAsia="隶书"/>
          <w:b/>
          <w:color w:val="auto"/>
          <w:sz w:val="36"/>
          <w:szCs w:val="36"/>
        </w:rPr>
      </w:pPr>
      <w:r>
        <w:rPr>
          <w:rFonts w:hint="eastAsia" w:ascii="隶书" w:hAnsi="隶书" w:eastAsia="隶书"/>
          <w:b/>
          <w:color w:val="auto"/>
          <w:sz w:val="36"/>
          <w:szCs w:val="36"/>
        </w:rPr>
        <w:t>项目编号：</w:t>
      </w:r>
    </w:p>
    <w:p>
      <w:pPr>
        <w:spacing w:line="360" w:lineRule="auto"/>
        <w:ind w:firstLine="900"/>
        <w:jc w:val="left"/>
        <w:rPr>
          <w:rFonts w:ascii="隶书" w:hAnsi="隶书" w:eastAsia="隶书" w:cs="Lucida Sans Unicode"/>
          <w:b/>
          <w:color w:val="auto"/>
          <w:sz w:val="36"/>
          <w:szCs w:val="36"/>
        </w:rPr>
      </w:pPr>
      <w:r>
        <w:rPr>
          <w:rFonts w:hint="eastAsia" w:ascii="隶书" w:hAnsi="隶书" w:eastAsia="隶书"/>
          <w:b/>
          <w:color w:val="auto"/>
          <w:sz w:val="36"/>
          <w:szCs w:val="36"/>
        </w:rPr>
        <w:t>响应单位：（加盖公章）</w:t>
      </w:r>
    </w:p>
    <w:p>
      <w:pPr>
        <w:spacing w:line="360" w:lineRule="auto"/>
        <w:ind w:firstLine="900"/>
        <w:jc w:val="left"/>
        <w:rPr>
          <w:rFonts w:ascii="隶书" w:hAnsi="隶书" w:eastAsia="隶书" w:cs="Lucida Sans Unicode"/>
          <w:b/>
          <w:color w:val="auto"/>
          <w:sz w:val="36"/>
          <w:szCs w:val="36"/>
        </w:rPr>
      </w:pPr>
      <w:r>
        <w:rPr>
          <w:rFonts w:hint="eastAsia" w:ascii="隶书" w:hAnsi="隶书" w:eastAsia="隶书" w:cs="Lucida Sans Unicode"/>
          <w:b/>
          <w:color w:val="auto"/>
          <w:sz w:val="36"/>
          <w:szCs w:val="36"/>
        </w:rPr>
        <w:t>时间：</w:t>
      </w:r>
    </w:p>
    <w:p>
      <w:pPr>
        <w:jc w:val="center"/>
        <w:rPr>
          <w:rFonts w:ascii="Arial" w:hAnsi="Arial" w:cs="Arial"/>
          <w:b/>
          <w:bCs/>
          <w:color w:val="auto"/>
          <w:sz w:val="36"/>
          <w:szCs w:val="36"/>
        </w:rPr>
      </w:pPr>
    </w:p>
    <w:p>
      <w:pPr>
        <w:jc w:val="center"/>
        <w:rPr>
          <w:rFonts w:ascii="Arial" w:hAnsi="Arial" w:cs="Arial"/>
          <w:b/>
          <w:bCs/>
          <w:color w:val="auto"/>
          <w:sz w:val="44"/>
          <w:szCs w:val="44"/>
        </w:rPr>
      </w:pPr>
      <w:r>
        <w:rPr>
          <w:rFonts w:hint="eastAsia" w:ascii="Arial" w:hAnsi="Arial" w:cs="Arial"/>
          <w:b/>
          <w:bCs/>
          <w:color w:val="auto"/>
          <w:sz w:val="44"/>
          <w:szCs w:val="44"/>
        </w:rPr>
        <w:t>目录</w:t>
      </w:r>
    </w:p>
    <w:p>
      <w:pPr>
        <w:rPr>
          <w:rFonts w:ascii="Arial" w:hAnsi="Arial" w:cs="Arial"/>
          <w:color w:val="auto"/>
        </w:rPr>
      </w:pPr>
    </w:p>
    <w:p>
      <w:pPr>
        <w:jc w:val="center"/>
        <w:rPr>
          <w:rFonts w:ascii="Arial" w:hAnsi="Arial" w:cs="Arial"/>
          <w:color w:val="auto"/>
        </w:rPr>
      </w:pPr>
      <w:r>
        <w:rPr>
          <w:rFonts w:hint="eastAsia" w:ascii="Arial" w:hAnsi="Arial" w:cs="Arial"/>
          <w:color w:val="auto"/>
        </w:rPr>
        <w:t>（响应文件的详细目录根据自己的响应文件编排自定）</w:t>
      </w:r>
    </w:p>
    <w:p>
      <w:pPr>
        <w:spacing w:line="362" w:lineRule="auto"/>
        <w:ind w:left="1680"/>
        <w:rPr>
          <w:rFonts w:cs="宋体"/>
          <w:color w:val="auto"/>
          <w:szCs w:val="24"/>
        </w:rPr>
      </w:pPr>
    </w:p>
    <w:p>
      <w:pPr>
        <w:widowControl/>
        <w:spacing w:line="480" w:lineRule="exact"/>
        <w:ind w:firstLine="540"/>
        <w:rPr>
          <w:rFonts w:ascii="宋体" w:cs="Lucida Sans Unicode"/>
          <w:b/>
          <w:color w:val="auto"/>
        </w:rPr>
      </w:pPr>
      <w:r>
        <w:rPr>
          <w:rFonts w:hint="eastAsia" w:ascii="宋体" w:hAnsi="宋体" w:cs="Lucida Sans Unicode"/>
          <w:b/>
          <w:color w:val="auto"/>
        </w:rPr>
        <w:t>请供应商按照采购文件要求，根据竞争磋商采购文件具体内容详细编制谈判响应文件目录。</w:t>
      </w:r>
    </w:p>
    <w:p>
      <w:pPr>
        <w:ind w:firstLine="1446"/>
        <w:rPr>
          <w:b/>
          <w:color w:val="auto"/>
          <w:sz w:val="72"/>
          <w:szCs w:val="72"/>
        </w:rPr>
      </w:pPr>
    </w:p>
    <w:p>
      <w:pPr>
        <w:ind w:firstLine="1446"/>
        <w:rPr>
          <w:b/>
          <w:color w:val="auto"/>
          <w:sz w:val="72"/>
          <w:szCs w:val="72"/>
        </w:rPr>
      </w:pPr>
    </w:p>
    <w:p>
      <w:pPr>
        <w:ind w:firstLine="1446"/>
        <w:rPr>
          <w:b/>
          <w:color w:val="auto"/>
          <w:sz w:val="72"/>
          <w:szCs w:val="72"/>
        </w:rPr>
      </w:pPr>
    </w:p>
    <w:p>
      <w:pPr>
        <w:pStyle w:val="27"/>
        <w:jc w:val="both"/>
        <w:rPr>
          <w:rFonts w:ascii="宋体" w:cs="宋体"/>
          <w:color w:val="auto"/>
          <w:sz w:val="24"/>
          <w:szCs w:val="24"/>
        </w:rPr>
      </w:pPr>
      <w:bookmarkStart w:id="39" w:name="_Toc448307970"/>
      <w:bookmarkEnd w:id="39"/>
      <w:bookmarkStart w:id="40" w:name="_Toc431307797"/>
      <w:bookmarkEnd w:id="40"/>
      <w:r>
        <w:rPr>
          <w:color w:val="auto"/>
        </w:rPr>
        <w:br w:type="page"/>
      </w:r>
      <w:r>
        <w:rPr>
          <w:rFonts w:hint="eastAsia" w:ascii="宋体" w:hAnsi="宋体" w:cs="宋体"/>
          <w:color w:val="auto"/>
          <w:sz w:val="24"/>
          <w:szCs w:val="24"/>
        </w:rPr>
        <w:t>格式</w:t>
      </w:r>
      <w:r>
        <w:rPr>
          <w:rFonts w:ascii="宋体" w:hAnsi="宋体" w:cs="宋体"/>
          <w:color w:val="auto"/>
          <w:sz w:val="24"/>
          <w:szCs w:val="24"/>
        </w:rPr>
        <w:t xml:space="preserve">1     </w:t>
      </w:r>
    </w:p>
    <w:p>
      <w:pPr>
        <w:spacing w:line="480" w:lineRule="exact"/>
        <w:jc w:val="center"/>
        <w:rPr>
          <w:rFonts w:ascii="宋体"/>
          <w:b/>
          <w:bCs/>
          <w:color w:val="auto"/>
          <w:sz w:val="36"/>
          <w:szCs w:val="36"/>
        </w:rPr>
      </w:pPr>
      <w:r>
        <w:rPr>
          <w:rFonts w:hint="eastAsia" w:ascii="宋体" w:hAnsi="宋体"/>
          <w:b/>
          <w:bCs/>
          <w:color w:val="auto"/>
          <w:sz w:val="36"/>
          <w:szCs w:val="36"/>
        </w:rPr>
        <w:t>磋商函</w:t>
      </w:r>
    </w:p>
    <w:p>
      <w:pPr>
        <w:spacing w:line="240" w:lineRule="atLeast"/>
        <w:rPr>
          <w:rFonts w:cs="宋体"/>
          <w:color w:val="auto"/>
          <w:szCs w:val="24"/>
        </w:rPr>
      </w:pPr>
      <w:r>
        <w:rPr>
          <w:rFonts w:hint="eastAsia" w:cs="宋体"/>
          <w:color w:val="auto"/>
          <w:szCs w:val="24"/>
        </w:rPr>
        <w:t>致：</w:t>
      </w:r>
      <w:r>
        <w:rPr>
          <w:rFonts w:hint="eastAsia" w:cs="宋体"/>
          <w:color w:val="auto"/>
          <w:szCs w:val="24"/>
          <w:u w:val="single"/>
        </w:rPr>
        <w:t>（采购人</w:t>
      </w:r>
      <w:r>
        <w:rPr>
          <w:rFonts w:cs="宋体"/>
          <w:color w:val="auto"/>
          <w:szCs w:val="24"/>
          <w:u w:val="single"/>
        </w:rPr>
        <w:t>/</w:t>
      </w:r>
      <w:r>
        <w:rPr>
          <w:rFonts w:hint="eastAsia" w:cs="宋体"/>
          <w:color w:val="auto"/>
          <w:szCs w:val="24"/>
          <w:u w:val="single"/>
        </w:rPr>
        <w:t>采购代理机构）</w:t>
      </w:r>
    </w:p>
    <w:p>
      <w:pPr>
        <w:spacing w:line="240" w:lineRule="atLeast"/>
        <w:ind w:firstLine="451"/>
        <w:rPr>
          <w:rFonts w:cs="宋体"/>
          <w:color w:val="auto"/>
          <w:szCs w:val="24"/>
        </w:rPr>
      </w:pPr>
      <w:r>
        <w:rPr>
          <w:rFonts w:hint="eastAsia" w:cs="宋体"/>
          <w:color w:val="auto"/>
          <w:szCs w:val="24"/>
        </w:rPr>
        <w:t>根据贵方为</w:t>
      </w:r>
      <w:r>
        <w:rPr>
          <w:rFonts w:hint="eastAsia" w:cs="宋体"/>
          <w:color w:val="auto"/>
          <w:szCs w:val="24"/>
          <w:u w:val="single"/>
        </w:rPr>
        <w:t>（项目名称）</w:t>
      </w:r>
      <w:r>
        <w:rPr>
          <w:rFonts w:hint="eastAsia" w:cs="宋体"/>
          <w:color w:val="auto"/>
          <w:szCs w:val="24"/>
        </w:rPr>
        <w:t>项目的采购邀请</w:t>
      </w:r>
      <w:r>
        <w:rPr>
          <w:rFonts w:hint="eastAsia" w:cs="宋体"/>
          <w:color w:val="auto"/>
          <w:szCs w:val="24"/>
          <w:u w:val="single"/>
        </w:rPr>
        <w:t>（采购编号）</w:t>
      </w:r>
      <w:r>
        <w:rPr>
          <w:rFonts w:hint="eastAsia" w:cs="宋体"/>
          <w:color w:val="auto"/>
          <w:szCs w:val="24"/>
        </w:rPr>
        <w:t>，签字代表</w:t>
      </w:r>
      <w:r>
        <w:rPr>
          <w:rFonts w:hint="eastAsia" w:cs="宋体"/>
          <w:color w:val="auto"/>
          <w:szCs w:val="24"/>
          <w:u w:val="single"/>
        </w:rPr>
        <w:t>（姓名</w:t>
      </w:r>
      <w:r>
        <w:rPr>
          <w:rFonts w:cs="宋体"/>
          <w:color w:val="auto"/>
          <w:szCs w:val="24"/>
          <w:u w:val="single"/>
        </w:rPr>
        <w:t>.</w:t>
      </w:r>
      <w:r>
        <w:rPr>
          <w:rFonts w:hint="eastAsia" w:cs="宋体"/>
          <w:color w:val="auto"/>
          <w:szCs w:val="24"/>
          <w:u w:val="single"/>
        </w:rPr>
        <w:t>职务）</w:t>
      </w:r>
      <w:r>
        <w:rPr>
          <w:rFonts w:hint="eastAsia" w:cs="宋体"/>
          <w:color w:val="auto"/>
          <w:szCs w:val="24"/>
        </w:rPr>
        <w:t>经正式授权并代表响应供商</w:t>
      </w:r>
      <w:r>
        <w:rPr>
          <w:rFonts w:hint="eastAsia" w:cs="宋体"/>
          <w:color w:val="auto"/>
          <w:szCs w:val="24"/>
          <w:u w:val="single"/>
        </w:rPr>
        <w:t>（供应商名称</w:t>
      </w:r>
      <w:r>
        <w:rPr>
          <w:rFonts w:cs="宋体"/>
          <w:color w:val="auto"/>
          <w:szCs w:val="24"/>
          <w:u w:val="single"/>
        </w:rPr>
        <w:t>.</w:t>
      </w:r>
      <w:r>
        <w:rPr>
          <w:rFonts w:hint="eastAsia" w:cs="宋体"/>
          <w:color w:val="auto"/>
          <w:szCs w:val="24"/>
          <w:u w:val="single"/>
        </w:rPr>
        <w:t>地址）</w:t>
      </w:r>
      <w:r>
        <w:rPr>
          <w:rFonts w:hint="eastAsia" w:cs="宋体"/>
          <w:color w:val="auto"/>
          <w:szCs w:val="24"/>
        </w:rPr>
        <w:t>提交下述文件正本</w:t>
      </w:r>
      <w:r>
        <w:rPr>
          <w:rFonts w:hint="eastAsia" w:cs="宋体"/>
          <w:color w:val="auto"/>
          <w:szCs w:val="24"/>
          <w:u w:val="single"/>
        </w:rPr>
        <w:t>一份</w:t>
      </w:r>
      <w:r>
        <w:rPr>
          <w:rFonts w:hint="eastAsia" w:cs="宋体"/>
          <w:color w:val="auto"/>
          <w:szCs w:val="24"/>
        </w:rPr>
        <w:t>及副本</w:t>
      </w:r>
      <w:r>
        <w:rPr>
          <w:rFonts w:cs="宋体"/>
          <w:color w:val="auto"/>
          <w:szCs w:val="24"/>
          <w:u w:val="single"/>
        </w:rPr>
        <w:tab/>
      </w:r>
      <w:r>
        <w:rPr>
          <w:rFonts w:hint="eastAsia" w:cs="宋体"/>
          <w:color w:val="auto"/>
          <w:szCs w:val="24"/>
          <w:u w:val="single"/>
        </w:rPr>
        <w:t xml:space="preserve">    份</w:t>
      </w:r>
      <w:r>
        <w:rPr>
          <w:rFonts w:hint="eastAsia" w:cs="宋体"/>
          <w:color w:val="auto"/>
          <w:szCs w:val="24"/>
        </w:rPr>
        <w:t>：</w:t>
      </w:r>
    </w:p>
    <w:p>
      <w:pPr>
        <w:spacing w:line="240" w:lineRule="atLeast"/>
        <w:ind w:firstLine="480"/>
        <w:rPr>
          <w:rFonts w:ascii="宋体" w:cs="宋体"/>
          <w:color w:val="auto"/>
          <w:szCs w:val="24"/>
        </w:rPr>
      </w:pPr>
      <w:r>
        <w:rPr>
          <w:rFonts w:ascii="宋体" w:hAnsi="宋体" w:cs="宋体"/>
          <w:color w:val="auto"/>
          <w:szCs w:val="24"/>
        </w:rPr>
        <w:t>1.</w:t>
      </w:r>
      <w:r>
        <w:rPr>
          <w:rFonts w:hint="eastAsia" w:ascii="宋体" w:hAnsi="宋体" w:cs="宋体"/>
          <w:color w:val="auto"/>
          <w:szCs w:val="24"/>
        </w:rPr>
        <w:t>磋商函附录</w:t>
      </w:r>
    </w:p>
    <w:p>
      <w:pPr>
        <w:spacing w:line="240" w:lineRule="atLeast"/>
        <w:ind w:firstLine="480"/>
        <w:rPr>
          <w:rFonts w:ascii="宋体" w:cs="宋体"/>
          <w:color w:val="auto"/>
          <w:szCs w:val="24"/>
        </w:rPr>
      </w:pPr>
      <w:r>
        <w:rPr>
          <w:rFonts w:ascii="宋体" w:hAnsi="宋体" w:cs="宋体"/>
          <w:color w:val="auto"/>
          <w:szCs w:val="24"/>
        </w:rPr>
        <w:t>2.</w:t>
      </w:r>
      <w:r>
        <w:rPr>
          <w:rFonts w:hint="eastAsia" w:ascii="宋体" w:hAnsi="宋体" w:cs="宋体"/>
          <w:color w:val="auto"/>
          <w:szCs w:val="24"/>
        </w:rPr>
        <w:t>联合体协议（如有）</w:t>
      </w:r>
    </w:p>
    <w:p>
      <w:pPr>
        <w:spacing w:line="240" w:lineRule="atLeast"/>
        <w:ind w:firstLine="480"/>
        <w:rPr>
          <w:rFonts w:ascii="宋体" w:cs="宋体"/>
          <w:color w:val="auto"/>
          <w:szCs w:val="24"/>
        </w:rPr>
      </w:pPr>
      <w:r>
        <w:rPr>
          <w:rFonts w:ascii="宋体" w:hAnsi="宋体" w:cs="宋体"/>
          <w:color w:val="auto"/>
          <w:szCs w:val="24"/>
        </w:rPr>
        <w:t>3.</w:t>
      </w:r>
      <w:r>
        <w:rPr>
          <w:rFonts w:hint="eastAsia" w:ascii="宋体" w:hAnsi="宋体" w:cs="宋体"/>
          <w:color w:val="auto"/>
          <w:szCs w:val="24"/>
        </w:rPr>
        <w:t>法定代表人证明</w:t>
      </w:r>
    </w:p>
    <w:p>
      <w:pPr>
        <w:spacing w:line="240" w:lineRule="atLeast"/>
        <w:ind w:firstLine="480"/>
        <w:rPr>
          <w:rFonts w:ascii="宋体" w:cs="宋体"/>
          <w:color w:val="auto"/>
          <w:szCs w:val="24"/>
        </w:rPr>
      </w:pPr>
      <w:r>
        <w:rPr>
          <w:rFonts w:ascii="宋体" w:hAnsi="宋体" w:cs="宋体"/>
          <w:color w:val="auto"/>
          <w:szCs w:val="24"/>
        </w:rPr>
        <w:t>4.</w:t>
      </w:r>
      <w:r>
        <w:rPr>
          <w:rFonts w:hint="eastAsia" w:ascii="宋体" w:hAnsi="宋体" w:cs="宋体"/>
          <w:color w:val="auto"/>
          <w:szCs w:val="24"/>
        </w:rPr>
        <w:t>授权委托书</w:t>
      </w:r>
    </w:p>
    <w:p>
      <w:pPr>
        <w:spacing w:line="240" w:lineRule="atLeast"/>
        <w:ind w:firstLine="480"/>
        <w:rPr>
          <w:rFonts w:ascii="宋体" w:cs="宋体"/>
          <w:color w:val="auto"/>
          <w:szCs w:val="24"/>
        </w:rPr>
      </w:pPr>
      <w:r>
        <w:rPr>
          <w:rFonts w:ascii="宋体" w:hAnsi="宋体" w:cs="宋体"/>
          <w:color w:val="auto"/>
          <w:szCs w:val="24"/>
        </w:rPr>
        <w:t>5.</w:t>
      </w:r>
      <w:r>
        <w:rPr>
          <w:rFonts w:hint="eastAsia" w:ascii="宋体" w:hAnsi="宋体" w:cs="宋体"/>
          <w:color w:val="auto"/>
          <w:szCs w:val="24"/>
        </w:rPr>
        <w:t>磋商保证金</w:t>
      </w:r>
    </w:p>
    <w:p>
      <w:pPr>
        <w:spacing w:line="240" w:lineRule="atLeast"/>
        <w:ind w:firstLine="480"/>
        <w:rPr>
          <w:rFonts w:ascii="宋体" w:cs="宋体"/>
          <w:color w:val="auto"/>
          <w:szCs w:val="24"/>
        </w:rPr>
      </w:pPr>
      <w:r>
        <w:rPr>
          <w:rFonts w:ascii="宋体" w:hAnsi="宋体" w:cs="宋体"/>
          <w:color w:val="auto"/>
          <w:szCs w:val="24"/>
        </w:rPr>
        <w:t>6.</w:t>
      </w:r>
      <w:r>
        <w:rPr>
          <w:rFonts w:hint="eastAsia" w:ascii="宋体" w:hAnsi="宋体" w:cs="宋体"/>
          <w:color w:val="auto"/>
          <w:szCs w:val="24"/>
        </w:rPr>
        <w:t>磋商价格表</w:t>
      </w:r>
    </w:p>
    <w:p>
      <w:pPr>
        <w:spacing w:line="240" w:lineRule="atLeast"/>
        <w:ind w:firstLine="480"/>
        <w:rPr>
          <w:rFonts w:ascii="宋体" w:cs="宋体"/>
          <w:color w:val="auto"/>
          <w:szCs w:val="24"/>
        </w:rPr>
      </w:pPr>
      <w:r>
        <w:rPr>
          <w:rFonts w:ascii="宋体" w:hAnsi="宋体" w:cs="宋体"/>
          <w:color w:val="auto"/>
          <w:szCs w:val="24"/>
        </w:rPr>
        <w:t>7.</w:t>
      </w:r>
      <w:r>
        <w:rPr>
          <w:rFonts w:hint="eastAsia" w:ascii="宋体" w:hAnsi="宋体" w:cs="宋体"/>
          <w:color w:val="auto"/>
          <w:szCs w:val="24"/>
        </w:rPr>
        <w:t>偏离表</w:t>
      </w:r>
    </w:p>
    <w:p>
      <w:pPr>
        <w:spacing w:line="240" w:lineRule="atLeast"/>
        <w:ind w:firstLine="480"/>
        <w:rPr>
          <w:rFonts w:ascii="宋体" w:cs="宋体"/>
          <w:color w:val="auto"/>
          <w:szCs w:val="24"/>
        </w:rPr>
      </w:pPr>
      <w:r>
        <w:rPr>
          <w:rFonts w:ascii="宋体" w:hAnsi="宋体" w:cs="宋体"/>
          <w:color w:val="auto"/>
          <w:szCs w:val="24"/>
        </w:rPr>
        <w:t>8.</w:t>
      </w:r>
      <w:r>
        <w:rPr>
          <w:rFonts w:hint="eastAsia" w:ascii="宋体" w:hAnsi="宋体" w:cs="宋体"/>
          <w:color w:val="auto"/>
          <w:szCs w:val="24"/>
        </w:rPr>
        <w:t>响应供应商资格证明材料</w:t>
      </w:r>
    </w:p>
    <w:p>
      <w:pPr>
        <w:spacing w:line="240" w:lineRule="atLeast"/>
        <w:ind w:firstLine="480"/>
        <w:rPr>
          <w:rFonts w:ascii="宋体" w:cs="宋体"/>
          <w:color w:val="auto"/>
          <w:szCs w:val="24"/>
        </w:rPr>
      </w:pPr>
      <w:r>
        <w:rPr>
          <w:rFonts w:ascii="宋体" w:hAnsi="宋体" w:cs="宋体"/>
          <w:color w:val="auto"/>
          <w:szCs w:val="24"/>
        </w:rPr>
        <w:t>9.</w:t>
      </w:r>
      <w:r>
        <w:rPr>
          <w:rFonts w:hint="eastAsia" w:ascii="宋体" w:hAnsi="宋体" w:cs="宋体"/>
          <w:color w:val="auto"/>
          <w:szCs w:val="24"/>
        </w:rPr>
        <w:t>供应商拟定的项目实施方案</w:t>
      </w:r>
    </w:p>
    <w:p>
      <w:pPr>
        <w:spacing w:line="240" w:lineRule="atLeast"/>
        <w:ind w:firstLine="480"/>
        <w:rPr>
          <w:rFonts w:ascii="宋体" w:cs="宋体"/>
          <w:color w:val="auto"/>
          <w:szCs w:val="24"/>
        </w:rPr>
      </w:pPr>
      <w:r>
        <w:rPr>
          <w:rFonts w:ascii="宋体" w:hAnsi="宋体" w:cs="宋体"/>
          <w:color w:val="auto"/>
          <w:szCs w:val="24"/>
        </w:rPr>
        <w:t>10.</w:t>
      </w:r>
      <w:r>
        <w:rPr>
          <w:rFonts w:hint="eastAsia" w:ascii="宋体" w:hAnsi="宋体" w:cs="宋体"/>
          <w:color w:val="auto"/>
          <w:szCs w:val="24"/>
        </w:rPr>
        <w:t>磋商文件要求提供的其它有关文件</w:t>
      </w:r>
    </w:p>
    <w:p>
      <w:pPr>
        <w:spacing w:line="240" w:lineRule="atLeast"/>
        <w:ind w:firstLine="480"/>
        <w:rPr>
          <w:rFonts w:ascii="宋体" w:cs="宋体"/>
          <w:color w:val="auto"/>
          <w:szCs w:val="24"/>
          <w:u w:val="single"/>
        </w:rPr>
      </w:pPr>
      <w:r>
        <w:rPr>
          <w:rFonts w:hint="eastAsia" w:ascii="宋体" w:hAnsi="宋体" w:cs="宋体"/>
          <w:color w:val="auto"/>
          <w:szCs w:val="24"/>
        </w:rPr>
        <w:t>我方已仔细阅读并研究了</w:t>
      </w:r>
      <w:r>
        <w:rPr>
          <w:rFonts w:hint="eastAsia" w:ascii="宋体" w:hAnsi="宋体" w:cs="宋体"/>
          <w:color w:val="auto"/>
          <w:szCs w:val="24"/>
          <w:u w:val="single"/>
        </w:rPr>
        <w:t>（项目名称）</w:t>
      </w:r>
      <w:r>
        <w:rPr>
          <w:rFonts w:hint="eastAsia" w:ascii="宋体" w:hAnsi="宋体" w:cs="宋体"/>
          <w:color w:val="auto"/>
          <w:szCs w:val="24"/>
        </w:rPr>
        <w:t>磋商文件的全部内容（含本项目的所有补遗</w:t>
      </w:r>
      <w:r>
        <w:rPr>
          <w:rFonts w:ascii="宋体" w:cs="宋体"/>
          <w:color w:val="auto"/>
          <w:szCs w:val="24"/>
        </w:rPr>
        <w:t>.</w:t>
      </w:r>
      <w:r>
        <w:rPr>
          <w:rFonts w:hint="eastAsia" w:ascii="宋体" w:hAnsi="宋体" w:cs="宋体"/>
          <w:color w:val="auto"/>
          <w:szCs w:val="24"/>
        </w:rPr>
        <w:t>澄清和变更资料），我们完全熟悉其中的要求、条款和条件。愿意以</w:t>
      </w:r>
      <w:r>
        <w:rPr>
          <w:rFonts w:hint="eastAsia" w:ascii="宋体" w:hAnsi="宋体" w:cs="宋体"/>
          <w:color w:val="auto"/>
          <w:szCs w:val="24"/>
          <w:u w:val="single"/>
        </w:rPr>
        <w:t xml:space="preserve">（大写）           </w:t>
      </w:r>
      <w:r>
        <w:rPr>
          <w:rFonts w:hint="eastAsia" w:ascii="宋体" w:hAnsi="宋体" w:cs="宋体"/>
          <w:color w:val="auto"/>
          <w:szCs w:val="24"/>
        </w:rPr>
        <w:t>价格，小写：</w:t>
      </w:r>
      <w:r>
        <w:rPr>
          <w:rFonts w:hint="eastAsia" w:ascii="宋体" w:hAnsi="宋体" w:cs="宋体"/>
          <w:color w:val="auto"/>
          <w:szCs w:val="24"/>
          <w:u w:val="single"/>
        </w:rPr>
        <w:t xml:space="preserve">               </w:t>
      </w:r>
      <w:r>
        <w:rPr>
          <w:rFonts w:hint="eastAsia" w:ascii="宋体" w:hAnsi="宋体" w:cs="宋体"/>
          <w:color w:val="auto"/>
          <w:szCs w:val="24"/>
        </w:rPr>
        <w:t>，按磋商文件要求对完成本项目服务周期内的相应工作。同时做出以下声明：</w:t>
      </w:r>
    </w:p>
    <w:p>
      <w:pPr>
        <w:spacing w:line="240" w:lineRule="atLeast"/>
        <w:ind w:firstLine="480"/>
        <w:rPr>
          <w:rFonts w:ascii="宋体" w:cs="宋体"/>
          <w:color w:val="auto"/>
          <w:szCs w:val="24"/>
        </w:rPr>
      </w:pPr>
      <w:r>
        <w:rPr>
          <w:rFonts w:ascii="宋体" w:hAnsi="宋体" w:cs="宋体"/>
          <w:color w:val="auto"/>
          <w:szCs w:val="24"/>
        </w:rPr>
        <w:t>1.</w:t>
      </w:r>
      <w:r>
        <w:rPr>
          <w:rFonts w:hint="eastAsia" w:ascii="宋体" w:hAnsi="宋体" w:cs="宋体"/>
          <w:color w:val="auto"/>
          <w:szCs w:val="24"/>
        </w:rPr>
        <w:t>我方完全按磋商文件的要求编制响应文件，并对磋商文件及磋商补充要求完全响应。</w:t>
      </w:r>
    </w:p>
    <w:p>
      <w:pPr>
        <w:spacing w:line="240" w:lineRule="atLeast"/>
        <w:ind w:firstLine="480"/>
        <w:rPr>
          <w:rFonts w:ascii="宋体" w:cs="宋体"/>
          <w:color w:val="auto"/>
          <w:szCs w:val="24"/>
        </w:rPr>
      </w:pPr>
      <w:r>
        <w:rPr>
          <w:rFonts w:ascii="宋体" w:hAnsi="宋体" w:cs="宋体"/>
          <w:color w:val="auto"/>
          <w:szCs w:val="24"/>
        </w:rPr>
        <w:t>2.</w:t>
      </w:r>
      <w:r>
        <w:rPr>
          <w:rFonts w:hint="eastAsia" w:ascii="宋体" w:hAnsi="宋体" w:cs="宋体"/>
          <w:color w:val="auto"/>
          <w:szCs w:val="24"/>
        </w:rPr>
        <w:t>我方磋商有效期为60天。</w:t>
      </w:r>
    </w:p>
    <w:p>
      <w:pPr>
        <w:spacing w:line="240" w:lineRule="atLeast"/>
        <w:ind w:firstLine="480"/>
        <w:rPr>
          <w:rFonts w:ascii="宋体" w:cs="宋体"/>
          <w:color w:val="auto"/>
          <w:szCs w:val="24"/>
        </w:rPr>
      </w:pPr>
      <w:r>
        <w:rPr>
          <w:rFonts w:ascii="宋体" w:hAnsi="宋体" w:cs="宋体"/>
          <w:color w:val="auto"/>
          <w:szCs w:val="24"/>
        </w:rPr>
        <w:t>3.</w:t>
      </w:r>
      <w:r>
        <w:rPr>
          <w:rFonts w:hint="eastAsia" w:ascii="宋体" w:hAnsi="宋体" w:cs="宋体"/>
          <w:color w:val="auto"/>
          <w:szCs w:val="24"/>
        </w:rPr>
        <w:t>我方承诺与采购人聘请的为此项目提供咨询服务的公司及任何附属机构均无关联，我方不是采购人的附属机构。</w:t>
      </w:r>
    </w:p>
    <w:p>
      <w:pPr>
        <w:spacing w:line="240" w:lineRule="atLeast"/>
        <w:ind w:firstLine="480"/>
        <w:rPr>
          <w:rFonts w:ascii="宋体" w:cs="宋体"/>
          <w:color w:val="auto"/>
          <w:szCs w:val="24"/>
        </w:rPr>
      </w:pPr>
      <w:r>
        <w:rPr>
          <w:rFonts w:ascii="宋体" w:hAnsi="宋体" w:cs="宋体"/>
          <w:color w:val="auto"/>
          <w:szCs w:val="24"/>
        </w:rPr>
        <w:t>4.</w:t>
      </w:r>
      <w:r>
        <w:rPr>
          <w:rFonts w:hint="eastAsia" w:ascii="宋体" w:hAnsi="宋体" w:cs="宋体"/>
          <w:color w:val="auto"/>
          <w:szCs w:val="24"/>
        </w:rPr>
        <w:t>我方将按磋商文件的规定履行合同责任和义务。</w:t>
      </w:r>
    </w:p>
    <w:p>
      <w:pPr>
        <w:spacing w:line="240" w:lineRule="atLeast"/>
        <w:ind w:firstLine="480"/>
        <w:rPr>
          <w:rFonts w:ascii="宋体" w:cs="宋体"/>
          <w:color w:val="auto"/>
          <w:szCs w:val="24"/>
        </w:rPr>
      </w:pPr>
      <w:r>
        <w:rPr>
          <w:rFonts w:ascii="宋体" w:hAnsi="宋体" w:cs="宋体"/>
          <w:color w:val="auto"/>
          <w:szCs w:val="24"/>
        </w:rPr>
        <w:t>5.</w:t>
      </w:r>
      <w:r>
        <w:rPr>
          <w:rFonts w:hint="eastAsia" w:ascii="宋体" w:hAnsi="宋体" w:cs="宋体"/>
          <w:color w:val="auto"/>
          <w:szCs w:val="24"/>
        </w:rPr>
        <w:t>我方同意竞争性磋商须知中关于没收磋商保证金的规定。</w:t>
      </w:r>
    </w:p>
    <w:p>
      <w:pPr>
        <w:spacing w:line="240" w:lineRule="atLeast"/>
        <w:ind w:firstLine="480"/>
        <w:rPr>
          <w:rFonts w:ascii="宋体" w:cs="宋体"/>
          <w:color w:val="auto"/>
          <w:szCs w:val="24"/>
        </w:rPr>
      </w:pPr>
      <w:r>
        <w:rPr>
          <w:rFonts w:ascii="宋体" w:hAnsi="宋体" w:cs="宋体"/>
          <w:color w:val="auto"/>
          <w:szCs w:val="24"/>
        </w:rPr>
        <w:t>6.</w:t>
      </w:r>
      <w:r>
        <w:rPr>
          <w:rFonts w:hint="eastAsia" w:ascii="宋体" w:hAnsi="宋体" w:cs="宋体"/>
          <w:color w:val="auto"/>
          <w:szCs w:val="24"/>
        </w:rPr>
        <w:t>我方同意提供贵方可能要求的与其磋商有关的一切数据或资料。</w:t>
      </w:r>
    </w:p>
    <w:p>
      <w:pPr>
        <w:spacing w:line="240" w:lineRule="atLeast"/>
        <w:ind w:firstLine="480"/>
        <w:rPr>
          <w:rFonts w:ascii="宋体" w:cs="宋体"/>
          <w:color w:val="auto"/>
          <w:szCs w:val="24"/>
        </w:rPr>
      </w:pPr>
      <w:r>
        <w:rPr>
          <w:rFonts w:ascii="宋体" w:hAnsi="宋体" w:cs="宋体"/>
          <w:color w:val="auto"/>
          <w:szCs w:val="24"/>
        </w:rPr>
        <w:t>7.</w:t>
      </w:r>
      <w:r>
        <w:rPr>
          <w:rFonts w:hint="eastAsia" w:ascii="宋体" w:hAnsi="宋体" w:cs="宋体"/>
          <w:color w:val="auto"/>
          <w:szCs w:val="24"/>
        </w:rPr>
        <w:t>我方完全理解贵方不一定接受最低价的响应或收到的任何响应。</w:t>
      </w:r>
    </w:p>
    <w:p>
      <w:pPr>
        <w:spacing w:line="240" w:lineRule="atLeast"/>
        <w:ind w:firstLine="480"/>
        <w:rPr>
          <w:rFonts w:ascii="宋体" w:cs="宋体"/>
          <w:color w:val="auto"/>
          <w:szCs w:val="24"/>
        </w:rPr>
      </w:pPr>
      <w:r>
        <w:rPr>
          <w:rFonts w:ascii="宋体" w:hAnsi="宋体" w:cs="宋体"/>
          <w:color w:val="auto"/>
          <w:szCs w:val="24"/>
        </w:rPr>
        <w:t>8.</w:t>
      </w:r>
      <w:r>
        <w:rPr>
          <w:rFonts w:hint="eastAsia" w:ascii="宋体" w:hAnsi="宋体" w:cs="宋体"/>
          <w:color w:val="auto"/>
          <w:szCs w:val="24"/>
        </w:rPr>
        <w:t>我方承诺不泄露磋商活动中获取的项目信息</w:t>
      </w:r>
      <w:r>
        <w:rPr>
          <w:rFonts w:ascii="宋体" w:cs="宋体"/>
          <w:color w:val="auto"/>
          <w:szCs w:val="24"/>
        </w:rPr>
        <w:t>.</w:t>
      </w:r>
      <w:r>
        <w:rPr>
          <w:rFonts w:hint="eastAsia" w:ascii="宋体" w:hAnsi="宋体" w:cs="宋体"/>
          <w:color w:val="auto"/>
          <w:szCs w:val="24"/>
        </w:rPr>
        <w:t>商业秘密。</w:t>
      </w:r>
    </w:p>
    <w:p>
      <w:pPr>
        <w:spacing w:line="240" w:lineRule="atLeast"/>
        <w:ind w:firstLine="480"/>
        <w:rPr>
          <w:rFonts w:ascii="宋体" w:cs="宋体"/>
          <w:color w:val="auto"/>
          <w:szCs w:val="24"/>
        </w:rPr>
      </w:pPr>
      <w:r>
        <w:rPr>
          <w:rFonts w:ascii="宋体" w:hAnsi="宋体" w:cs="宋体"/>
          <w:color w:val="auto"/>
          <w:szCs w:val="24"/>
        </w:rPr>
        <w:t>9.</w:t>
      </w:r>
      <w:r>
        <w:rPr>
          <w:rFonts w:hint="eastAsia" w:ascii="宋体" w:hAnsi="宋体" w:cs="宋体"/>
          <w:color w:val="auto"/>
          <w:szCs w:val="24"/>
        </w:rPr>
        <w:t>我方在此声明，所递交的响应文件及有关资料内容完整</w:t>
      </w:r>
      <w:r>
        <w:rPr>
          <w:rFonts w:ascii="宋体" w:cs="宋体"/>
          <w:color w:val="auto"/>
          <w:szCs w:val="24"/>
        </w:rPr>
        <w:t>.</w:t>
      </w:r>
      <w:r>
        <w:rPr>
          <w:rFonts w:hint="eastAsia" w:ascii="宋体" w:hAnsi="宋体" w:cs="宋体"/>
          <w:color w:val="auto"/>
          <w:szCs w:val="24"/>
        </w:rPr>
        <w:t>真实和准确。</w:t>
      </w:r>
    </w:p>
    <w:p>
      <w:pPr>
        <w:spacing w:line="240" w:lineRule="atLeast"/>
        <w:ind w:firstLine="480"/>
        <w:rPr>
          <w:rFonts w:ascii="宋体" w:hAnsi="宋体" w:cs="宋体"/>
          <w:color w:val="auto"/>
          <w:szCs w:val="24"/>
        </w:rPr>
      </w:pPr>
      <w:r>
        <w:rPr>
          <w:rFonts w:hint="eastAsia" w:ascii="宋体" w:hAnsi="宋体" w:cs="宋体"/>
          <w:color w:val="auto"/>
          <w:szCs w:val="24"/>
        </w:rPr>
        <w:t>10.我方提交的响应文件完全响应采购文件的要求。</w:t>
      </w:r>
    </w:p>
    <w:p>
      <w:pPr>
        <w:spacing w:line="240" w:lineRule="atLeast"/>
        <w:ind w:firstLine="480"/>
        <w:rPr>
          <w:rFonts w:ascii="宋体" w:cs="宋体"/>
          <w:color w:val="auto"/>
          <w:szCs w:val="24"/>
        </w:rPr>
      </w:pPr>
      <w:r>
        <w:rPr>
          <w:rFonts w:hint="eastAsia" w:ascii="宋体" w:hAnsi="宋体" w:cs="宋体"/>
          <w:color w:val="auto"/>
          <w:szCs w:val="24"/>
        </w:rPr>
        <w:t>与本磋商有关的一切正式信函请寄：</w:t>
      </w:r>
    </w:p>
    <w:p>
      <w:pPr>
        <w:spacing w:before="26" w:line="240" w:lineRule="atLeast"/>
        <w:ind w:right="507" w:firstLine="423"/>
        <w:rPr>
          <w:rFonts w:cs="宋体"/>
          <w:color w:val="auto"/>
          <w:spacing w:val="-1"/>
          <w:szCs w:val="24"/>
        </w:rPr>
      </w:pPr>
    </w:p>
    <w:p>
      <w:pPr>
        <w:spacing w:before="26" w:line="240" w:lineRule="atLeast"/>
        <w:ind w:right="507" w:firstLine="423"/>
        <w:rPr>
          <w:rFonts w:cs="宋体"/>
          <w:color w:val="auto"/>
          <w:spacing w:val="-1"/>
          <w:szCs w:val="24"/>
        </w:rPr>
      </w:pPr>
    </w:p>
    <w:p>
      <w:pPr>
        <w:spacing w:before="26" w:line="240" w:lineRule="atLeast"/>
        <w:ind w:right="507" w:firstLine="421"/>
        <w:rPr>
          <w:rFonts w:cs="宋体"/>
          <w:color w:val="auto"/>
          <w:szCs w:val="24"/>
          <w:u w:val="single"/>
        </w:rPr>
      </w:pPr>
      <w:r>
        <w:rPr>
          <w:rFonts w:hint="eastAsia" w:cs="宋体"/>
          <w:color w:val="auto"/>
          <w:spacing w:val="-1"/>
          <w:szCs w:val="24"/>
        </w:rPr>
        <w:t>单位名称（盖章）</w:t>
      </w:r>
      <w:r>
        <w:rPr>
          <w:rFonts w:hint="eastAsia" w:cs="宋体"/>
          <w:color w:val="auto"/>
          <w:spacing w:val="-1"/>
          <w:szCs w:val="24"/>
          <w:u w:val="single"/>
        </w:rPr>
        <w:t xml:space="preserve">                             </w:t>
      </w:r>
    </w:p>
    <w:p>
      <w:pPr>
        <w:spacing w:before="26" w:line="240" w:lineRule="atLeast"/>
        <w:ind w:right="507" w:firstLine="425"/>
        <w:rPr>
          <w:rFonts w:cs="宋体"/>
          <w:color w:val="auto"/>
          <w:szCs w:val="24"/>
          <w:u w:val="single"/>
        </w:rPr>
      </w:pPr>
      <w:r>
        <w:rPr>
          <w:rFonts w:hint="eastAsia" w:cs="宋体"/>
          <w:color w:val="auto"/>
          <w:szCs w:val="24"/>
        </w:rPr>
        <w:t>地址：</w:t>
      </w:r>
      <w:r>
        <w:rPr>
          <w:rFonts w:cs="宋体"/>
          <w:color w:val="auto"/>
          <w:szCs w:val="24"/>
          <w:u w:val="single"/>
        </w:rPr>
        <w:tab/>
      </w:r>
      <w:r>
        <w:rPr>
          <w:rFonts w:hint="eastAsia" w:cs="宋体"/>
          <w:color w:val="auto"/>
          <w:szCs w:val="24"/>
          <w:u w:val="single"/>
        </w:rPr>
        <w:t xml:space="preserve">                           </w:t>
      </w:r>
      <w:r>
        <w:rPr>
          <w:rFonts w:cs="宋体"/>
          <w:color w:val="auto"/>
          <w:szCs w:val="24"/>
        </w:rPr>
        <w:tab/>
      </w:r>
      <w:r>
        <w:rPr>
          <w:rFonts w:hint="eastAsia" w:cs="宋体"/>
          <w:color w:val="auto"/>
          <w:szCs w:val="24"/>
        </w:rPr>
        <w:t>：</w:t>
      </w:r>
    </w:p>
    <w:p>
      <w:pPr>
        <w:spacing w:before="26" w:line="240" w:lineRule="atLeast"/>
        <w:ind w:right="507" w:firstLine="425"/>
        <w:rPr>
          <w:rFonts w:cs="宋体"/>
          <w:color w:val="auto"/>
          <w:szCs w:val="24"/>
          <w:u w:val="single"/>
        </w:rPr>
      </w:pPr>
      <w:r>
        <w:rPr>
          <w:rFonts w:hint="eastAsia" w:cs="宋体"/>
          <w:color w:val="auto"/>
          <w:szCs w:val="24"/>
        </w:rPr>
        <w:t>电话：</w:t>
      </w:r>
      <w:r>
        <w:rPr>
          <w:rFonts w:cs="宋体"/>
          <w:color w:val="auto"/>
          <w:szCs w:val="24"/>
          <w:u w:val="single"/>
        </w:rPr>
        <w:tab/>
      </w:r>
      <w:r>
        <w:rPr>
          <w:rFonts w:hint="eastAsia" w:cs="宋体"/>
          <w:color w:val="auto"/>
          <w:szCs w:val="24"/>
          <w:u w:val="single"/>
        </w:rPr>
        <w:t xml:space="preserve">                      </w:t>
      </w:r>
      <w:r>
        <w:rPr>
          <w:rFonts w:cs="宋体"/>
          <w:color w:val="auto"/>
          <w:szCs w:val="24"/>
        </w:rPr>
        <w:tab/>
      </w:r>
    </w:p>
    <w:p>
      <w:pPr>
        <w:spacing w:before="26" w:line="240" w:lineRule="atLeast"/>
        <w:ind w:right="507" w:firstLine="423"/>
        <w:rPr>
          <w:rFonts w:cs="宋体"/>
          <w:color w:val="auto"/>
          <w:spacing w:val="-1"/>
          <w:szCs w:val="24"/>
        </w:rPr>
      </w:pPr>
      <w:r>
        <w:rPr>
          <w:rFonts w:hint="eastAsia" w:cs="宋体"/>
          <w:color w:val="auto"/>
          <w:spacing w:val="-1"/>
          <w:szCs w:val="24"/>
        </w:rPr>
        <w:t>法人代表或授权代表签字</w:t>
      </w:r>
      <w:r>
        <w:rPr>
          <w:rFonts w:cs="宋体"/>
          <w:color w:val="auto"/>
          <w:spacing w:val="-1"/>
          <w:szCs w:val="24"/>
        </w:rPr>
        <w:t>:</w:t>
      </w:r>
      <w:r>
        <w:rPr>
          <w:rFonts w:cs="宋体"/>
          <w:color w:val="auto"/>
          <w:szCs w:val="24"/>
          <w:u w:val="single"/>
        </w:rPr>
        <w:tab/>
      </w:r>
      <w:r>
        <w:rPr>
          <w:rFonts w:hint="eastAsia" w:cs="宋体"/>
          <w:color w:val="auto"/>
          <w:szCs w:val="24"/>
          <w:u w:val="single"/>
        </w:rPr>
        <w:t xml:space="preserve">                      </w:t>
      </w:r>
      <w:r>
        <w:rPr>
          <w:rFonts w:hint="eastAsia" w:cs="宋体"/>
          <w:color w:val="auto"/>
          <w:szCs w:val="24"/>
        </w:rPr>
        <w:t>；</w:t>
      </w:r>
      <w:r>
        <w:rPr>
          <w:rFonts w:cs="宋体"/>
          <w:color w:val="auto"/>
          <w:spacing w:val="-1"/>
          <w:szCs w:val="24"/>
        </w:rPr>
        <w:t>:</w:t>
      </w:r>
    </w:p>
    <w:p>
      <w:pPr>
        <w:spacing w:before="26" w:line="240" w:lineRule="atLeast"/>
        <w:ind w:right="507" w:firstLine="423"/>
        <w:rPr>
          <w:rFonts w:cs="宋体"/>
          <w:color w:val="auto"/>
          <w:szCs w:val="24"/>
        </w:rPr>
      </w:pPr>
      <w:r>
        <w:rPr>
          <w:rFonts w:hint="eastAsia" w:cs="宋体"/>
          <w:color w:val="auto"/>
          <w:spacing w:val="-1"/>
          <w:szCs w:val="24"/>
        </w:rPr>
        <w:t>日期</w:t>
      </w:r>
      <w:r>
        <w:rPr>
          <w:rFonts w:cs="宋体"/>
          <w:color w:val="auto"/>
          <w:spacing w:val="-1"/>
          <w:szCs w:val="24"/>
        </w:rPr>
        <w:t>:</w:t>
      </w:r>
      <w:r>
        <w:rPr>
          <w:rFonts w:hint="eastAsia" w:cs="宋体"/>
          <w:color w:val="auto"/>
          <w:spacing w:val="-1"/>
          <w:szCs w:val="24"/>
        </w:rPr>
        <w:t xml:space="preserve"> </w:t>
      </w:r>
      <w:r>
        <w:rPr>
          <w:rFonts w:cs="宋体"/>
          <w:color w:val="auto"/>
          <w:szCs w:val="24"/>
          <w:u w:val="single"/>
        </w:rPr>
        <w:tab/>
      </w:r>
      <w:r>
        <w:rPr>
          <w:rFonts w:hint="eastAsia" w:cs="宋体"/>
          <w:color w:val="auto"/>
          <w:szCs w:val="24"/>
          <w:u w:val="single"/>
        </w:rPr>
        <w:t xml:space="preserve">                          </w:t>
      </w:r>
    </w:p>
    <w:p>
      <w:pPr>
        <w:spacing w:line="240" w:lineRule="atLeast"/>
        <w:ind w:firstLine="1446"/>
        <w:rPr>
          <w:rFonts w:ascii="宋体" w:cs="宋体"/>
          <w:b/>
          <w:color w:val="auto"/>
          <w:szCs w:val="24"/>
        </w:rPr>
      </w:pPr>
    </w:p>
    <w:p>
      <w:pPr>
        <w:ind w:firstLine="1446"/>
        <w:rPr>
          <w:rFonts w:ascii="宋体" w:cs="宋体"/>
          <w:b/>
          <w:color w:val="auto"/>
          <w:szCs w:val="24"/>
        </w:rPr>
      </w:pPr>
    </w:p>
    <w:p>
      <w:pPr>
        <w:pStyle w:val="27"/>
        <w:jc w:val="both"/>
        <w:rPr>
          <w:rFonts w:ascii="宋体" w:cs="宋体"/>
          <w:color w:val="auto"/>
          <w:sz w:val="24"/>
          <w:szCs w:val="24"/>
        </w:rPr>
      </w:pPr>
      <w:bookmarkStart w:id="41" w:name="_Toc431307798"/>
      <w:bookmarkEnd w:id="41"/>
      <w:bookmarkStart w:id="42" w:name="_Toc448307971"/>
      <w:bookmarkEnd w:id="42"/>
      <w:r>
        <w:rPr>
          <w:color w:val="auto"/>
        </w:rPr>
        <w:br w:type="page"/>
      </w:r>
      <w:r>
        <w:rPr>
          <w:rFonts w:hint="eastAsia" w:ascii="宋体" w:hAnsi="宋体" w:cs="宋体"/>
          <w:color w:val="auto"/>
          <w:sz w:val="24"/>
          <w:szCs w:val="24"/>
        </w:rPr>
        <w:t>格式</w:t>
      </w:r>
      <w:r>
        <w:rPr>
          <w:rFonts w:ascii="宋体" w:hAnsi="宋体" w:cs="宋体"/>
          <w:color w:val="auto"/>
          <w:sz w:val="24"/>
          <w:szCs w:val="24"/>
        </w:rPr>
        <w:t>2</w:t>
      </w:r>
    </w:p>
    <w:p>
      <w:pPr>
        <w:spacing w:line="480" w:lineRule="exact"/>
        <w:rPr>
          <w:color w:val="auto"/>
          <w:szCs w:val="24"/>
        </w:rPr>
      </w:pPr>
    </w:p>
    <w:p>
      <w:pPr>
        <w:spacing w:line="480" w:lineRule="exact"/>
        <w:jc w:val="center"/>
        <w:rPr>
          <w:rFonts w:ascii="宋体"/>
          <w:b/>
          <w:bCs/>
          <w:color w:val="auto"/>
          <w:sz w:val="36"/>
          <w:szCs w:val="36"/>
        </w:rPr>
      </w:pPr>
      <w:r>
        <w:rPr>
          <w:rFonts w:hint="eastAsia" w:ascii="宋体" w:hAnsi="宋体"/>
          <w:b/>
          <w:bCs/>
          <w:color w:val="auto"/>
          <w:sz w:val="36"/>
          <w:szCs w:val="36"/>
        </w:rPr>
        <w:t>报价一览表</w:t>
      </w:r>
    </w:p>
    <w:p>
      <w:pPr>
        <w:spacing w:line="320" w:lineRule="exact"/>
        <w:rPr>
          <w:rFonts w:ascii="宋体"/>
          <w:color w:val="auto"/>
          <w:szCs w:val="21"/>
        </w:rPr>
      </w:pPr>
    </w:p>
    <w:p>
      <w:pPr>
        <w:spacing w:line="320" w:lineRule="exact"/>
        <w:rPr>
          <w:rFonts w:ascii="宋体"/>
          <w:color w:val="auto"/>
          <w:szCs w:val="24"/>
          <w:u w:val="single"/>
        </w:rPr>
      </w:pPr>
      <w:r>
        <w:rPr>
          <w:rFonts w:hint="eastAsia" w:ascii="宋体" w:hAnsi="宋体"/>
          <w:color w:val="auto"/>
          <w:szCs w:val="24"/>
        </w:rPr>
        <w:t>采购项目名称：</w:t>
      </w:r>
    </w:p>
    <w:p>
      <w:pPr>
        <w:spacing w:line="320" w:lineRule="exact"/>
        <w:rPr>
          <w:rFonts w:ascii="宋体"/>
          <w:i/>
          <w:iCs/>
          <w:color w:val="auto"/>
          <w:szCs w:val="24"/>
        </w:rPr>
      </w:pPr>
      <w:r>
        <w:rPr>
          <w:rFonts w:hint="eastAsia" w:ascii="宋体" w:hAnsi="宋体"/>
          <w:color w:val="auto"/>
          <w:szCs w:val="24"/>
        </w:rPr>
        <w:t>采购项目编号：</w:t>
      </w:r>
    </w:p>
    <w:p>
      <w:pPr>
        <w:spacing w:line="320" w:lineRule="exact"/>
        <w:ind w:firstLine="6840"/>
        <w:rPr>
          <w:rFonts w:ascii="宋体" w:cs="Arial"/>
          <w:color w:val="auto"/>
          <w:szCs w:val="24"/>
        </w:rPr>
      </w:pPr>
      <w:r>
        <w:rPr>
          <w:rFonts w:hint="eastAsia" w:ascii="宋体" w:hAnsi="宋体" w:cs="Arial"/>
          <w:color w:val="auto"/>
          <w:szCs w:val="24"/>
        </w:rPr>
        <w:t>单位：元（人民币）</w:t>
      </w:r>
    </w:p>
    <w:tbl>
      <w:tblPr>
        <w:tblStyle w:val="33"/>
        <w:tblW w:w="9842" w:type="dxa"/>
        <w:tblInd w:w="-246" w:type="dxa"/>
        <w:tblLayout w:type="fixed"/>
        <w:tblCellMar>
          <w:top w:w="0" w:type="dxa"/>
          <w:left w:w="10" w:type="dxa"/>
          <w:bottom w:w="0" w:type="dxa"/>
          <w:right w:w="10" w:type="dxa"/>
        </w:tblCellMar>
      </w:tblPr>
      <w:tblGrid>
        <w:gridCol w:w="1765"/>
        <w:gridCol w:w="5252"/>
        <w:gridCol w:w="1549"/>
        <w:gridCol w:w="1276"/>
      </w:tblGrid>
      <w:tr>
        <w:tblPrEx>
          <w:tblLayout w:type="fixed"/>
          <w:tblCellMar>
            <w:top w:w="0" w:type="dxa"/>
            <w:left w:w="10" w:type="dxa"/>
            <w:bottom w:w="0" w:type="dxa"/>
            <w:right w:w="10" w:type="dxa"/>
          </w:tblCellMar>
        </w:tblPrEx>
        <w:trPr>
          <w:trHeight w:val="581" w:hRule="atLeast"/>
        </w:trPr>
        <w:tc>
          <w:tcPr>
            <w:tcW w:w="17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r>
              <w:rPr>
                <w:rFonts w:hint="eastAsia" w:ascii="宋体" w:hAnsi="宋体"/>
                <w:color w:val="auto"/>
              </w:rPr>
              <w:t>项目名称</w:t>
            </w: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r>
              <w:rPr>
                <w:rFonts w:hint="eastAsia" w:ascii="宋体" w:hAnsi="宋体"/>
                <w:color w:val="auto"/>
              </w:rPr>
              <w:t>报价</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r>
              <w:rPr>
                <w:rFonts w:hint="eastAsia" w:ascii="宋体" w:hAnsi="宋体"/>
                <w:color w:val="auto"/>
              </w:rPr>
              <w:t>期限(工期)</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olor w:val="auto"/>
              </w:rPr>
            </w:pPr>
            <w:r>
              <w:rPr>
                <w:rFonts w:hint="eastAsia" w:ascii="宋体" w:hAnsi="宋体"/>
                <w:color w:val="auto"/>
              </w:rPr>
              <w:t>备注</w:t>
            </w:r>
          </w:p>
        </w:tc>
      </w:tr>
      <w:tr>
        <w:tblPrEx>
          <w:tblLayout w:type="fixed"/>
          <w:tblCellMar>
            <w:top w:w="0" w:type="dxa"/>
            <w:left w:w="10" w:type="dxa"/>
            <w:bottom w:w="0" w:type="dxa"/>
            <w:right w:w="10" w:type="dxa"/>
          </w:tblCellMar>
        </w:tblPrEx>
        <w:trPr>
          <w:trHeight w:val="592" w:hRule="atLeast"/>
        </w:trPr>
        <w:tc>
          <w:tcPr>
            <w:tcW w:w="17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color w:val="auto"/>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color w:val="auto"/>
                <w:u w:val="single"/>
              </w:rPr>
            </w:pPr>
            <w:r>
              <w:rPr>
                <w:rFonts w:hint="eastAsia" w:ascii="宋体" w:hAnsi="宋体"/>
                <w:color w:val="auto"/>
                <w:szCs w:val="21"/>
              </w:rPr>
              <w:t>大写：              ；小写：</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rPr>
            </w:pPr>
          </w:p>
        </w:tc>
      </w:tr>
      <w:tr>
        <w:tblPrEx>
          <w:tblLayout w:type="fixed"/>
          <w:tblCellMar>
            <w:top w:w="0" w:type="dxa"/>
            <w:left w:w="10" w:type="dxa"/>
            <w:bottom w:w="0" w:type="dxa"/>
            <w:right w:w="10" w:type="dxa"/>
          </w:tblCellMar>
        </w:tblPrEx>
        <w:trPr>
          <w:trHeight w:val="592" w:hRule="atLeast"/>
        </w:trPr>
        <w:tc>
          <w:tcPr>
            <w:tcW w:w="17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color w:val="auto"/>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hAnsi="宋体"/>
                <w:color w:val="auto"/>
                <w:szCs w:val="21"/>
              </w:rPr>
            </w:pP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olor w:val="auto"/>
              </w:rPr>
            </w:pPr>
          </w:p>
        </w:tc>
      </w:tr>
    </w:tbl>
    <w:p>
      <w:pPr>
        <w:spacing w:line="320" w:lineRule="exact"/>
        <w:rPr>
          <w:rFonts w:ascii="宋体" w:cs="Arial"/>
          <w:b/>
          <w:bCs/>
          <w:color w:val="auto"/>
          <w:szCs w:val="24"/>
        </w:rPr>
      </w:pPr>
      <w:r>
        <w:rPr>
          <w:rFonts w:hint="eastAsia" w:ascii="宋体" w:hAnsi="宋体" w:cs="Arial"/>
          <w:b/>
          <w:bCs/>
          <w:color w:val="auto"/>
          <w:szCs w:val="24"/>
        </w:rPr>
        <w:t>填写说明：</w:t>
      </w:r>
    </w:p>
    <w:p>
      <w:pPr>
        <w:numPr>
          <w:ilvl w:val="0"/>
          <w:numId w:val="6"/>
        </w:numPr>
        <w:spacing w:line="400" w:lineRule="exact"/>
        <w:ind w:firstLine="480" w:firstLineChars="200"/>
        <w:rPr>
          <w:rFonts w:ascii="宋体" w:hAnsi="宋体" w:cs="Arial"/>
          <w:color w:val="auto"/>
          <w:szCs w:val="24"/>
        </w:rPr>
      </w:pPr>
      <w:r>
        <w:rPr>
          <w:rFonts w:hint="eastAsia" w:ascii="宋体" w:hAnsi="宋体" w:cs="Arial"/>
          <w:color w:val="auto"/>
          <w:szCs w:val="24"/>
        </w:rPr>
        <w:t>本表中的内容与</w:t>
      </w:r>
      <w:r>
        <w:rPr>
          <w:rFonts w:ascii="宋体" w:hAnsi="宋体" w:cs="Arial"/>
          <w:color w:val="auto"/>
          <w:szCs w:val="24"/>
        </w:rPr>
        <w:t>响应</w:t>
      </w:r>
      <w:r>
        <w:rPr>
          <w:rFonts w:hint="eastAsia" w:ascii="宋体" w:hAnsi="宋体" w:cs="Arial"/>
          <w:color w:val="auto"/>
          <w:szCs w:val="24"/>
        </w:rPr>
        <w:t>文件中的磋商函、价格明细表的内容不一致的，以本表为准；大写金额和小写金额不一致的，以大写金额为准；总价金额与按单价汇总金额不一致的，以单价金额计算结果为准；单价金额小数点有明显错位的，应以总价为准，并修改单价。</w:t>
      </w:r>
    </w:p>
    <w:p>
      <w:pPr>
        <w:numPr>
          <w:ilvl w:val="0"/>
          <w:numId w:val="6"/>
        </w:numPr>
        <w:spacing w:line="400" w:lineRule="exact"/>
        <w:ind w:firstLine="480" w:firstLineChars="200"/>
        <w:rPr>
          <w:rFonts w:ascii="宋体" w:hAnsi="宋体" w:cs="Arial"/>
          <w:color w:val="auto"/>
          <w:szCs w:val="24"/>
        </w:rPr>
      </w:pPr>
      <w:r>
        <w:rPr>
          <w:rFonts w:hint="eastAsia" w:ascii="宋体" w:hAnsi="宋体" w:cs="Arial"/>
          <w:color w:val="auto"/>
          <w:szCs w:val="24"/>
        </w:rPr>
        <w:t>报价为采购范围所列全部服务项目的报价总和，并应与价格明细表保持一致。</w:t>
      </w:r>
    </w:p>
    <w:p>
      <w:pPr>
        <w:tabs>
          <w:tab w:val="left" w:pos="4881"/>
        </w:tabs>
        <w:spacing w:before="33" w:line="360" w:lineRule="auto"/>
        <w:ind w:left="102" w:right="4125"/>
        <w:rPr>
          <w:rFonts w:cs="宋体"/>
          <w:color w:val="auto"/>
          <w:spacing w:val="-1"/>
          <w:szCs w:val="24"/>
        </w:rPr>
      </w:pPr>
    </w:p>
    <w:p>
      <w:pPr>
        <w:tabs>
          <w:tab w:val="left" w:pos="4881"/>
        </w:tabs>
        <w:spacing w:before="33" w:line="360" w:lineRule="auto"/>
        <w:ind w:left="102" w:right="4125"/>
        <w:rPr>
          <w:rFonts w:cs="宋体"/>
          <w:color w:val="auto"/>
          <w:spacing w:val="-1"/>
          <w:szCs w:val="24"/>
        </w:rPr>
      </w:pPr>
    </w:p>
    <w:p>
      <w:pPr>
        <w:tabs>
          <w:tab w:val="left" w:pos="4881"/>
        </w:tabs>
        <w:spacing w:before="33" w:line="360" w:lineRule="auto"/>
        <w:ind w:left="102" w:right="4125"/>
        <w:rPr>
          <w:rFonts w:cs="宋体"/>
          <w:color w:val="auto"/>
          <w:szCs w:val="24"/>
          <w:u w:val="single"/>
        </w:rPr>
      </w:pPr>
      <w:r>
        <w:rPr>
          <w:rFonts w:hint="eastAsia" w:cs="宋体"/>
          <w:color w:val="auto"/>
          <w:spacing w:val="-1"/>
          <w:szCs w:val="24"/>
        </w:rPr>
        <w:t>单位名称（盖章）</w:t>
      </w:r>
      <w:r>
        <w:rPr>
          <w:rFonts w:cs="宋体"/>
          <w:color w:val="auto"/>
          <w:spacing w:val="-1"/>
          <w:szCs w:val="24"/>
        </w:rPr>
        <w:t>:</w:t>
      </w:r>
    </w:p>
    <w:p>
      <w:pPr>
        <w:tabs>
          <w:tab w:val="left" w:pos="4881"/>
        </w:tabs>
        <w:spacing w:before="33" w:line="360" w:lineRule="auto"/>
        <w:ind w:left="102" w:right="4125"/>
        <w:rPr>
          <w:rFonts w:cs="宋体"/>
          <w:color w:val="auto"/>
          <w:spacing w:val="25"/>
          <w:szCs w:val="24"/>
        </w:rPr>
      </w:pPr>
      <w:r>
        <w:rPr>
          <w:rFonts w:hint="eastAsia" w:cs="宋体"/>
          <w:color w:val="auto"/>
          <w:spacing w:val="-1"/>
          <w:szCs w:val="24"/>
        </w:rPr>
        <w:t>法人代表或授权代表签字</w:t>
      </w:r>
      <w:r>
        <w:rPr>
          <w:rFonts w:cs="宋体"/>
          <w:color w:val="auto"/>
          <w:spacing w:val="-1"/>
          <w:szCs w:val="24"/>
        </w:rPr>
        <w:t>:</w:t>
      </w:r>
      <w:r>
        <w:rPr>
          <w:rFonts w:cs="宋体"/>
          <w:color w:val="auto"/>
          <w:szCs w:val="24"/>
          <w:u w:val="single"/>
        </w:rPr>
        <w:tab/>
      </w:r>
    </w:p>
    <w:p>
      <w:pPr>
        <w:tabs>
          <w:tab w:val="left" w:pos="4881"/>
        </w:tabs>
        <w:spacing w:before="33" w:line="360" w:lineRule="auto"/>
        <w:ind w:left="102" w:right="4125"/>
        <w:rPr>
          <w:rFonts w:cs="宋体"/>
          <w:color w:val="auto"/>
          <w:szCs w:val="24"/>
        </w:rPr>
      </w:pPr>
      <w:r>
        <w:rPr>
          <w:rFonts w:hint="eastAsia" w:cs="宋体"/>
          <w:color w:val="auto"/>
          <w:spacing w:val="-1"/>
          <w:szCs w:val="24"/>
        </w:rPr>
        <w:t>日期</w:t>
      </w:r>
      <w:r>
        <w:rPr>
          <w:rFonts w:cs="宋体"/>
          <w:color w:val="auto"/>
          <w:spacing w:val="-1"/>
          <w:szCs w:val="24"/>
        </w:rPr>
        <w:t>:</w:t>
      </w:r>
      <w:r>
        <w:rPr>
          <w:rFonts w:cs="宋体"/>
          <w:color w:val="auto"/>
          <w:szCs w:val="24"/>
          <w:u w:val="single"/>
        </w:rPr>
        <w:tab/>
      </w:r>
    </w:p>
    <w:p>
      <w:pPr>
        <w:pStyle w:val="27"/>
        <w:jc w:val="both"/>
        <w:rPr>
          <w:rFonts w:ascii="宋体" w:cs="宋体"/>
          <w:color w:val="auto"/>
        </w:rPr>
      </w:pPr>
    </w:p>
    <w:p>
      <w:pPr>
        <w:spacing w:line="362" w:lineRule="auto"/>
        <w:rPr>
          <w:rFonts w:cs="宋体"/>
          <w:color w:val="auto"/>
          <w:szCs w:val="24"/>
        </w:rPr>
      </w:pPr>
    </w:p>
    <w:p>
      <w:pPr>
        <w:spacing w:line="362" w:lineRule="auto"/>
        <w:rPr>
          <w:rFonts w:ascii="宋体" w:cs="宋体"/>
          <w:b/>
          <w:color w:val="auto"/>
          <w:szCs w:val="24"/>
        </w:rPr>
      </w:pPr>
      <w:r>
        <w:rPr>
          <w:color w:val="auto"/>
        </w:rPr>
        <w:br w:type="page"/>
      </w:r>
      <w:r>
        <w:rPr>
          <w:rFonts w:hint="eastAsia" w:ascii="宋体" w:hAnsi="宋体" w:cs="宋体"/>
          <w:b/>
          <w:color w:val="auto"/>
          <w:szCs w:val="24"/>
        </w:rPr>
        <w:t>格式</w:t>
      </w:r>
      <w:r>
        <w:rPr>
          <w:rFonts w:ascii="宋体" w:hAnsi="宋体" w:cs="宋体"/>
          <w:b/>
          <w:color w:val="auto"/>
          <w:szCs w:val="24"/>
        </w:rPr>
        <w:t>3</w:t>
      </w:r>
    </w:p>
    <w:p>
      <w:pPr>
        <w:spacing w:line="480" w:lineRule="exact"/>
        <w:jc w:val="center"/>
        <w:rPr>
          <w:rFonts w:ascii="宋体"/>
          <w:b/>
          <w:bCs/>
          <w:color w:val="auto"/>
          <w:sz w:val="36"/>
          <w:szCs w:val="36"/>
        </w:rPr>
      </w:pPr>
      <w:r>
        <w:rPr>
          <w:rFonts w:hint="eastAsia" w:ascii="宋体" w:hAnsi="宋体"/>
          <w:b/>
          <w:bCs/>
          <w:color w:val="auto"/>
          <w:sz w:val="36"/>
          <w:szCs w:val="36"/>
        </w:rPr>
        <w:t>建设清单及设备明细报价表</w:t>
      </w:r>
    </w:p>
    <w:p>
      <w:pPr>
        <w:spacing w:line="320" w:lineRule="exact"/>
        <w:ind w:firstLine="6480"/>
        <w:rPr>
          <w:rFonts w:ascii="宋体" w:cs="宋体"/>
          <w:color w:val="auto"/>
        </w:rPr>
      </w:pPr>
      <w:r>
        <w:rPr>
          <w:rFonts w:hint="eastAsia" w:ascii="宋体" w:hAnsi="宋体" w:cs="Arial"/>
          <w:color w:val="auto"/>
          <w:szCs w:val="24"/>
        </w:rPr>
        <w:t>单位：元（人民币）</w:t>
      </w:r>
    </w:p>
    <w:tbl>
      <w:tblPr>
        <w:tblStyle w:val="33"/>
        <w:tblW w:w="9962" w:type="dxa"/>
        <w:jc w:val="center"/>
        <w:tblInd w:w="-98" w:type="dxa"/>
        <w:tblLayout w:type="fixed"/>
        <w:tblCellMar>
          <w:top w:w="0" w:type="dxa"/>
          <w:left w:w="10" w:type="dxa"/>
          <w:bottom w:w="0" w:type="dxa"/>
          <w:right w:w="10" w:type="dxa"/>
        </w:tblCellMar>
      </w:tblPr>
      <w:tblGrid>
        <w:gridCol w:w="675"/>
        <w:gridCol w:w="1560"/>
        <w:gridCol w:w="2835"/>
        <w:gridCol w:w="850"/>
        <w:gridCol w:w="851"/>
        <w:gridCol w:w="1134"/>
        <w:gridCol w:w="1134"/>
        <w:gridCol w:w="923"/>
      </w:tblGrid>
      <w:tr>
        <w:tblPrEx>
          <w:tblLayout w:type="fixed"/>
          <w:tblCellMar>
            <w:top w:w="0" w:type="dxa"/>
            <w:left w:w="10" w:type="dxa"/>
            <w:bottom w:w="0" w:type="dxa"/>
            <w:right w:w="10" w:type="dxa"/>
          </w:tblCellMar>
        </w:tblPrEx>
        <w:trPr>
          <w:trHeight w:val="411"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s="宋体"/>
                <w:color w:val="auto"/>
                <w:sz w:val="21"/>
                <w:szCs w:val="21"/>
              </w:rPr>
            </w:pPr>
            <w:r>
              <w:rPr>
                <w:rFonts w:hint="eastAsia" w:ascii="宋体" w:hAnsi="宋体" w:cs="宋体"/>
                <w:color w:val="auto"/>
                <w:sz w:val="21"/>
                <w:szCs w:val="21"/>
              </w:rPr>
              <w:t>序号</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cs="宋体"/>
                <w:color w:val="auto"/>
                <w:sz w:val="21"/>
                <w:szCs w:val="21"/>
              </w:rPr>
            </w:pPr>
            <w:r>
              <w:rPr>
                <w:rFonts w:hint="eastAsia" w:ascii="宋体" w:hAnsi="宋体" w:cs="宋体"/>
                <w:color w:val="auto"/>
                <w:sz w:val="21"/>
                <w:szCs w:val="21"/>
              </w:rPr>
              <w:t>材料设备名称</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567"/>
              <w:rPr>
                <w:rFonts w:ascii="宋体" w:hAnsi="宋体" w:cs="宋体"/>
                <w:color w:val="auto"/>
                <w:sz w:val="21"/>
                <w:szCs w:val="21"/>
              </w:rPr>
            </w:pPr>
            <w:r>
              <w:rPr>
                <w:rFonts w:hint="eastAsia" w:ascii="宋体" w:hAnsi="宋体" w:cs="宋体"/>
                <w:color w:val="auto"/>
                <w:sz w:val="21"/>
                <w:szCs w:val="21"/>
              </w:rPr>
              <w:t>功能参数具体描述</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cs="宋体"/>
                <w:color w:val="auto"/>
                <w:sz w:val="21"/>
                <w:szCs w:val="21"/>
              </w:rPr>
            </w:pPr>
            <w:r>
              <w:rPr>
                <w:rFonts w:hint="eastAsia" w:ascii="宋体" w:hAnsi="宋体" w:cs="宋体"/>
                <w:color w:val="auto"/>
                <w:sz w:val="21"/>
                <w:szCs w:val="21"/>
              </w:rPr>
              <w:t>单位</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cs="宋体"/>
                <w:color w:val="auto"/>
                <w:sz w:val="21"/>
                <w:szCs w:val="21"/>
              </w:rPr>
            </w:pPr>
            <w:r>
              <w:rPr>
                <w:rFonts w:hint="eastAsia" w:ascii="宋体" w:hAnsi="宋体" w:cs="宋体"/>
                <w:color w:val="auto"/>
                <w:sz w:val="21"/>
                <w:szCs w:val="21"/>
              </w:rPr>
              <w:t>数量</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cs="宋体"/>
                <w:color w:val="auto"/>
                <w:sz w:val="21"/>
                <w:szCs w:val="21"/>
              </w:rPr>
            </w:pPr>
            <w:r>
              <w:rPr>
                <w:rFonts w:hint="eastAsia" w:ascii="宋体" w:hAnsi="宋体" w:cs="宋体"/>
                <w:color w:val="auto"/>
                <w:sz w:val="21"/>
                <w:szCs w:val="21"/>
              </w:rPr>
              <w:t>单价</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cs="宋体"/>
                <w:color w:val="auto"/>
                <w:sz w:val="21"/>
                <w:szCs w:val="21"/>
              </w:rPr>
            </w:pPr>
            <w:r>
              <w:rPr>
                <w:rFonts w:hint="eastAsia" w:ascii="宋体" w:hAnsi="宋体" w:cs="宋体"/>
                <w:color w:val="auto"/>
                <w:sz w:val="21"/>
                <w:szCs w:val="21"/>
              </w:rPr>
              <w:t>合价</w:t>
            </w: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cs="宋体"/>
                <w:color w:val="auto"/>
                <w:sz w:val="21"/>
                <w:szCs w:val="21"/>
              </w:rPr>
            </w:pPr>
            <w:r>
              <w:rPr>
                <w:rFonts w:hint="eastAsia" w:ascii="宋体" w:hAnsi="宋体" w:cs="宋体"/>
                <w:color w:val="auto"/>
                <w:sz w:val="21"/>
                <w:szCs w:val="21"/>
              </w:rPr>
              <w:t>备注</w:t>
            </w:r>
          </w:p>
        </w:tc>
      </w:tr>
      <w:tr>
        <w:tblPrEx>
          <w:tblLayout w:type="fixed"/>
          <w:tblCellMar>
            <w:top w:w="0" w:type="dxa"/>
            <w:left w:w="10" w:type="dxa"/>
            <w:bottom w:w="0" w:type="dxa"/>
            <w:right w:w="10" w:type="dxa"/>
          </w:tblCellMar>
        </w:tblPrEx>
        <w:trPr>
          <w:trHeight w:val="366"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hAnsi="宋体" w:cs="宋体"/>
                <w:color w:val="auto"/>
                <w:sz w:val="21"/>
                <w:szCs w:val="21"/>
              </w:rPr>
            </w:pPr>
            <w:r>
              <w:rPr>
                <w:rFonts w:hint="eastAsia" w:ascii="宋体" w:hAnsi="宋体" w:cs="宋体"/>
                <w:color w:val="auto"/>
                <w:sz w:val="21"/>
                <w:szCs w:val="21"/>
              </w:rPr>
              <w:t>（1）A-休闲区</w:t>
            </w:r>
          </w:p>
        </w:tc>
      </w:tr>
      <w:tr>
        <w:tblPrEx>
          <w:tblLayout w:type="fixed"/>
          <w:tblCellMar>
            <w:top w:w="0" w:type="dxa"/>
            <w:left w:w="10" w:type="dxa"/>
            <w:bottom w:w="0" w:type="dxa"/>
            <w:right w:w="10" w:type="dxa"/>
          </w:tblCellMar>
        </w:tblPrEx>
        <w:trPr>
          <w:trHeight w:val="171"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color w:val="auto"/>
                <w:sz w:val="21"/>
                <w:szCs w:val="21"/>
              </w:rPr>
            </w:pPr>
            <w:r>
              <w:rPr>
                <w:rFonts w:ascii="宋体" w:cs="宋体"/>
                <w:color w:val="auto"/>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r>
              <w:rPr>
                <w:rFonts w:ascii="宋体" w:cs="宋体"/>
                <w:color w:val="auto"/>
                <w:sz w:val="21"/>
                <w:szCs w:val="21"/>
              </w:rPr>
              <w:t>……</w:t>
            </w:r>
            <w:r>
              <w:rPr>
                <w:rFonts w:hint="eastAsia" w:ascii="宋体" w:cs="宋体"/>
                <w:color w:val="auto"/>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r>
              <w:rPr>
                <w:rFonts w:ascii="宋体" w:cs="宋体"/>
                <w:color w:val="auto"/>
                <w:sz w:val="21"/>
                <w:szCs w:val="21"/>
              </w:rPr>
              <w:t>……</w:t>
            </w:r>
            <w:r>
              <w:rPr>
                <w:rFonts w:hint="eastAsia" w:ascii="宋体" w:cs="宋体"/>
                <w:color w:val="auto"/>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r>
      <w:tr>
        <w:tblPrEx>
          <w:tblLayout w:type="fixed"/>
          <w:tblCellMar>
            <w:top w:w="0" w:type="dxa"/>
            <w:left w:w="10" w:type="dxa"/>
            <w:bottom w:w="0" w:type="dxa"/>
            <w:right w:w="10" w:type="dxa"/>
          </w:tblCellMar>
        </w:tblPrEx>
        <w:trPr>
          <w:trHeight w:val="283"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color w:val="auto"/>
                <w:sz w:val="21"/>
                <w:szCs w:val="21"/>
              </w:rPr>
            </w:pPr>
            <w:r>
              <w:rPr>
                <w:rFonts w:hint="eastAsia" w:ascii="宋体" w:hAnsi="宋体" w:cs="宋体"/>
                <w:color w:val="auto"/>
                <w:sz w:val="21"/>
                <w:szCs w:val="21"/>
              </w:rPr>
              <w:t>（2）B-文化长廊</w:t>
            </w:r>
          </w:p>
        </w:tc>
      </w:tr>
      <w:tr>
        <w:tblPrEx>
          <w:tblLayout w:type="fixed"/>
          <w:tblCellMar>
            <w:top w:w="0" w:type="dxa"/>
            <w:left w:w="10" w:type="dxa"/>
            <w:bottom w:w="0" w:type="dxa"/>
            <w:right w:w="10" w:type="dxa"/>
          </w:tblCellMar>
        </w:tblPrEx>
        <w:trPr>
          <w:trHeight w:val="155"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color w:val="auto"/>
                <w:sz w:val="21"/>
                <w:szCs w:val="21"/>
              </w:rPr>
            </w:pPr>
            <w:r>
              <w:rPr>
                <w:rFonts w:ascii="宋体" w:cs="宋体"/>
                <w:color w:val="auto"/>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r>
              <w:rPr>
                <w:rFonts w:ascii="宋体" w:cs="宋体"/>
                <w:color w:val="auto"/>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r>
              <w:rPr>
                <w:rFonts w:ascii="宋体" w:cs="宋体"/>
                <w:color w:val="auto"/>
                <w:sz w:val="21"/>
                <w:szCs w:val="21"/>
              </w:rPr>
              <w:t>……</w:t>
            </w:r>
            <w:r>
              <w:rPr>
                <w:rFonts w:hint="eastAsia" w:ascii="宋体" w:cs="宋体"/>
                <w:color w:val="auto"/>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r>
      <w:tr>
        <w:tblPrEx>
          <w:tblLayout w:type="fixed"/>
          <w:tblCellMar>
            <w:top w:w="0" w:type="dxa"/>
            <w:left w:w="10" w:type="dxa"/>
            <w:bottom w:w="0" w:type="dxa"/>
            <w:right w:w="10" w:type="dxa"/>
          </w:tblCellMar>
        </w:tblPrEx>
        <w:trPr>
          <w:trHeight w:val="327"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color w:val="auto"/>
                <w:sz w:val="21"/>
                <w:szCs w:val="21"/>
              </w:rPr>
            </w:pPr>
            <w:r>
              <w:rPr>
                <w:rFonts w:hint="eastAsia" w:ascii="宋体" w:hAnsi="宋体" w:cs="宋体"/>
                <w:color w:val="auto"/>
                <w:sz w:val="21"/>
                <w:szCs w:val="21"/>
              </w:rPr>
              <w:t>（3）C-全媒体报道指挥中心</w:t>
            </w:r>
          </w:p>
        </w:tc>
      </w:tr>
      <w:tr>
        <w:tblPrEx>
          <w:tblLayout w:type="fixed"/>
          <w:tblCellMar>
            <w:top w:w="0" w:type="dxa"/>
            <w:left w:w="10" w:type="dxa"/>
            <w:bottom w:w="0" w:type="dxa"/>
            <w:right w:w="10" w:type="dxa"/>
          </w:tblCellMar>
        </w:tblPrEx>
        <w:trPr>
          <w:trHeight w:val="273"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color w:val="auto"/>
                <w:sz w:val="21"/>
                <w:szCs w:val="21"/>
              </w:rPr>
            </w:pPr>
            <w:r>
              <w:rPr>
                <w:rFonts w:ascii="宋体" w:cs="宋体"/>
                <w:color w:val="auto"/>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r>
              <w:rPr>
                <w:rFonts w:ascii="宋体" w:cs="宋体"/>
                <w:color w:val="auto"/>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r>
              <w:rPr>
                <w:rFonts w:ascii="宋体" w:cs="宋体"/>
                <w:color w:val="auto"/>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r>
      <w:tr>
        <w:tblPrEx>
          <w:tblLayout w:type="fixed"/>
          <w:tblCellMar>
            <w:top w:w="0" w:type="dxa"/>
            <w:left w:w="10" w:type="dxa"/>
            <w:bottom w:w="0" w:type="dxa"/>
            <w:right w:w="10" w:type="dxa"/>
          </w:tblCellMar>
        </w:tblPrEx>
        <w:trPr>
          <w:trHeight w:val="371"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color w:val="auto"/>
                <w:sz w:val="21"/>
                <w:szCs w:val="21"/>
              </w:rPr>
            </w:pPr>
            <w:r>
              <w:rPr>
                <w:rFonts w:hint="eastAsia" w:ascii="宋体" w:hAnsi="宋体" w:cs="宋体"/>
                <w:color w:val="auto"/>
                <w:sz w:val="21"/>
                <w:szCs w:val="21"/>
              </w:rPr>
              <w:t>（4）D-技术工作区</w:t>
            </w:r>
          </w:p>
        </w:tc>
      </w:tr>
      <w:tr>
        <w:tblPrEx>
          <w:tblLayout w:type="fixed"/>
          <w:tblCellMar>
            <w:top w:w="0" w:type="dxa"/>
            <w:left w:w="10" w:type="dxa"/>
            <w:bottom w:w="0" w:type="dxa"/>
            <w:right w:w="10" w:type="dxa"/>
          </w:tblCellMar>
        </w:tblPrEx>
        <w:trPr>
          <w:trHeight w:val="176"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color w:val="auto"/>
                <w:sz w:val="21"/>
                <w:szCs w:val="21"/>
              </w:rPr>
            </w:pPr>
            <w:r>
              <w:rPr>
                <w:rFonts w:ascii="宋体" w:cs="宋体"/>
                <w:color w:val="auto"/>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r>
              <w:rPr>
                <w:rFonts w:ascii="宋体" w:cs="宋体"/>
                <w:color w:val="auto"/>
                <w:sz w:val="21"/>
                <w:szCs w:val="21"/>
              </w:rPr>
              <w:t>……</w:t>
            </w:r>
            <w:r>
              <w:rPr>
                <w:rFonts w:hint="eastAsia" w:ascii="宋体" w:cs="宋体"/>
                <w:color w:val="auto"/>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r>
              <w:rPr>
                <w:rFonts w:ascii="宋体" w:cs="宋体"/>
                <w:color w:val="auto"/>
                <w:sz w:val="21"/>
                <w:szCs w:val="21"/>
              </w:rPr>
              <w:t>……</w:t>
            </w:r>
            <w:r>
              <w:rPr>
                <w:rFonts w:hint="eastAsia" w:ascii="宋体" w:cs="宋体"/>
                <w:color w:val="auto"/>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r>
      <w:tr>
        <w:tblPrEx>
          <w:tblLayout w:type="fixed"/>
          <w:tblCellMar>
            <w:top w:w="0" w:type="dxa"/>
            <w:left w:w="10" w:type="dxa"/>
            <w:bottom w:w="0" w:type="dxa"/>
            <w:right w:w="10" w:type="dxa"/>
          </w:tblCellMar>
        </w:tblPrEx>
        <w:trPr>
          <w:trHeight w:val="397"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color w:val="auto"/>
                <w:sz w:val="21"/>
                <w:szCs w:val="21"/>
              </w:rPr>
            </w:pPr>
            <w:r>
              <w:rPr>
                <w:rFonts w:hint="eastAsia" w:ascii="宋体" w:hAnsi="宋体" w:cs="宋体"/>
                <w:color w:val="auto"/>
                <w:sz w:val="21"/>
                <w:szCs w:val="21"/>
              </w:rPr>
              <w:t>（5）E-小型会议室1</w:t>
            </w:r>
          </w:p>
        </w:tc>
      </w:tr>
      <w:tr>
        <w:tblPrEx>
          <w:tblLayout w:type="fixed"/>
          <w:tblCellMar>
            <w:top w:w="0" w:type="dxa"/>
            <w:left w:w="10" w:type="dxa"/>
            <w:bottom w:w="0" w:type="dxa"/>
            <w:right w:w="10" w:type="dxa"/>
          </w:tblCellMar>
        </w:tblPrEx>
        <w:trPr>
          <w:trHeight w:val="78"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color w:val="auto"/>
                <w:sz w:val="21"/>
                <w:szCs w:val="21"/>
              </w:rPr>
            </w:pPr>
            <w:r>
              <w:rPr>
                <w:rFonts w:ascii="宋体" w:cs="宋体"/>
                <w:color w:val="auto"/>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r>
              <w:rPr>
                <w:rFonts w:ascii="宋体" w:cs="宋体"/>
                <w:color w:val="auto"/>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auto"/>
                <w:sz w:val="21"/>
                <w:szCs w:val="21"/>
              </w:rPr>
            </w:pPr>
            <w:r>
              <w:rPr>
                <w:rFonts w:ascii="宋体" w:hAnsi="宋体" w:cs="宋体"/>
                <w:color w:val="auto"/>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r>
      <w:tr>
        <w:tblPrEx>
          <w:tblLayout w:type="fixed"/>
          <w:tblCellMar>
            <w:top w:w="0" w:type="dxa"/>
            <w:left w:w="10" w:type="dxa"/>
            <w:bottom w:w="0" w:type="dxa"/>
            <w:right w:w="10" w:type="dxa"/>
          </w:tblCellMar>
        </w:tblPrEx>
        <w:trPr>
          <w:trHeight w:val="397"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color w:val="auto"/>
                <w:sz w:val="21"/>
                <w:szCs w:val="21"/>
              </w:rPr>
            </w:pPr>
            <w:r>
              <w:rPr>
                <w:rFonts w:hint="eastAsia" w:ascii="宋体" w:hAnsi="宋体" w:cs="宋体"/>
                <w:color w:val="auto"/>
                <w:sz w:val="21"/>
                <w:szCs w:val="21"/>
              </w:rPr>
              <w:t>（6）F-小型会议室2</w:t>
            </w:r>
          </w:p>
        </w:tc>
      </w:tr>
      <w:tr>
        <w:tblPrEx>
          <w:tblLayout w:type="fixed"/>
          <w:tblCellMar>
            <w:top w:w="0" w:type="dxa"/>
            <w:left w:w="10" w:type="dxa"/>
            <w:bottom w:w="0" w:type="dxa"/>
            <w:right w:w="10" w:type="dxa"/>
          </w:tblCellMar>
        </w:tblPrEx>
        <w:trPr>
          <w:trHeight w:val="219"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color w:val="auto"/>
                <w:sz w:val="21"/>
                <w:szCs w:val="21"/>
              </w:rPr>
            </w:pPr>
            <w:r>
              <w:rPr>
                <w:rFonts w:ascii="宋体" w:cs="宋体"/>
                <w:color w:val="auto"/>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r>
              <w:rPr>
                <w:rFonts w:ascii="宋体" w:cs="宋体"/>
                <w:color w:val="auto"/>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auto"/>
                <w:sz w:val="21"/>
                <w:szCs w:val="21"/>
              </w:rPr>
            </w:pPr>
            <w:r>
              <w:rPr>
                <w:rFonts w:ascii="宋体" w:hAnsi="宋体" w:cs="宋体"/>
                <w:color w:val="auto"/>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r>
      <w:tr>
        <w:tblPrEx>
          <w:tblLayout w:type="fixed"/>
          <w:tblCellMar>
            <w:top w:w="0" w:type="dxa"/>
            <w:left w:w="10" w:type="dxa"/>
            <w:bottom w:w="0" w:type="dxa"/>
            <w:right w:w="10" w:type="dxa"/>
          </w:tblCellMar>
        </w:tblPrEx>
        <w:trPr>
          <w:trHeight w:val="367"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color w:val="auto"/>
                <w:sz w:val="21"/>
                <w:szCs w:val="21"/>
              </w:rPr>
            </w:pPr>
            <w:r>
              <w:rPr>
                <w:rFonts w:hint="eastAsia" w:ascii="宋体" w:hAnsi="宋体" w:cs="宋体"/>
                <w:color w:val="auto"/>
                <w:sz w:val="21"/>
                <w:szCs w:val="21"/>
              </w:rPr>
              <w:t>（7）G-视频直播间</w:t>
            </w:r>
          </w:p>
        </w:tc>
      </w:tr>
      <w:tr>
        <w:tblPrEx>
          <w:tblLayout w:type="fixed"/>
          <w:tblCellMar>
            <w:top w:w="0" w:type="dxa"/>
            <w:left w:w="10" w:type="dxa"/>
            <w:bottom w:w="0" w:type="dxa"/>
            <w:right w:w="10" w:type="dxa"/>
          </w:tblCellMar>
        </w:tblPrEx>
        <w:trPr>
          <w:trHeight w:val="203"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color w:val="auto"/>
                <w:sz w:val="21"/>
                <w:szCs w:val="21"/>
              </w:rPr>
            </w:pPr>
            <w:r>
              <w:rPr>
                <w:rFonts w:ascii="宋体" w:cs="宋体"/>
                <w:color w:val="auto"/>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r>
              <w:rPr>
                <w:rFonts w:ascii="宋体" w:cs="宋体"/>
                <w:color w:val="auto"/>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auto"/>
                <w:sz w:val="21"/>
                <w:szCs w:val="21"/>
              </w:rPr>
            </w:pPr>
            <w:r>
              <w:rPr>
                <w:rFonts w:ascii="宋体" w:hAnsi="宋体" w:cs="宋体"/>
                <w:color w:val="auto"/>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r>
      <w:tr>
        <w:tblPrEx>
          <w:tblLayout w:type="fixed"/>
          <w:tblCellMar>
            <w:top w:w="0" w:type="dxa"/>
            <w:left w:w="10" w:type="dxa"/>
            <w:bottom w:w="0" w:type="dxa"/>
            <w:right w:w="10" w:type="dxa"/>
          </w:tblCellMar>
        </w:tblPrEx>
        <w:trPr>
          <w:trHeight w:val="209"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color w:val="auto"/>
                <w:sz w:val="21"/>
                <w:szCs w:val="21"/>
              </w:rPr>
            </w:pPr>
            <w:r>
              <w:rPr>
                <w:rFonts w:hint="eastAsia" w:ascii="宋体" w:hAnsi="宋体" w:cs="宋体"/>
                <w:color w:val="auto"/>
                <w:sz w:val="21"/>
                <w:szCs w:val="21"/>
              </w:rPr>
              <w:t>（8）H-小型录音室</w:t>
            </w:r>
          </w:p>
        </w:tc>
      </w:tr>
      <w:tr>
        <w:tblPrEx>
          <w:tblLayout w:type="fixed"/>
          <w:tblCellMar>
            <w:top w:w="0" w:type="dxa"/>
            <w:left w:w="10" w:type="dxa"/>
            <w:bottom w:w="0" w:type="dxa"/>
            <w:right w:w="10" w:type="dxa"/>
          </w:tblCellMar>
        </w:tblPrEx>
        <w:trPr>
          <w:trHeight w:val="209"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color w:val="auto"/>
                <w:sz w:val="21"/>
                <w:szCs w:val="21"/>
              </w:rPr>
            </w:pPr>
            <w:r>
              <w:rPr>
                <w:rFonts w:ascii="宋体" w:cs="宋体"/>
                <w:color w:val="auto"/>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r>
              <w:rPr>
                <w:rFonts w:ascii="宋体" w:cs="宋体"/>
                <w:color w:val="auto"/>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auto"/>
                <w:sz w:val="21"/>
                <w:szCs w:val="21"/>
              </w:rPr>
            </w:pPr>
            <w:r>
              <w:rPr>
                <w:rFonts w:ascii="宋体" w:hAnsi="宋体" w:cs="宋体"/>
                <w:color w:val="auto"/>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r>
      <w:tr>
        <w:tblPrEx>
          <w:tblLayout w:type="fixed"/>
          <w:tblCellMar>
            <w:top w:w="0" w:type="dxa"/>
            <w:left w:w="10" w:type="dxa"/>
            <w:bottom w:w="0" w:type="dxa"/>
            <w:right w:w="10" w:type="dxa"/>
          </w:tblCellMar>
        </w:tblPrEx>
        <w:trPr>
          <w:trHeight w:val="221"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color w:val="auto"/>
                <w:sz w:val="21"/>
                <w:szCs w:val="21"/>
              </w:rPr>
            </w:pPr>
            <w:r>
              <w:rPr>
                <w:rFonts w:hint="eastAsia" w:ascii="宋体" w:hAnsi="宋体" w:cs="宋体"/>
                <w:color w:val="auto"/>
                <w:sz w:val="21"/>
                <w:szCs w:val="21"/>
              </w:rPr>
              <w:t>（9）I-VIP会客室</w:t>
            </w:r>
          </w:p>
        </w:tc>
      </w:tr>
      <w:tr>
        <w:tblPrEx>
          <w:tblLayout w:type="fixed"/>
          <w:tblCellMar>
            <w:top w:w="0" w:type="dxa"/>
            <w:left w:w="10" w:type="dxa"/>
            <w:bottom w:w="0" w:type="dxa"/>
            <w:right w:w="10" w:type="dxa"/>
          </w:tblCellMar>
        </w:tblPrEx>
        <w:trPr>
          <w:trHeight w:val="171"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color w:val="auto"/>
                <w:sz w:val="21"/>
                <w:szCs w:val="21"/>
              </w:rPr>
            </w:pPr>
            <w:r>
              <w:rPr>
                <w:rFonts w:ascii="宋体" w:cs="宋体"/>
                <w:color w:val="auto"/>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r>
              <w:rPr>
                <w:rFonts w:ascii="宋体" w:cs="宋体"/>
                <w:color w:val="auto"/>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auto"/>
                <w:sz w:val="21"/>
                <w:szCs w:val="21"/>
              </w:rPr>
            </w:pPr>
            <w:r>
              <w:rPr>
                <w:rFonts w:ascii="宋体" w:hAnsi="宋体" w:cs="宋体"/>
                <w:color w:val="auto"/>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r>
      <w:tr>
        <w:tblPrEx>
          <w:tblLayout w:type="fixed"/>
          <w:tblCellMar>
            <w:top w:w="0" w:type="dxa"/>
            <w:left w:w="10" w:type="dxa"/>
            <w:bottom w:w="0" w:type="dxa"/>
            <w:right w:w="10" w:type="dxa"/>
          </w:tblCellMar>
        </w:tblPrEx>
        <w:trPr>
          <w:trHeight w:val="375"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color w:val="auto"/>
                <w:sz w:val="21"/>
                <w:szCs w:val="21"/>
              </w:rPr>
            </w:pPr>
            <w:r>
              <w:rPr>
                <w:rFonts w:hint="eastAsia" w:ascii="宋体" w:hAnsi="宋体" w:cs="宋体"/>
                <w:color w:val="auto"/>
                <w:sz w:val="21"/>
                <w:szCs w:val="21"/>
              </w:rPr>
              <w:t>（10）J-休闲花园</w:t>
            </w:r>
          </w:p>
        </w:tc>
      </w:tr>
      <w:tr>
        <w:tblPrEx>
          <w:tblLayout w:type="fixed"/>
          <w:tblCellMar>
            <w:top w:w="0" w:type="dxa"/>
            <w:left w:w="10" w:type="dxa"/>
            <w:bottom w:w="0" w:type="dxa"/>
            <w:right w:w="10" w:type="dxa"/>
          </w:tblCellMar>
        </w:tblPrEx>
        <w:trPr>
          <w:trHeight w:val="337"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color w:val="auto"/>
                <w:sz w:val="21"/>
                <w:szCs w:val="21"/>
              </w:rPr>
            </w:pPr>
            <w:r>
              <w:rPr>
                <w:rFonts w:ascii="宋体" w:cs="宋体"/>
                <w:color w:val="auto"/>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r>
              <w:rPr>
                <w:rFonts w:ascii="宋体" w:cs="宋体"/>
                <w:color w:val="auto"/>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auto"/>
                <w:sz w:val="21"/>
                <w:szCs w:val="21"/>
              </w:rPr>
            </w:pPr>
            <w:r>
              <w:rPr>
                <w:rFonts w:ascii="宋体" w:hAnsi="宋体" w:cs="宋体"/>
                <w:color w:val="auto"/>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r>
      <w:tr>
        <w:tblPrEx>
          <w:tblLayout w:type="fixed"/>
          <w:tblCellMar>
            <w:top w:w="0" w:type="dxa"/>
            <w:left w:w="10" w:type="dxa"/>
            <w:bottom w:w="0" w:type="dxa"/>
            <w:right w:w="10" w:type="dxa"/>
          </w:tblCellMar>
        </w:tblPrEx>
        <w:trPr>
          <w:trHeight w:val="275"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color w:val="auto"/>
                <w:sz w:val="21"/>
                <w:szCs w:val="21"/>
              </w:rPr>
            </w:pPr>
            <w:r>
              <w:rPr>
                <w:rFonts w:hint="eastAsia" w:ascii="宋体" w:hAnsi="宋体" w:cs="宋体"/>
                <w:color w:val="auto"/>
                <w:sz w:val="21"/>
                <w:szCs w:val="21"/>
              </w:rPr>
              <w:t>（11）K-设备间</w:t>
            </w:r>
          </w:p>
        </w:tc>
      </w:tr>
      <w:tr>
        <w:tblPrEx>
          <w:tblLayout w:type="fixed"/>
          <w:tblCellMar>
            <w:top w:w="0" w:type="dxa"/>
            <w:left w:w="10" w:type="dxa"/>
            <w:bottom w:w="0" w:type="dxa"/>
            <w:right w:w="10" w:type="dxa"/>
          </w:tblCellMar>
        </w:tblPrEx>
        <w:trPr>
          <w:trHeight w:val="199"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color w:val="auto"/>
                <w:sz w:val="21"/>
                <w:szCs w:val="21"/>
              </w:rPr>
            </w:pPr>
            <w:r>
              <w:rPr>
                <w:rFonts w:ascii="宋体" w:cs="宋体"/>
                <w:color w:val="auto"/>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r>
              <w:rPr>
                <w:rFonts w:ascii="宋体" w:cs="宋体"/>
                <w:color w:val="auto"/>
                <w:sz w:val="21"/>
                <w:szCs w:val="21"/>
              </w:rPr>
              <w:t>……</w:t>
            </w:r>
            <w:r>
              <w:rPr>
                <w:rFonts w:hint="eastAsia" w:ascii="宋体" w:cs="宋体"/>
                <w:color w:val="auto"/>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auto"/>
                <w:sz w:val="21"/>
                <w:szCs w:val="21"/>
              </w:rPr>
            </w:pPr>
            <w:r>
              <w:rPr>
                <w:rFonts w:ascii="宋体" w:hAnsi="宋体" w:cs="宋体"/>
                <w:color w:val="auto"/>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r>
      <w:tr>
        <w:tblPrEx>
          <w:tblLayout w:type="fixed"/>
          <w:tblCellMar>
            <w:top w:w="0" w:type="dxa"/>
            <w:left w:w="10" w:type="dxa"/>
            <w:bottom w:w="0" w:type="dxa"/>
            <w:right w:w="10" w:type="dxa"/>
          </w:tblCellMar>
        </w:tblPrEx>
        <w:trPr>
          <w:trHeight w:val="265" w:hRule="atLeast"/>
          <w:jc w:val="center"/>
        </w:trPr>
        <w:tc>
          <w:tcPr>
            <w:tcW w:w="9962" w:type="dxa"/>
            <w:gridSpan w:val="8"/>
            <w:tcBorders>
              <w:top w:val="single" w:color="000000" w:sz="4" w:space="0"/>
              <w:left w:val="single" w:color="000000" w:sz="4" w:space="0"/>
              <w:bottom w:val="single" w:color="000000" w:sz="4" w:space="0"/>
              <w:right w:val="single" w:color="000000" w:sz="4" w:space="0"/>
            </w:tcBorders>
          </w:tcPr>
          <w:p>
            <w:pPr>
              <w:spacing w:line="440" w:lineRule="exact"/>
              <w:ind w:firstLine="567"/>
              <w:rPr>
                <w:rFonts w:ascii="宋体" w:cs="宋体"/>
                <w:color w:val="auto"/>
                <w:sz w:val="21"/>
                <w:szCs w:val="21"/>
              </w:rPr>
            </w:pPr>
            <w:r>
              <w:rPr>
                <w:rFonts w:hint="eastAsia" w:ascii="宋体" w:hAnsi="宋体" w:cs="宋体"/>
                <w:color w:val="auto"/>
                <w:sz w:val="21"/>
                <w:szCs w:val="21"/>
              </w:rPr>
              <w:t>（12）L-洗手间</w:t>
            </w:r>
          </w:p>
        </w:tc>
      </w:tr>
      <w:tr>
        <w:tblPrEx>
          <w:tblLayout w:type="fixed"/>
          <w:tblCellMar>
            <w:top w:w="0" w:type="dxa"/>
            <w:left w:w="10" w:type="dxa"/>
            <w:bottom w:w="0" w:type="dxa"/>
            <w:right w:w="10" w:type="dxa"/>
          </w:tblCellMar>
        </w:tblPrEx>
        <w:trPr>
          <w:trHeight w:val="163"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cs="宋体"/>
                <w:color w:val="auto"/>
                <w:sz w:val="21"/>
                <w:szCs w:val="21"/>
              </w:rPr>
            </w:pPr>
            <w:r>
              <w:rPr>
                <w:rFonts w:ascii="宋体" w:cs="宋体"/>
                <w:color w:val="auto"/>
                <w:sz w:val="21"/>
                <w:szCs w:val="21"/>
              </w:rPr>
              <w:t>…</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r>
              <w:rPr>
                <w:rFonts w:ascii="宋体" w:cs="宋体"/>
                <w:color w:val="auto"/>
                <w:sz w:val="21"/>
                <w:szCs w:val="21"/>
              </w:rPr>
              <w:t>……</w:t>
            </w:r>
            <w:r>
              <w:rPr>
                <w:rFonts w:hint="eastAsia" w:ascii="宋体" w:cs="宋体"/>
                <w:color w:val="auto"/>
                <w:sz w:val="21"/>
                <w:szCs w:val="21"/>
              </w:rPr>
              <w:t>.</w:t>
            </w: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color w:val="auto"/>
                <w:sz w:val="21"/>
                <w:szCs w:val="21"/>
              </w:rPr>
            </w:pPr>
            <w:r>
              <w:rPr>
                <w:rFonts w:ascii="宋体" w:hAnsi="宋体" w:cs="宋体"/>
                <w:color w:val="auto"/>
                <w:sz w:val="21"/>
                <w:szCs w:val="21"/>
              </w:rPr>
              <w:t>……</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rPr>
            </w:pPr>
          </w:p>
        </w:tc>
      </w:tr>
      <w:tr>
        <w:tblPrEx>
          <w:tblLayout w:type="fixed"/>
          <w:tblCellMar>
            <w:top w:w="0" w:type="dxa"/>
            <w:left w:w="10" w:type="dxa"/>
            <w:bottom w:w="0" w:type="dxa"/>
            <w:right w:w="10" w:type="dxa"/>
          </w:tblCellMar>
        </w:tblPrEx>
        <w:trPr>
          <w:trHeight w:val="311"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 w:val="21"/>
                <w:szCs w:val="21"/>
              </w:rPr>
            </w:pPr>
          </w:p>
        </w:tc>
        <w:tc>
          <w:tcPr>
            <w:tcW w:w="9287"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s="宋体"/>
                <w:color w:val="auto"/>
                <w:sz w:val="21"/>
                <w:szCs w:val="21"/>
                <w:u w:val="single"/>
              </w:rPr>
            </w:pPr>
            <w:r>
              <w:rPr>
                <w:rFonts w:hint="eastAsia" w:ascii="宋体" w:hAnsi="宋体" w:cs="宋体"/>
                <w:color w:val="auto"/>
                <w:sz w:val="21"/>
                <w:szCs w:val="21"/>
              </w:rPr>
              <w:t>总价：大写：</w:t>
            </w:r>
            <w:r>
              <w:rPr>
                <w:rFonts w:ascii="宋体" w:hAnsi="宋体" w:cs="宋体"/>
                <w:color w:val="auto"/>
                <w:sz w:val="21"/>
                <w:szCs w:val="21"/>
                <w:u w:val="single"/>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小写</w:t>
            </w:r>
            <w:r>
              <w:rPr>
                <w:rFonts w:ascii="宋体" w:hAnsi="宋体" w:cs="宋体"/>
                <w:color w:val="auto"/>
                <w:sz w:val="21"/>
                <w:szCs w:val="21"/>
              </w:rPr>
              <w:t>:</w:t>
            </w:r>
            <w:r>
              <w:rPr>
                <w:rFonts w:hint="eastAsia" w:ascii="宋体" w:hAnsi="宋体" w:cs="宋体"/>
                <w:color w:val="auto"/>
                <w:sz w:val="21"/>
                <w:szCs w:val="21"/>
              </w:rPr>
              <w:t>￥          )</w:t>
            </w:r>
          </w:p>
        </w:tc>
      </w:tr>
    </w:tbl>
    <w:p>
      <w:pPr>
        <w:rPr>
          <w:rFonts w:cs="宋体"/>
          <w:color w:val="auto"/>
        </w:rPr>
      </w:pPr>
      <w:r>
        <w:rPr>
          <w:rFonts w:hint="eastAsia" w:cs="宋体"/>
          <w:color w:val="auto"/>
        </w:rPr>
        <w:t>说明：</w:t>
      </w:r>
    </w:p>
    <w:p>
      <w:pPr>
        <w:pStyle w:val="8"/>
        <w:ind w:firstLine="460"/>
        <w:rPr>
          <w:rFonts w:cs="宋体"/>
          <w:bCs/>
          <w:snapToGrid w:val="0"/>
          <w:color w:val="auto"/>
          <w:szCs w:val="24"/>
        </w:rPr>
      </w:pPr>
      <w:r>
        <w:rPr>
          <w:rFonts w:hint="eastAsia" w:cs="宋体"/>
          <w:bCs/>
          <w:snapToGrid w:val="0"/>
          <w:color w:val="auto"/>
          <w:szCs w:val="24"/>
        </w:rPr>
        <w:t>1.此表中总计价格要与《谈判响应函》及报价一览表相一致。如果以单价计算的结果与总价不一致，则以单价为准修正总价。可自行增加行。</w:t>
      </w:r>
    </w:p>
    <w:p>
      <w:pPr>
        <w:pStyle w:val="8"/>
        <w:ind w:firstLine="460"/>
        <w:rPr>
          <w:rFonts w:cs="宋体"/>
          <w:bCs/>
          <w:snapToGrid w:val="0"/>
          <w:color w:val="auto"/>
          <w:szCs w:val="24"/>
        </w:rPr>
      </w:pPr>
      <w:r>
        <w:rPr>
          <w:rFonts w:hint="eastAsia" w:cs="宋体"/>
          <w:bCs/>
          <w:snapToGrid w:val="0"/>
          <w:color w:val="auto"/>
          <w:szCs w:val="24"/>
        </w:rPr>
        <w:t>2.本表为项目报价明细表，装修材料必须符合节能环保要求</w:t>
      </w:r>
    </w:p>
    <w:p>
      <w:pPr>
        <w:pStyle w:val="8"/>
        <w:ind w:firstLine="460"/>
        <w:rPr>
          <w:rFonts w:cs="宋体"/>
          <w:bCs/>
          <w:snapToGrid w:val="0"/>
          <w:color w:val="auto"/>
          <w:szCs w:val="24"/>
        </w:rPr>
      </w:pPr>
      <w:r>
        <w:rPr>
          <w:rFonts w:hint="eastAsia" w:cs="宋体"/>
          <w:bCs/>
          <w:snapToGrid w:val="0"/>
          <w:color w:val="auto"/>
          <w:szCs w:val="24"/>
        </w:rPr>
        <w:t>3.各供应商根据设计图纸和勘察现场等情况按分项（区域）进行详细填写。</w:t>
      </w:r>
    </w:p>
    <w:p>
      <w:pPr>
        <w:tabs>
          <w:tab w:val="left" w:pos="4881"/>
        </w:tabs>
        <w:spacing w:before="33" w:line="360" w:lineRule="auto"/>
        <w:ind w:left="102" w:right="4125"/>
        <w:rPr>
          <w:rFonts w:cs="宋体"/>
          <w:color w:val="auto"/>
          <w:spacing w:val="-1"/>
          <w:szCs w:val="24"/>
        </w:rPr>
      </w:pPr>
    </w:p>
    <w:p>
      <w:pPr>
        <w:tabs>
          <w:tab w:val="left" w:pos="4881"/>
        </w:tabs>
        <w:spacing w:before="33" w:line="360" w:lineRule="auto"/>
        <w:ind w:left="102" w:right="4125"/>
        <w:rPr>
          <w:rFonts w:cs="宋体"/>
          <w:color w:val="auto"/>
          <w:szCs w:val="24"/>
          <w:u w:val="single"/>
        </w:rPr>
      </w:pPr>
      <w:r>
        <w:rPr>
          <w:rFonts w:hint="eastAsia" w:cs="宋体"/>
          <w:color w:val="auto"/>
          <w:spacing w:val="-1"/>
          <w:szCs w:val="24"/>
        </w:rPr>
        <w:t>单位名称（盖章）</w:t>
      </w:r>
      <w:r>
        <w:rPr>
          <w:rFonts w:cs="宋体"/>
          <w:color w:val="auto"/>
          <w:spacing w:val="-1"/>
          <w:szCs w:val="24"/>
        </w:rPr>
        <w:t>:</w:t>
      </w:r>
    </w:p>
    <w:p>
      <w:pPr>
        <w:tabs>
          <w:tab w:val="left" w:pos="4881"/>
        </w:tabs>
        <w:spacing w:before="33" w:line="360" w:lineRule="auto"/>
        <w:ind w:left="102" w:right="4125"/>
        <w:rPr>
          <w:rFonts w:cs="宋体"/>
          <w:color w:val="auto"/>
          <w:spacing w:val="25"/>
          <w:szCs w:val="24"/>
        </w:rPr>
      </w:pPr>
      <w:r>
        <w:rPr>
          <w:rFonts w:hint="eastAsia" w:cs="宋体"/>
          <w:color w:val="auto"/>
          <w:spacing w:val="-1"/>
          <w:szCs w:val="24"/>
        </w:rPr>
        <w:t>法人代表或授权代表签字</w:t>
      </w:r>
      <w:r>
        <w:rPr>
          <w:rFonts w:cs="宋体"/>
          <w:color w:val="auto"/>
          <w:spacing w:val="-1"/>
          <w:szCs w:val="24"/>
        </w:rPr>
        <w:t>:</w:t>
      </w:r>
      <w:r>
        <w:rPr>
          <w:rFonts w:cs="宋体"/>
          <w:color w:val="auto"/>
          <w:szCs w:val="24"/>
          <w:u w:val="single"/>
        </w:rPr>
        <w:tab/>
      </w:r>
    </w:p>
    <w:p>
      <w:pPr>
        <w:tabs>
          <w:tab w:val="left" w:pos="4881"/>
        </w:tabs>
        <w:spacing w:before="33" w:line="360" w:lineRule="auto"/>
        <w:ind w:left="102" w:right="4125"/>
        <w:rPr>
          <w:rFonts w:cs="宋体"/>
          <w:color w:val="auto"/>
          <w:szCs w:val="24"/>
        </w:rPr>
      </w:pPr>
      <w:r>
        <w:rPr>
          <w:rFonts w:hint="eastAsia" w:cs="宋体"/>
          <w:color w:val="auto"/>
          <w:spacing w:val="-1"/>
          <w:szCs w:val="24"/>
        </w:rPr>
        <w:t>日期</w:t>
      </w:r>
      <w:r>
        <w:rPr>
          <w:rFonts w:cs="宋体"/>
          <w:color w:val="auto"/>
          <w:spacing w:val="-1"/>
          <w:szCs w:val="24"/>
        </w:rPr>
        <w:t>:</w:t>
      </w:r>
      <w:r>
        <w:rPr>
          <w:rFonts w:cs="宋体"/>
          <w:color w:val="auto"/>
          <w:szCs w:val="24"/>
          <w:u w:val="single"/>
        </w:rPr>
        <w:tab/>
      </w:r>
    </w:p>
    <w:p>
      <w:pPr>
        <w:ind w:firstLine="480"/>
        <w:rPr>
          <w:rFonts w:cs="宋体"/>
          <w:color w:val="auto"/>
        </w:rPr>
      </w:pPr>
    </w:p>
    <w:p>
      <w:pPr>
        <w:adjustRightInd w:val="0"/>
        <w:snapToGrid w:val="0"/>
        <w:spacing w:line="480" w:lineRule="auto"/>
        <w:ind w:firstLine="16" w:firstLineChars="5"/>
        <w:jc w:val="center"/>
        <w:rPr>
          <w:rFonts w:ascii="宋体" w:hAnsi="宋体"/>
          <w:b/>
          <w:bCs/>
          <w:color w:val="auto"/>
          <w:sz w:val="32"/>
          <w:szCs w:val="32"/>
        </w:rPr>
      </w:pPr>
      <w:bookmarkStart w:id="43" w:name="_Toc448307972"/>
      <w:bookmarkEnd w:id="43"/>
    </w:p>
    <w:p>
      <w:pPr>
        <w:adjustRightInd w:val="0"/>
        <w:snapToGrid w:val="0"/>
        <w:spacing w:line="480" w:lineRule="auto"/>
        <w:ind w:firstLine="16" w:firstLineChars="5"/>
        <w:jc w:val="center"/>
        <w:rPr>
          <w:rFonts w:ascii="宋体" w:hAnsi="宋体"/>
          <w:b/>
          <w:bCs/>
          <w:color w:val="auto"/>
          <w:sz w:val="32"/>
          <w:szCs w:val="32"/>
        </w:rPr>
      </w:pPr>
      <w:r>
        <w:rPr>
          <w:rFonts w:hint="eastAsia" w:ascii="宋体" w:hAnsi="宋体"/>
          <w:b/>
          <w:bCs/>
          <w:color w:val="auto"/>
          <w:sz w:val="32"/>
          <w:szCs w:val="32"/>
        </w:rPr>
        <w:t>主要材料设备一览表</w:t>
      </w:r>
    </w:p>
    <w:tbl>
      <w:tblPr>
        <w:tblStyle w:val="33"/>
        <w:tblW w:w="98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698"/>
        <w:gridCol w:w="1864"/>
        <w:gridCol w:w="1033"/>
        <w:gridCol w:w="851"/>
        <w:gridCol w:w="992"/>
        <w:gridCol w:w="1246"/>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075" w:type="dxa"/>
            <w:vAlign w:val="center"/>
          </w:tcPr>
          <w:p>
            <w:pPr>
              <w:spacing w:line="360" w:lineRule="auto"/>
              <w:jc w:val="center"/>
              <w:rPr>
                <w:rFonts w:ascii="宋体" w:hAnsi="宋体"/>
                <w:color w:val="auto"/>
                <w:szCs w:val="21"/>
              </w:rPr>
            </w:pPr>
            <w:r>
              <w:rPr>
                <w:rFonts w:hint="eastAsia" w:ascii="宋体" w:hAnsi="宋体"/>
                <w:color w:val="auto"/>
                <w:szCs w:val="21"/>
              </w:rPr>
              <w:t>序号</w:t>
            </w:r>
          </w:p>
        </w:tc>
        <w:tc>
          <w:tcPr>
            <w:tcW w:w="1698" w:type="dxa"/>
            <w:vAlign w:val="center"/>
          </w:tcPr>
          <w:p>
            <w:pPr>
              <w:spacing w:line="360" w:lineRule="auto"/>
              <w:jc w:val="center"/>
              <w:rPr>
                <w:rFonts w:ascii="宋体" w:hAnsi="宋体"/>
                <w:color w:val="auto"/>
                <w:szCs w:val="21"/>
              </w:rPr>
            </w:pPr>
            <w:r>
              <w:rPr>
                <w:rFonts w:hint="eastAsia" w:ascii="宋体" w:hAnsi="宋体"/>
                <w:color w:val="auto"/>
                <w:szCs w:val="21"/>
              </w:rPr>
              <w:t>材料(器材)名称</w:t>
            </w:r>
          </w:p>
        </w:tc>
        <w:tc>
          <w:tcPr>
            <w:tcW w:w="1864" w:type="dxa"/>
            <w:vAlign w:val="center"/>
          </w:tcPr>
          <w:p>
            <w:pPr>
              <w:spacing w:line="360" w:lineRule="auto"/>
              <w:jc w:val="center"/>
              <w:rPr>
                <w:rFonts w:ascii="宋体" w:hAnsi="宋体"/>
                <w:color w:val="auto"/>
                <w:szCs w:val="21"/>
              </w:rPr>
            </w:pPr>
            <w:r>
              <w:rPr>
                <w:rFonts w:hint="eastAsia" w:ascii="宋体" w:hAnsi="宋体"/>
                <w:color w:val="auto"/>
                <w:szCs w:val="21"/>
              </w:rPr>
              <w:t>品牌规格技术参数</w:t>
            </w:r>
          </w:p>
        </w:tc>
        <w:tc>
          <w:tcPr>
            <w:tcW w:w="1033" w:type="dxa"/>
            <w:vAlign w:val="center"/>
          </w:tcPr>
          <w:p>
            <w:pPr>
              <w:spacing w:line="360" w:lineRule="auto"/>
              <w:ind w:leftChars="-27" w:right="-108" w:rightChars="-45" w:hanging="64" w:hangingChars="27"/>
              <w:jc w:val="center"/>
              <w:rPr>
                <w:rFonts w:ascii="宋体" w:hAnsi="宋体"/>
                <w:color w:val="auto"/>
                <w:szCs w:val="21"/>
              </w:rPr>
            </w:pPr>
            <w:r>
              <w:rPr>
                <w:rFonts w:hint="eastAsia" w:ascii="宋体" w:hAnsi="宋体"/>
                <w:color w:val="auto"/>
                <w:szCs w:val="21"/>
              </w:rPr>
              <w:t>制造厂商</w:t>
            </w:r>
          </w:p>
        </w:tc>
        <w:tc>
          <w:tcPr>
            <w:tcW w:w="851" w:type="dxa"/>
            <w:vAlign w:val="center"/>
          </w:tcPr>
          <w:p>
            <w:pPr>
              <w:spacing w:line="360" w:lineRule="auto"/>
              <w:jc w:val="center"/>
              <w:rPr>
                <w:rFonts w:ascii="宋体" w:hAnsi="宋体"/>
                <w:color w:val="auto"/>
                <w:szCs w:val="21"/>
              </w:rPr>
            </w:pPr>
            <w:r>
              <w:rPr>
                <w:rFonts w:hint="eastAsia" w:ascii="宋体" w:hAnsi="宋体"/>
                <w:color w:val="auto"/>
                <w:szCs w:val="21"/>
              </w:rPr>
              <w:t>单位</w:t>
            </w:r>
          </w:p>
        </w:tc>
        <w:tc>
          <w:tcPr>
            <w:tcW w:w="992" w:type="dxa"/>
            <w:vAlign w:val="center"/>
          </w:tcPr>
          <w:p>
            <w:pPr>
              <w:spacing w:line="360" w:lineRule="auto"/>
              <w:jc w:val="center"/>
              <w:rPr>
                <w:rFonts w:ascii="宋体" w:hAnsi="宋体"/>
                <w:color w:val="auto"/>
                <w:szCs w:val="21"/>
              </w:rPr>
            </w:pPr>
            <w:r>
              <w:rPr>
                <w:rFonts w:hint="eastAsia" w:ascii="宋体" w:hAnsi="宋体"/>
                <w:color w:val="auto"/>
                <w:szCs w:val="21"/>
              </w:rPr>
              <w:t>数量</w:t>
            </w:r>
          </w:p>
        </w:tc>
        <w:tc>
          <w:tcPr>
            <w:tcW w:w="1246" w:type="dxa"/>
            <w:vAlign w:val="center"/>
          </w:tcPr>
          <w:p>
            <w:pPr>
              <w:adjustRightInd w:val="0"/>
              <w:snapToGrid w:val="0"/>
              <w:jc w:val="center"/>
              <w:rPr>
                <w:rFonts w:ascii="宋体" w:hAnsi="宋体"/>
                <w:color w:val="auto"/>
                <w:szCs w:val="21"/>
              </w:rPr>
            </w:pPr>
            <w:r>
              <w:rPr>
                <w:rFonts w:hint="eastAsia" w:ascii="宋体" w:hAnsi="宋体"/>
                <w:color w:val="auto"/>
                <w:szCs w:val="21"/>
              </w:rPr>
              <w:t>单价</w:t>
            </w:r>
          </w:p>
          <w:p>
            <w:pPr>
              <w:adjustRightInd w:val="0"/>
              <w:snapToGrid w:val="0"/>
              <w:jc w:val="center"/>
              <w:rPr>
                <w:rFonts w:ascii="宋体" w:hAnsi="宋体"/>
                <w:color w:val="auto"/>
                <w:szCs w:val="21"/>
              </w:rPr>
            </w:pPr>
            <w:r>
              <w:rPr>
                <w:rFonts w:hint="eastAsia" w:ascii="宋体" w:hAnsi="宋体"/>
                <w:color w:val="auto"/>
                <w:szCs w:val="21"/>
              </w:rPr>
              <w:t>（元）</w:t>
            </w:r>
          </w:p>
        </w:tc>
        <w:tc>
          <w:tcPr>
            <w:tcW w:w="1058" w:type="dxa"/>
            <w:vAlign w:val="center"/>
          </w:tcPr>
          <w:p>
            <w:pPr>
              <w:spacing w:line="360" w:lineRule="auto"/>
              <w:jc w:val="center"/>
              <w:rPr>
                <w:rFonts w:ascii="宋体" w:hAnsi="宋体"/>
                <w:color w:val="auto"/>
                <w:szCs w:val="21"/>
              </w:rPr>
            </w:pPr>
            <w:r>
              <w:rPr>
                <w:rFonts w:hint="eastAsia" w:ascii="宋体" w:hAnsi="宋体"/>
                <w:color w:val="auto"/>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75" w:type="dxa"/>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1698" w:type="dxa"/>
          </w:tcPr>
          <w:p>
            <w:pPr>
              <w:spacing w:line="360" w:lineRule="auto"/>
              <w:ind w:firstLine="400"/>
              <w:rPr>
                <w:rFonts w:ascii="宋体" w:hAnsi="宋体"/>
                <w:color w:val="auto"/>
                <w:szCs w:val="21"/>
              </w:rPr>
            </w:pPr>
          </w:p>
        </w:tc>
        <w:tc>
          <w:tcPr>
            <w:tcW w:w="1864" w:type="dxa"/>
          </w:tcPr>
          <w:p>
            <w:pPr>
              <w:spacing w:line="360" w:lineRule="auto"/>
              <w:ind w:firstLine="400"/>
              <w:rPr>
                <w:rFonts w:ascii="宋体" w:hAnsi="宋体"/>
                <w:color w:val="auto"/>
                <w:szCs w:val="21"/>
              </w:rPr>
            </w:pPr>
          </w:p>
        </w:tc>
        <w:tc>
          <w:tcPr>
            <w:tcW w:w="1033" w:type="dxa"/>
          </w:tcPr>
          <w:p>
            <w:pPr>
              <w:spacing w:line="360" w:lineRule="auto"/>
              <w:ind w:firstLine="400"/>
              <w:rPr>
                <w:rFonts w:ascii="宋体" w:hAnsi="宋体"/>
                <w:color w:val="auto"/>
                <w:szCs w:val="21"/>
              </w:rPr>
            </w:pPr>
          </w:p>
        </w:tc>
        <w:tc>
          <w:tcPr>
            <w:tcW w:w="851" w:type="dxa"/>
          </w:tcPr>
          <w:p>
            <w:pPr>
              <w:spacing w:line="360" w:lineRule="auto"/>
              <w:ind w:firstLine="400"/>
              <w:rPr>
                <w:rFonts w:ascii="宋体" w:hAnsi="宋体"/>
                <w:color w:val="auto"/>
                <w:szCs w:val="21"/>
              </w:rPr>
            </w:pPr>
          </w:p>
        </w:tc>
        <w:tc>
          <w:tcPr>
            <w:tcW w:w="992" w:type="dxa"/>
          </w:tcPr>
          <w:p>
            <w:pPr>
              <w:spacing w:line="360" w:lineRule="auto"/>
              <w:ind w:firstLine="400"/>
              <w:rPr>
                <w:rFonts w:ascii="宋体" w:hAnsi="宋体"/>
                <w:color w:val="auto"/>
                <w:szCs w:val="21"/>
              </w:rPr>
            </w:pPr>
          </w:p>
        </w:tc>
        <w:tc>
          <w:tcPr>
            <w:tcW w:w="1246" w:type="dxa"/>
          </w:tcPr>
          <w:p>
            <w:pPr>
              <w:spacing w:line="360" w:lineRule="auto"/>
              <w:ind w:firstLine="400"/>
              <w:rPr>
                <w:rFonts w:ascii="宋体" w:hAnsi="宋体"/>
                <w:color w:val="auto"/>
                <w:szCs w:val="21"/>
              </w:rPr>
            </w:pPr>
          </w:p>
        </w:tc>
        <w:tc>
          <w:tcPr>
            <w:tcW w:w="1058" w:type="dxa"/>
          </w:tcPr>
          <w:p>
            <w:pPr>
              <w:spacing w:line="360" w:lineRule="auto"/>
              <w:ind w:firstLine="4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075" w:type="dxa"/>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1698" w:type="dxa"/>
          </w:tcPr>
          <w:p>
            <w:pPr>
              <w:spacing w:line="360" w:lineRule="auto"/>
              <w:ind w:firstLine="400"/>
              <w:rPr>
                <w:rFonts w:ascii="宋体" w:hAnsi="宋体"/>
                <w:color w:val="auto"/>
                <w:szCs w:val="21"/>
              </w:rPr>
            </w:pPr>
          </w:p>
        </w:tc>
        <w:tc>
          <w:tcPr>
            <w:tcW w:w="1864" w:type="dxa"/>
          </w:tcPr>
          <w:p>
            <w:pPr>
              <w:spacing w:line="360" w:lineRule="auto"/>
              <w:ind w:firstLine="400"/>
              <w:rPr>
                <w:rFonts w:ascii="宋体" w:hAnsi="宋体"/>
                <w:color w:val="auto"/>
                <w:szCs w:val="21"/>
              </w:rPr>
            </w:pPr>
          </w:p>
        </w:tc>
        <w:tc>
          <w:tcPr>
            <w:tcW w:w="1033" w:type="dxa"/>
          </w:tcPr>
          <w:p>
            <w:pPr>
              <w:spacing w:line="360" w:lineRule="auto"/>
              <w:ind w:firstLine="400"/>
              <w:rPr>
                <w:rFonts w:ascii="宋体" w:hAnsi="宋体"/>
                <w:color w:val="auto"/>
                <w:szCs w:val="21"/>
              </w:rPr>
            </w:pPr>
          </w:p>
        </w:tc>
        <w:tc>
          <w:tcPr>
            <w:tcW w:w="851" w:type="dxa"/>
          </w:tcPr>
          <w:p>
            <w:pPr>
              <w:spacing w:line="360" w:lineRule="auto"/>
              <w:ind w:firstLine="400"/>
              <w:rPr>
                <w:rFonts w:ascii="宋体" w:hAnsi="宋体"/>
                <w:color w:val="auto"/>
                <w:szCs w:val="21"/>
              </w:rPr>
            </w:pPr>
          </w:p>
        </w:tc>
        <w:tc>
          <w:tcPr>
            <w:tcW w:w="992" w:type="dxa"/>
          </w:tcPr>
          <w:p>
            <w:pPr>
              <w:spacing w:line="360" w:lineRule="auto"/>
              <w:ind w:firstLine="400"/>
              <w:rPr>
                <w:rFonts w:ascii="宋体" w:hAnsi="宋体"/>
                <w:color w:val="auto"/>
                <w:szCs w:val="21"/>
              </w:rPr>
            </w:pPr>
          </w:p>
        </w:tc>
        <w:tc>
          <w:tcPr>
            <w:tcW w:w="1246" w:type="dxa"/>
          </w:tcPr>
          <w:p>
            <w:pPr>
              <w:spacing w:line="360" w:lineRule="auto"/>
              <w:ind w:firstLine="400"/>
              <w:rPr>
                <w:rFonts w:ascii="宋体" w:hAnsi="宋体"/>
                <w:color w:val="auto"/>
                <w:szCs w:val="21"/>
              </w:rPr>
            </w:pPr>
          </w:p>
        </w:tc>
        <w:tc>
          <w:tcPr>
            <w:tcW w:w="1058" w:type="dxa"/>
          </w:tcPr>
          <w:p>
            <w:pPr>
              <w:spacing w:line="360" w:lineRule="auto"/>
              <w:ind w:firstLine="4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trPr>
        <w:tc>
          <w:tcPr>
            <w:tcW w:w="1075" w:type="dxa"/>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1698" w:type="dxa"/>
          </w:tcPr>
          <w:p>
            <w:pPr>
              <w:spacing w:line="360" w:lineRule="auto"/>
              <w:jc w:val="center"/>
              <w:rPr>
                <w:rFonts w:ascii="宋体" w:hAnsi="宋体"/>
                <w:color w:val="auto"/>
                <w:szCs w:val="21"/>
              </w:rPr>
            </w:pPr>
          </w:p>
        </w:tc>
        <w:tc>
          <w:tcPr>
            <w:tcW w:w="1864" w:type="dxa"/>
          </w:tcPr>
          <w:p>
            <w:pPr>
              <w:spacing w:line="360" w:lineRule="auto"/>
              <w:ind w:firstLine="400"/>
              <w:rPr>
                <w:rFonts w:ascii="宋体" w:hAnsi="宋体"/>
                <w:color w:val="auto"/>
                <w:szCs w:val="21"/>
              </w:rPr>
            </w:pPr>
          </w:p>
        </w:tc>
        <w:tc>
          <w:tcPr>
            <w:tcW w:w="1033" w:type="dxa"/>
          </w:tcPr>
          <w:p>
            <w:pPr>
              <w:spacing w:line="360" w:lineRule="auto"/>
              <w:ind w:firstLine="400"/>
              <w:rPr>
                <w:rFonts w:ascii="宋体" w:hAnsi="宋体"/>
                <w:color w:val="auto"/>
                <w:szCs w:val="21"/>
              </w:rPr>
            </w:pPr>
          </w:p>
        </w:tc>
        <w:tc>
          <w:tcPr>
            <w:tcW w:w="851" w:type="dxa"/>
          </w:tcPr>
          <w:p>
            <w:pPr>
              <w:spacing w:line="360" w:lineRule="auto"/>
              <w:ind w:firstLine="400"/>
              <w:rPr>
                <w:rFonts w:ascii="宋体" w:hAnsi="宋体"/>
                <w:color w:val="auto"/>
                <w:szCs w:val="21"/>
              </w:rPr>
            </w:pPr>
          </w:p>
        </w:tc>
        <w:tc>
          <w:tcPr>
            <w:tcW w:w="992" w:type="dxa"/>
            <w:vAlign w:val="center"/>
          </w:tcPr>
          <w:p>
            <w:pPr>
              <w:spacing w:line="360" w:lineRule="auto"/>
              <w:ind w:firstLine="400"/>
              <w:jc w:val="center"/>
              <w:rPr>
                <w:rFonts w:ascii="宋体" w:hAnsi="宋体"/>
                <w:color w:val="auto"/>
                <w:szCs w:val="21"/>
              </w:rPr>
            </w:pPr>
          </w:p>
        </w:tc>
        <w:tc>
          <w:tcPr>
            <w:tcW w:w="1246" w:type="dxa"/>
            <w:vAlign w:val="center"/>
          </w:tcPr>
          <w:p>
            <w:pPr>
              <w:spacing w:line="360" w:lineRule="auto"/>
              <w:ind w:firstLine="400"/>
              <w:jc w:val="center"/>
              <w:rPr>
                <w:rFonts w:ascii="宋体" w:hAnsi="宋体"/>
                <w:color w:val="auto"/>
                <w:szCs w:val="21"/>
              </w:rPr>
            </w:pPr>
          </w:p>
        </w:tc>
        <w:tc>
          <w:tcPr>
            <w:tcW w:w="1058" w:type="dxa"/>
            <w:vAlign w:val="center"/>
          </w:tcPr>
          <w:p>
            <w:pPr>
              <w:spacing w:line="360" w:lineRule="auto"/>
              <w:ind w:firstLine="4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075" w:type="dxa"/>
            <w:vAlign w:val="center"/>
          </w:tcPr>
          <w:p>
            <w:pPr>
              <w:spacing w:line="360" w:lineRule="auto"/>
              <w:jc w:val="center"/>
              <w:rPr>
                <w:rFonts w:ascii="宋体" w:hAnsi="宋体"/>
                <w:color w:val="auto"/>
                <w:szCs w:val="21"/>
              </w:rPr>
            </w:pPr>
            <w:r>
              <w:rPr>
                <w:rFonts w:hint="eastAsia" w:ascii="宋体" w:hAnsi="宋体"/>
                <w:color w:val="auto"/>
                <w:szCs w:val="21"/>
              </w:rPr>
              <w:t>4</w:t>
            </w:r>
          </w:p>
        </w:tc>
        <w:tc>
          <w:tcPr>
            <w:tcW w:w="1698" w:type="dxa"/>
          </w:tcPr>
          <w:p>
            <w:pPr>
              <w:spacing w:line="360" w:lineRule="auto"/>
              <w:ind w:firstLine="400"/>
              <w:rPr>
                <w:rFonts w:ascii="宋体" w:hAnsi="宋体"/>
                <w:color w:val="auto"/>
                <w:szCs w:val="21"/>
              </w:rPr>
            </w:pPr>
          </w:p>
        </w:tc>
        <w:tc>
          <w:tcPr>
            <w:tcW w:w="1864" w:type="dxa"/>
          </w:tcPr>
          <w:p>
            <w:pPr>
              <w:spacing w:line="360" w:lineRule="auto"/>
              <w:ind w:firstLine="400"/>
              <w:rPr>
                <w:rFonts w:ascii="宋体" w:hAnsi="宋体"/>
                <w:color w:val="auto"/>
                <w:szCs w:val="21"/>
              </w:rPr>
            </w:pPr>
          </w:p>
        </w:tc>
        <w:tc>
          <w:tcPr>
            <w:tcW w:w="1033" w:type="dxa"/>
          </w:tcPr>
          <w:p>
            <w:pPr>
              <w:spacing w:line="360" w:lineRule="auto"/>
              <w:ind w:firstLine="400"/>
              <w:rPr>
                <w:rFonts w:ascii="宋体" w:hAnsi="宋体"/>
                <w:color w:val="auto"/>
                <w:szCs w:val="21"/>
              </w:rPr>
            </w:pPr>
          </w:p>
        </w:tc>
        <w:tc>
          <w:tcPr>
            <w:tcW w:w="851" w:type="dxa"/>
          </w:tcPr>
          <w:p>
            <w:pPr>
              <w:spacing w:line="360" w:lineRule="auto"/>
              <w:ind w:firstLine="400"/>
              <w:rPr>
                <w:rFonts w:ascii="宋体" w:hAnsi="宋体"/>
                <w:color w:val="auto"/>
                <w:szCs w:val="21"/>
              </w:rPr>
            </w:pPr>
          </w:p>
        </w:tc>
        <w:tc>
          <w:tcPr>
            <w:tcW w:w="992" w:type="dxa"/>
          </w:tcPr>
          <w:p>
            <w:pPr>
              <w:spacing w:line="360" w:lineRule="auto"/>
              <w:ind w:firstLine="400"/>
              <w:rPr>
                <w:rFonts w:ascii="宋体" w:hAnsi="宋体"/>
                <w:color w:val="auto"/>
                <w:szCs w:val="21"/>
              </w:rPr>
            </w:pPr>
          </w:p>
        </w:tc>
        <w:tc>
          <w:tcPr>
            <w:tcW w:w="1246" w:type="dxa"/>
          </w:tcPr>
          <w:p>
            <w:pPr>
              <w:spacing w:line="360" w:lineRule="auto"/>
              <w:ind w:firstLine="400"/>
              <w:rPr>
                <w:rFonts w:ascii="宋体" w:hAnsi="宋体"/>
                <w:color w:val="auto"/>
                <w:szCs w:val="21"/>
              </w:rPr>
            </w:pPr>
          </w:p>
        </w:tc>
        <w:tc>
          <w:tcPr>
            <w:tcW w:w="1058" w:type="dxa"/>
          </w:tcPr>
          <w:p>
            <w:pPr>
              <w:spacing w:line="360" w:lineRule="auto"/>
              <w:ind w:firstLine="4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075" w:type="dxa"/>
            <w:vAlign w:val="center"/>
          </w:tcPr>
          <w:p>
            <w:pPr>
              <w:spacing w:line="360" w:lineRule="auto"/>
              <w:jc w:val="center"/>
              <w:rPr>
                <w:rFonts w:ascii="宋体" w:hAnsi="宋体"/>
                <w:color w:val="auto"/>
                <w:szCs w:val="21"/>
              </w:rPr>
            </w:pPr>
            <w:r>
              <w:rPr>
                <w:rFonts w:hint="eastAsia" w:ascii="宋体" w:hAnsi="宋体"/>
                <w:color w:val="auto"/>
                <w:szCs w:val="21"/>
              </w:rPr>
              <w:t>5</w:t>
            </w:r>
          </w:p>
        </w:tc>
        <w:tc>
          <w:tcPr>
            <w:tcW w:w="1698" w:type="dxa"/>
          </w:tcPr>
          <w:p>
            <w:pPr>
              <w:spacing w:line="360" w:lineRule="auto"/>
              <w:ind w:firstLine="400"/>
              <w:rPr>
                <w:rFonts w:ascii="宋体" w:hAnsi="宋体"/>
                <w:color w:val="auto"/>
                <w:szCs w:val="21"/>
              </w:rPr>
            </w:pPr>
          </w:p>
        </w:tc>
        <w:tc>
          <w:tcPr>
            <w:tcW w:w="1864" w:type="dxa"/>
          </w:tcPr>
          <w:p>
            <w:pPr>
              <w:spacing w:line="360" w:lineRule="auto"/>
              <w:ind w:firstLine="400"/>
              <w:rPr>
                <w:rFonts w:ascii="宋体" w:hAnsi="宋体"/>
                <w:color w:val="auto"/>
                <w:szCs w:val="21"/>
              </w:rPr>
            </w:pPr>
          </w:p>
        </w:tc>
        <w:tc>
          <w:tcPr>
            <w:tcW w:w="1033" w:type="dxa"/>
          </w:tcPr>
          <w:p>
            <w:pPr>
              <w:spacing w:line="360" w:lineRule="auto"/>
              <w:ind w:firstLine="400"/>
              <w:rPr>
                <w:rFonts w:ascii="宋体" w:hAnsi="宋体"/>
                <w:color w:val="auto"/>
                <w:szCs w:val="21"/>
              </w:rPr>
            </w:pPr>
          </w:p>
        </w:tc>
        <w:tc>
          <w:tcPr>
            <w:tcW w:w="851" w:type="dxa"/>
          </w:tcPr>
          <w:p>
            <w:pPr>
              <w:spacing w:line="360" w:lineRule="auto"/>
              <w:ind w:firstLine="400"/>
              <w:rPr>
                <w:rFonts w:ascii="宋体" w:hAnsi="宋体"/>
                <w:color w:val="auto"/>
                <w:szCs w:val="21"/>
              </w:rPr>
            </w:pPr>
          </w:p>
        </w:tc>
        <w:tc>
          <w:tcPr>
            <w:tcW w:w="992" w:type="dxa"/>
          </w:tcPr>
          <w:p>
            <w:pPr>
              <w:spacing w:line="360" w:lineRule="auto"/>
              <w:ind w:firstLine="400"/>
              <w:rPr>
                <w:rFonts w:ascii="宋体" w:hAnsi="宋体"/>
                <w:color w:val="auto"/>
                <w:szCs w:val="21"/>
              </w:rPr>
            </w:pPr>
          </w:p>
        </w:tc>
        <w:tc>
          <w:tcPr>
            <w:tcW w:w="1246" w:type="dxa"/>
          </w:tcPr>
          <w:p>
            <w:pPr>
              <w:spacing w:line="360" w:lineRule="auto"/>
              <w:ind w:firstLine="400"/>
              <w:rPr>
                <w:rFonts w:ascii="宋体" w:hAnsi="宋体"/>
                <w:color w:val="auto"/>
                <w:szCs w:val="21"/>
              </w:rPr>
            </w:pPr>
          </w:p>
        </w:tc>
        <w:tc>
          <w:tcPr>
            <w:tcW w:w="1058" w:type="dxa"/>
          </w:tcPr>
          <w:p>
            <w:pPr>
              <w:spacing w:line="360" w:lineRule="auto"/>
              <w:ind w:firstLine="4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075" w:type="dxa"/>
            <w:vAlign w:val="center"/>
          </w:tcPr>
          <w:p>
            <w:pPr>
              <w:spacing w:line="360" w:lineRule="auto"/>
              <w:jc w:val="center"/>
              <w:rPr>
                <w:rFonts w:ascii="宋体" w:hAnsi="宋体"/>
                <w:color w:val="auto"/>
                <w:szCs w:val="21"/>
              </w:rPr>
            </w:pPr>
            <w:r>
              <w:rPr>
                <w:rFonts w:hint="eastAsia" w:ascii="宋体" w:hAnsi="宋体"/>
                <w:color w:val="auto"/>
                <w:szCs w:val="21"/>
              </w:rPr>
              <w:t>6</w:t>
            </w:r>
          </w:p>
        </w:tc>
        <w:tc>
          <w:tcPr>
            <w:tcW w:w="1698" w:type="dxa"/>
          </w:tcPr>
          <w:p>
            <w:pPr>
              <w:spacing w:line="360" w:lineRule="auto"/>
              <w:ind w:firstLine="400"/>
              <w:rPr>
                <w:rFonts w:ascii="宋体" w:hAnsi="宋体"/>
                <w:color w:val="auto"/>
                <w:szCs w:val="21"/>
              </w:rPr>
            </w:pPr>
          </w:p>
        </w:tc>
        <w:tc>
          <w:tcPr>
            <w:tcW w:w="1864" w:type="dxa"/>
          </w:tcPr>
          <w:p>
            <w:pPr>
              <w:spacing w:line="360" w:lineRule="auto"/>
              <w:ind w:firstLine="400"/>
              <w:rPr>
                <w:rFonts w:ascii="宋体" w:hAnsi="宋体"/>
                <w:color w:val="auto"/>
                <w:szCs w:val="21"/>
              </w:rPr>
            </w:pPr>
          </w:p>
        </w:tc>
        <w:tc>
          <w:tcPr>
            <w:tcW w:w="1033" w:type="dxa"/>
          </w:tcPr>
          <w:p>
            <w:pPr>
              <w:spacing w:line="360" w:lineRule="auto"/>
              <w:ind w:firstLine="400"/>
              <w:rPr>
                <w:rFonts w:ascii="宋体" w:hAnsi="宋体"/>
                <w:color w:val="auto"/>
                <w:szCs w:val="21"/>
              </w:rPr>
            </w:pPr>
          </w:p>
        </w:tc>
        <w:tc>
          <w:tcPr>
            <w:tcW w:w="851" w:type="dxa"/>
          </w:tcPr>
          <w:p>
            <w:pPr>
              <w:spacing w:line="360" w:lineRule="auto"/>
              <w:ind w:firstLine="400"/>
              <w:rPr>
                <w:rFonts w:ascii="宋体" w:hAnsi="宋体"/>
                <w:color w:val="auto"/>
                <w:szCs w:val="21"/>
              </w:rPr>
            </w:pPr>
          </w:p>
        </w:tc>
        <w:tc>
          <w:tcPr>
            <w:tcW w:w="992" w:type="dxa"/>
          </w:tcPr>
          <w:p>
            <w:pPr>
              <w:spacing w:line="360" w:lineRule="auto"/>
              <w:ind w:firstLine="400"/>
              <w:rPr>
                <w:rFonts w:ascii="宋体" w:hAnsi="宋体"/>
                <w:color w:val="auto"/>
                <w:szCs w:val="21"/>
              </w:rPr>
            </w:pPr>
          </w:p>
        </w:tc>
        <w:tc>
          <w:tcPr>
            <w:tcW w:w="1246" w:type="dxa"/>
          </w:tcPr>
          <w:p>
            <w:pPr>
              <w:spacing w:line="360" w:lineRule="auto"/>
              <w:ind w:firstLine="400"/>
              <w:rPr>
                <w:rFonts w:ascii="宋体" w:hAnsi="宋体"/>
                <w:color w:val="auto"/>
                <w:szCs w:val="21"/>
              </w:rPr>
            </w:pPr>
          </w:p>
        </w:tc>
        <w:tc>
          <w:tcPr>
            <w:tcW w:w="1058" w:type="dxa"/>
          </w:tcPr>
          <w:p>
            <w:pPr>
              <w:spacing w:line="360" w:lineRule="auto"/>
              <w:ind w:firstLine="4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075" w:type="dxa"/>
            <w:vAlign w:val="center"/>
          </w:tcPr>
          <w:p>
            <w:pPr>
              <w:spacing w:line="360" w:lineRule="auto"/>
              <w:ind w:firstLine="400"/>
              <w:jc w:val="center"/>
              <w:rPr>
                <w:rFonts w:ascii="宋体" w:hAnsi="宋体"/>
                <w:color w:val="auto"/>
                <w:szCs w:val="21"/>
              </w:rPr>
            </w:pPr>
            <w:r>
              <w:rPr>
                <w:rFonts w:hint="eastAsia" w:ascii="宋体" w:hAnsi="宋体"/>
                <w:color w:val="auto"/>
                <w:szCs w:val="21"/>
              </w:rPr>
              <w:t>。</w:t>
            </w:r>
          </w:p>
        </w:tc>
        <w:tc>
          <w:tcPr>
            <w:tcW w:w="1698" w:type="dxa"/>
          </w:tcPr>
          <w:p>
            <w:pPr>
              <w:spacing w:line="360" w:lineRule="auto"/>
              <w:ind w:firstLine="400"/>
              <w:rPr>
                <w:rFonts w:ascii="宋体" w:hAnsi="宋体"/>
                <w:color w:val="auto"/>
                <w:szCs w:val="21"/>
              </w:rPr>
            </w:pPr>
            <w:r>
              <w:rPr>
                <w:rFonts w:hint="eastAsia" w:ascii="宋体" w:hAnsi="宋体"/>
                <w:color w:val="auto"/>
                <w:szCs w:val="21"/>
              </w:rPr>
              <w:t>。。。</w:t>
            </w:r>
          </w:p>
        </w:tc>
        <w:tc>
          <w:tcPr>
            <w:tcW w:w="1864" w:type="dxa"/>
          </w:tcPr>
          <w:p>
            <w:pPr>
              <w:spacing w:line="360" w:lineRule="auto"/>
              <w:ind w:firstLine="400"/>
              <w:rPr>
                <w:rFonts w:ascii="宋体" w:hAnsi="宋体"/>
                <w:color w:val="auto"/>
                <w:szCs w:val="21"/>
              </w:rPr>
            </w:pPr>
            <w:r>
              <w:rPr>
                <w:rFonts w:hint="eastAsia" w:ascii="宋体" w:hAnsi="宋体"/>
                <w:color w:val="auto"/>
                <w:szCs w:val="21"/>
              </w:rPr>
              <w:t>。。。</w:t>
            </w:r>
          </w:p>
        </w:tc>
        <w:tc>
          <w:tcPr>
            <w:tcW w:w="1033" w:type="dxa"/>
          </w:tcPr>
          <w:p>
            <w:pPr>
              <w:spacing w:line="360" w:lineRule="auto"/>
              <w:ind w:firstLine="400"/>
              <w:rPr>
                <w:rFonts w:ascii="宋体" w:hAnsi="宋体"/>
                <w:color w:val="auto"/>
                <w:szCs w:val="21"/>
              </w:rPr>
            </w:pPr>
          </w:p>
        </w:tc>
        <w:tc>
          <w:tcPr>
            <w:tcW w:w="851" w:type="dxa"/>
          </w:tcPr>
          <w:p>
            <w:pPr>
              <w:spacing w:line="360" w:lineRule="auto"/>
              <w:ind w:firstLine="400"/>
              <w:rPr>
                <w:rFonts w:ascii="宋体" w:hAnsi="宋体"/>
                <w:color w:val="auto"/>
                <w:szCs w:val="21"/>
              </w:rPr>
            </w:pPr>
          </w:p>
        </w:tc>
        <w:tc>
          <w:tcPr>
            <w:tcW w:w="992" w:type="dxa"/>
          </w:tcPr>
          <w:p>
            <w:pPr>
              <w:spacing w:line="360" w:lineRule="auto"/>
              <w:ind w:firstLine="400"/>
              <w:rPr>
                <w:rFonts w:ascii="宋体" w:hAnsi="宋体"/>
                <w:color w:val="auto"/>
                <w:szCs w:val="21"/>
              </w:rPr>
            </w:pPr>
          </w:p>
        </w:tc>
        <w:tc>
          <w:tcPr>
            <w:tcW w:w="1246" w:type="dxa"/>
          </w:tcPr>
          <w:p>
            <w:pPr>
              <w:spacing w:line="360" w:lineRule="auto"/>
              <w:ind w:firstLine="400"/>
              <w:rPr>
                <w:rFonts w:ascii="宋体" w:hAnsi="宋体"/>
                <w:color w:val="auto"/>
                <w:szCs w:val="21"/>
              </w:rPr>
            </w:pPr>
          </w:p>
        </w:tc>
        <w:tc>
          <w:tcPr>
            <w:tcW w:w="1058" w:type="dxa"/>
          </w:tcPr>
          <w:p>
            <w:pPr>
              <w:spacing w:line="360" w:lineRule="auto"/>
              <w:ind w:firstLine="400"/>
              <w:rPr>
                <w:rFonts w:ascii="宋体" w:hAnsi="宋体"/>
                <w:color w:val="auto"/>
                <w:szCs w:val="21"/>
              </w:rPr>
            </w:pPr>
          </w:p>
        </w:tc>
      </w:tr>
    </w:tbl>
    <w:p>
      <w:pPr>
        <w:adjustRightInd w:val="0"/>
        <w:snapToGrid w:val="0"/>
        <w:spacing w:line="480" w:lineRule="auto"/>
        <w:ind w:firstLine="12" w:firstLineChars="5"/>
        <w:rPr>
          <w:rFonts w:ascii="宋体" w:hAnsi="宋体"/>
          <w:b/>
          <w:bCs/>
          <w:color w:val="auto"/>
          <w:szCs w:val="24"/>
        </w:rPr>
      </w:pPr>
      <w:r>
        <w:rPr>
          <w:rFonts w:hint="eastAsia" w:ascii="宋体" w:hAnsi="宋体"/>
          <w:b/>
          <w:bCs/>
          <w:color w:val="auto"/>
          <w:szCs w:val="24"/>
        </w:rPr>
        <w:t>注：</w:t>
      </w:r>
    </w:p>
    <w:p>
      <w:pPr>
        <w:ind w:left="142" w:leftChars="59" w:firstLine="360" w:firstLineChars="150"/>
        <w:jc w:val="left"/>
        <w:rPr>
          <w:rFonts w:ascii="宋体" w:hAnsi="宋体" w:cs="宋体"/>
          <w:color w:val="auto"/>
          <w:szCs w:val="24"/>
        </w:rPr>
      </w:pPr>
      <w:r>
        <w:rPr>
          <w:rFonts w:hint="eastAsia" w:ascii="宋体" w:hAnsi="宋体" w:cs="宋体"/>
          <w:color w:val="auto"/>
          <w:szCs w:val="24"/>
        </w:rPr>
        <w:t>1、本表中单项材料价格为含税及所有费用报价。</w:t>
      </w:r>
    </w:p>
    <w:p>
      <w:pPr>
        <w:ind w:left="480" w:leftChars="200"/>
        <w:jc w:val="left"/>
        <w:rPr>
          <w:rFonts w:ascii="宋体" w:hAnsi="宋体" w:cs="宋体"/>
          <w:color w:val="auto"/>
          <w:szCs w:val="24"/>
        </w:rPr>
      </w:pPr>
      <w:r>
        <w:rPr>
          <w:rFonts w:hint="eastAsia" w:ascii="宋体" w:hAnsi="宋体" w:cs="宋体"/>
          <w:color w:val="auto"/>
          <w:szCs w:val="24"/>
        </w:rPr>
        <w:t>2、本表中品牌规格型号及相关技术参数、厂家、单价必须填写，否则磋商小组有可能不接受参加磋商。</w:t>
      </w:r>
    </w:p>
    <w:p>
      <w:pPr>
        <w:ind w:left="480" w:leftChars="200"/>
        <w:jc w:val="left"/>
        <w:rPr>
          <w:rFonts w:ascii="宋体" w:hAnsi="宋体" w:cs="宋体"/>
          <w:color w:val="auto"/>
          <w:szCs w:val="24"/>
        </w:rPr>
      </w:pPr>
      <w:r>
        <w:rPr>
          <w:rFonts w:hint="eastAsia" w:ascii="宋体" w:hAnsi="宋体" w:cs="宋体"/>
          <w:color w:val="auto"/>
          <w:szCs w:val="24"/>
        </w:rPr>
        <w:t>3、主要材料器材由谈判供应商根据实际情况自行添加填写，主要是包括建设所使用装修器材。</w:t>
      </w:r>
    </w:p>
    <w:p>
      <w:pPr>
        <w:pStyle w:val="27"/>
        <w:jc w:val="both"/>
        <w:rPr>
          <w:rFonts w:ascii="宋体" w:hAnsi="宋体" w:cs="宋体"/>
          <w:color w:val="auto"/>
          <w:sz w:val="24"/>
          <w:szCs w:val="24"/>
        </w:rPr>
      </w:pPr>
    </w:p>
    <w:p>
      <w:pPr>
        <w:pStyle w:val="27"/>
        <w:jc w:val="both"/>
        <w:rPr>
          <w:rFonts w:ascii="宋体" w:hAnsi="宋体" w:cs="宋体"/>
          <w:color w:val="auto"/>
          <w:sz w:val="24"/>
          <w:szCs w:val="24"/>
        </w:rPr>
      </w:pPr>
    </w:p>
    <w:p>
      <w:pPr>
        <w:pStyle w:val="27"/>
        <w:jc w:val="both"/>
        <w:rPr>
          <w:rFonts w:ascii="宋体" w:cs="宋体"/>
          <w:color w:val="auto"/>
          <w:sz w:val="24"/>
          <w:szCs w:val="24"/>
        </w:rPr>
      </w:pPr>
      <w:r>
        <w:rPr>
          <w:rFonts w:hint="eastAsia" w:ascii="宋体" w:hAnsi="宋体" w:cs="宋体"/>
          <w:color w:val="auto"/>
          <w:sz w:val="24"/>
          <w:szCs w:val="24"/>
        </w:rPr>
        <w:t>格式</w:t>
      </w:r>
      <w:r>
        <w:rPr>
          <w:rFonts w:hint="eastAsia" w:ascii="宋体" w:hAnsi="宋体" w:cs="宋体"/>
          <w:color w:val="auto"/>
          <w:sz w:val="24"/>
          <w:szCs w:val="24"/>
        </w:rPr>
        <w:t>4</w:t>
      </w:r>
    </w:p>
    <w:p>
      <w:pPr>
        <w:pStyle w:val="27"/>
        <w:jc w:val="center"/>
        <w:rPr>
          <w:rFonts w:ascii="宋体" w:cs="宋体"/>
          <w:color w:val="auto"/>
          <w:sz w:val="36"/>
          <w:szCs w:val="36"/>
        </w:rPr>
      </w:pPr>
      <w:r>
        <w:rPr>
          <w:rFonts w:hint="eastAsia" w:ascii="宋体" w:hAnsi="宋体" w:cs="宋体"/>
          <w:color w:val="auto"/>
          <w:sz w:val="36"/>
          <w:szCs w:val="36"/>
        </w:rPr>
        <w:t>法定代表人身份证明</w:t>
      </w:r>
    </w:p>
    <w:p>
      <w:pPr>
        <w:spacing w:line="362" w:lineRule="auto"/>
        <w:rPr>
          <w:rFonts w:cs="宋体"/>
          <w:b/>
          <w:color w:val="auto"/>
          <w:sz w:val="32"/>
          <w:szCs w:val="32"/>
        </w:rPr>
      </w:pPr>
    </w:p>
    <w:p>
      <w:pPr>
        <w:spacing w:line="440" w:lineRule="exact"/>
        <w:rPr>
          <w:rFonts w:ascii="宋体" w:cs="宋体"/>
          <w:color w:val="auto"/>
          <w:szCs w:val="21"/>
        </w:rPr>
      </w:pPr>
    </w:p>
    <w:p>
      <w:pPr>
        <w:spacing w:line="360" w:lineRule="auto"/>
        <w:ind w:firstLine="480"/>
        <w:rPr>
          <w:rFonts w:ascii="宋体" w:cs="宋体"/>
          <w:color w:val="auto"/>
          <w:szCs w:val="21"/>
        </w:rPr>
      </w:pPr>
      <w:r>
        <w:rPr>
          <w:rFonts w:hint="eastAsia" w:ascii="宋体" w:hAnsi="宋体" w:cs="宋体"/>
          <w:color w:val="auto"/>
          <w:szCs w:val="21"/>
        </w:rPr>
        <w:t>单位名称：</w:t>
      </w:r>
    </w:p>
    <w:p>
      <w:pPr>
        <w:spacing w:line="360" w:lineRule="auto"/>
        <w:ind w:firstLine="480"/>
        <w:rPr>
          <w:rFonts w:ascii="宋体" w:cs="宋体"/>
          <w:color w:val="auto"/>
          <w:szCs w:val="21"/>
        </w:rPr>
      </w:pPr>
      <w:r>
        <w:rPr>
          <w:rFonts w:hint="eastAsia" w:ascii="宋体" w:hAnsi="宋体" w:cs="宋体"/>
          <w:color w:val="auto"/>
          <w:szCs w:val="21"/>
        </w:rPr>
        <w:t>营业执照注册号：</w:t>
      </w:r>
    </w:p>
    <w:p>
      <w:pPr>
        <w:spacing w:line="360" w:lineRule="auto"/>
        <w:ind w:firstLine="480"/>
        <w:rPr>
          <w:rFonts w:ascii="宋体" w:cs="宋体"/>
          <w:color w:val="auto"/>
          <w:szCs w:val="21"/>
        </w:rPr>
      </w:pPr>
      <w:r>
        <w:rPr>
          <w:rFonts w:hint="eastAsia" w:ascii="宋体" w:hAnsi="宋体" w:cs="宋体"/>
          <w:color w:val="auto"/>
          <w:szCs w:val="21"/>
        </w:rPr>
        <w:t>单位性质：</w:t>
      </w:r>
    </w:p>
    <w:p>
      <w:pPr>
        <w:spacing w:line="360" w:lineRule="auto"/>
        <w:ind w:firstLine="480"/>
        <w:rPr>
          <w:rFonts w:ascii="宋体" w:cs="宋体"/>
          <w:color w:val="auto"/>
          <w:szCs w:val="21"/>
        </w:rPr>
      </w:pPr>
      <w:r>
        <w:rPr>
          <w:rFonts w:hint="eastAsia" w:ascii="宋体" w:hAnsi="宋体" w:cs="宋体"/>
          <w:color w:val="auto"/>
          <w:szCs w:val="21"/>
        </w:rPr>
        <w:t>地址：</w:t>
      </w:r>
    </w:p>
    <w:p>
      <w:pPr>
        <w:spacing w:line="360" w:lineRule="auto"/>
        <w:ind w:firstLine="480"/>
        <w:rPr>
          <w:rFonts w:ascii="宋体" w:cs="宋体"/>
          <w:color w:val="auto"/>
          <w:szCs w:val="21"/>
        </w:rPr>
      </w:pPr>
      <w:r>
        <w:rPr>
          <w:rFonts w:hint="eastAsia" w:ascii="宋体" w:hAnsi="宋体" w:cs="宋体"/>
          <w:color w:val="auto"/>
          <w:szCs w:val="21"/>
        </w:rPr>
        <w:t>成立时间：年月日</w:t>
      </w:r>
    </w:p>
    <w:p>
      <w:pPr>
        <w:spacing w:line="360" w:lineRule="auto"/>
        <w:ind w:firstLine="480"/>
        <w:rPr>
          <w:rFonts w:ascii="宋体" w:cs="宋体"/>
          <w:color w:val="auto"/>
          <w:szCs w:val="21"/>
        </w:rPr>
      </w:pPr>
      <w:r>
        <w:rPr>
          <w:rFonts w:hint="eastAsia" w:ascii="宋体" w:hAnsi="宋体" w:cs="宋体"/>
          <w:color w:val="auto"/>
          <w:szCs w:val="21"/>
        </w:rPr>
        <w:t>经营期限：</w:t>
      </w:r>
    </w:p>
    <w:p>
      <w:pPr>
        <w:spacing w:line="360" w:lineRule="auto"/>
        <w:ind w:firstLine="480"/>
        <w:rPr>
          <w:rFonts w:ascii="宋体" w:cs="宋体"/>
          <w:color w:val="auto"/>
          <w:szCs w:val="21"/>
        </w:rPr>
      </w:pPr>
      <w:r>
        <w:rPr>
          <w:rFonts w:hint="eastAsia" w:ascii="宋体" w:hAnsi="宋体" w:cs="宋体"/>
          <w:color w:val="auto"/>
          <w:szCs w:val="21"/>
        </w:rPr>
        <w:t>姓名：性别：年龄：职务：系（投标经营方名称）的法定代表人。</w:t>
      </w:r>
    </w:p>
    <w:p>
      <w:pPr>
        <w:spacing w:line="360" w:lineRule="auto"/>
        <w:ind w:firstLine="480"/>
        <w:rPr>
          <w:rFonts w:ascii="宋体" w:cs="宋体"/>
          <w:color w:val="auto"/>
          <w:szCs w:val="21"/>
        </w:rPr>
      </w:pPr>
      <w:r>
        <w:rPr>
          <w:rFonts w:hint="eastAsia" w:ascii="宋体" w:hAnsi="宋体" w:cs="宋体"/>
          <w:color w:val="auto"/>
          <w:szCs w:val="21"/>
        </w:rPr>
        <w:t>特此证明。</w:t>
      </w:r>
    </w:p>
    <w:p>
      <w:pPr>
        <w:spacing w:line="440" w:lineRule="exact"/>
        <w:rPr>
          <w:rFonts w:ascii="宋体" w:cs="宋体"/>
          <w:color w:val="auto"/>
          <w:szCs w:val="21"/>
        </w:rPr>
      </w:pPr>
    </w:p>
    <w:p>
      <w:pPr>
        <w:spacing w:line="440" w:lineRule="exact"/>
        <w:ind w:firstLine="6480"/>
        <w:rPr>
          <w:rFonts w:ascii="宋体" w:cs="宋体"/>
          <w:color w:val="auto"/>
          <w:szCs w:val="21"/>
        </w:rPr>
      </w:pPr>
      <w:r>
        <w:rPr>
          <w:rFonts w:hint="eastAsia" w:ascii="宋体" w:hAnsi="宋体" w:cs="宋体"/>
          <w:color w:val="auto"/>
          <w:szCs w:val="21"/>
        </w:rPr>
        <w:t>单位名称（盖公章）</w:t>
      </w:r>
    </w:p>
    <w:p>
      <w:pPr>
        <w:spacing w:line="440" w:lineRule="exact"/>
        <w:ind w:firstLine="6960"/>
        <w:rPr>
          <w:rFonts w:ascii="宋体" w:cs="宋体"/>
          <w:color w:val="auto"/>
        </w:rPr>
      </w:pPr>
      <w:r>
        <w:rPr>
          <w:rFonts w:ascii="宋体" w:cs="宋体"/>
          <w:color w:val="auto"/>
          <w:szCs w:val="21"/>
        </w:rPr>
        <w:pict>
          <v:shape id="_x0000_s1031" o:spid="_x0000_s1031" o:spt="202" type="#_x0000_t202" style="position:absolute;left:0pt;margin-left:101.5pt;margin-top:20.45pt;height:115.05pt;width:259.65pt;z-index:251663360;mso-width-relative:margin;mso-height-relative:margin;" coordsize="21600,21600">
            <v:path/>
            <v:fill focussize="0,0"/>
            <v:stroke joinstyle="miter"/>
            <v:imagedata o:title=""/>
            <o:lock v:ext="edit"/>
            <v:textbox>
              <w:txbxContent>
                <w:p>
                  <w:r>
                    <w:rPr>
                      <w:rFonts w:hint="eastAsia"/>
                    </w:rPr>
                    <w:t>粘贴法定代表人身份证复印件</w:t>
                  </w:r>
                  <w:r>
                    <w:rPr>
                      <w:rFonts w:hint="eastAsia" w:ascii="宋体" w:hAnsi="宋体" w:cs="宋体"/>
                      <w:b/>
                      <w:bCs/>
                      <w:szCs w:val="24"/>
                    </w:rPr>
                    <w:t>正反面</w:t>
                  </w:r>
                </w:p>
              </w:txbxContent>
            </v:textbox>
          </v:shape>
        </w:pict>
      </w:r>
      <w:r>
        <w:rPr>
          <w:rFonts w:hint="eastAsia" w:ascii="宋体" w:hAnsi="宋体" w:cs="宋体"/>
          <w:color w:val="auto"/>
          <w:szCs w:val="21"/>
        </w:rPr>
        <w:t>年月日</w:t>
      </w:r>
      <w:r>
        <w:rPr>
          <w:color w:val="auto"/>
        </w:rPr>
        <w:br w:type="page"/>
      </w:r>
      <w:r>
        <w:rPr>
          <w:rFonts w:hint="eastAsia" w:ascii="宋体" w:hAnsi="宋体" w:cs="宋体"/>
          <w:b/>
          <w:color w:val="auto"/>
        </w:rPr>
        <w:t>格式5</w:t>
      </w:r>
    </w:p>
    <w:p>
      <w:pPr>
        <w:spacing w:line="440" w:lineRule="exact"/>
        <w:ind w:firstLine="6960"/>
        <w:rPr>
          <w:rFonts w:ascii="宋体" w:cs="宋体"/>
          <w:color w:val="auto"/>
        </w:rPr>
      </w:pPr>
    </w:p>
    <w:p>
      <w:pPr>
        <w:spacing w:line="480" w:lineRule="exact"/>
        <w:jc w:val="center"/>
        <w:rPr>
          <w:rFonts w:ascii="宋体"/>
          <w:b/>
          <w:bCs/>
          <w:color w:val="auto"/>
          <w:sz w:val="36"/>
          <w:szCs w:val="36"/>
        </w:rPr>
      </w:pPr>
      <w:bookmarkStart w:id="44" w:name="_Toc448307974"/>
      <w:bookmarkEnd w:id="44"/>
      <w:bookmarkStart w:id="45" w:name="_Toc431307800"/>
      <w:bookmarkEnd w:id="45"/>
      <w:r>
        <w:rPr>
          <w:rFonts w:hint="eastAsia" w:ascii="宋体" w:hAnsi="宋体"/>
          <w:b/>
          <w:bCs/>
          <w:color w:val="auto"/>
          <w:sz w:val="36"/>
          <w:szCs w:val="36"/>
        </w:rPr>
        <w:t>授权委托书</w:t>
      </w:r>
    </w:p>
    <w:p>
      <w:pPr>
        <w:spacing w:line="360" w:lineRule="auto"/>
        <w:rPr>
          <w:rFonts w:ascii="宋体" w:cs="Arial"/>
          <w:color w:val="auto"/>
          <w:szCs w:val="24"/>
        </w:rPr>
      </w:pPr>
    </w:p>
    <w:p>
      <w:pPr>
        <w:spacing w:line="600" w:lineRule="exact"/>
        <w:ind w:firstLine="480"/>
        <w:rPr>
          <w:rFonts w:ascii="宋体" w:cs="宋体"/>
          <w:color w:val="auto"/>
          <w:szCs w:val="24"/>
        </w:rPr>
      </w:pPr>
      <w:r>
        <w:rPr>
          <w:rFonts w:hint="eastAsia" w:ascii="宋体" w:hAnsi="宋体" w:cs="宋体"/>
          <w:color w:val="auto"/>
          <w:szCs w:val="24"/>
        </w:rPr>
        <w:t>我系的法定代表人，现授权委托（身份证号：，联系电话：）为我公司处理</w:t>
      </w:r>
      <w:r>
        <w:rPr>
          <w:rFonts w:hint="eastAsia" w:ascii="宋体" w:hAnsi="宋体" w:cs="宋体"/>
          <w:color w:val="auto"/>
          <w:szCs w:val="24"/>
          <w:u w:val="single"/>
        </w:rPr>
        <w:t>项目</w:t>
      </w:r>
      <w:r>
        <w:rPr>
          <w:rFonts w:hint="eastAsia" w:ascii="宋体" w:hAnsi="宋体" w:cs="宋体"/>
          <w:color w:val="auto"/>
          <w:szCs w:val="24"/>
        </w:rPr>
        <w:t>投标事宜的唯一授权委托人，该项委托权不得转让。</w:t>
      </w:r>
    </w:p>
    <w:p>
      <w:pPr>
        <w:spacing w:line="600" w:lineRule="exact"/>
        <w:ind w:firstLine="480"/>
        <w:rPr>
          <w:rFonts w:ascii="宋体" w:cs="宋体"/>
          <w:color w:val="auto"/>
          <w:szCs w:val="24"/>
        </w:rPr>
      </w:pPr>
      <w:r>
        <w:rPr>
          <w:rFonts w:hint="eastAsia" w:ascii="宋体" w:hAnsi="宋体" w:cs="宋体"/>
          <w:color w:val="auto"/>
          <w:szCs w:val="24"/>
        </w:rPr>
        <w:t>我承诺：该授权委托人系我单位在职人员，所提供的资料中如有虚假内容，愿意被否决或投标无效处理，并作为不良失信行为接受行政监管部门处罚。其参加本项目的投标活动，有权当场做出承诺及对投标书做出技术性补充，在开标、评标过程中所签署的一切文件和处理与之有关的一切事务，我均予以承认。</w:t>
      </w:r>
    </w:p>
    <w:p>
      <w:pPr>
        <w:spacing w:line="600" w:lineRule="exact"/>
        <w:ind w:firstLine="482"/>
        <w:rPr>
          <w:rFonts w:ascii="宋体" w:cs="宋体"/>
          <w:b/>
          <w:bCs/>
          <w:color w:val="auto"/>
          <w:szCs w:val="24"/>
        </w:rPr>
      </w:pPr>
    </w:p>
    <w:p>
      <w:pPr>
        <w:spacing w:line="600" w:lineRule="exact"/>
        <w:ind w:firstLine="480"/>
        <w:rPr>
          <w:rFonts w:ascii="宋体" w:cs="宋体"/>
          <w:color w:val="auto"/>
          <w:szCs w:val="24"/>
        </w:rPr>
      </w:pPr>
    </w:p>
    <w:p>
      <w:pPr>
        <w:spacing w:line="600" w:lineRule="exact"/>
        <w:ind w:firstLine="480"/>
        <w:rPr>
          <w:rFonts w:ascii="宋体" w:cs="宋体"/>
          <w:color w:val="auto"/>
          <w:szCs w:val="24"/>
        </w:rPr>
      </w:pPr>
      <w:r>
        <w:rPr>
          <w:rFonts w:hint="eastAsia" w:ascii="宋体" w:hAnsi="宋体" w:cs="宋体"/>
          <w:color w:val="auto"/>
          <w:szCs w:val="24"/>
        </w:rPr>
        <w:t>单位名称：（盖章）</w:t>
      </w:r>
    </w:p>
    <w:p>
      <w:pPr>
        <w:spacing w:line="600" w:lineRule="exact"/>
        <w:ind w:firstLine="480"/>
        <w:rPr>
          <w:rFonts w:ascii="宋体" w:cs="宋体"/>
          <w:color w:val="auto"/>
          <w:szCs w:val="24"/>
        </w:rPr>
      </w:pPr>
      <w:r>
        <w:rPr>
          <w:rFonts w:hint="eastAsia" w:ascii="宋体" w:hAnsi="宋体" w:cs="宋体"/>
          <w:color w:val="auto"/>
          <w:szCs w:val="24"/>
        </w:rPr>
        <w:t>法定代表人：（签字）</w:t>
      </w:r>
    </w:p>
    <w:p>
      <w:pPr>
        <w:spacing w:line="600" w:lineRule="exact"/>
        <w:ind w:firstLine="480"/>
        <w:rPr>
          <w:rFonts w:ascii="宋体" w:cs="宋体"/>
          <w:color w:val="auto"/>
          <w:szCs w:val="24"/>
        </w:rPr>
      </w:pPr>
      <w:r>
        <w:rPr>
          <w:rFonts w:hint="eastAsia" w:ascii="宋体" w:hAnsi="宋体" w:cs="宋体"/>
          <w:color w:val="auto"/>
          <w:szCs w:val="24"/>
        </w:rPr>
        <w:t>受委托人：（签字）</w:t>
      </w:r>
    </w:p>
    <w:p>
      <w:pPr>
        <w:spacing w:line="600" w:lineRule="exact"/>
        <w:rPr>
          <w:rFonts w:ascii="宋体" w:cs="宋体"/>
          <w:color w:val="auto"/>
          <w:szCs w:val="24"/>
        </w:rPr>
      </w:pPr>
    </w:p>
    <w:p>
      <w:pPr>
        <w:spacing w:line="440" w:lineRule="exact"/>
        <w:ind w:firstLine="6360"/>
        <w:rPr>
          <w:rFonts w:ascii="宋体" w:cs="宋体"/>
          <w:color w:val="auto"/>
          <w:szCs w:val="24"/>
        </w:rPr>
      </w:pPr>
      <w:r>
        <w:rPr>
          <w:rFonts w:hint="eastAsia" w:ascii="宋体" w:hAnsi="宋体" w:cs="宋体"/>
          <w:color w:val="auto"/>
          <w:szCs w:val="24"/>
        </w:rPr>
        <w:t>年月日</w:t>
      </w:r>
      <w:bookmarkStart w:id="46" w:name="_Toc431307801"/>
      <w:bookmarkEnd w:id="46"/>
    </w:p>
    <w:p>
      <w:pPr>
        <w:spacing w:line="440" w:lineRule="exact"/>
        <w:ind w:firstLine="2640"/>
        <w:rPr>
          <w:rFonts w:ascii="宋体" w:cs="宋体"/>
          <w:color w:val="auto"/>
          <w:szCs w:val="24"/>
        </w:rPr>
      </w:pPr>
    </w:p>
    <w:p>
      <w:pPr>
        <w:spacing w:line="440" w:lineRule="exact"/>
        <w:ind w:firstLine="2640"/>
        <w:rPr>
          <w:rFonts w:ascii="宋体" w:cs="宋体"/>
          <w:color w:val="auto"/>
          <w:szCs w:val="24"/>
        </w:rPr>
      </w:pPr>
      <w:r>
        <w:rPr>
          <w:rFonts w:ascii="宋体" w:cs="宋体"/>
          <w:color w:val="auto"/>
          <w:szCs w:val="24"/>
        </w:rPr>
        <w:pict>
          <v:shape id="_x0000_s1032" o:spid="_x0000_s1032" o:spt="202" type="#_x0000_t202" style="position:absolute;left:0pt;margin-left:47.55pt;margin-top:3.15pt;height:145.05pt;width:358.55pt;z-index:251664384;mso-width-relative:margin;mso-height-relative:margin;" coordsize="21600,21600">
            <v:path/>
            <v:fill focussize="0,0"/>
            <v:stroke joinstyle="miter"/>
            <v:imagedata o:title=""/>
            <o:lock v:ext="edit"/>
            <v:textbox>
              <w:txbxContent>
                <w:p>
                  <w:pPr>
                    <w:spacing w:line="600" w:lineRule="exact"/>
                    <w:ind w:firstLine="482"/>
                    <w:rPr>
                      <w:rFonts w:ascii="宋体" w:cs="宋体"/>
                      <w:b/>
                      <w:bCs/>
                      <w:szCs w:val="24"/>
                    </w:rPr>
                  </w:pPr>
                  <w:r>
                    <w:rPr>
                      <w:rFonts w:hint="eastAsia" w:ascii="宋体" w:hAnsi="宋体" w:cs="宋体"/>
                      <w:b/>
                      <w:bCs/>
                      <w:szCs w:val="24"/>
                    </w:rPr>
                    <w:t>被授权人身份证复印件（正反面）</w:t>
                  </w:r>
                </w:p>
                <w:p>
                  <w:pPr>
                    <w:spacing w:line="600" w:lineRule="exact"/>
                    <w:ind w:firstLine="480"/>
                    <w:rPr>
                      <w:rFonts w:ascii="宋体" w:cs="宋体"/>
                      <w:szCs w:val="24"/>
                    </w:rPr>
                  </w:pPr>
                </w:p>
                <w:p/>
              </w:txbxContent>
            </v:textbox>
          </v:shape>
        </w:pict>
      </w:r>
    </w:p>
    <w:p>
      <w:pPr>
        <w:spacing w:line="440" w:lineRule="exact"/>
        <w:ind w:firstLine="2640"/>
        <w:rPr>
          <w:rFonts w:ascii="宋体" w:cs="宋体"/>
          <w:color w:val="auto"/>
          <w:szCs w:val="24"/>
        </w:rPr>
      </w:pPr>
    </w:p>
    <w:p>
      <w:pPr>
        <w:pStyle w:val="27"/>
        <w:jc w:val="both"/>
        <w:rPr>
          <w:rFonts w:ascii="宋体" w:cs="宋体"/>
          <w:color w:val="auto"/>
          <w:sz w:val="24"/>
          <w:szCs w:val="24"/>
        </w:rPr>
      </w:pPr>
      <w:bookmarkStart w:id="47" w:name="_Toc448307975"/>
      <w:bookmarkEnd w:id="47"/>
      <w:r>
        <w:rPr>
          <w:color w:val="auto"/>
        </w:rPr>
        <w:br w:type="page"/>
      </w:r>
      <w:r>
        <w:rPr>
          <w:rFonts w:hint="eastAsia" w:ascii="宋体" w:hAnsi="宋体" w:cs="宋体"/>
          <w:color w:val="auto"/>
          <w:sz w:val="24"/>
          <w:szCs w:val="24"/>
        </w:rPr>
        <w:t>格式6</w:t>
      </w:r>
    </w:p>
    <w:p>
      <w:pPr>
        <w:pStyle w:val="27"/>
        <w:jc w:val="center"/>
        <w:rPr>
          <w:rFonts w:ascii="宋体" w:cs="宋体"/>
          <w:color w:val="auto"/>
          <w:sz w:val="36"/>
          <w:szCs w:val="36"/>
        </w:rPr>
      </w:pPr>
      <w:r>
        <w:rPr>
          <w:rFonts w:hint="eastAsia" w:ascii="宋体" w:hAnsi="宋体" w:cs="宋体"/>
          <w:color w:val="auto"/>
          <w:sz w:val="36"/>
          <w:szCs w:val="36"/>
        </w:rPr>
        <w:t>磋商保证金</w:t>
      </w:r>
    </w:p>
    <w:p>
      <w:pPr>
        <w:rPr>
          <w:rFonts w:ascii="宋体" w:cs="宋体"/>
          <w:color w:val="auto"/>
        </w:rPr>
      </w:pPr>
    </w:p>
    <w:tbl>
      <w:tblPr>
        <w:tblStyle w:val="33"/>
        <w:tblW w:w="9734" w:type="dxa"/>
        <w:tblInd w:w="145" w:type="dxa"/>
        <w:tblLayout w:type="fixed"/>
        <w:tblCellMar>
          <w:top w:w="0" w:type="dxa"/>
          <w:left w:w="10" w:type="dxa"/>
          <w:bottom w:w="0" w:type="dxa"/>
          <w:right w:w="10" w:type="dxa"/>
        </w:tblCellMar>
      </w:tblPr>
      <w:tblGrid>
        <w:gridCol w:w="1796"/>
        <w:gridCol w:w="1276"/>
        <w:gridCol w:w="1559"/>
        <w:gridCol w:w="1465"/>
        <w:gridCol w:w="1370"/>
        <w:gridCol w:w="2268"/>
      </w:tblGrid>
      <w:tr>
        <w:tblPrEx>
          <w:tblLayout w:type="fixed"/>
          <w:tblCellMar>
            <w:top w:w="0" w:type="dxa"/>
            <w:left w:w="10" w:type="dxa"/>
            <w:bottom w:w="0" w:type="dxa"/>
            <w:right w:w="10" w:type="dxa"/>
          </w:tblCellMar>
        </w:tblPrEx>
        <w:trPr>
          <w:trHeight w:val="755" w:hRule="atLeast"/>
        </w:trPr>
        <w:tc>
          <w:tcPr>
            <w:tcW w:w="1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2" w:lineRule="auto"/>
              <w:jc w:val="center"/>
              <w:rPr>
                <w:rFonts w:cs="宋体"/>
                <w:color w:val="auto"/>
                <w:szCs w:val="24"/>
              </w:rPr>
            </w:pPr>
            <w:r>
              <w:rPr>
                <w:rFonts w:hint="eastAsia" w:cs="宋体"/>
                <w:color w:val="auto"/>
                <w:szCs w:val="24"/>
              </w:rPr>
              <w:t>磋商保证金金额</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2" w:lineRule="auto"/>
              <w:rPr>
                <w:rFonts w:cs="宋体"/>
                <w:color w:val="auto"/>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2" w:lineRule="auto"/>
              <w:rPr>
                <w:rFonts w:cs="宋体"/>
                <w:color w:val="auto"/>
                <w:szCs w:val="24"/>
              </w:rPr>
            </w:pPr>
            <w:r>
              <w:rPr>
                <w:rFonts w:hint="eastAsia" w:cs="宋体"/>
                <w:color w:val="auto"/>
                <w:szCs w:val="24"/>
              </w:rPr>
              <w:t>提交形式</w:t>
            </w:r>
          </w:p>
        </w:tc>
        <w:tc>
          <w:tcPr>
            <w:tcW w:w="14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2" w:lineRule="auto"/>
              <w:rPr>
                <w:rFonts w:cs="宋体"/>
                <w:color w:val="auto"/>
                <w:szCs w:val="24"/>
              </w:rPr>
            </w:pPr>
          </w:p>
        </w:tc>
        <w:tc>
          <w:tcPr>
            <w:tcW w:w="13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2" w:lineRule="auto"/>
              <w:rPr>
                <w:rFonts w:cs="宋体"/>
                <w:color w:val="auto"/>
                <w:szCs w:val="24"/>
              </w:rPr>
            </w:pPr>
            <w:r>
              <w:rPr>
                <w:rFonts w:hint="eastAsia" w:cs="宋体"/>
                <w:color w:val="auto"/>
                <w:szCs w:val="24"/>
              </w:rPr>
              <w:t>时间</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2" w:lineRule="auto"/>
              <w:rPr>
                <w:rFonts w:cs="宋体"/>
                <w:color w:val="auto"/>
                <w:szCs w:val="24"/>
              </w:rPr>
            </w:pPr>
          </w:p>
        </w:tc>
      </w:tr>
      <w:tr>
        <w:tblPrEx>
          <w:tblLayout w:type="fixed"/>
          <w:tblCellMar>
            <w:top w:w="0" w:type="dxa"/>
            <w:left w:w="10" w:type="dxa"/>
            <w:bottom w:w="0" w:type="dxa"/>
            <w:right w:w="10" w:type="dxa"/>
          </w:tblCellMar>
        </w:tblPrEx>
        <w:trPr>
          <w:trHeight w:val="7783" w:hRule="atLeast"/>
        </w:trPr>
        <w:tc>
          <w:tcPr>
            <w:tcW w:w="9734"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2" w:lineRule="auto"/>
              <w:rPr>
                <w:rFonts w:cs="宋体"/>
                <w:color w:val="auto"/>
                <w:szCs w:val="24"/>
              </w:rPr>
            </w:pPr>
            <w:r>
              <w:rPr>
                <w:rFonts w:hint="eastAsia" w:cs="宋体"/>
                <w:color w:val="auto"/>
                <w:szCs w:val="24"/>
              </w:rPr>
              <w:t>磋商保证金凭证：</w:t>
            </w:r>
          </w:p>
        </w:tc>
      </w:tr>
    </w:tbl>
    <w:p>
      <w:pPr>
        <w:spacing w:line="362" w:lineRule="auto"/>
        <w:rPr>
          <w:rFonts w:cs="宋体"/>
          <w:color w:val="auto"/>
          <w:szCs w:val="24"/>
        </w:rPr>
      </w:pPr>
    </w:p>
    <w:p>
      <w:pPr>
        <w:tabs>
          <w:tab w:val="left" w:pos="4881"/>
        </w:tabs>
        <w:spacing w:before="33" w:line="360" w:lineRule="auto"/>
        <w:ind w:left="102" w:right="4125"/>
        <w:rPr>
          <w:rFonts w:cs="宋体"/>
          <w:color w:val="auto"/>
          <w:spacing w:val="-1"/>
          <w:szCs w:val="24"/>
        </w:rPr>
      </w:pPr>
      <w:r>
        <w:rPr>
          <w:rFonts w:hint="eastAsia" w:cs="宋体"/>
          <w:color w:val="auto"/>
          <w:szCs w:val="24"/>
        </w:rPr>
        <w:t>特别说明：以交易中心网上帐户收到为准。</w:t>
      </w:r>
    </w:p>
    <w:p>
      <w:pPr>
        <w:rPr>
          <w:rFonts w:ascii="宋体" w:cs="宋体"/>
          <w:color w:val="auto"/>
        </w:rPr>
      </w:pPr>
    </w:p>
    <w:p>
      <w:pPr>
        <w:pStyle w:val="27"/>
        <w:jc w:val="both"/>
        <w:rPr>
          <w:rFonts w:ascii="宋体" w:cs="宋体"/>
          <w:color w:val="auto"/>
          <w:sz w:val="24"/>
          <w:szCs w:val="24"/>
        </w:rPr>
      </w:pPr>
      <w:bookmarkStart w:id="48" w:name="_Toc448307977"/>
      <w:bookmarkEnd w:id="48"/>
      <w:bookmarkStart w:id="49" w:name="_Toc431307803"/>
      <w:bookmarkEnd w:id="49"/>
      <w:r>
        <w:rPr>
          <w:color w:val="auto"/>
        </w:rPr>
        <w:br w:type="page"/>
      </w:r>
      <w:r>
        <w:rPr>
          <w:rFonts w:hint="eastAsia" w:ascii="宋体" w:hAnsi="宋体" w:cs="宋体"/>
          <w:color w:val="auto"/>
          <w:sz w:val="24"/>
          <w:szCs w:val="24"/>
        </w:rPr>
        <w:t>格式7</w:t>
      </w:r>
    </w:p>
    <w:p>
      <w:pPr>
        <w:spacing w:line="480" w:lineRule="exact"/>
        <w:jc w:val="center"/>
        <w:rPr>
          <w:rFonts w:ascii="宋体" w:cs="宋体"/>
          <w:b/>
          <w:color w:val="auto"/>
          <w:sz w:val="36"/>
          <w:szCs w:val="36"/>
        </w:rPr>
      </w:pPr>
      <w:r>
        <w:rPr>
          <w:rFonts w:hint="eastAsia" w:ascii="宋体" w:hAnsi="宋体" w:cs="宋体"/>
          <w:b/>
          <w:color w:val="auto"/>
          <w:sz w:val="36"/>
          <w:szCs w:val="36"/>
        </w:rPr>
        <w:t>供应商响应文件响应承诺</w:t>
      </w:r>
    </w:p>
    <w:p>
      <w:pPr>
        <w:spacing w:line="362" w:lineRule="auto"/>
        <w:jc w:val="center"/>
        <w:rPr>
          <w:rFonts w:cs="宋体"/>
          <w:color w:val="auto"/>
          <w:sz w:val="28"/>
          <w:szCs w:val="28"/>
        </w:rPr>
      </w:pPr>
      <w:r>
        <w:rPr>
          <w:rFonts w:hint="eastAsia" w:cs="宋体"/>
          <w:color w:val="auto"/>
          <w:sz w:val="28"/>
          <w:szCs w:val="28"/>
        </w:rPr>
        <w:t>格式内容自定。（应对竞争性磋商文件作出实质性响应）</w:t>
      </w:r>
    </w:p>
    <w:p>
      <w:pPr>
        <w:spacing w:line="362" w:lineRule="auto"/>
        <w:rPr>
          <w:rFonts w:cs="宋体"/>
          <w:b/>
          <w:color w:val="auto"/>
          <w:szCs w:val="24"/>
        </w:rPr>
      </w:pPr>
    </w:p>
    <w:p>
      <w:pPr>
        <w:spacing w:line="362" w:lineRule="auto"/>
        <w:rPr>
          <w:rFonts w:cs="宋体"/>
          <w:b/>
          <w:color w:val="auto"/>
          <w:szCs w:val="24"/>
        </w:rPr>
      </w:pPr>
    </w:p>
    <w:p>
      <w:pPr>
        <w:tabs>
          <w:tab w:val="left" w:pos="4881"/>
        </w:tabs>
        <w:spacing w:before="33" w:line="360" w:lineRule="auto"/>
        <w:ind w:left="102" w:right="4125"/>
        <w:rPr>
          <w:rFonts w:cs="宋体"/>
          <w:color w:val="auto"/>
          <w:szCs w:val="24"/>
          <w:u w:val="single"/>
        </w:rPr>
      </w:pPr>
      <w:r>
        <w:rPr>
          <w:rFonts w:hint="eastAsia" w:cs="宋体"/>
          <w:color w:val="auto"/>
          <w:spacing w:val="-1"/>
          <w:szCs w:val="24"/>
        </w:rPr>
        <w:t>单位名称（盖章）</w:t>
      </w:r>
      <w:r>
        <w:rPr>
          <w:rFonts w:cs="宋体"/>
          <w:color w:val="auto"/>
          <w:spacing w:val="-1"/>
          <w:szCs w:val="24"/>
        </w:rPr>
        <w:t>:</w:t>
      </w:r>
    </w:p>
    <w:p>
      <w:pPr>
        <w:tabs>
          <w:tab w:val="left" w:pos="4881"/>
        </w:tabs>
        <w:spacing w:before="33" w:line="360" w:lineRule="auto"/>
        <w:ind w:left="102" w:right="4125"/>
        <w:rPr>
          <w:rFonts w:cs="宋体"/>
          <w:color w:val="auto"/>
          <w:spacing w:val="25"/>
          <w:szCs w:val="24"/>
        </w:rPr>
      </w:pPr>
      <w:r>
        <w:rPr>
          <w:rFonts w:hint="eastAsia" w:cs="宋体"/>
          <w:color w:val="auto"/>
          <w:spacing w:val="-1"/>
          <w:szCs w:val="24"/>
        </w:rPr>
        <w:t>法人代表或授权代表签字</w:t>
      </w:r>
      <w:r>
        <w:rPr>
          <w:rFonts w:cs="宋体"/>
          <w:color w:val="auto"/>
          <w:spacing w:val="-1"/>
          <w:szCs w:val="24"/>
        </w:rPr>
        <w:t>:</w:t>
      </w:r>
      <w:r>
        <w:rPr>
          <w:rFonts w:cs="宋体"/>
          <w:color w:val="auto"/>
          <w:szCs w:val="24"/>
          <w:u w:val="single"/>
        </w:rPr>
        <w:tab/>
      </w:r>
    </w:p>
    <w:p>
      <w:pPr>
        <w:tabs>
          <w:tab w:val="left" w:pos="4881"/>
        </w:tabs>
        <w:spacing w:before="33" w:line="360" w:lineRule="auto"/>
        <w:ind w:left="102" w:right="4125"/>
        <w:rPr>
          <w:rFonts w:cs="宋体"/>
          <w:color w:val="auto"/>
        </w:rPr>
      </w:pPr>
      <w:r>
        <w:rPr>
          <w:rFonts w:hint="eastAsia" w:cs="宋体"/>
          <w:color w:val="auto"/>
          <w:spacing w:val="-1"/>
          <w:szCs w:val="24"/>
        </w:rPr>
        <w:t>日期</w:t>
      </w:r>
      <w:r>
        <w:rPr>
          <w:rFonts w:cs="宋体"/>
          <w:color w:val="auto"/>
          <w:spacing w:val="-1"/>
          <w:szCs w:val="24"/>
        </w:rPr>
        <w:t>:</w:t>
      </w:r>
      <w:r>
        <w:rPr>
          <w:rFonts w:cs="宋体"/>
          <w:color w:val="auto"/>
          <w:szCs w:val="24"/>
          <w:u w:val="single"/>
        </w:rPr>
        <w:tab/>
      </w:r>
    </w:p>
    <w:p>
      <w:pPr>
        <w:rPr>
          <w:rFonts w:ascii="宋体" w:cs="宋体"/>
          <w:b/>
          <w:color w:val="auto"/>
          <w:szCs w:val="21"/>
        </w:rPr>
      </w:pPr>
    </w:p>
    <w:p>
      <w:pPr>
        <w:rPr>
          <w:rFonts w:ascii="宋体" w:cs="宋体"/>
          <w:b/>
          <w:color w:val="auto"/>
          <w:szCs w:val="21"/>
        </w:rPr>
      </w:pPr>
    </w:p>
    <w:p>
      <w:pPr>
        <w:rPr>
          <w:rFonts w:ascii="宋体" w:cs="宋体"/>
          <w:b/>
          <w:color w:val="auto"/>
          <w:szCs w:val="21"/>
        </w:rPr>
      </w:pPr>
    </w:p>
    <w:p>
      <w:pPr>
        <w:rPr>
          <w:rFonts w:ascii="宋体" w:cs="宋体"/>
          <w:b/>
          <w:color w:val="auto"/>
          <w:szCs w:val="21"/>
        </w:rPr>
      </w:pPr>
    </w:p>
    <w:p>
      <w:pPr>
        <w:rPr>
          <w:rFonts w:ascii="宋体" w:cs="宋体"/>
          <w:b/>
          <w:color w:val="auto"/>
          <w:szCs w:val="21"/>
        </w:rPr>
      </w:pPr>
    </w:p>
    <w:p>
      <w:pPr>
        <w:pStyle w:val="27"/>
        <w:jc w:val="both"/>
        <w:rPr>
          <w:rFonts w:ascii="宋体" w:cs="宋体"/>
          <w:color w:val="auto"/>
          <w:sz w:val="24"/>
          <w:szCs w:val="24"/>
        </w:rPr>
      </w:pPr>
      <w:bookmarkStart w:id="50" w:name="_Toc448307978"/>
      <w:bookmarkEnd w:id="50"/>
      <w:r>
        <w:rPr>
          <w:rFonts w:hint="eastAsia" w:ascii="宋体" w:hAnsi="宋体" w:cs="宋体"/>
          <w:color w:val="auto"/>
          <w:sz w:val="24"/>
          <w:szCs w:val="24"/>
        </w:rPr>
        <w:t>格式8</w:t>
      </w:r>
    </w:p>
    <w:p>
      <w:pPr>
        <w:spacing w:line="480" w:lineRule="exact"/>
        <w:jc w:val="center"/>
        <w:rPr>
          <w:rFonts w:ascii="宋体" w:cs="宋体"/>
          <w:b/>
          <w:color w:val="auto"/>
          <w:sz w:val="30"/>
          <w:szCs w:val="30"/>
        </w:rPr>
      </w:pPr>
      <w:r>
        <w:rPr>
          <w:rFonts w:hint="eastAsia" w:ascii="宋体" w:hAnsi="宋体" w:cs="宋体"/>
          <w:b/>
          <w:color w:val="auto"/>
          <w:sz w:val="30"/>
          <w:szCs w:val="30"/>
        </w:rPr>
        <w:t>供应商资格证明文件</w:t>
      </w:r>
    </w:p>
    <w:p>
      <w:pPr>
        <w:spacing w:line="360" w:lineRule="auto"/>
        <w:rPr>
          <w:rFonts w:cs="宋体"/>
          <w:color w:val="auto"/>
          <w:szCs w:val="24"/>
        </w:rPr>
      </w:pPr>
    </w:p>
    <w:p>
      <w:pPr>
        <w:spacing w:line="360" w:lineRule="auto"/>
        <w:ind w:firstLine="480"/>
        <w:rPr>
          <w:rFonts w:cs="宋体"/>
          <w:color w:val="auto"/>
          <w:szCs w:val="24"/>
        </w:rPr>
      </w:pPr>
      <w:r>
        <w:rPr>
          <w:rFonts w:hint="eastAsia" w:ascii="黑体" w:hAnsi="黑体" w:eastAsia="黑体" w:cs="宋体"/>
          <w:color w:val="auto"/>
          <w:szCs w:val="24"/>
        </w:rPr>
        <w:t>资格证明材料不限于以下内容：</w:t>
      </w:r>
    </w:p>
    <w:p>
      <w:pPr>
        <w:spacing w:line="360" w:lineRule="auto"/>
        <w:ind w:firstLine="480"/>
        <w:outlineLvl w:val="0"/>
        <w:rPr>
          <w:rFonts w:cs="宋体"/>
          <w:color w:val="auto"/>
          <w:szCs w:val="24"/>
        </w:rPr>
      </w:pPr>
      <w:r>
        <w:rPr>
          <w:rFonts w:cs="宋体"/>
          <w:color w:val="auto"/>
          <w:szCs w:val="24"/>
        </w:rPr>
        <w:t>1.</w:t>
      </w:r>
      <w:r>
        <w:rPr>
          <w:rFonts w:hint="eastAsia" w:cs="宋体"/>
          <w:color w:val="auto"/>
          <w:szCs w:val="24"/>
        </w:rPr>
        <w:t>投标经营方基本情况</w:t>
      </w:r>
    </w:p>
    <w:p>
      <w:pPr>
        <w:spacing w:line="360" w:lineRule="auto"/>
        <w:ind w:firstLine="480"/>
        <w:rPr>
          <w:rFonts w:ascii="宋体" w:cs="宋体"/>
          <w:color w:val="auto"/>
          <w:szCs w:val="24"/>
        </w:rPr>
      </w:pPr>
      <w:r>
        <w:rPr>
          <w:rFonts w:ascii="宋体" w:hAnsi="宋体" w:cs="宋体"/>
          <w:color w:val="auto"/>
          <w:szCs w:val="24"/>
        </w:rPr>
        <w:t>2.</w:t>
      </w:r>
      <w:r>
        <w:rPr>
          <w:rFonts w:hint="eastAsia" w:ascii="宋体" w:hAnsi="宋体" w:cs="宋体"/>
          <w:color w:val="auto"/>
          <w:szCs w:val="24"/>
        </w:rPr>
        <w:t>营业执照</w:t>
      </w:r>
    </w:p>
    <w:p>
      <w:pPr>
        <w:spacing w:line="360" w:lineRule="auto"/>
        <w:ind w:firstLine="480"/>
        <w:rPr>
          <w:rFonts w:ascii="宋体" w:cs="宋体"/>
          <w:color w:val="auto"/>
          <w:szCs w:val="24"/>
        </w:rPr>
      </w:pPr>
      <w:r>
        <w:rPr>
          <w:rFonts w:ascii="宋体" w:hAnsi="宋体" w:cs="宋体"/>
          <w:color w:val="auto"/>
          <w:szCs w:val="24"/>
        </w:rPr>
        <w:t>3.</w:t>
      </w:r>
      <w:r>
        <w:rPr>
          <w:rFonts w:hint="eastAsia" w:ascii="宋体" w:hAnsi="宋体" w:cs="宋体"/>
          <w:color w:val="auto"/>
          <w:szCs w:val="24"/>
        </w:rPr>
        <w:t>组织机构代码证</w:t>
      </w:r>
    </w:p>
    <w:p>
      <w:pPr>
        <w:spacing w:line="360" w:lineRule="auto"/>
        <w:ind w:firstLine="480"/>
        <w:rPr>
          <w:rFonts w:ascii="宋体" w:cs="宋体"/>
          <w:color w:val="auto"/>
          <w:szCs w:val="24"/>
        </w:rPr>
      </w:pPr>
      <w:r>
        <w:rPr>
          <w:rFonts w:ascii="宋体" w:hAnsi="宋体" w:cs="宋体"/>
          <w:color w:val="auto"/>
          <w:szCs w:val="24"/>
        </w:rPr>
        <w:t>4.</w:t>
      </w:r>
      <w:r>
        <w:rPr>
          <w:rFonts w:hint="eastAsia" w:ascii="宋体" w:hAnsi="宋体" w:cs="宋体"/>
          <w:color w:val="auto"/>
          <w:szCs w:val="24"/>
        </w:rPr>
        <w:t>税务登记证</w:t>
      </w:r>
    </w:p>
    <w:p>
      <w:pPr>
        <w:spacing w:line="360" w:lineRule="auto"/>
        <w:ind w:firstLine="480"/>
        <w:rPr>
          <w:rFonts w:ascii="宋体" w:cs="宋体"/>
          <w:color w:val="auto"/>
          <w:szCs w:val="24"/>
        </w:rPr>
      </w:pPr>
      <w:r>
        <w:rPr>
          <w:rFonts w:ascii="宋体" w:hAnsi="宋体" w:cs="宋体"/>
          <w:color w:val="auto"/>
          <w:szCs w:val="24"/>
        </w:rPr>
        <w:t>5.</w:t>
      </w:r>
      <w:r>
        <w:rPr>
          <w:rFonts w:hint="eastAsia" w:ascii="宋体" w:hAnsi="宋体" w:cs="宋体"/>
          <w:color w:val="auto"/>
          <w:szCs w:val="24"/>
        </w:rPr>
        <w:t>基本户开户证明</w:t>
      </w:r>
    </w:p>
    <w:p>
      <w:pPr>
        <w:spacing w:line="360" w:lineRule="auto"/>
        <w:ind w:firstLine="480"/>
        <w:rPr>
          <w:rFonts w:ascii="宋体" w:cs="宋体"/>
          <w:color w:val="auto"/>
          <w:szCs w:val="24"/>
        </w:rPr>
      </w:pPr>
      <w:r>
        <w:rPr>
          <w:rFonts w:ascii="宋体" w:hAnsi="宋体" w:cs="宋体"/>
          <w:color w:val="auto"/>
          <w:szCs w:val="24"/>
        </w:rPr>
        <w:t>6.</w:t>
      </w:r>
      <w:r>
        <w:rPr>
          <w:rFonts w:hint="eastAsia" w:ascii="宋体" w:hAnsi="宋体" w:cs="宋体"/>
          <w:color w:val="auto"/>
          <w:szCs w:val="24"/>
        </w:rPr>
        <w:t>管理机构</w:t>
      </w:r>
    </w:p>
    <w:p>
      <w:pPr>
        <w:spacing w:line="360" w:lineRule="auto"/>
        <w:ind w:firstLine="480"/>
        <w:rPr>
          <w:rFonts w:ascii="宋体" w:cs="宋体"/>
          <w:color w:val="auto"/>
          <w:szCs w:val="24"/>
        </w:rPr>
      </w:pPr>
      <w:r>
        <w:rPr>
          <w:rFonts w:ascii="宋体" w:hAnsi="宋体" w:cs="宋体"/>
          <w:color w:val="auto"/>
          <w:szCs w:val="24"/>
        </w:rPr>
        <w:t>7.</w:t>
      </w:r>
      <w:r>
        <w:rPr>
          <w:rFonts w:hint="eastAsia" w:ascii="宋体" w:hAnsi="宋体" w:cs="宋体"/>
          <w:color w:val="auto"/>
          <w:szCs w:val="24"/>
        </w:rPr>
        <w:t>近期财务审计报告或财务报表</w:t>
      </w:r>
    </w:p>
    <w:p>
      <w:pPr>
        <w:spacing w:line="360" w:lineRule="auto"/>
        <w:ind w:firstLine="480"/>
        <w:rPr>
          <w:rFonts w:ascii="宋体" w:cs="宋体"/>
          <w:color w:val="auto"/>
          <w:szCs w:val="24"/>
        </w:rPr>
      </w:pPr>
      <w:r>
        <w:rPr>
          <w:rFonts w:ascii="宋体" w:hAnsi="宋体" w:cs="宋体"/>
          <w:color w:val="auto"/>
          <w:szCs w:val="24"/>
        </w:rPr>
        <w:t>8.</w:t>
      </w:r>
      <w:r>
        <w:rPr>
          <w:rFonts w:hint="eastAsia" w:ascii="宋体" w:hAnsi="宋体" w:cs="宋体"/>
          <w:color w:val="auto"/>
          <w:szCs w:val="24"/>
        </w:rPr>
        <w:t>近年类似项目情况表</w:t>
      </w:r>
    </w:p>
    <w:p>
      <w:pPr>
        <w:spacing w:line="360" w:lineRule="auto"/>
        <w:ind w:firstLine="480"/>
        <w:rPr>
          <w:rFonts w:ascii="宋体" w:hAnsi="宋体" w:cs="宋体"/>
          <w:color w:val="auto"/>
          <w:szCs w:val="24"/>
        </w:rPr>
      </w:pPr>
      <w:r>
        <w:rPr>
          <w:rFonts w:hint="eastAsia" w:ascii="宋体" w:hAnsi="宋体" w:cs="宋体"/>
          <w:color w:val="auto"/>
          <w:szCs w:val="24"/>
        </w:rPr>
        <w:t>9</w:t>
      </w:r>
      <w:r>
        <w:rPr>
          <w:rFonts w:ascii="宋体" w:hAnsi="宋体" w:cs="宋体"/>
          <w:color w:val="auto"/>
          <w:szCs w:val="24"/>
        </w:rPr>
        <w:t>.</w:t>
      </w:r>
      <w:r>
        <w:rPr>
          <w:rFonts w:hint="eastAsia" w:ascii="宋体" w:hAnsi="宋体" w:cs="宋体"/>
          <w:color w:val="auto"/>
          <w:szCs w:val="24"/>
        </w:rPr>
        <w:t>拟组建团队人员</w:t>
      </w:r>
    </w:p>
    <w:p>
      <w:pPr>
        <w:spacing w:line="360" w:lineRule="auto"/>
        <w:ind w:firstLine="480"/>
        <w:rPr>
          <w:rFonts w:ascii="宋体" w:cs="宋体"/>
          <w:color w:val="auto"/>
          <w:szCs w:val="24"/>
        </w:rPr>
      </w:pPr>
      <w:r>
        <w:rPr>
          <w:rFonts w:hint="eastAsia" w:ascii="宋体" w:hAnsi="宋体" w:cs="宋体"/>
          <w:color w:val="auto"/>
          <w:szCs w:val="24"/>
        </w:rPr>
        <w:t>不限于上述资料，供应商如有其它资质证明材料也可提供。</w:t>
      </w:r>
    </w:p>
    <w:p>
      <w:pPr>
        <w:spacing w:line="360" w:lineRule="auto"/>
        <w:ind w:firstLine="480"/>
        <w:rPr>
          <w:rFonts w:ascii="宋体" w:cs="宋体"/>
          <w:color w:val="auto"/>
          <w:szCs w:val="24"/>
        </w:rPr>
      </w:pPr>
      <w:r>
        <w:rPr>
          <w:rFonts w:hint="eastAsia" w:ascii="宋体" w:hAnsi="宋体" w:cs="宋体"/>
          <w:color w:val="auto"/>
          <w:szCs w:val="24"/>
        </w:rPr>
        <w:t>注：上述材料如有变动或更新，应予以明确，方便评委查阅。上述资格文件，要求提供的必须提供，未要求提供的投标经营方可自行决定是否提供。</w:t>
      </w:r>
    </w:p>
    <w:p>
      <w:pPr>
        <w:pStyle w:val="27"/>
        <w:jc w:val="both"/>
        <w:rPr>
          <w:rFonts w:ascii="宋体" w:cs="宋体"/>
          <w:color w:val="auto"/>
          <w:sz w:val="24"/>
          <w:szCs w:val="24"/>
        </w:rPr>
      </w:pPr>
      <w:bookmarkStart w:id="51" w:name="_Toc431307805"/>
      <w:bookmarkEnd w:id="51"/>
      <w:bookmarkStart w:id="52" w:name="_Toc448307979"/>
      <w:bookmarkEnd w:id="52"/>
      <w:r>
        <w:rPr>
          <w:color w:val="auto"/>
        </w:rPr>
        <w:br w:type="page"/>
      </w:r>
      <w:r>
        <w:rPr>
          <w:rFonts w:hint="eastAsia" w:ascii="宋体" w:hAnsi="宋体" w:cs="宋体"/>
          <w:color w:val="auto"/>
          <w:sz w:val="24"/>
          <w:szCs w:val="24"/>
        </w:rPr>
        <w:t>格式9</w:t>
      </w:r>
    </w:p>
    <w:p>
      <w:pPr>
        <w:pStyle w:val="27"/>
        <w:jc w:val="center"/>
        <w:rPr>
          <w:rFonts w:ascii="宋体" w:cs="宋体"/>
          <w:color w:val="auto"/>
          <w:sz w:val="36"/>
          <w:szCs w:val="36"/>
        </w:rPr>
      </w:pPr>
      <w:r>
        <w:rPr>
          <w:rFonts w:hint="eastAsia" w:ascii="宋体" w:hAnsi="宋体" w:cs="宋体"/>
          <w:color w:val="auto"/>
          <w:sz w:val="36"/>
          <w:szCs w:val="36"/>
        </w:rPr>
        <w:t>供应商基本情况</w:t>
      </w:r>
    </w:p>
    <w:tbl>
      <w:tblPr>
        <w:tblStyle w:val="33"/>
        <w:tblW w:w="9856" w:type="dxa"/>
        <w:tblInd w:w="-246" w:type="dxa"/>
        <w:tblLayout w:type="fixed"/>
        <w:tblCellMar>
          <w:top w:w="0" w:type="dxa"/>
          <w:left w:w="10" w:type="dxa"/>
          <w:bottom w:w="0" w:type="dxa"/>
          <w:right w:w="10" w:type="dxa"/>
        </w:tblCellMar>
      </w:tblPr>
      <w:tblGrid>
        <w:gridCol w:w="1728"/>
        <w:gridCol w:w="973"/>
        <w:gridCol w:w="930"/>
        <w:gridCol w:w="855"/>
        <w:gridCol w:w="351"/>
        <w:gridCol w:w="311"/>
        <w:gridCol w:w="1213"/>
        <w:gridCol w:w="355"/>
        <w:gridCol w:w="860"/>
        <w:gridCol w:w="2280"/>
      </w:tblGrid>
      <w:tr>
        <w:tblPrEx>
          <w:tblLayout w:type="fixed"/>
          <w:tblCellMar>
            <w:top w:w="0" w:type="dxa"/>
            <w:left w:w="10" w:type="dxa"/>
            <w:bottom w:w="0" w:type="dxa"/>
            <w:right w:w="10" w:type="dxa"/>
          </w:tblCellMar>
        </w:tblPrEx>
        <w:trPr>
          <w:trHeight w:val="561"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cs="宋体"/>
                <w:color w:val="auto"/>
                <w:szCs w:val="24"/>
              </w:rPr>
            </w:pPr>
            <w:r>
              <w:rPr>
                <w:rFonts w:hint="eastAsia" w:ascii="宋体" w:hAnsi="宋体" w:cs="宋体"/>
                <w:color w:val="auto"/>
                <w:szCs w:val="24"/>
              </w:rPr>
              <w:t>单位名称</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r>
      <w:tr>
        <w:tblPrEx>
          <w:tblLayout w:type="fixed"/>
          <w:tblCellMar>
            <w:top w:w="0" w:type="dxa"/>
            <w:left w:w="10" w:type="dxa"/>
            <w:bottom w:w="0" w:type="dxa"/>
            <w:right w:w="10" w:type="dxa"/>
          </w:tblCellMar>
        </w:tblPrEx>
        <w:trPr>
          <w:trHeight w:val="611"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注册地址</w:t>
            </w:r>
          </w:p>
        </w:tc>
        <w:tc>
          <w:tcPr>
            <w:tcW w:w="342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邮政编码</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r>
      <w:tr>
        <w:tblPrEx>
          <w:tblLayout w:type="fixed"/>
          <w:tblCellMar>
            <w:top w:w="0" w:type="dxa"/>
            <w:left w:w="10" w:type="dxa"/>
            <w:bottom w:w="0" w:type="dxa"/>
            <w:right w:w="10" w:type="dxa"/>
          </w:tblCellMar>
        </w:tblPrEx>
        <w:trPr>
          <w:cantSplit/>
          <w:trHeight w:val="605" w:hRule="atLeast"/>
        </w:trPr>
        <w:tc>
          <w:tcPr>
            <w:tcW w:w="172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联系方式</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联系人</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电话</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r>
      <w:tr>
        <w:tblPrEx>
          <w:tblLayout w:type="fixed"/>
          <w:tblCellMar>
            <w:top w:w="0" w:type="dxa"/>
            <w:left w:w="10" w:type="dxa"/>
            <w:bottom w:w="0" w:type="dxa"/>
            <w:right w:w="10" w:type="dxa"/>
          </w:tblCellMar>
        </w:tblPrEx>
        <w:trPr>
          <w:cantSplit/>
          <w:trHeight w:val="613" w:hRule="atLeast"/>
        </w:trPr>
        <w:tc>
          <w:tcPr>
            <w:tcW w:w="172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rPr>
            </w:pP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传真</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网址</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r>
      <w:tr>
        <w:tblPrEx>
          <w:tblLayout w:type="fixed"/>
          <w:tblCellMar>
            <w:top w:w="0" w:type="dxa"/>
            <w:left w:w="10" w:type="dxa"/>
            <w:bottom w:w="0" w:type="dxa"/>
            <w:right w:w="10" w:type="dxa"/>
          </w:tblCellMar>
        </w:tblPrEx>
        <w:trPr>
          <w:trHeight w:val="614"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组织结构</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r>
      <w:tr>
        <w:tblPrEx>
          <w:tblLayout w:type="fixed"/>
          <w:tblCellMar>
            <w:top w:w="0" w:type="dxa"/>
            <w:left w:w="10" w:type="dxa"/>
            <w:bottom w:w="0" w:type="dxa"/>
            <w:right w:w="10" w:type="dxa"/>
          </w:tblCellMar>
        </w:tblPrEx>
        <w:trPr>
          <w:trHeight w:val="608"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法定代表人</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姓名</w:t>
            </w:r>
          </w:p>
        </w:tc>
        <w:tc>
          <w:tcPr>
            <w:tcW w:w="9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c>
          <w:tcPr>
            <w:tcW w:w="120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技术职称</w:t>
            </w:r>
          </w:p>
        </w:tc>
        <w:tc>
          <w:tcPr>
            <w:tcW w:w="18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c>
          <w:tcPr>
            <w:tcW w:w="8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电话</w:t>
            </w:r>
          </w:p>
        </w:tc>
        <w:tc>
          <w:tcPr>
            <w:tcW w:w="2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r>
      <w:tr>
        <w:tblPrEx>
          <w:tblLayout w:type="fixed"/>
          <w:tblCellMar>
            <w:top w:w="0" w:type="dxa"/>
            <w:left w:w="10" w:type="dxa"/>
            <w:bottom w:w="0" w:type="dxa"/>
            <w:right w:w="10" w:type="dxa"/>
          </w:tblCellMar>
        </w:tblPrEx>
        <w:trPr>
          <w:trHeight w:val="624"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成立时间</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c>
          <w:tcPr>
            <w:tcW w:w="6225"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120"/>
              <w:rPr>
                <w:rFonts w:ascii="宋体" w:cs="宋体"/>
                <w:color w:val="auto"/>
                <w:szCs w:val="24"/>
              </w:rPr>
            </w:pPr>
            <w:r>
              <w:rPr>
                <w:rFonts w:hint="eastAsia" w:ascii="宋体" w:hAnsi="宋体" w:cs="宋体"/>
                <w:color w:val="auto"/>
                <w:szCs w:val="24"/>
              </w:rPr>
              <w:t>员工总人数：</w:t>
            </w:r>
          </w:p>
        </w:tc>
      </w:tr>
      <w:tr>
        <w:tblPrEx>
          <w:tblLayout w:type="fixed"/>
          <w:tblCellMar>
            <w:top w:w="0" w:type="dxa"/>
            <w:left w:w="10" w:type="dxa"/>
            <w:bottom w:w="0" w:type="dxa"/>
            <w:right w:w="10" w:type="dxa"/>
          </w:tblCellMar>
        </w:tblPrEx>
        <w:trPr>
          <w:cantSplit/>
          <w:trHeight w:val="610"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营业执照</w:t>
            </w:r>
          </w:p>
          <w:p>
            <w:pPr>
              <w:spacing w:line="440" w:lineRule="exact"/>
              <w:rPr>
                <w:rFonts w:ascii="宋体" w:cs="宋体"/>
                <w:color w:val="auto"/>
                <w:szCs w:val="24"/>
              </w:rPr>
            </w:pPr>
            <w:r>
              <w:rPr>
                <w:rFonts w:hint="eastAsia" w:ascii="宋体" w:hAnsi="宋体" w:cs="宋体"/>
                <w:color w:val="auto"/>
                <w:szCs w:val="24"/>
              </w:rPr>
              <w:t>注册号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c>
          <w:tcPr>
            <w:tcW w:w="85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其中</w:t>
            </w: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高级职称人员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r>
      <w:tr>
        <w:tblPrEx>
          <w:tblLayout w:type="fixed"/>
          <w:tblCellMar>
            <w:top w:w="0" w:type="dxa"/>
            <w:left w:w="10" w:type="dxa"/>
            <w:bottom w:w="0" w:type="dxa"/>
            <w:right w:w="10" w:type="dxa"/>
          </w:tblCellMar>
        </w:tblPrEx>
        <w:trPr>
          <w:cantSplit/>
          <w:trHeight w:val="604"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注册资金</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rPr>
            </w:p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中级职称人员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r>
      <w:tr>
        <w:tblPrEx>
          <w:tblLayout w:type="fixed"/>
          <w:tblCellMar>
            <w:top w:w="0" w:type="dxa"/>
            <w:left w:w="10" w:type="dxa"/>
            <w:bottom w:w="0" w:type="dxa"/>
            <w:right w:w="10" w:type="dxa"/>
          </w:tblCellMar>
        </w:tblPrEx>
        <w:trPr>
          <w:cantSplit/>
          <w:trHeight w:val="626"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开户银行</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rPr>
            </w:p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初级职称人员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r>
      <w:tr>
        <w:tblPrEx>
          <w:tblLayout w:type="fixed"/>
          <w:tblCellMar>
            <w:top w:w="0" w:type="dxa"/>
            <w:left w:w="10" w:type="dxa"/>
            <w:bottom w:w="0" w:type="dxa"/>
            <w:right w:w="10" w:type="dxa"/>
          </w:tblCellMar>
        </w:tblPrEx>
        <w:trPr>
          <w:cantSplit/>
          <w:trHeight w:val="606"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账号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rPr>
            </w:p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r>
              <w:rPr>
                <w:rFonts w:hint="eastAsia" w:ascii="宋体" w:hAnsi="宋体" w:cs="宋体"/>
                <w:color w:val="auto"/>
                <w:szCs w:val="24"/>
              </w:rPr>
              <w:t>技工</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color w:val="auto"/>
                <w:szCs w:val="24"/>
              </w:rPr>
            </w:pPr>
          </w:p>
        </w:tc>
      </w:tr>
      <w:tr>
        <w:tblPrEx>
          <w:tblLayout w:type="fixed"/>
          <w:tblCellMar>
            <w:top w:w="0" w:type="dxa"/>
            <w:left w:w="10" w:type="dxa"/>
            <w:bottom w:w="0" w:type="dxa"/>
            <w:right w:w="10" w:type="dxa"/>
          </w:tblCellMar>
        </w:tblPrEx>
        <w:trPr>
          <w:trHeight w:val="1880" w:hRule="atLeast"/>
        </w:trPr>
        <w:tc>
          <w:tcPr>
            <w:tcW w:w="1728"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spacing w:line="440" w:lineRule="exact"/>
              <w:ind w:firstLine="240"/>
              <w:rPr>
                <w:rFonts w:ascii="宋体" w:cs="宋体"/>
                <w:color w:val="auto"/>
                <w:szCs w:val="24"/>
              </w:rPr>
            </w:pPr>
            <w:r>
              <w:rPr>
                <w:rFonts w:hint="eastAsia" w:ascii="宋体" w:hAnsi="宋体" w:cs="宋体"/>
                <w:color w:val="auto"/>
                <w:szCs w:val="24"/>
              </w:rPr>
              <w:t>经营范围</w:t>
            </w:r>
          </w:p>
        </w:tc>
        <w:tc>
          <w:tcPr>
            <w:tcW w:w="8128" w:type="dxa"/>
            <w:gridSpan w:val="9"/>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rPr>
                <w:rFonts w:ascii="宋体" w:cs="宋体"/>
                <w:color w:val="auto"/>
                <w:szCs w:val="24"/>
              </w:rPr>
            </w:pPr>
          </w:p>
          <w:p>
            <w:pPr>
              <w:rPr>
                <w:rFonts w:ascii="宋体" w:cs="宋体"/>
                <w:color w:val="auto"/>
                <w:szCs w:val="24"/>
              </w:rPr>
            </w:pPr>
          </w:p>
          <w:p>
            <w:pPr>
              <w:rPr>
                <w:rFonts w:ascii="宋体" w:cs="宋体"/>
                <w:color w:val="auto"/>
                <w:szCs w:val="24"/>
              </w:rPr>
            </w:pPr>
          </w:p>
          <w:p>
            <w:pPr>
              <w:rPr>
                <w:rFonts w:ascii="宋体" w:cs="宋体"/>
                <w:color w:val="auto"/>
                <w:szCs w:val="24"/>
              </w:rPr>
            </w:pPr>
          </w:p>
          <w:p>
            <w:pPr>
              <w:rPr>
                <w:rFonts w:ascii="宋体" w:cs="宋体"/>
                <w:color w:val="auto"/>
                <w:szCs w:val="24"/>
              </w:rPr>
            </w:pPr>
          </w:p>
        </w:tc>
      </w:tr>
      <w:tr>
        <w:tblPrEx>
          <w:tblLayout w:type="fixed"/>
          <w:tblCellMar>
            <w:top w:w="0" w:type="dxa"/>
            <w:left w:w="10" w:type="dxa"/>
            <w:bottom w:w="0" w:type="dxa"/>
            <w:right w:w="10" w:type="dxa"/>
          </w:tblCellMar>
        </w:tblPrEx>
        <w:trPr>
          <w:trHeight w:val="615" w:hRule="atLeast"/>
        </w:trPr>
        <w:tc>
          <w:tcPr>
            <w:tcW w:w="17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color w:val="auto"/>
                <w:szCs w:val="24"/>
              </w:rPr>
            </w:pPr>
            <w:r>
              <w:rPr>
                <w:rFonts w:hint="eastAsia" w:ascii="宋体" w:hAnsi="宋体" w:cs="宋体"/>
                <w:color w:val="auto"/>
                <w:szCs w:val="24"/>
              </w:rPr>
              <w:t>备注</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color w:val="auto"/>
                <w:szCs w:val="24"/>
              </w:rPr>
            </w:pPr>
          </w:p>
        </w:tc>
      </w:tr>
    </w:tbl>
    <w:p>
      <w:pPr>
        <w:spacing w:line="362" w:lineRule="auto"/>
        <w:rPr>
          <w:rFonts w:cs="宋体"/>
          <w:color w:val="auto"/>
          <w:szCs w:val="24"/>
        </w:rPr>
      </w:pPr>
      <w:r>
        <w:rPr>
          <w:rFonts w:hint="eastAsia" w:cs="宋体"/>
          <w:color w:val="auto"/>
          <w:szCs w:val="24"/>
        </w:rPr>
        <w:t>注：后附投标经营方营业执照</w:t>
      </w:r>
      <w:r>
        <w:rPr>
          <w:rFonts w:cs="宋体"/>
          <w:color w:val="auto"/>
          <w:szCs w:val="24"/>
        </w:rPr>
        <w:t>.</w:t>
      </w:r>
      <w:r>
        <w:rPr>
          <w:rFonts w:hint="eastAsia" w:cs="宋体"/>
          <w:color w:val="auto"/>
          <w:szCs w:val="24"/>
        </w:rPr>
        <w:t>基本户开户证明</w:t>
      </w:r>
      <w:r>
        <w:rPr>
          <w:rFonts w:cs="宋体"/>
          <w:color w:val="auto"/>
          <w:szCs w:val="24"/>
        </w:rPr>
        <w:t>.</w:t>
      </w:r>
      <w:r>
        <w:rPr>
          <w:rFonts w:hint="eastAsia" w:cs="宋体"/>
          <w:color w:val="auto"/>
          <w:szCs w:val="24"/>
        </w:rPr>
        <w:t>投标经营方管理机构人员资格证明</w:t>
      </w:r>
      <w:r>
        <w:rPr>
          <w:rFonts w:cs="宋体"/>
          <w:color w:val="auto"/>
          <w:szCs w:val="24"/>
        </w:rPr>
        <w:t>.</w:t>
      </w:r>
      <w:r>
        <w:rPr>
          <w:rFonts w:hint="eastAsia" w:cs="宋体"/>
          <w:color w:val="auto"/>
          <w:szCs w:val="24"/>
        </w:rPr>
        <w:t>近期财务报表</w:t>
      </w:r>
      <w:r>
        <w:rPr>
          <w:rFonts w:cs="宋体"/>
          <w:color w:val="auto"/>
          <w:szCs w:val="24"/>
        </w:rPr>
        <w:t>.</w:t>
      </w:r>
      <w:r>
        <w:rPr>
          <w:rFonts w:hint="eastAsia" w:cs="宋体"/>
          <w:color w:val="auto"/>
          <w:szCs w:val="24"/>
        </w:rPr>
        <w:t>银行资信证明等资格证明文件。</w:t>
      </w:r>
    </w:p>
    <w:p>
      <w:pPr>
        <w:tabs>
          <w:tab w:val="left" w:pos="4881"/>
        </w:tabs>
        <w:spacing w:before="33" w:line="360" w:lineRule="auto"/>
        <w:ind w:left="102" w:right="4125"/>
        <w:rPr>
          <w:rFonts w:cs="宋体"/>
          <w:color w:val="auto"/>
          <w:spacing w:val="-1"/>
          <w:szCs w:val="24"/>
        </w:rPr>
      </w:pPr>
    </w:p>
    <w:p>
      <w:pPr>
        <w:tabs>
          <w:tab w:val="left" w:pos="4881"/>
        </w:tabs>
        <w:spacing w:before="33" w:line="360" w:lineRule="auto"/>
        <w:ind w:left="102" w:right="4125"/>
        <w:rPr>
          <w:rFonts w:cs="宋体"/>
          <w:color w:val="auto"/>
          <w:szCs w:val="24"/>
          <w:u w:val="single"/>
        </w:rPr>
      </w:pPr>
      <w:r>
        <w:rPr>
          <w:rFonts w:hint="eastAsia" w:cs="宋体"/>
          <w:color w:val="auto"/>
          <w:spacing w:val="-1"/>
          <w:szCs w:val="24"/>
        </w:rPr>
        <w:t>单位名称（盖章）</w:t>
      </w:r>
      <w:r>
        <w:rPr>
          <w:rFonts w:cs="宋体"/>
          <w:color w:val="auto"/>
          <w:spacing w:val="-1"/>
          <w:szCs w:val="24"/>
        </w:rPr>
        <w:t>:</w:t>
      </w:r>
    </w:p>
    <w:p>
      <w:pPr>
        <w:tabs>
          <w:tab w:val="left" w:pos="4881"/>
        </w:tabs>
        <w:spacing w:before="33" w:line="360" w:lineRule="auto"/>
        <w:ind w:right="4125" w:firstLine="119"/>
        <w:rPr>
          <w:rFonts w:cs="宋体"/>
          <w:color w:val="auto"/>
          <w:spacing w:val="25"/>
          <w:szCs w:val="24"/>
        </w:rPr>
      </w:pPr>
      <w:r>
        <w:rPr>
          <w:rFonts w:hint="eastAsia" w:cs="宋体"/>
          <w:color w:val="auto"/>
          <w:spacing w:val="-1"/>
          <w:szCs w:val="24"/>
        </w:rPr>
        <w:t>法人代表或授权代表签字</w:t>
      </w:r>
      <w:r>
        <w:rPr>
          <w:rFonts w:cs="宋体"/>
          <w:color w:val="auto"/>
          <w:spacing w:val="-1"/>
          <w:szCs w:val="24"/>
        </w:rPr>
        <w:t>:</w:t>
      </w:r>
      <w:r>
        <w:rPr>
          <w:rFonts w:cs="宋体"/>
          <w:color w:val="auto"/>
          <w:szCs w:val="24"/>
          <w:u w:val="single"/>
        </w:rPr>
        <w:tab/>
      </w:r>
    </w:p>
    <w:p>
      <w:pPr>
        <w:tabs>
          <w:tab w:val="left" w:pos="4881"/>
        </w:tabs>
        <w:spacing w:before="33" w:line="360" w:lineRule="auto"/>
        <w:ind w:left="102" w:right="4125"/>
        <w:rPr>
          <w:rFonts w:cs="宋体"/>
          <w:color w:val="auto"/>
        </w:rPr>
      </w:pPr>
      <w:r>
        <w:rPr>
          <w:rFonts w:hint="eastAsia" w:cs="宋体"/>
          <w:color w:val="auto"/>
          <w:spacing w:val="-1"/>
          <w:szCs w:val="24"/>
        </w:rPr>
        <w:t>日期</w:t>
      </w:r>
      <w:r>
        <w:rPr>
          <w:rFonts w:cs="宋体"/>
          <w:color w:val="auto"/>
          <w:spacing w:val="-1"/>
          <w:szCs w:val="24"/>
        </w:rPr>
        <w:t>:</w:t>
      </w:r>
      <w:r>
        <w:rPr>
          <w:rFonts w:cs="宋体"/>
          <w:color w:val="auto"/>
          <w:szCs w:val="24"/>
          <w:u w:val="single"/>
        </w:rPr>
        <w:tab/>
      </w:r>
    </w:p>
    <w:p>
      <w:pPr>
        <w:pStyle w:val="27"/>
        <w:jc w:val="both"/>
        <w:rPr>
          <w:rFonts w:ascii="宋体" w:cs="宋体"/>
          <w:color w:val="auto"/>
          <w:sz w:val="24"/>
          <w:szCs w:val="24"/>
        </w:rPr>
      </w:pPr>
      <w:bookmarkStart w:id="53" w:name="_Toc448307980"/>
      <w:bookmarkEnd w:id="53"/>
      <w:bookmarkStart w:id="54" w:name="_Toc431307806"/>
      <w:bookmarkEnd w:id="54"/>
      <w:r>
        <w:rPr>
          <w:rFonts w:hint="eastAsia" w:ascii="宋体" w:hAnsi="宋体" w:cs="宋体"/>
          <w:color w:val="auto"/>
          <w:sz w:val="24"/>
          <w:szCs w:val="24"/>
        </w:rPr>
        <w:t>格式</w:t>
      </w:r>
      <w:r>
        <w:rPr>
          <w:rFonts w:ascii="宋体" w:hAnsi="宋体" w:cs="宋体"/>
          <w:color w:val="auto"/>
          <w:sz w:val="24"/>
          <w:szCs w:val="24"/>
        </w:rPr>
        <w:t>1</w:t>
      </w:r>
      <w:r>
        <w:rPr>
          <w:rFonts w:hint="eastAsia" w:ascii="宋体" w:hAnsi="宋体" w:cs="宋体"/>
          <w:color w:val="auto"/>
          <w:sz w:val="24"/>
          <w:szCs w:val="24"/>
        </w:rPr>
        <w:t>0</w:t>
      </w:r>
    </w:p>
    <w:p>
      <w:pPr>
        <w:pStyle w:val="15"/>
        <w:spacing w:line="360" w:lineRule="auto"/>
        <w:jc w:val="center"/>
        <w:rPr>
          <w:rFonts w:ascii="宋体" w:cs="宋体"/>
          <w:color w:val="auto"/>
          <w:sz w:val="36"/>
          <w:szCs w:val="36"/>
        </w:rPr>
      </w:pPr>
      <w:bookmarkStart w:id="55" w:name="_Toc281845088"/>
      <w:bookmarkEnd w:id="55"/>
      <w:r>
        <w:rPr>
          <w:rFonts w:hint="eastAsia" w:ascii="宋体" w:hAnsi="宋体" w:cs="宋体"/>
          <w:color w:val="auto"/>
          <w:sz w:val="36"/>
          <w:szCs w:val="36"/>
        </w:rPr>
        <w:t>近期完成的类似业绩情况表</w:t>
      </w:r>
    </w:p>
    <w:p>
      <w:pPr>
        <w:spacing w:line="360" w:lineRule="auto"/>
        <w:rPr>
          <w:color w:val="auto"/>
        </w:rPr>
      </w:pPr>
    </w:p>
    <w:tbl>
      <w:tblPr>
        <w:tblStyle w:val="33"/>
        <w:tblW w:w="9330" w:type="dxa"/>
        <w:jc w:val="center"/>
        <w:tblInd w:w="0" w:type="dxa"/>
        <w:tblLayout w:type="fixed"/>
        <w:tblCellMar>
          <w:top w:w="0" w:type="dxa"/>
          <w:left w:w="10" w:type="dxa"/>
          <w:bottom w:w="0" w:type="dxa"/>
          <w:right w:w="10" w:type="dxa"/>
        </w:tblCellMar>
      </w:tblPr>
      <w:tblGrid>
        <w:gridCol w:w="787"/>
        <w:gridCol w:w="1415"/>
        <w:gridCol w:w="1873"/>
        <w:gridCol w:w="1638"/>
        <w:gridCol w:w="3617"/>
      </w:tblGrid>
      <w:tr>
        <w:tblPrEx>
          <w:tblLayout w:type="fixed"/>
          <w:tblCellMar>
            <w:top w:w="0" w:type="dxa"/>
            <w:left w:w="10" w:type="dxa"/>
            <w:bottom w:w="0" w:type="dxa"/>
            <w:right w:w="10" w:type="dxa"/>
          </w:tblCellMar>
        </w:tblPrEx>
        <w:trPr>
          <w:cantSplit/>
          <w:trHeight w:val="521" w:hRule="atLeas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r>
              <w:rPr>
                <w:rFonts w:hint="eastAsia" w:ascii="宋体" w:hAnsi="宋体"/>
                <w:color w:val="auto"/>
                <w:szCs w:val="21"/>
              </w:rPr>
              <w:t>序号</w:t>
            </w: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r>
              <w:rPr>
                <w:rFonts w:hint="eastAsia" w:ascii="宋体" w:hAnsi="宋体"/>
                <w:color w:val="auto"/>
                <w:szCs w:val="21"/>
              </w:rPr>
              <w:t>项目名称</w:t>
            </w: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r>
              <w:rPr>
                <w:rFonts w:hint="eastAsia" w:ascii="宋体" w:hAnsi="宋体"/>
                <w:color w:val="auto"/>
                <w:szCs w:val="21"/>
              </w:rPr>
              <w:t>项目实施时间</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right="-139" w:rightChars="-58"/>
              <w:rPr>
                <w:rFonts w:ascii="宋体"/>
                <w:color w:val="auto"/>
                <w:szCs w:val="21"/>
              </w:rPr>
            </w:pPr>
            <w:r>
              <w:rPr>
                <w:rFonts w:hint="eastAsia" w:ascii="宋体" w:hAnsi="宋体"/>
                <w:color w:val="auto"/>
                <w:szCs w:val="21"/>
              </w:rPr>
              <w:t>项目单位名称</w:t>
            </w: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r>
              <w:rPr>
                <w:rFonts w:hint="eastAsia" w:ascii="宋体" w:hAnsi="宋体"/>
                <w:color w:val="auto"/>
                <w:szCs w:val="21"/>
              </w:rPr>
              <w:t>项目合同金额（单位：万元）</w:t>
            </w: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r>
        <w:tblPrEx>
          <w:tblLayout w:type="fixed"/>
          <w:tblCellMar>
            <w:top w:w="0" w:type="dxa"/>
            <w:left w:w="10" w:type="dxa"/>
            <w:bottom w:w="0" w:type="dxa"/>
            <w:right w:w="10" w:type="dxa"/>
          </w:tblCellMar>
        </w:tblPrEx>
        <w:trPr>
          <w:cantSplit/>
          <w:trHeight w:val="46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bl>
    <w:p>
      <w:pPr>
        <w:spacing w:line="360" w:lineRule="auto"/>
        <w:ind w:firstLine="480"/>
        <w:rPr>
          <w:rFonts w:ascii="宋体"/>
          <w:color w:val="auto"/>
        </w:rPr>
      </w:pPr>
      <w:r>
        <w:rPr>
          <w:rFonts w:hint="eastAsia" w:ascii="宋体" w:hAnsi="宋体"/>
          <w:color w:val="auto"/>
        </w:rPr>
        <w:t>注：提供</w:t>
      </w:r>
      <w:r>
        <w:rPr>
          <w:rFonts w:hint="eastAsia" w:ascii="宋体" w:hAnsi="宋体"/>
          <w:bCs/>
          <w:color w:val="auto"/>
        </w:rPr>
        <w:t>近期具</w:t>
      </w:r>
      <w:r>
        <w:rPr>
          <w:rFonts w:hint="eastAsia" w:ascii="宋体" w:hAnsi="宋体"/>
          <w:color w:val="auto"/>
        </w:rPr>
        <w:t>有类似项目实施经验。投标人应将合同复印件附后。</w:t>
      </w:r>
    </w:p>
    <w:p>
      <w:pPr>
        <w:tabs>
          <w:tab w:val="left" w:pos="4881"/>
        </w:tabs>
        <w:spacing w:before="33" w:line="360" w:lineRule="auto"/>
        <w:ind w:left="102" w:right="4125"/>
        <w:rPr>
          <w:rFonts w:cs="宋体"/>
          <w:color w:val="auto"/>
          <w:spacing w:val="-1"/>
          <w:szCs w:val="24"/>
        </w:rPr>
      </w:pPr>
    </w:p>
    <w:p>
      <w:pPr>
        <w:tabs>
          <w:tab w:val="left" w:pos="4881"/>
        </w:tabs>
        <w:spacing w:before="33" w:line="360" w:lineRule="auto"/>
        <w:ind w:left="102" w:right="4125"/>
        <w:rPr>
          <w:rFonts w:cs="宋体"/>
          <w:color w:val="auto"/>
          <w:szCs w:val="24"/>
          <w:u w:val="single"/>
        </w:rPr>
      </w:pPr>
      <w:r>
        <w:rPr>
          <w:rFonts w:hint="eastAsia" w:cs="宋体"/>
          <w:color w:val="auto"/>
          <w:spacing w:val="-1"/>
          <w:szCs w:val="24"/>
        </w:rPr>
        <w:t>单位名称（盖章）</w:t>
      </w:r>
      <w:r>
        <w:rPr>
          <w:rFonts w:cs="宋体"/>
          <w:color w:val="auto"/>
          <w:spacing w:val="-1"/>
          <w:szCs w:val="24"/>
        </w:rPr>
        <w:t>:</w:t>
      </w:r>
    </w:p>
    <w:p>
      <w:pPr>
        <w:tabs>
          <w:tab w:val="left" w:pos="4881"/>
        </w:tabs>
        <w:spacing w:before="33" w:line="360" w:lineRule="auto"/>
        <w:ind w:left="102" w:right="4125"/>
        <w:rPr>
          <w:rFonts w:cs="宋体"/>
          <w:color w:val="auto"/>
          <w:spacing w:val="25"/>
          <w:szCs w:val="24"/>
        </w:rPr>
      </w:pPr>
      <w:r>
        <w:rPr>
          <w:rFonts w:hint="eastAsia" w:cs="宋体"/>
          <w:color w:val="auto"/>
          <w:spacing w:val="-1"/>
          <w:szCs w:val="24"/>
        </w:rPr>
        <w:t>法人代表或授权代表签字</w:t>
      </w:r>
      <w:r>
        <w:rPr>
          <w:rFonts w:cs="宋体"/>
          <w:color w:val="auto"/>
          <w:spacing w:val="-1"/>
          <w:szCs w:val="24"/>
        </w:rPr>
        <w:t>:</w:t>
      </w:r>
      <w:r>
        <w:rPr>
          <w:rFonts w:cs="宋体"/>
          <w:color w:val="auto"/>
          <w:szCs w:val="24"/>
          <w:u w:val="single"/>
        </w:rPr>
        <w:tab/>
      </w:r>
    </w:p>
    <w:p>
      <w:pPr>
        <w:spacing w:line="360" w:lineRule="auto"/>
        <w:ind w:firstLine="117"/>
        <w:rPr>
          <w:rFonts w:ascii="宋体" w:cs="宋体"/>
          <w:b/>
          <w:color w:val="auto"/>
          <w:sz w:val="28"/>
          <w:szCs w:val="28"/>
        </w:rPr>
      </w:pPr>
      <w:r>
        <w:rPr>
          <w:rFonts w:hint="eastAsia" w:ascii="宋体" w:hAnsi="宋体" w:cs="宋体"/>
          <w:color w:val="auto"/>
          <w:spacing w:val="-1"/>
          <w:szCs w:val="24"/>
        </w:rPr>
        <w:t>日期</w:t>
      </w:r>
      <w:r>
        <w:rPr>
          <w:rFonts w:ascii="宋体" w:hAnsi="宋体" w:cs="宋体"/>
          <w:color w:val="auto"/>
          <w:spacing w:val="-1"/>
          <w:szCs w:val="24"/>
        </w:rPr>
        <w:t>:</w:t>
      </w:r>
      <w:r>
        <w:rPr>
          <w:rFonts w:ascii="宋体" w:cs="宋体"/>
          <w:color w:val="auto"/>
          <w:szCs w:val="24"/>
          <w:u w:val="single"/>
        </w:rPr>
        <w:tab/>
      </w:r>
    </w:p>
    <w:p>
      <w:pPr>
        <w:spacing w:line="360" w:lineRule="auto"/>
        <w:rPr>
          <w:rFonts w:ascii="宋体" w:cs="宋体"/>
          <w:b/>
          <w:color w:val="auto"/>
          <w:szCs w:val="24"/>
        </w:rPr>
      </w:pPr>
      <w:r>
        <w:rPr>
          <w:rFonts w:hint="eastAsia" w:ascii="宋体" w:hAnsi="宋体" w:cs="宋体"/>
          <w:b/>
          <w:color w:val="auto"/>
          <w:szCs w:val="24"/>
        </w:rPr>
        <w:t>附：合同复印件。</w:t>
      </w:r>
    </w:p>
    <w:p>
      <w:pPr>
        <w:spacing w:line="360" w:lineRule="auto"/>
        <w:rPr>
          <w:rFonts w:ascii="宋体" w:cs="宋体"/>
          <w:b/>
          <w:color w:val="auto"/>
          <w:sz w:val="28"/>
          <w:szCs w:val="28"/>
        </w:rPr>
      </w:pPr>
    </w:p>
    <w:p>
      <w:pPr>
        <w:spacing w:line="362" w:lineRule="auto"/>
        <w:rPr>
          <w:rFonts w:cs="宋体"/>
          <w:b/>
          <w:color w:val="auto"/>
          <w:sz w:val="32"/>
          <w:szCs w:val="32"/>
        </w:rPr>
      </w:pPr>
    </w:p>
    <w:p>
      <w:pPr>
        <w:spacing w:line="362" w:lineRule="auto"/>
        <w:rPr>
          <w:rFonts w:cs="宋体"/>
          <w:b/>
          <w:color w:val="auto"/>
          <w:sz w:val="32"/>
          <w:szCs w:val="32"/>
        </w:rPr>
      </w:pPr>
    </w:p>
    <w:p>
      <w:pPr>
        <w:spacing w:line="362" w:lineRule="auto"/>
        <w:rPr>
          <w:rFonts w:cs="宋体"/>
          <w:b/>
          <w:color w:val="auto"/>
          <w:sz w:val="32"/>
          <w:szCs w:val="32"/>
        </w:rPr>
      </w:pPr>
    </w:p>
    <w:p>
      <w:pPr>
        <w:spacing w:line="362" w:lineRule="auto"/>
        <w:rPr>
          <w:rFonts w:cs="宋体"/>
          <w:b/>
          <w:color w:val="auto"/>
          <w:sz w:val="32"/>
          <w:szCs w:val="32"/>
        </w:rPr>
      </w:pPr>
    </w:p>
    <w:p>
      <w:pPr>
        <w:spacing w:line="362" w:lineRule="auto"/>
        <w:rPr>
          <w:rFonts w:ascii="宋体" w:cs="宋体"/>
          <w:color w:val="auto"/>
          <w:szCs w:val="24"/>
        </w:rPr>
      </w:pPr>
      <w:r>
        <w:rPr>
          <w:color w:val="auto"/>
        </w:rPr>
        <w:br w:type="page"/>
      </w:r>
      <w:bookmarkStart w:id="56" w:name="_Toc431307807"/>
      <w:bookmarkEnd w:id="56"/>
      <w:bookmarkStart w:id="57" w:name="_Toc448307981"/>
      <w:bookmarkEnd w:id="57"/>
      <w:r>
        <w:rPr>
          <w:rFonts w:hint="eastAsia" w:ascii="宋体" w:hAnsi="宋体" w:cs="宋体"/>
          <w:b/>
          <w:bCs/>
          <w:color w:val="auto"/>
          <w:szCs w:val="24"/>
        </w:rPr>
        <w:t>格式</w:t>
      </w:r>
      <w:r>
        <w:rPr>
          <w:rFonts w:ascii="宋体" w:hAnsi="宋体" w:cs="宋体"/>
          <w:b/>
          <w:bCs/>
          <w:color w:val="auto"/>
          <w:szCs w:val="24"/>
        </w:rPr>
        <w:t>1</w:t>
      </w:r>
      <w:r>
        <w:rPr>
          <w:rFonts w:hint="eastAsia" w:ascii="宋体" w:hAnsi="宋体" w:cs="宋体"/>
          <w:b/>
          <w:bCs/>
          <w:color w:val="auto"/>
          <w:szCs w:val="24"/>
        </w:rPr>
        <w:t>1</w:t>
      </w:r>
    </w:p>
    <w:p>
      <w:pPr>
        <w:spacing w:line="360" w:lineRule="auto"/>
        <w:jc w:val="center"/>
        <w:rPr>
          <w:rFonts w:ascii="宋体"/>
          <w:b/>
          <w:color w:val="auto"/>
          <w:sz w:val="32"/>
          <w:szCs w:val="32"/>
        </w:rPr>
      </w:pPr>
      <w:r>
        <w:rPr>
          <w:rFonts w:hint="eastAsia" w:ascii="宋体" w:hAnsi="宋体"/>
          <w:b/>
          <w:color w:val="auto"/>
          <w:sz w:val="32"/>
          <w:szCs w:val="32"/>
        </w:rPr>
        <w:t>项目实施人员一览表</w:t>
      </w:r>
    </w:p>
    <w:tbl>
      <w:tblPr>
        <w:tblStyle w:val="33"/>
        <w:tblW w:w="9639" w:type="dxa"/>
        <w:tblInd w:w="98" w:type="dxa"/>
        <w:tblLayout w:type="fixed"/>
        <w:tblCellMar>
          <w:top w:w="0" w:type="dxa"/>
          <w:left w:w="10" w:type="dxa"/>
          <w:bottom w:w="0" w:type="dxa"/>
          <w:right w:w="10" w:type="dxa"/>
        </w:tblCellMar>
      </w:tblPr>
      <w:tblGrid>
        <w:gridCol w:w="1134"/>
        <w:gridCol w:w="993"/>
        <w:gridCol w:w="1701"/>
        <w:gridCol w:w="1559"/>
        <w:gridCol w:w="2410"/>
        <w:gridCol w:w="1842"/>
      </w:tblGrid>
      <w:tr>
        <w:tblPrEx>
          <w:tblLayout w:type="fixed"/>
          <w:tblCellMar>
            <w:top w:w="0" w:type="dxa"/>
            <w:left w:w="10" w:type="dxa"/>
            <w:bottom w:w="0" w:type="dxa"/>
            <w:right w:w="10" w:type="dxa"/>
          </w:tblCellMar>
        </w:tblPrEx>
        <w:trPr>
          <w:trHeight w:val="789"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r>
              <w:rPr>
                <w:rFonts w:hint="eastAsia" w:ascii="宋体" w:hAnsi="宋体"/>
                <w:color w:val="auto"/>
                <w:szCs w:val="21"/>
              </w:rPr>
              <w:t>姓名</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r>
              <w:rPr>
                <w:rFonts w:hint="eastAsia" w:ascii="宋体" w:hAnsi="宋体"/>
                <w:color w:val="auto"/>
                <w:szCs w:val="21"/>
              </w:rPr>
              <w:t>职务</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r>
              <w:rPr>
                <w:rFonts w:hint="eastAsia" w:ascii="宋体" w:hAnsi="宋体"/>
                <w:color w:val="auto"/>
                <w:szCs w:val="21"/>
              </w:rPr>
              <w:t>专业技术资格</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r>
              <w:rPr>
                <w:rFonts w:hint="eastAsia" w:ascii="宋体" w:hAnsi="宋体"/>
                <w:color w:val="auto"/>
                <w:szCs w:val="21"/>
              </w:rPr>
              <w:t>证书编号</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r>
              <w:rPr>
                <w:rFonts w:hint="eastAsia" w:ascii="宋体" w:hAnsi="宋体"/>
                <w:color w:val="auto"/>
                <w:szCs w:val="21"/>
              </w:rPr>
              <w:t>参加工作时间</w:t>
            </w: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r>
              <w:rPr>
                <w:rFonts w:hint="eastAsia" w:ascii="宋体"/>
                <w:color w:val="auto"/>
                <w:szCs w:val="21"/>
              </w:rPr>
              <w:t>备注</w:t>
            </w: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color w:val="auto"/>
                <w:szCs w:val="21"/>
              </w:rPr>
            </w:pPr>
          </w:p>
        </w:tc>
      </w:tr>
    </w:tbl>
    <w:p>
      <w:pPr>
        <w:spacing w:before="50" w:line="360" w:lineRule="auto"/>
        <w:rPr>
          <w:rFonts w:ascii="宋体"/>
          <w:color w:val="auto"/>
          <w:szCs w:val="21"/>
        </w:rPr>
      </w:pPr>
      <w:r>
        <w:rPr>
          <w:rFonts w:hint="eastAsia" w:ascii="宋体" w:hAnsi="宋体"/>
          <w:color w:val="auto"/>
          <w:szCs w:val="21"/>
        </w:rPr>
        <w:t>注：在填写时，可根据本表格式自行划表填写。附相关证书复印件。</w:t>
      </w:r>
    </w:p>
    <w:p>
      <w:pPr>
        <w:tabs>
          <w:tab w:val="left" w:pos="4881"/>
        </w:tabs>
        <w:spacing w:before="33" w:line="360" w:lineRule="auto"/>
        <w:ind w:left="102" w:right="4125"/>
        <w:rPr>
          <w:rFonts w:cs="宋体"/>
          <w:color w:val="auto"/>
          <w:spacing w:val="-1"/>
          <w:szCs w:val="24"/>
        </w:rPr>
      </w:pPr>
    </w:p>
    <w:p>
      <w:pPr>
        <w:tabs>
          <w:tab w:val="left" w:pos="4881"/>
        </w:tabs>
        <w:spacing w:before="33" w:line="360" w:lineRule="auto"/>
        <w:ind w:left="102" w:right="4125"/>
        <w:rPr>
          <w:rFonts w:cs="宋体"/>
          <w:color w:val="auto"/>
          <w:szCs w:val="24"/>
          <w:u w:val="single"/>
        </w:rPr>
      </w:pPr>
      <w:r>
        <w:rPr>
          <w:rFonts w:hint="eastAsia" w:cs="宋体"/>
          <w:color w:val="auto"/>
          <w:spacing w:val="-1"/>
          <w:szCs w:val="24"/>
        </w:rPr>
        <w:t>单位名称（盖章）</w:t>
      </w:r>
      <w:r>
        <w:rPr>
          <w:rFonts w:cs="宋体"/>
          <w:color w:val="auto"/>
          <w:spacing w:val="-1"/>
          <w:szCs w:val="24"/>
        </w:rPr>
        <w:t>:</w:t>
      </w:r>
    </w:p>
    <w:p>
      <w:pPr>
        <w:tabs>
          <w:tab w:val="left" w:pos="4881"/>
        </w:tabs>
        <w:spacing w:before="33" w:line="360" w:lineRule="auto"/>
        <w:ind w:left="102" w:right="4125"/>
        <w:rPr>
          <w:rFonts w:cs="宋体"/>
          <w:color w:val="auto"/>
          <w:szCs w:val="24"/>
          <w:u w:val="single"/>
        </w:rPr>
      </w:pPr>
      <w:r>
        <w:rPr>
          <w:rFonts w:hint="eastAsia" w:cs="宋体"/>
          <w:color w:val="auto"/>
          <w:spacing w:val="-1"/>
          <w:szCs w:val="24"/>
        </w:rPr>
        <w:t>法人代表或授权代表签字</w:t>
      </w:r>
      <w:r>
        <w:rPr>
          <w:rFonts w:cs="宋体"/>
          <w:color w:val="auto"/>
          <w:spacing w:val="-1"/>
          <w:szCs w:val="24"/>
        </w:rPr>
        <w:t>:</w:t>
      </w:r>
      <w:r>
        <w:rPr>
          <w:rFonts w:cs="宋体"/>
          <w:color w:val="auto"/>
          <w:szCs w:val="24"/>
          <w:u w:val="single"/>
        </w:rPr>
        <w:tab/>
      </w:r>
    </w:p>
    <w:p>
      <w:pPr>
        <w:tabs>
          <w:tab w:val="left" w:pos="4881"/>
        </w:tabs>
        <w:spacing w:before="33" w:line="360" w:lineRule="auto"/>
        <w:ind w:left="102" w:right="4125"/>
        <w:rPr>
          <w:rFonts w:ascii="宋体" w:cs="宋体"/>
          <w:b/>
          <w:color w:val="auto"/>
          <w:sz w:val="28"/>
          <w:szCs w:val="28"/>
        </w:rPr>
      </w:pPr>
      <w:r>
        <w:rPr>
          <w:rFonts w:hint="eastAsia" w:ascii="宋体" w:hAnsi="宋体" w:cs="宋体"/>
          <w:color w:val="auto"/>
          <w:spacing w:val="-1"/>
          <w:szCs w:val="24"/>
        </w:rPr>
        <w:t>日期</w:t>
      </w:r>
      <w:r>
        <w:rPr>
          <w:rFonts w:ascii="宋体" w:hAnsi="宋体" w:cs="宋体"/>
          <w:color w:val="auto"/>
          <w:spacing w:val="-1"/>
          <w:szCs w:val="24"/>
        </w:rPr>
        <w:t>:</w:t>
      </w:r>
      <w:r>
        <w:rPr>
          <w:rFonts w:ascii="宋体" w:cs="宋体"/>
          <w:color w:val="auto"/>
          <w:szCs w:val="24"/>
          <w:u w:val="single"/>
        </w:rPr>
        <w:tab/>
      </w:r>
    </w:p>
    <w:p>
      <w:pPr>
        <w:pStyle w:val="27"/>
        <w:jc w:val="both"/>
        <w:rPr>
          <w:rFonts w:ascii="宋体" w:cs="宋体"/>
          <w:color w:val="auto"/>
          <w:szCs w:val="28"/>
        </w:rPr>
      </w:pPr>
    </w:p>
    <w:p>
      <w:pPr>
        <w:rPr>
          <w:rFonts w:ascii="宋体" w:cs="宋体"/>
          <w:color w:val="auto"/>
          <w:szCs w:val="24"/>
        </w:rPr>
      </w:pPr>
      <w:r>
        <w:rPr>
          <w:color w:val="auto"/>
        </w:rPr>
        <w:br w:type="page"/>
      </w:r>
      <w:r>
        <w:rPr>
          <w:rFonts w:hint="eastAsia" w:ascii="宋体" w:hAnsi="宋体" w:cs="宋体"/>
          <w:b/>
          <w:bCs/>
          <w:color w:val="auto"/>
          <w:szCs w:val="24"/>
        </w:rPr>
        <w:t>格式</w:t>
      </w:r>
      <w:r>
        <w:rPr>
          <w:rFonts w:ascii="宋体" w:hAnsi="宋体" w:cs="宋体"/>
          <w:b/>
          <w:bCs/>
          <w:color w:val="auto"/>
          <w:szCs w:val="24"/>
        </w:rPr>
        <w:t>1</w:t>
      </w:r>
      <w:bookmarkStart w:id="58" w:name="_Toc431307808"/>
      <w:bookmarkEnd w:id="58"/>
      <w:bookmarkStart w:id="59" w:name="_Toc448307990"/>
      <w:bookmarkEnd w:id="59"/>
      <w:r>
        <w:rPr>
          <w:rFonts w:hint="eastAsia" w:ascii="宋体" w:hAnsi="宋体" w:cs="宋体"/>
          <w:b/>
          <w:bCs/>
          <w:color w:val="auto"/>
          <w:szCs w:val="24"/>
        </w:rPr>
        <w:t>2</w:t>
      </w:r>
    </w:p>
    <w:p>
      <w:pPr>
        <w:pStyle w:val="27"/>
        <w:jc w:val="center"/>
        <w:rPr>
          <w:rFonts w:ascii="宋体" w:cs="宋体"/>
          <w:color w:val="auto"/>
          <w:sz w:val="32"/>
          <w:szCs w:val="32"/>
        </w:rPr>
      </w:pPr>
      <w:r>
        <w:rPr>
          <w:rFonts w:hint="eastAsia" w:ascii="宋体" w:hAnsi="宋体" w:cs="宋体"/>
          <w:color w:val="auto"/>
          <w:sz w:val="32"/>
          <w:szCs w:val="32"/>
        </w:rPr>
        <w:t>无重大违法记录声明</w:t>
      </w:r>
    </w:p>
    <w:p>
      <w:pPr>
        <w:rPr>
          <w:rFonts w:ascii="宋体" w:cs="宋体"/>
          <w:color w:val="auto"/>
        </w:rPr>
      </w:pPr>
    </w:p>
    <w:p>
      <w:pPr>
        <w:rPr>
          <w:rFonts w:ascii="宋体" w:cs="宋体"/>
          <w:color w:val="auto"/>
        </w:rPr>
      </w:pPr>
    </w:p>
    <w:p>
      <w:pPr>
        <w:spacing w:line="360" w:lineRule="auto"/>
        <w:ind w:firstLine="480"/>
        <w:rPr>
          <w:rFonts w:ascii="宋体" w:cs="宋体"/>
          <w:color w:val="auto"/>
          <w:szCs w:val="24"/>
        </w:rPr>
      </w:pPr>
      <w:r>
        <w:rPr>
          <w:rFonts w:hint="eastAsia" w:ascii="宋体" w:hAnsi="宋体" w:cs="宋体"/>
          <w:color w:val="auto"/>
          <w:szCs w:val="24"/>
        </w:rPr>
        <w:t>我公司郑重声明：参加本次政府采购活动前</w:t>
      </w:r>
      <w:r>
        <w:rPr>
          <w:rFonts w:ascii="宋体" w:hAnsi="宋体" w:cs="宋体"/>
          <w:color w:val="auto"/>
          <w:szCs w:val="24"/>
        </w:rPr>
        <w:t xml:space="preserve"> 3 </w:t>
      </w:r>
      <w:r>
        <w:rPr>
          <w:rFonts w:hint="eastAsia" w:ascii="宋体" w:hAnsi="宋体" w:cs="宋体"/>
          <w:color w:val="auto"/>
          <w:szCs w:val="24"/>
        </w:rPr>
        <w:t>年内，我公司在经营活动中没有因违法经营受到刑事处罚或者责令停产停业</w:t>
      </w:r>
      <w:r>
        <w:rPr>
          <w:rFonts w:ascii="宋体" w:cs="宋体"/>
          <w:color w:val="auto"/>
          <w:szCs w:val="24"/>
        </w:rPr>
        <w:t>.</w:t>
      </w:r>
      <w:r>
        <w:rPr>
          <w:rFonts w:hint="eastAsia" w:ascii="宋体" w:hAnsi="宋体" w:cs="宋体"/>
          <w:color w:val="auto"/>
          <w:szCs w:val="24"/>
        </w:rPr>
        <w:t>吊销许可证或者执照</w:t>
      </w:r>
      <w:r>
        <w:rPr>
          <w:rFonts w:ascii="宋体" w:cs="宋体"/>
          <w:color w:val="auto"/>
          <w:szCs w:val="24"/>
        </w:rPr>
        <w:t>.</w:t>
      </w:r>
      <w:r>
        <w:rPr>
          <w:rFonts w:hint="eastAsia" w:ascii="宋体" w:hAnsi="宋体" w:cs="宋体"/>
          <w:color w:val="auto"/>
          <w:szCs w:val="24"/>
        </w:rPr>
        <w:t>较大数额罚款等行政处罚。没有被主管部门列入黑名单或黑名单处罚期已过。</w:t>
      </w:r>
    </w:p>
    <w:p>
      <w:pPr>
        <w:spacing w:line="360" w:lineRule="auto"/>
        <w:rPr>
          <w:rFonts w:ascii="宋体" w:cs="宋体"/>
          <w:color w:val="auto"/>
          <w:szCs w:val="24"/>
        </w:rPr>
      </w:pPr>
    </w:p>
    <w:p>
      <w:pPr>
        <w:spacing w:line="360" w:lineRule="auto"/>
        <w:rPr>
          <w:rFonts w:ascii="宋体" w:cs="宋体"/>
          <w:color w:val="auto"/>
          <w:szCs w:val="24"/>
        </w:rPr>
      </w:pPr>
    </w:p>
    <w:p>
      <w:pPr>
        <w:spacing w:line="360" w:lineRule="auto"/>
        <w:rPr>
          <w:rFonts w:ascii="宋体" w:cs="宋体"/>
          <w:color w:val="auto"/>
          <w:szCs w:val="24"/>
        </w:rPr>
      </w:pPr>
    </w:p>
    <w:p>
      <w:pPr>
        <w:spacing w:line="360" w:lineRule="auto"/>
        <w:rPr>
          <w:rFonts w:ascii="宋体" w:cs="宋体"/>
          <w:color w:val="auto"/>
          <w:szCs w:val="24"/>
        </w:rPr>
      </w:pPr>
    </w:p>
    <w:p>
      <w:pPr>
        <w:spacing w:line="360" w:lineRule="auto"/>
        <w:rPr>
          <w:rFonts w:ascii="宋体" w:cs="宋体"/>
          <w:color w:val="auto"/>
          <w:szCs w:val="24"/>
        </w:rPr>
      </w:pPr>
    </w:p>
    <w:p>
      <w:pPr>
        <w:spacing w:line="360" w:lineRule="auto"/>
        <w:rPr>
          <w:rFonts w:ascii="宋体" w:cs="宋体"/>
          <w:color w:val="auto"/>
          <w:szCs w:val="24"/>
        </w:rPr>
      </w:pPr>
    </w:p>
    <w:p>
      <w:pPr>
        <w:spacing w:line="360" w:lineRule="auto"/>
        <w:rPr>
          <w:rFonts w:ascii="宋体" w:cs="宋体"/>
          <w:color w:val="auto"/>
          <w:szCs w:val="24"/>
        </w:rPr>
      </w:pPr>
    </w:p>
    <w:p>
      <w:pPr>
        <w:spacing w:line="360" w:lineRule="auto"/>
        <w:rPr>
          <w:rFonts w:ascii="宋体" w:cs="宋体"/>
          <w:color w:val="auto"/>
          <w:szCs w:val="24"/>
        </w:rPr>
      </w:pPr>
    </w:p>
    <w:p>
      <w:pPr>
        <w:tabs>
          <w:tab w:val="left" w:pos="4881"/>
        </w:tabs>
        <w:spacing w:line="360" w:lineRule="auto"/>
        <w:ind w:left="102" w:right="4125"/>
        <w:rPr>
          <w:rFonts w:cs="宋体"/>
          <w:color w:val="auto"/>
          <w:szCs w:val="24"/>
          <w:u w:val="single"/>
        </w:rPr>
      </w:pPr>
      <w:r>
        <w:rPr>
          <w:rFonts w:hint="eastAsia" w:cs="宋体"/>
          <w:color w:val="auto"/>
          <w:spacing w:val="-1"/>
          <w:szCs w:val="24"/>
        </w:rPr>
        <w:t>单位名称（盖章）</w:t>
      </w:r>
      <w:r>
        <w:rPr>
          <w:rFonts w:cs="宋体"/>
          <w:color w:val="auto"/>
          <w:spacing w:val="-1"/>
          <w:szCs w:val="24"/>
        </w:rPr>
        <w:t>:</w:t>
      </w:r>
    </w:p>
    <w:p>
      <w:pPr>
        <w:tabs>
          <w:tab w:val="left" w:pos="4881"/>
        </w:tabs>
        <w:spacing w:line="360" w:lineRule="auto"/>
        <w:ind w:left="102" w:right="4125"/>
        <w:rPr>
          <w:rFonts w:cs="宋体"/>
          <w:color w:val="auto"/>
          <w:spacing w:val="25"/>
          <w:szCs w:val="24"/>
        </w:rPr>
      </w:pPr>
      <w:r>
        <w:rPr>
          <w:rFonts w:hint="eastAsia" w:cs="宋体"/>
          <w:color w:val="auto"/>
          <w:spacing w:val="-1"/>
          <w:szCs w:val="24"/>
        </w:rPr>
        <w:t>授权代表签字</w:t>
      </w:r>
      <w:r>
        <w:rPr>
          <w:rFonts w:cs="宋体"/>
          <w:color w:val="auto"/>
          <w:spacing w:val="-1"/>
          <w:szCs w:val="24"/>
        </w:rPr>
        <w:t>:</w:t>
      </w:r>
      <w:r>
        <w:rPr>
          <w:rFonts w:cs="宋体"/>
          <w:color w:val="auto"/>
          <w:szCs w:val="24"/>
          <w:u w:val="single"/>
        </w:rPr>
        <w:tab/>
      </w:r>
    </w:p>
    <w:p>
      <w:pPr>
        <w:tabs>
          <w:tab w:val="left" w:pos="4881"/>
        </w:tabs>
        <w:spacing w:line="360" w:lineRule="auto"/>
        <w:ind w:left="102" w:right="4125"/>
        <w:rPr>
          <w:rFonts w:cs="宋体"/>
          <w:color w:val="auto"/>
          <w:szCs w:val="24"/>
        </w:rPr>
      </w:pPr>
      <w:r>
        <w:rPr>
          <w:rFonts w:hint="eastAsia" w:cs="宋体"/>
          <w:color w:val="auto"/>
          <w:spacing w:val="-1"/>
          <w:szCs w:val="24"/>
        </w:rPr>
        <w:t>日期</w:t>
      </w:r>
      <w:r>
        <w:rPr>
          <w:rFonts w:cs="宋体"/>
          <w:color w:val="auto"/>
          <w:spacing w:val="-1"/>
          <w:szCs w:val="24"/>
        </w:rPr>
        <w:t>:</w:t>
      </w:r>
      <w:r>
        <w:rPr>
          <w:rFonts w:cs="宋体"/>
          <w:color w:val="auto"/>
          <w:szCs w:val="24"/>
          <w:u w:val="single"/>
        </w:rPr>
        <w:tab/>
      </w:r>
    </w:p>
    <w:p>
      <w:pPr>
        <w:spacing w:line="440" w:lineRule="exact"/>
        <w:rPr>
          <w:rFonts w:ascii="宋体" w:cs="宋体"/>
          <w:color w:val="auto"/>
        </w:rPr>
      </w:pPr>
    </w:p>
    <w:p>
      <w:pPr>
        <w:spacing w:line="480" w:lineRule="exact"/>
        <w:rPr>
          <w:rFonts w:ascii="宋体"/>
          <w:b/>
          <w:bCs/>
          <w:color w:val="auto"/>
          <w:sz w:val="36"/>
          <w:szCs w:val="36"/>
        </w:rPr>
      </w:pPr>
    </w:p>
    <w:p>
      <w:pPr>
        <w:spacing w:line="480" w:lineRule="exact"/>
        <w:rPr>
          <w:rFonts w:ascii="宋体"/>
          <w:b/>
          <w:bCs/>
          <w:color w:val="auto"/>
          <w:sz w:val="36"/>
          <w:szCs w:val="36"/>
        </w:rPr>
      </w:pPr>
    </w:p>
    <w:p>
      <w:pPr>
        <w:spacing w:line="480" w:lineRule="exact"/>
        <w:rPr>
          <w:rFonts w:ascii="宋体"/>
          <w:b/>
          <w:bCs/>
          <w:color w:val="auto"/>
          <w:sz w:val="36"/>
          <w:szCs w:val="36"/>
        </w:rPr>
      </w:pPr>
    </w:p>
    <w:p>
      <w:pPr>
        <w:spacing w:line="480" w:lineRule="exact"/>
        <w:rPr>
          <w:rFonts w:ascii="宋体"/>
          <w:b/>
          <w:bCs/>
          <w:color w:val="auto"/>
          <w:sz w:val="36"/>
          <w:szCs w:val="36"/>
        </w:rPr>
      </w:pPr>
    </w:p>
    <w:p>
      <w:pPr>
        <w:spacing w:line="480" w:lineRule="exact"/>
        <w:rPr>
          <w:rFonts w:ascii="宋体"/>
          <w:b/>
          <w:bCs/>
          <w:color w:val="auto"/>
          <w:sz w:val="36"/>
          <w:szCs w:val="36"/>
        </w:rPr>
      </w:pPr>
    </w:p>
    <w:p>
      <w:pPr>
        <w:spacing w:line="480" w:lineRule="exact"/>
        <w:rPr>
          <w:rFonts w:ascii="宋体"/>
          <w:b/>
          <w:bCs/>
          <w:color w:val="auto"/>
          <w:sz w:val="36"/>
          <w:szCs w:val="36"/>
        </w:rPr>
      </w:pPr>
    </w:p>
    <w:p>
      <w:pPr>
        <w:spacing w:line="480" w:lineRule="exact"/>
        <w:rPr>
          <w:rFonts w:ascii="宋体"/>
          <w:b/>
          <w:bCs/>
          <w:color w:val="auto"/>
          <w:sz w:val="36"/>
          <w:szCs w:val="36"/>
        </w:rPr>
      </w:pPr>
    </w:p>
    <w:p>
      <w:pPr>
        <w:spacing w:line="480" w:lineRule="exact"/>
        <w:rPr>
          <w:rFonts w:ascii="宋体" w:cs="宋体"/>
          <w:color w:val="auto"/>
          <w:szCs w:val="24"/>
        </w:rPr>
      </w:pPr>
      <w:r>
        <w:rPr>
          <w:color w:val="auto"/>
        </w:rPr>
        <w:br w:type="page"/>
      </w:r>
      <w:r>
        <w:rPr>
          <w:rFonts w:hint="eastAsia" w:ascii="宋体" w:hAnsi="宋体" w:cs="宋体"/>
          <w:b/>
          <w:bCs/>
          <w:color w:val="auto"/>
          <w:szCs w:val="24"/>
        </w:rPr>
        <w:t>格式</w:t>
      </w:r>
      <w:r>
        <w:rPr>
          <w:rFonts w:ascii="宋体" w:hAnsi="宋体" w:cs="宋体"/>
          <w:b/>
          <w:bCs/>
          <w:color w:val="auto"/>
          <w:szCs w:val="24"/>
        </w:rPr>
        <w:t>1</w:t>
      </w:r>
      <w:r>
        <w:rPr>
          <w:rFonts w:hint="eastAsia" w:ascii="宋体" w:hAnsi="宋体" w:cs="宋体"/>
          <w:b/>
          <w:bCs/>
          <w:color w:val="auto"/>
          <w:szCs w:val="24"/>
        </w:rPr>
        <w:t>3</w:t>
      </w:r>
    </w:p>
    <w:p>
      <w:pPr>
        <w:spacing w:line="480" w:lineRule="exact"/>
        <w:rPr>
          <w:rFonts w:ascii="宋体"/>
          <w:b/>
          <w:bCs/>
          <w:color w:val="auto"/>
          <w:sz w:val="36"/>
          <w:szCs w:val="36"/>
        </w:rPr>
      </w:pPr>
    </w:p>
    <w:p>
      <w:pPr>
        <w:spacing w:line="480" w:lineRule="exact"/>
        <w:jc w:val="center"/>
        <w:rPr>
          <w:rFonts w:ascii="宋体"/>
          <w:b/>
          <w:bCs/>
          <w:color w:val="auto"/>
          <w:sz w:val="36"/>
          <w:szCs w:val="36"/>
        </w:rPr>
      </w:pPr>
      <w:r>
        <w:rPr>
          <w:rFonts w:hint="eastAsia" w:ascii="宋体" w:hAnsi="宋体"/>
          <w:b/>
          <w:bCs/>
          <w:color w:val="auto"/>
          <w:sz w:val="36"/>
          <w:szCs w:val="36"/>
        </w:rPr>
        <w:t>供应商自觉抵制商业贿赂行为承诺书</w:t>
      </w:r>
    </w:p>
    <w:p>
      <w:pPr>
        <w:spacing w:line="320" w:lineRule="exact"/>
        <w:rPr>
          <w:rFonts w:ascii="宋体"/>
          <w:color w:val="auto"/>
          <w:szCs w:val="24"/>
        </w:rPr>
      </w:pPr>
    </w:p>
    <w:p>
      <w:pPr>
        <w:spacing w:line="320" w:lineRule="exact"/>
        <w:rPr>
          <w:rFonts w:ascii="宋体"/>
          <w:b/>
          <w:bCs/>
          <w:color w:val="auto"/>
          <w:szCs w:val="24"/>
        </w:rPr>
      </w:pPr>
      <w:r>
        <w:rPr>
          <w:rFonts w:hint="eastAsia" w:ascii="宋体" w:hAnsi="宋体"/>
          <w:b/>
          <w:color w:val="auto"/>
          <w:szCs w:val="24"/>
        </w:rPr>
        <w:t>致：采购人</w:t>
      </w:r>
    </w:p>
    <w:p>
      <w:pPr>
        <w:spacing w:line="440" w:lineRule="exact"/>
        <w:ind w:firstLine="635"/>
        <w:rPr>
          <w:rFonts w:ascii="宋体"/>
          <w:color w:val="auto"/>
          <w:szCs w:val="24"/>
        </w:rPr>
      </w:pPr>
      <w:r>
        <w:rPr>
          <w:rFonts w:hint="eastAsia" w:ascii="宋体" w:hAnsi="宋体"/>
          <w:color w:val="auto"/>
          <w:szCs w:val="24"/>
        </w:rPr>
        <w:t>为进一步规范采购行为，营造公平竞争的采购市场环境，维护采购制度良好声誉，在参与采购机构组织的采购活动中，我方郑重承诺：</w:t>
      </w:r>
    </w:p>
    <w:p>
      <w:pPr>
        <w:spacing w:line="440" w:lineRule="exact"/>
        <w:ind w:firstLine="635"/>
        <w:rPr>
          <w:rFonts w:ascii="宋体"/>
          <w:color w:val="auto"/>
          <w:szCs w:val="24"/>
        </w:rPr>
      </w:pPr>
      <w:r>
        <w:rPr>
          <w:rFonts w:hint="eastAsia" w:ascii="宋体" w:hAnsi="宋体"/>
          <w:color w:val="auto"/>
          <w:szCs w:val="24"/>
        </w:rPr>
        <w:t>一</w:t>
      </w:r>
      <w:r>
        <w:rPr>
          <w:rFonts w:ascii="宋体"/>
          <w:color w:val="auto"/>
          <w:szCs w:val="24"/>
        </w:rPr>
        <w:t>.</w:t>
      </w:r>
      <w:r>
        <w:rPr>
          <w:rFonts w:hint="eastAsia" w:ascii="宋体" w:hAnsi="宋体"/>
          <w:color w:val="auto"/>
          <w:szCs w:val="24"/>
        </w:rPr>
        <w:t>依法参与采购活动，遵纪守法，诚信经营，公平竞争。</w:t>
      </w:r>
    </w:p>
    <w:p>
      <w:pPr>
        <w:spacing w:line="440" w:lineRule="exact"/>
        <w:ind w:firstLine="635"/>
        <w:rPr>
          <w:rFonts w:ascii="宋体"/>
          <w:color w:val="auto"/>
          <w:szCs w:val="24"/>
        </w:rPr>
      </w:pPr>
      <w:r>
        <w:rPr>
          <w:rFonts w:hint="eastAsia" w:ascii="宋体" w:hAnsi="宋体"/>
          <w:color w:val="auto"/>
          <w:szCs w:val="24"/>
        </w:rPr>
        <w:t>二</w:t>
      </w:r>
      <w:r>
        <w:rPr>
          <w:rFonts w:ascii="宋体"/>
          <w:color w:val="auto"/>
          <w:szCs w:val="24"/>
        </w:rPr>
        <w:t>.</w:t>
      </w:r>
      <w:r>
        <w:rPr>
          <w:rFonts w:hint="eastAsia" w:ascii="宋体" w:hAnsi="宋体"/>
          <w:color w:val="auto"/>
          <w:szCs w:val="24"/>
        </w:rPr>
        <w:t>不向采购单位</w:t>
      </w:r>
      <w:r>
        <w:rPr>
          <w:rFonts w:ascii="宋体"/>
          <w:color w:val="auto"/>
          <w:szCs w:val="24"/>
        </w:rPr>
        <w:t>.</w:t>
      </w:r>
      <w:r>
        <w:rPr>
          <w:rFonts w:hint="eastAsia" w:ascii="宋体" w:hAnsi="宋体"/>
          <w:color w:val="auto"/>
          <w:szCs w:val="24"/>
        </w:rPr>
        <w:t>采购机构和采购评审专家提供任何形式的商业贿赂；对索取或接受商业贿赂的单位和个人，及时向由关机关举报。</w:t>
      </w:r>
    </w:p>
    <w:p>
      <w:pPr>
        <w:spacing w:line="440" w:lineRule="exact"/>
        <w:ind w:firstLine="635"/>
        <w:rPr>
          <w:rFonts w:ascii="宋体"/>
          <w:color w:val="auto"/>
          <w:szCs w:val="24"/>
        </w:rPr>
      </w:pPr>
      <w:r>
        <w:rPr>
          <w:rFonts w:hint="eastAsia" w:ascii="宋体" w:hAnsi="宋体"/>
          <w:color w:val="auto"/>
          <w:szCs w:val="24"/>
        </w:rPr>
        <w:t>三</w:t>
      </w:r>
      <w:r>
        <w:rPr>
          <w:rFonts w:ascii="宋体"/>
          <w:color w:val="auto"/>
          <w:szCs w:val="24"/>
        </w:rPr>
        <w:t>.</w:t>
      </w:r>
      <w:r>
        <w:rPr>
          <w:rFonts w:hint="eastAsia" w:ascii="宋体" w:hAnsi="宋体"/>
          <w:color w:val="auto"/>
          <w:szCs w:val="24"/>
        </w:rPr>
        <w:t>不以提供虚假资质文件等形式参与采购活动，不以虚假材料谋取成交。</w:t>
      </w:r>
    </w:p>
    <w:p>
      <w:pPr>
        <w:spacing w:line="440" w:lineRule="exact"/>
        <w:ind w:firstLine="635"/>
        <w:rPr>
          <w:rFonts w:ascii="宋体"/>
          <w:color w:val="auto"/>
          <w:szCs w:val="24"/>
        </w:rPr>
      </w:pPr>
      <w:r>
        <w:rPr>
          <w:rFonts w:hint="eastAsia" w:ascii="宋体" w:hAnsi="宋体"/>
          <w:color w:val="auto"/>
          <w:szCs w:val="24"/>
        </w:rPr>
        <w:t>四</w:t>
      </w:r>
      <w:r>
        <w:rPr>
          <w:rFonts w:ascii="宋体"/>
          <w:color w:val="auto"/>
          <w:szCs w:val="24"/>
        </w:rPr>
        <w:t>.</w:t>
      </w:r>
      <w:r>
        <w:rPr>
          <w:rFonts w:hint="eastAsia" w:ascii="宋体" w:hAnsi="宋体"/>
          <w:color w:val="auto"/>
          <w:szCs w:val="24"/>
        </w:rPr>
        <w:t>不采取不正当手段诋毁</w:t>
      </w:r>
      <w:r>
        <w:rPr>
          <w:rFonts w:ascii="宋体"/>
          <w:color w:val="auto"/>
          <w:szCs w:val="24"/>
        </w:rPr>
        <w:t>.</w:t>
      </w:r>
      <w:r>
        <w:rPr>
          <w:rFonts w:hint="eastAsia" w:ascii="宋体" w:hAnsi="宋体"/>
          <w:color w:val="auto"/>
          <w:szCs w:val="24"/>
        </w:rPr>
        <w:t>排挤其他投标经营方，与其他参与采购活动投标经营方保持良性的竞争关系。</w:t>
      </w:r>
    </w:p>
    <w:p>
      <w:pPr>
        <w:spacing w:line="440" w:lineRule="exact"/>
        <w:ind w:firstLine="635"/>
        <w:rPr>
          <w:rFonts w:ascii="宋体"/>
          <w:color w:val="auto"/>
          <w:szCs w:val="24"/>
        </w:rPr>
      </w:pPr>
      <w:r>
        <w:rPr>
          <w:rFonts w:hint="eastAsia" w:ascii="宋体" w:hAnsi="宋体"/>
          <w:color w:val="auto"/>
          <w:szCs w:val="24"/>
        </w:rPr>
        <w:t>五</w:t>
      </w:r>
      <w:r>
        <w:rPr>
          <w:rFonts w:ascii="宋体"/>
          <w:color w:val="auto"/>
          <w:szCs w:val="24"/>
        </w:rPr>
        <w:t>.</w:t>
      </w:r>
      <w:r>
        <w:rPr>
          <w:rFonts w:hint="eastAsia" w:ascii="宋体" w:hAnsi="宋体"/>
          <w:color w:val="auto"/>
          <w:szCs w:val="24"/>
        </w:rPr>
        <w:t>不与采购单位</w:t>
      </w:r>
      <w:r>
        <w:rPr>
          <w:rFonts w:ascii="宋体"/>
          <w:color w:val="auto"/>
          <w:szCs w:val="24"/>
        </w:rPr>
        <w:t>.</w:t>
      </w:r>
      <w:r>
        <w:rPr>
          <w:rFonts w:hint="eastAsia" w:ascii="宋体" w:hAnsi="宋体"/>
          <w:color w:val="auto"/>
          <w:szCs w:val="24"/>
        </w:rPr>
        <w:t>采购代理机构和采购评审专家恶意串通，自觉维护采购公平竞争的市场秩序。</w:t>
      </w:r>
    </w:p>
    <w:p>
      <w:pPr>
        <w:spacing w:line="440" w:lineRule="exact"/>
        <w:ind w:firstLine="635"/>
        <w:rPr>
          <w:rFonts w:ascii="宋体"/>
          <w:color w:val="auto"/>
          <w:szCs w:val="24"/>
        </w:rPr>
      </w:pPr>
      <w:r>
        <w:rPr>
          <w:rFonts w:hint="eastAsia" w:ascii="宋体" w:hAnsi="宋体"/>
          <w:color w:val="auto"/>
          <w:szCs w:val="24"/>
        </w:rPr>
        <w:t>六</w:t>
      </w:r>
      <w:r>
        <w:rPr>
          <w:rFonts w:ascii="宋体"/>
          <w:color w:val="auto"/>
          <w:szCs w:val="24"/>
        </w:rPr>
        <w:t>.</w:t>
      </w:r>
      <w:r>
        <w:rPr>
          <w:rFonts w:hint="eastAsia" w:ascii="宋体" w:hAnsi="宋体"/>
          <w:color w:val="auto"/>
          <w:szCs w:val="24"/>
        </w:rPr>
        <w:t>不与其他投标经营方串通采取围标</w:t>
      </w:r>
      <w:r>
        <w:rPr>
          <w:rFonts w:ascii="宋体"/>
          <w:color w:val="auto"/>
          <w:szCs w:val="24"/>
        </w:rPr>
        <w:t>.</w:t>
      </w:r>
      <w:r>
        <w:rPr>
          <w:rFonts w:hint="eastAsia" w:ascii="宋体" w:hAnsi="宋体"/>
          <w:color w:val="auto"/>
          <w:szCs w:val="24"/>
        </w:rPr>
        <w:t>陪标等商业欺诈手段谋取成交，积极维护国家利益</w:t>
      </w:r>
      <w:r>
        <w:rPr>
          <w:rFonts w:ascii="宋体"/>
          <w:color w:val="auto"/>
          <w:szCs w:val="24"/>
        </w:rPr>
        <w:t>.</w:t>
      </w:r>
      <w:r>
        <w:rPr>
          <w:rFonts w:hint="eastAsia" w:ascii="宋体" w:hAnsi="宋体"/>
          <w:color w:val="auto"/>
          <w:szCs w:val="24"/>
        </w:rPr>
        <w:t>社会公共利益和采购单位的合法权益。</w:t>
      </w:r>
    </w:p>
    <w:p>
      <w:pPr>
        <w:spacing w:line="440" w:lineRule="exact"/>
        <w:ind w:firstLine="635"/>
        <w:rPr>
          <w:rFonts w:ascii="宋体"/>
          <w:color w:val="auto"/>
          <w:szCs w:val="24"/>
        </w:rPr>
      </w:pPr>
      <w:r>
        <w:rPr>
          <w:rFonts w:hint="eastAsia" w:ascii="宋体" w:hAnsi="宋体"/>
          <w:color w:val="auto"/>
          <w:szCs w:val="24"/>
        </w:rPr>
        <w:t>七</w:t>
      </w:r>
      <w:r>
        <w:rPr>
          <w:rFonts w:ascii="宋体"/>
          <w:color w:val="auto"/>
          <w:szCs w:val="24"/>
        </w:rPr>
        <w:t>.</w:t>
      </w:r>
      <w:r>
        <w:rPr>
          <w:rFonts w:hint="eastAsia" w:ascii="宋体" w:hAnsi="宋体"/>
          <w:color w:val="auto"/>
          <w:szCs w:val="24"/>
        </w:rPr>
        <w:t>严格履行采购合同约定义务，不在采购合同执行过程中采取降低质量或标准</w:t>
      </w:r>
      <w:r>
        <w:rPr>
          <w:rFonts w:ascii="宋体"/>
          <w:color w:val="auto"/>
          <w:szCs w:val="24"/>
        </w:rPr>
        <w:t>.</w:t>
      </w:r>
      <w:r>
        <w:rPr>
          <w:rFonts w:hint="eastAsia" w:ascii="宋体" w:hAnsi="宋体"/>
          <w:color w:val="auto"/>
          <w:szCs w:val="24"/>
        </w:rPr>
        <w:t>减少数量</w:t>
      </w:r>
      <w:r>
        <w:rPr>
          <w:rFonts w:ascii="宋体"/>
          <w:color w:val="auto"/>
          <w:szCs w:val="24"/>
        </w:rPr>
        <w:t>.</w:t>
      </w:r>
      <w:r>
        <w:rPr>
          <w:rFonts w:hint="eastAsia" w:ascii="宋体" w:hAnsi="宋体"/>
          <w:color w:val="auto"/>
          <w:szCs w:val="24"/>
        </w:rPr>
        <w:t>拖延交付时间等方式损害采购单位的利益，并自觉承担违约责任。</w:t>
      </w:r>
    </w:p>
    <w:p>
      <w:pPr>
        <w:spacing w:line="440" w:lineRule="exact"/>
        <w:ind w:firstLine="635"/>
        <w:rPr>
          <w:rFonts w:ascii="宋体"/>
          <w:color w:val="auto"/>
          <w:szCs w:val="24"/>
        </w:rPr>
      </w:pPr>
      <w:r>
        <w:rPr>
          <w:rFonts w:hint="eastAsia" w:ascii="宋体" w:hAnsi="宋体"/>
          <w:color w:val="auto"/>
          <w:szCs w:val="24"/>
        </w:rPr>
        <w:t>八</w:t>
      </w:r>
      <w:r>
        <w:rPr>
          <w:rFonts w:ascii="宋体"/>
          <w:color w:val="auto"/>
          <w:szCs w:val="24"/>
        </w:rPr>
        <w:t>.</w:t>
      </w:r>
      <w:r>
        <w:rPr>
          <w:rFonts w:hint="eastAsia" w:ascii="宋体" w:hAnsi="宋体"/>
          <w:color w:val="auto"/>
          <w:szCs w:val="24"/>
        </w:rPr>
        <w:t>自觉接受并积极配合监督检查，如实反映情况，及时提供有关证明材料。</w:t>
      </w:r>
    </w:p>
    <w:p>
      <w:pPr>
        <w:tabs>
          <w:tab w:val="left" w:pos="4881"/>
        </w:tabs>
        <w:spacing w:line="360" w:lineRule="auto"/>
        <w:ind w:left="102" w:right="4125"/>
        <w:rPr>
          <w:rFonts w:cs="宋体"/>
          <w:color w:val="auto"/>
          <w:spacing w:val="-1"/>
          <w:szCs w:val="24"/>
        </w:rPr>
      </w:pPr>
    </w:p>
    <w:p>
      <w:pPr>
        <w:tabs>
          <w:tab w:val="left" w:pos="4881"/>
        </w:tabs>
        <w:spacing w:line="360" w:lineRule="auto"/>
        <w:ind w:left="102" w:right="4125"/>
        <w:rPr>
          <w:rFonts w:cs="宋体"/>
          <w:color w:val="auto"/>
          <w:szCs w:val="24"/>
          <w:u w:val="single"/>
        </w:rPr>
      </w:pPr>
      <w:r>
        <w:rPr>
          <w:rFonts w:hint="eastAsia" w:cs="宋体"/>
          <w:color w:val="auto"/>
          <w:spacing w:val="-1"/>
          <w:szCs w:val="24"/>
        </w:rPr>
        <w:t>单位称（盖章）</w:t>
      </w:r>
      <w:r>
        <w:rPr>
          <w:rFonts w:cs="宋体"/>
          <w:color w:val="auto"/>
          <w:spacing w:val="-1"/>
          <w:szCs w:val="24"/>
        </w:rPr>
        <w:t>:</w:t>
      </w:r>
    </w:p>
    <w:p>
      <w:pPr>
        <w:tabs>
          <w:tab w:val="left" w:pos="4881"/>
        </w:tabs>
        <w:spacing w:line="360" w:lineRule="auto"/>
        <w:ind w:left="102" w:right="4125"/>
        <w:rPr>
          <w:rFonts w:cs="宋体"/>
          <w:color w:val="auto"/>
          <w:spacing w:val="25"/>
          <w:szCs w:val="24"/>
        </w:rPr>
      </w:pPr>
      <w:r>
        <w:rPr>
          <w:rFonts w:hint="eastAsia" w:cs="宋体"/>
          <w:color w:val="auto"/>
          <w:spacing w:val="-1"/>
          <w:szCs w:val="24"/>
        </w:rPr>
        <w:t>法人代表或授权代表签字</w:t>
      </w:r>
      <w:r>
        <w:rPr>
          <w:rFonts w:cs="宋体"/>
          <w:color w:val="auto"/>
          <w:spacing w:val="-1"/>
          <w:szCs w:val="24"/>
        </w:rPr>
        <w:t>:</w:t>
      </w:r>
      <w:r>
        <w:rPr>
          <w:rFonts w:cs="宋体"/>
          <w:color w:val="auto"/>
          <w:szCs w:val="24"/>
          <w:u w:val="single"/>
        </w:rPr>
        <w:tab/>
      </w:r>
    </w:p>
    <w:p>
      <w:pPr>
        <w:tabs>
          <w:tab w:val="left" w:pos="4881"/>
        </w:tabs>
        <w:spacing w:line="360" w:lineRule="auto"/>
        <w:ind w:left="102" w:right="4125"/>
        <w:rPr>
          <w:rFonts w:cs="宋体"/>
          <w:color w:val="auto"/>
          <w:szCs w:val="24"/>
        </w:rPr>
      </w:pPr>
      <w:r>
        <w:rPr>
          <w:rFonts w:hint="eastAsia" w:cs="宋体"/>
          <w:color w:val="auto"/>
          <w:spacing w:val="-1"/>
          <w:szCs w:val="24"/>
        </w:rPr>
        <w:t>日期</w:t>
      </w:r>
      <w:r>
        <w:rPr>
          <w:rFonts w:cs="宋体"/>
          <w:color w:val="auto"/>
          <w:spacing w:val="-1"/>
          <w:szCs w:val="24"/>
        </w:rPr>
        <w:t>:</w:t>
      </w:r>
      <w:r>
        <w:rPr>
          <w:rFonts w:cs="宋体"/>
          <w:color w:val="auto"/>
          <w:szCs w:val="24"/>
          <w:u w:val="single"/>
        </w:rPr>
        <w:tab/>
      </w:r>
    </w:p>
    <w:p>
      <w:pPr>
        <w:spacing w:before="60" w:line="320" w:lineRule="exact"/>
        <w:rPr>
          <w:rFonts w:ascii="宋体" w:cs="Arial"/>
          <w:color w:val="auto"/>
          <w:szCs w:val="24"/>
        </w:rPr>
      </w:pPr>
    </w:p>
    <w:p>
      <w:pPr>
        <w:spacing w:before="60" w:line="320" w:lineRule="exact"/>
        <w:rPr>
          <w:rFonts w:ascii="宋体" w:cs="Arial"/>
          <w:b/>
          <w:color w:val="auto"/>
          <w:szCs w:val="24"/>
        </w:rPr>
      </w:pPr>
    </w:p>
    <w:p>
      <w:pPr>
        <w:spacing w:before="60" w:line="320" w:lineRule="exact"/>
        <w:rPr>
          <w:rFonts w:ascii="宋体" w:cs="Arial"/>
          <w:b/>
          <w:color w:val="auto"/>
          <w:szCs w:val="24"/>
        </w:rPr>
      </w:pPr>
    </w:p>
    <w:p>
      <w:pPr>
        <w:spacing w:before="60" w:line="320" w:lineRule="exact"/>
        <w:rPr>
          <w:rFonts w:ascii="宋体" w:cs="Arial"/>
          <w:b/>
          <w:color w:val="auto"/>
          <w:szCs w:val="24"/>
        </w:rPr>
      </w:pPr>
    </w:p>
    <w:p>
      <w:pPr>
        <w:spacing w:before="60" w:line="320" w:lineRule="exact"/>
        <w:rPr>
          <w:rFonts w:ascii="宋体" w:cs="Arial"/>
          <w:b/>
          <w:color w:val="auto"/>
          <w:szCs w:val="24"/>
        </w:rPr>
      </w:pPr>
    </w:p>
    <w:p>
      <w:pPr>
        <w:spacing w:line="480" w:lineRule="exact"/>
        <w:rPr>
          <w:b/>
          <w:color w:val="auto"/>
          <w:szCs w:val="24"/>
        </w:rPr>
      </w:pPr>
      <w:r>
        <w:rPr>
          <w:color w:val="auto"/>
        </w:rPr>
        <w:br w:type="page"/>
      </w:r>
    </w:p>
    <w:p>
      <w:pPr>
        <w:pStyle w:val="27"/>
        <w:jc w:val="both"/>
        <w:rPr>
          <w:rFonts w:ascii="宋体" w:cs="宋体"/>
          <w:color w:val="auto"/>
          <w:sz w:val="24"/>
          <w:szCs w:val="24"/>
        </w:rPr>
      </w:pPr>
      <w:r>
        <w:rPr>
          <w:rFonts w:hint="eastAsia" w:ascii="宋体" w:hAnsi="宋体" w:cs="宋体"/>
          <w:color w:val="auto"/>
          <w:sz w:val="24"/>
          <w:szCs w:val="24"/>
        </w:rPr>
        <w:t>格式</w:t>
      </w:r>
      <w:r>
        <w:rPr>
          <w:rFonts w:ascii="宋体" w:hAnsi="宋体" w:cs="宋体"/>
          <w:color w:val="auto"/>
          <w:sz w:val="24"/>
          <w:szCs w:val="24"/>
        </w:rPr>
        <w:t>1</w:t>
      </w:r>
      <w:r>
        <w:rPr>
          <w:rFonts w:hint="eastAsia" w:ascii="宋体" w:hAnsi="宋体" w:cs="宋体"/>
          <w:color w:val="auto"/>
          <w:sz w:val="24"/>
          <w:szCs w:val="24"/>
        </w:rPr>
        <w:t>4</w:t>
      </w:r>
    </w:p>
    <w:p>
      <w:pPr>
        <w:pStyle w:val="27"/>
        <w:jc w:val="center"/>
        <w:rPr>
          <w:rFonts w:ascii="宋体" w:cs="宋体"/>
          <w:color w:val="auto"/>
          <w:sz w:val="36"/>
          <w:szCs w:val="36"/>
        </w:rPr>
      </w:pPr>
      <w:r>
        <w:rPr>
          <w:rFonts w:hint="eastAsia" w:ascii="宋体" w:hAnsi="宋体" w:cs="宋体"/>
          <w:color w:val="auto"/>
          <w:sz w:val="36"/>
          <w:szCs w:val="36"/>
        </w:rPr>
        <w:t>具有履行合同所必需的设备和专业技术能力承诺书</w:t>
      </w:r>
    </w:p>
    <w:p>
      <w:pPr>
        <w:ind w:firstLine="480"/>
        <w:jc w:val="center"/>
        <w:rPr>
          <w:color w:val="auto"/>
        </w:rPr>
      </w:pPr>
      <w:r>
        <w:rPr>
          <w:rFonts w:hint="eastAsia"/>
          <w:color w:val="auto"/>
        </w:rPr>
        <w:t>内容</w:t>
      </w:r>
      <w:r>
        <w:rPr>
          <w:rFonts w:hint="eastAsia" w:ascii="宋体" w:hAnsi="宋体" w:cs="宋体"/>
          <w:color w:val="auto"/>
          <w:szCs w:val="24"/>
        </w:rPr>
        <w:t>格式</w:t>
      </w:r>
      <w:r>
        <w:rPr>
          <w:rFonts w:hint="eastAsia"/>
          <w:color w:val="auto"/>
        </w:rPr>
        <w:t>自定</w:t>
      </w:r>
    </w:p>
    <w:p>
      <w:pPr>
        <w:ind w:firstLine="480"/>
        <w:rPr>
          <w:color w:val="auto"/>
        </w:rPr>
      </w:pPr>
    </w:p>
    <w:p>
      <w:pPr>
        <w:ind w:firstLine="480"/>
        <w:rPr>
          <w:color w:val="auto"/>
        </w:rPr>
      </w:pPr>
    </w:p>
    <w:p>
      <w:pPr>
        <w:ind w:firstLine="480"/>
        <w:rPr>
          <w:color w:val="auto"/>
        </w:rPr>
      </w:pPr>
    </w:p>
    <w:p>
      <w:pPr>
        <w:tabs>
          <w:tab w:val="left" w:pos="4881"/>
        </w:tabs>
        <w:spacing w:line="360" w:lineRule="auto"/>
        <w:ind w:right="4125" w:firstLine="476"/>
        <w:rPr>
          <w:rFonts w:cs="宋体"/>
          <w:color w:val="auto"/>
          <w:szCs w:val="24"/>
          <w:u w:val="single"/>
        </w:rPr>
      </w:pPr>
      <w:r>
        <w:rPr>
          <w:rFonts w:hint="eastAsia" w:cs="宋体"/>
          <w:color w:val="auto"/>
          <w:spacing w:val="-1"/>
          <w:szCs w:val="24"/>
        </w:rPr>
        <w:t>单位名称（盖章）</w:t>
      </w:r>
      <w:r>
        <w:rPr>
          <w:rFonts w:cs="宋体"/>
          <w:color w:val="auto"/>
          <w:spacing w:val="-1"/>
          <w:szCs w:val="24"/>
        </w:rPr>
        <w:t>:</w:t>
      </w:r>
    </w:p>
    <w:p>
      <w:pPr>
        <w:tabs>
          <w:tab w:val="left" w:pos="4881"/>
        </w:tabs>
        <w:spacing w:line="360" w:lineRule="auto"/>
        <w:ind w:right="4125" w:firstLine="476"/>
        <w:rPr>
          <w:rFonts w:cs="宋体"/>
          <w:color w:val="auto"/>
          <w:spacing w:val="25"/>
          <w:szCs w:val="24"/>
        </w:rPr>
      </w:pPr>
      <w:r>
        <w:rPr>
          <w:rFonts w:hint="eastAsia" w:cs="宋体"/>
          <w:color w:val="auto"/>
          <w:spacing w:val="-1"/>
          <w:szCs w:val="24"/>
        </w:rPr>
        <w:t>法人代表或授权代表签字</w:t>
      </w:r>
      <w:r>
        <w:rPr>
          <w:rFonts w:cs="宋体"/>
          <w:color w:val="auto"/>
          <w:spacing w:val="-1"/>
          <w:szCs w:val="24"/>
        </w:rPr>
        <w:t>:</w:t>
      </w:r>
      <w:r>
        <w:rPr>
          <w:rFonts w:cs="宋体"/>
          <w:color w:val="auto"/>
          <w:szCs w:val="24"/>
          <w:u w:val="single"/>
        </w:rPr>
        <w:tab/>
      </w:r>
    </w:p>
    <w:p>
      <w:pPr>
        <w:tabs>
          <w:tab w:val="left" w:pos="4401"/>
        </w:tabs>
        <w:spacing w:line="360" w:lineRule="auto"/>
        <w:ind w:right="4125" w:firstLine="476"/>
        <w:rPr>
          <w:rFonts w:cs="宋体"/>
          <w:color w:val="auto"/>
          <w:szCs w:val="24"/>
        </w:rPr>
      </w:pPr>
      <w:r>
        <w:rPr>
          <w:rFonts w:hint="eastAsia" w:cs="宋体"/>
          <w:color w:val="auto"/>
          <w:spacing w:val="-1"/>
          <w:szCs w:val="24"/>
        </w:rPr>
        <w:t>日期</w:t>
      </w:r>
      <w:r>
        <w:rPr>
          <w:rFonts w:cs="宋体"/>
          <w:color w:val="auto"/>
          <w:spacing w:val="-1"/>
          <w:szCs w:val="24"/>
        </w:rPr>
        <w:t>:</w:t>
      </w:r>
      <w:r>
        <w:rPr>
          <w:rFonts w:cs="宋体"/>
          <w:color w:val="auto"/>
          <w:szCs w:val="24"/>
          <w:u w:val="single"/>
        </w:rPr>
        <w:tab/>
      </w: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r>
        <w:rPr>
          <w:color w:val="auto"/>
        </w:rPr>
        <w:br w:type="page"/>
      </w:r>
    </w:p>
    <w:p>
      <w:pPr>
        <w:pStyle w:val="27"/>
        <w:jc w:val="both"/>
        <w:rPr>
          <w:rFonts w:ascii="宋体" w:cs="宋体"/>
          <w:color w:val="auto"/>
          <w:sz w:val="24"/>
          <w:szCs w:val="24"/>
        </w:rPr>
      </w:pPr>
      <w:r>
        <w:rPr>
          <w:rFonts w:hint="eastAsia" w:ascii="宋体" w:hAnsi="宋体" w:cs="宋体"/>
          <w:color w:val="auto"/>
          <w:sz w:val="24"/>
          <w:szCs w:val="24"/>
        </w:rPr>
        <w:t>格式</w:t>
      </w:r>
      <w:r>
        <w:rPr>
          <w:rFonts w:ascii="宋体" w:hAnsi="宋体" w:cs="宋体"/>
          <w:color w:val="auto"/>
          <w:sz w:val="24"/>
          <w:szCs w:val="24"/>
        </w:rPr>
        <w:t>1</w:t>
      </w:r>
      <w:r>
        <w:rPr>
          <w:rFonts w:hint="eastAsia" w:ascii="宋体" w:hAnsi="宋体" w:cs="宋体"/>
          <w:color w:val="auto"/>
          <w:sz w:val="24"/>
          <w:szCs w:val="24"/>
        </w:rPr>
        <w:t>5</w:t>
      </w:r>
    </w:p>
    <w:p>
      <w:pPr>
        <w:pStyle w:val="27"/>
        <w:jc w:val="center"/>
        <w:rPr>
          <w:rFonts w:ascii="宋体" w:cs="宋体"/>
          <w:color w:val="auto"/>
          <w:sz w:val="36"/>
          <w:szCs w:val="36"/>
        </w:rPr>
      </w:pPr>
      <w:r>
        <w:rPr>
          <w:rFonts w:hint="eastAsia" w:ascii="宋体" w:hAnsi="宋体" w:cs="宋体"/>
          <w:color w:val="auto"/>
          <w:sz w:val="36"/>
          <w:szCs w:val="36"/>
        </w:rPr>
        <w:t>供应商拟定的项目实施方案(技术方案)</w:t>
      </w:r>
    </w:p>
    <w:p>
      <w:pPr>
        <w:spacing w:line="362" w:lineRule="auto"/>
        <w:ind w:firstLine="460"/>
        <w:rPr>
          <w:rFonts w:cs="宋体"/>
          <w:color w:val="auto"/>
        </w:rPr>
      </w:pPr>
    </w:p>
    <w:p>
      <w:pPr>
        <w:spacing w:line="360" w:lineRule="auto"/>
        <w:ind w:firstLine="480" w:firstLineChars="200"/>
        <w:rPr>
          <w:rFonts w:ascii="宋体" w:cs="宋体"/>
          <w:color w:val="auto"/>
          <w:szCs w:val="24"/>
        </w:rPr>
      </w:pPr>
      <w:r>
        <w:rPr>
          <w:rFonts w:hint="eastAsia" w:ascii="宋体" w:hAnsi="宋体" w:cs="宋体"/>
          <w:color w:val="auto"/>
          <w:szCs w:val="24"/>
        </w:rPr>
        <w:t>拟定的项目技术实施方案：内容格式供应商根据对采购文件的理解自行编制。要求方案完整详细，逻辑性强，具有真对性。</w:t>
      </w:r>
    </w:p>
    <w:p>
      <w:pPr>
        <w:spacing w:line="360" w:lineRule="auto"/>
        <w:rPr>
          <w:rFonts w:ascii="宋体" w:cs="宋体"/>
          <w:color w:val="auto"/>
          <w:szCs w:val="24"/>
        </w:rPr>
      </w:pPr>
      <w:bookmarkStart w:id="60" w:name="_Toc448307982"/>
      <w:bookmarkEnd w:id="60"/>
      <w:r>
        <w:rPr>
          <w:rFonts w:hint="eastAsia" w:ascii="宋体" w:hAnsi="宋体" w:cs="宋体"/>
          <w:color w:val="auto"/>
          <w:szCs w:val="24"/>
        </w:rPr>
        <w:t>。。。。。。。</w:t>
      </w:r>
    </w:p>
    <w:p>
      <w:pPr>
        <w:tabs>
          <w:tab w:val="left" w:pos="4881"/>
        </w:tabs>
        <w:spacing w:line="360" w:lineRule="auto"/>
        <w:ind w:right="4125"/>
        <w:rPr>
          <w:rFonts w:cs="宋体"/>
          <w:color w:val="auto"/>
          <w:spacing w:val="-1"/>
          <w:szCs w:val="24"/>
        </w:rPr>
      </w:pPr>
    </w:p>
    <w:p>
      <w:pPr>
        <w:tabs>
          <w:tab w:val="left" w:pos="4881"/>
        </w:tabs>
        <w:spacing w:line="360" w:lineRule="auto"/>
        <w:ind w:right="4125" w:firstLine="476"/>
        <w:rPr>
          <w:rFonts w:cs="宋体"/>
          <w:color w:val="auto"/>
          <w:szCs w:val="24"/>
          <w:u w:val="single"/>
        </w:rPr>
      </w:pPr>
      <w:r>
        <w:rPr>
          <w:rFonts w:hint="eastAsia" w:cs="宋体"/>
          <w:color w:val="auto"/>
          <w:spacing w:val="-1"/>
          <w:szCs w:val="24"/>
        </w:rPr>
        <w:t>单位名称（盖章）</w:t>
      </w:r>
      <w:r>
        <w:rPr>
          <w:rFonts w:cs="宋体"/>
          <w:color w:val="auto"/>
          <w:spacing w:val="-1"/>
          <w:szCs w:val="24"/>
        </w:rPr>
        <w:t>:</w:t>
      </w:r>
    </w:p>
    <w:p>
      <w:pPr>
        <w:tabs>
          <w:tab w:val="left" w:pos="4881"/>
        </w:tabs>
        <w:spacing w:line="360" w:lineRule="auto"/>
        <w:ind w:right="4125" w:firstLine="476"/>
        <w:rPr>
          <w:rFonts w:cs="宋体"/>
          <w:color w:val="auto"/>
          <w:spacing w:val="25"/>
          <w:szCs w:val="24"/>
        </w:rPr>
      </w:pPr>
      <w:r>
        <w:rPr>
          <w:rFonts w:hint="eastAsia" w:cs="宋体"/>
          <w:color w:val="auto"/>
          <w:spacing w:val="-1"/>
          <w:szCs w:val="24"/>
        </w:rPr>
        <w:t>法人代表或授权代表签字</w:t>
      </w:r>
      <w:r>
        <w:rPr>
          <w:rFonts w:cs="宋体"/>
          <w:color w:val="auto"/>
          <w:spacing w:val="-1"/>
          <w:szCs w:val="24"/>
        </w:rPr>
        <w:t>:</w:t>
      </w:r>
      <w:r>
        <w:rPr>
          <w:rFonts w:cs="宋体"/>
          <w:color w:val="auto"/>
          <w:szCs w:val="24"/>
          <w:u w:val="single"/>
        </w:rPr>
        <w:tab/>
      </w:r>
    </w:p>
    <w:p>
      <w:pPr>
        <w:tabs>
          <w:tab w:val="left" w:pos="4401"/>
        </w:tabs>
        <w:spacing w:line="360" w:lineRule="auto"/>
        <w:ind w:right="4125" w:firstLine="476"/>
        <w:rPr>
          <w:rFonts w:cs="宋体"/>
          <w:color w:val="auto"/>
          <w:szCs w:val="24"/>
        </w:rPr>
      </w:pPr>
      <w:r>
        <w:rPr>
          <w:rFonts w:hint="eastAsia" w:cs="宋体"/>
          <w:color w:val="auto"/>
          <w:spacing w:val="-1"/>
          <w:szCs w:val="24"/>
        </w:rPr>
        <w:t>日期</w:t>
      </w:r>
      <w:r>
        <w:rPr>
          <w:rFonts w:cs="宋体"/>
          <w:color w:val="auto"/>
          <w:spacing w:val="-1"/>
          <w:szCs w:val="24"/>
        </w:rPr>
        <w:t>:</w:t>
      </w:r>
      <w:r>
        <w:rPr>
          <w:rFonts w:cs="宋体"/>
          <w:color w:val="auto"/>
          <w:szCs w:val="24"/>
          <w:u w:val="single"/>
        </w:rPr>
        <w:tab/>
      </w:r>
    </w:p>
    <w:p>
      <w:pPr>
        <w:spacing w:before="60" w:line="320" w:lineRule="exact"/>
        <w:rPr>
          <w:rFonts w:ascii="宋体" w:cs="Arial"/>
          <w:b/>
          <w:color w:val="auto"/>
          <w:szCs w:val="24"/>
        </w:rPr>
      </w:pPr>
    </w:p>
    <w:p>
      <w:pPr>
        <w:rPr>
          <w:rFonts w:ascii="宋体" w:cs="宋体"/>
          <w:color w:val="auto"/>
          <w:szCs w:val="28"/>
        </w:rPr>
      </w:pPr>
    </w:p>
    <w:p>
      <w:pPr>
        <w:rPr>
          <w:rFonts w:ascii="宋体" w:cs="宋体"/>
          <w:color w:val="auto"/>
          <w:szCs w:val="28"/>
        </w:rPr>
      </w:pPr>
    </w:p>
    <w:p>
      <w:pPr>
        <w:spacing w:line="360" w:lineRule="auto"/>
        <w:rPr>
          <w:rFonts w:ascii="宋体" w:cs="宋体"/>
          <w:b/>
          <w:bCs/>
          <w:color w:val="auto"/>
          <w:szCs w:val="24"/>
        </w:rPr>
      </w:pPr>
      <w:r>
        <w:rPr>
          <w:rFonts w:hint="eastAsia" w:ascii="宋体" w:cs="宋体"/>
          <w:b/>
          <w:bCs/>
          <w:color w:val="auto"/>
          <w:szCs w:val="24"/>
        </w:rPr>
        <w:t>格式16</w:t>
      </w:r>
    </w:p>
    <w:p>
      <w:pPr>
        <w:pStyle w:val="27"/>
        <w:jc w:val="center"/>
        <w:rPr>
          <w:rFonts w:ascii="宋体" w:hAnsi="宋体" w:cs="宋体"/>
          <w:color w:val="auto"/>
          <w:sz w:val="36"/>
          <w:szCs w:val="36"/>
        </w:rPr>
      </w:pPr>
      <w:r>
        <w:rPr>
          <w:rFonts w:hint="eastAsia" w:ascii="宋体" w:hAnsi="宋体" w:cs="宋体"/>
          <w:color w:val="auto"/>
          <w:sz w:val="36"/>
          <w:szCs w:val="36"/>
        </w:rPr>
        <w:t>供应商设计图纸</w:t>
      </w:r>
    </w:p>
    <w:p>
      <w:pPr>
        <w:rPr>
          <w:rFonts w:ascii="宋体" w:cs="宋体"/>
          <w:color w:val="auto"/>
          <w:szCs w:val="28"/>
        </w:rPr>
      </w:pPr>
    </w:p>
    <w:p>
      <w:pPr>
        <w:rPr>
          <w:b/>
          <w:color w:val="auto"/>
        </w:rPr>
      </w:pPr>
      <w:r>
        <w:rPr>
          <w:rFonts w:hint="eastAsia"/>
          <w:b/>
          <w:color w:val="auto"/>
        </w:rPr>
        <w:t>说明：</w:t>
      </w:r>
    </w:p>
    <w:p>
      <w:pPr>
        <w:numPr>
          <w:ilvl w:val="0"/>
          <w:numId w:val="7"/>
        </w:numPr>
        <w:rPr>
          <w:color w:val="auto"/>
        </w:rPr>
      </w:pPr>
      <w:r>
        <w:rPr>
          <w:rFonts w:hint="eastAsia"/>
          <w:color w:val="auto"/>
        </w:rPr>
        <w:t>要求为标准设计施工图纸。</w:t>
      </w:r>
    </w:p>
    <w:p>
      <w:pPr>
        <w:numPr>
          <w:ilvl w:val="0"/>
          <w:numId w:val="7"/>
        </w:numPr>
        <w:rPr>
          <w:color w:val="auto"/>
        </w:rPr>
      </w:pPr>
      <w:r>
        <w:rPr>
          <w:rFonts w:hint="eastAsia"/>
          <w:color w:val="auto"/>
        </w:rPr>
        <w:t>无设计施工图纸为无效响应。</w:t>
      </w:r>
    </w:p>
    <w:p>
      <w:pPr>
        <w:numPr>
          <w:ilvl w:val="0"/>
          <w:numId w:val="7"/>
        </w:numPr>
        <w:rPr>
          <w:rFonts w:ascii="宋体" w:cs="宋体"/>
          <w:color w:val="auto"/>
          <w:szCs w:val="28"/>
        </w:rPr>
      </w:pPr>
      <w:r>
        <w:rPr>
          <w:rFonts w:hint="eastAsia"/>
          <w:color w:val="auto"/>
        </w:rPr>
        <w:t>单独装订成册、密封，与响应文件一并递交。</w:t>
      </w:r>
    </w:p>
    <w:p>
      <w:pPr>
        <w:rPr>
          <w:color w:val="auto"/>
        </w:rPr>
      </w:pPr>
    </w:p>
    <w:p>
      <w:pPr>
        <w:rPr>
          <w:color w:val="auto"/>
        </w:rPr>
      </w:pPr>
    </w:p>
    <w:p>
      <w:pPr>
        <w:spacing w:line="360" w:lineRule="auto"/>
        <w:rPr>
          <w:rFonts w:ascii="宋体" w:hAnsi="宋体"/>
          <w:b/>
          <w:bCs/>
          <w:color w:val="auto"/>
          <w:sz w:val="32"/>
          <w:szCs w:val="32"/>
        </w:rPr>
      </w:pPr>
      <w:r>
        <w:rPr>
          <w:rFonts w:ascii="宋体" w:hAnsi="宋体"/>
          <w:b/>
          <w:bCs/>
          <w:color w:val="auto"/>
          <w:sz w:val="32"/>
          <w:szCs w:val="32"/>
        </w:rPr>
        <w:br w:type="page"/>
      </w:r>
      <w:r>
        <w:rPr>
          <w:rFonts w:hint="eastAsia" w:ascii="宋体" w:cs="宋体"/>
          <w:b/>
          <w:bCs/>
          <w:color w:val="auto"/>
          <w:szCs w:val="24"/>
        </w:rPr>
        <w:t>附件17</w:t>
      </w:r>
    </w:p>
    <w:p>
      <w:pPr>
        <w:adjustRightInd w:val="0"/>
        <w:snapToGrid w:val="0"/>
        <w:spacing w:line="480" w:lineRule="auto"/>
        <w:ind w:firstLine="16" w:firstLineChars="5"/>
        <w:jc w:val="center"/>
        <w:rPr>
          <w:rFonts w:ascii="宋体" w:hAnsi="宋体"/>
          <w:b/>
          <w:bCs/>
          <w:color w:val="auto"/>
          <w:sz w:val="32"/>
          <w:szCs w:val="32"/>
        </w:rPr>
      </w:pPr>
      <w:r>
        <w:rPr>
          <w:rFonts w:hint="eastAsia" w:ascii="宋体" w:hAnsi="宋体"/>
          <w:b/>
          <w:bCs/>
          <w:color w:val="auto"/>
          <w:sz w:val="32"/>
          <w:szCs w:val="32"/>
        </w:rPr>
        <w:t>工程质量保修书</w:t>
      </w:r>
    </w:p>
    <w:p>
      <w:pPr>
        <w:pStyle w:val="12"/>
        <w:spacing w:line="360" w:lineRule="auto"/>
        <w:ind w:firstLine="424" w:firstLineChars="177"/>
        <w:rPr>
          <w:rFonts w:ascii="宋体" w:hAnsi="宋体"/>
          <w:bCs/>
          <w:color w:val="auto"/>
          <w:sz w:val="24"/>
          <w:szCs w:val="24"/>
        </w:rPr>
      </w:pPr>
      <w:r>
        <w:rPr>
          <w:rFonts w:hint="eastAsia" w:ascii="宋体" w:hAnsi="宋体"/>
          <w:bCs/>
          <w:color w:val="auto"/>
          <w:sz w:val="24"/>
          <w:szCs w:val="24"/>
        </w:rPr>
        <w:t>投标人必须提供但不限于提供以下内容：</w:t>
      </w:r>
    </w:p>
    <w:p>
      <w:pPr>
        <w:pStyle w:val="12"/>
        <w:spacing w:line="360" w:lineRule="auto"/>
        <w:ind w:firstLine="424" w:firstLineChars="177"/>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rPr>
        <w:t>、详细说明质量保修的内容、形式、含免费维修时间、解决质量或操作问题的响应时间、解决问题时间、维修单位名称、地点、联系人、联系方式。</w:t>
      </w:r>
    </w:p>
    <w:p>
      <w:pPr>
        <w:pStyle w:val="12"/>
        <w:spacing w:line="360" w:lineRule="auto"/>
        <w:ind w:firstLine="424" w:firstLineChars="177"/>
        <w:rPr>
          <w:rFonts w:ascii="宋体" w:hAnsi="宋体"/>
          <w:bCs/>
          <w:color w:val="auto"/>
          <w:sz w:val="24"/>
          <w:szCs w:val="24"/>
        </w:rPr>
      </w:pPr>
      <w:r>
        <w:rPr>
          <w:rFonts w:hint="eastAsia" w:ascii="宋体" w:hAnsi="宋体"/>
          <w:bCs/>
          <w:color w:val="auto"/>
          <w:sz w:val="24"/>
          <w:szCs w:val="24"/>
        </w:rPr>
        <w:t>2、质量保证措施。</w:t>
      </w:r>
    </w:p>
    <w:p>
      <w:pPr>
        <w:pStyle w:val="12"/>
        <w:spacing w:line="360" w:lineRule="auto"/>
        <w:ind w:firstLine="424" w:firstLineChars="177"/>
        <w:rPr>
          <w:rFonts w:ascii="宋体" w:hAnsi="宋体"/>
          <w:b/>
          <w:bCs/>
          <w:color w:val="auto"/>
          <w:sz w:val="24"/>
          <w:szCs w:val="24"/>
        </w:rPr>
      </w:pPr>
      <w:r>
        <w:rPr>
          <w:rFonts w:hint="eastAsia" w:ascii="宋体" w:hAnsi="宋体"/>
          <w:bCs/>
          <w:color w:val="auto"/>
          <w:sz w:val="24"/>
          <w:szCs w:val="24"/>
        </w:rPr>
        <w:t>3、该次项目所提供的其它免费备品或服务</w:t>
      </w:r>
      <w:r>
        <w:rPr>
          <w:rFonts w:hint="eastAsia" w:ascii="宋体" w:hAnsi="宋体"/>
          <w:b/>
          <w:bCs/>
          <w:color w:val="auto"/>
          <w:sz w:val="24"/>
          <w:szCs w:val="24"/>
        </w:rPr>
        <w:t>。</w:t>
      </w:r>
    </w:p>
    <w:p>
      <w:pPr>
        <w:autoSpaceDE w:val="0"/>
        <w:autoSpaceDN w:val="0"/>
        <w:adjustRightInd w:val="0"/>
        <w:spacing w:line="360" w:lineRule="auto"/>
        <w:ind w:firstLine="520"/>
        <w:rPr>
          <w:rFonts w:ascii="宋体" w:hAnsi="宋体"/>
          <w:color w:val="auto"/>
          <w:spacing w:val="10"/>
          <w:szCs w:val="24"/>
        </w:rPr>
      </w:pPr>
      <w:r>
        <w:rPr>
          <w:rFonts w:hint="eastAsia" w:ascii="宋体" w:hAnsi="宋体"/>
          <w:color w:val="auto"/>
          <w:spacing w:val="10"/>
          <w:szCs w:val="24"/>
        </w:rPr>
        <w:t xml:space="preserve">投标单位（公章）：    </w:t>
      </w:r>
    </w:p>
    <w:p>
      <w:pPr>
        <w:autoSpaceDE w:val="0"/>
        <w:autoSpaceDN w:val="0"/>
        <w:adjustRightInd w:val="0"/>
        <w:spacing w:line="360" w:lineRule="auto"/>
        <w:ind w:firstLine="520"/>
        <w:rPr>
          <w:rFonts w:ascii="宋体" w:hAnsi="宋体"/>
          <w:color w:val="auto"/>
          <w:spacing w:val="10"/>
          <w:szCs w:val="24"/>
        </w:rPr>
      </w:pPr>
      <w:r>
        <w:rPr>
          <w:rFonts w:hint="eastAsia" w:ascii="宋体" w:hAnsi="宋体"/>
          <w:color w:val="auto"/>
          <w:spacing w:val="10"/>
          <w:szCs w:val="24"/>
        </w:rPr>
        <w:t xml:space="preserve">法人代表或被授权代表（签字）：      </w:t>
      </w:r>
    </w:p>
    <w:p>
      <w:pPr>
        <w:tabs>
          <w:tab w:val="left" w:pos="840"/>
        </w:tabs>
        <w:autoSpaceDE w:val="0"/>
        <w:autoSpaceDN w:val="0"/>
        <w:adjustRightInd w:val="0"/>
        <w:spacing w:line="360" w:lineRule="auto"/>
        <w:ind w:firstLine="520" w:firstLineChars="200"/>
        <w:rPr>
          <w:rFonts w:ascii="宋体" w:hAnsi="宋体"/>
          <w:color w:val="auto"/>
          <w:spacing w:val="10"/>
          <w:szCs w:val="24"/>
        </w:rPr>
      </w:pPr>
      <w:r>
        <w:rPr>
          <w:rFonts w:hint="eastAsia" w:ascii="宋体" w:hAnsi="宋体"/>
          <w:color w:val="auto"/>
          <w:spacing w:val="10"/>
          <w:szCs w:val="24"/>
        </w:rPr>
        <w:t xml:space="preserve">日期：            </w:t>
      </w:r>
    </w:p>
    <w:p>
      <w:pPr>
        <w:rPr>
          <w:rFonts w:ascii="宋体" w:hAnsi="宋体"/>
          <w:b/>
          <w:color w:val="auto"/>
          <w:szCs w:val="24"/>
        </w:rPr>
      </w:pPr>
      <w:r>
        <w:rPr>
          <w:color w:val="auto"/>
        </w:rPr>
        <w:br w:type="page"/>
      </w:r>
      <w:r>
        <w:rPr>
          <w:rFonts w:hint="eastAsia" w:ascii="宋体" w:hAnsi="宋体"/>
          <w:b/>
          <w:color w:val="auto"/>
          <w:szCs w:val="24"/>
        </w:rPr>
        <w:t>另附</w:t>
      </w:r>
      <w:r>
        <w:rPr>
          <w:rFonts w:ascii="宋体" w:hAnsi="宋体"/>
          <w:b/>
          <w:color w:val="auto"/>
          <w:szCs w:val="24"/>
        </w:rPr>
        <w:t>1</w:t>
      </w:r>
    </w:p>
    <w:p>
      <w:pPr>
        <w:spacing w:line="480" w:lineRule="exact"/>
        <w:jc w:val="center"/>
        <w:rPr>
          <w:rFonts w:ascii="宋体"/>
          <w:b/>
          <w:bCs/>
          <w:color w:val="auto"/>
          <w:sz w:val="36"/>
          <w:szCs w:val="36"/>
        </w:rPr>
      </w:pPr>
      <w:r>
        <w:rPr>
          <w:rFonts w:hint="eastAsia" w:ascii="宋体" w:hAnsi="宋体"/>
          <w:b/>
          <w:bCs/>
          <w:color w:val="auto"/>
          <w:sz w:val="36"/>
          <w:szCs w:val="36"/>
        </w:rPr>
        <w:t>供应商证明文件原件明细表</w:t>
      </w:r>
    </w:p>
    <w:p>
      <w:pPr>
        <w:spacing w:line="480" w:lineRule="exact"/>
        <w:ind w:left="1200" w:hanging="1200"/>
        <w:rPr>
          <w:color w:val="auto"/>
        </w:rPr>
      </w:pPr>
    </w:p>
    <w:tbl>
      <w:tblPr>
        <w:tblStyle w:val="33"/>
        <w:tblW w:w="9315" w:type="dxa"/>
        <w:tblInd w:w="106" w:type="dxa"/>
        <w:tblLayout w:type="fixed"/>
        <w:tblCellMar>
          <w:top w:w="0" w:type="dxa"/>
          <w:left w:w="10" w:type="dxa"/>
          <w:bottom w:w="0" w:type="dxa"/>
          <w:right w:w="10" w:type="dxa"/>
        </w:tblCellMar>
      </w:tblPr>
      <w:tblGrid>
        <w:gridCol w:w="710"/>
        <w:gridCol w:w="5500"/>
        <w:gridCol w:w="1517"/>
        <w:gridCol w:w="1588"/>
      </w:tblGrid>
      <w:tr>
        <w:tblPrEx>
          <w:tblLayout w:type="fixed"/>
          <w:tblCellMar>
            <w:top w:w="0" w:type="dxa"/>
            <w:left w:w="10" w:type="dxa"/>
            <w:bottom w:w="0" w:type="dxa"/>
            <w:right w:w="10" w:type="dxa"/>
          </w:tblCellMar>
        </w:tblPrEx>
        <w:trPr>
          <w:trHeight w:val="579" w:hRule="atLeast"/>
        </w:trPr>
        <w:tc>
          <w:tcPr>
            <w:tcW w:w="710" w:type="dxa"/>
            <w:tcBorders>
              <w:top w:val="doub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r>
              <w:rPr>
                <w:rFonts w:hint="eastAsia" w:ascii="宋体" w:hAnsi="宋体"/>
                <w:color w:val="auto"/>
                <w:szCs w:val="24"/>
              </w:rPr>
              <w:t>序号</w:t>
            </w:r>
          </w:p>
        </w:tc>
        <w:tc>
          <w:tcPr>
            <w:tcW w:w="5500"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r>
              <w:rPr>
                <w:rFonts w:hint="eastAsia" w:ascii="宋体" w:hAnsi="宋体"/>
                <w:color w:val="auto"/>
                <w:szCs w:val="24"/>
              </w:rPr>
              <w:t>证明文件原件名称</w:t>
            </w:r>
          </w:p>
        </w:tc>
        <w:tc>
          <w:tcPr>
            <w:tcW w:w="1517"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r>
              <w:rPr>
                <w:rFonts w:hint="eastAsia" w:ascii="宋体" w:hAnsi="宋体"/>
                <w:color w:val="auto"/>
                <w:szCs w:val="24"/>
              </w:rPr>
              <w:t>份数</w:t>
            </w:r>
          </w:p>
        </w:tc>
        <w:tc>
          <w:tcPr>
            <w:tcW w:w="1588" w:type="dxa"/>
            <w:tcBorders>
              <w:top w:val="double" w:color="000000" w:sz="4"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color w:val="auto"/>
                <w:szCs w:val="24"/>
              </w:rPr>
            </w:pPr>
            <w:r>
              <w:rPr>
                <w:rFonts w:hint="eastAsia" w:ascii="宋体" w:hAnsi="宋体"/>
                <w:color w:val="auto"/>
                <w:szCs w:val="24"/>
              </w:rPr>
              <w:t>每份页数</w:t>
            </w: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r>
              <w:rPr>
                <w:rFonts w:ascii="宋体" w:hAnsi="宋体"/>
                <w:color w:val="auto"/>
                <w:szCs w:val="24"/>
              </w:rPr>
              <w:t>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color w:val="auto"/>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r>
              <w:rPr>
                <w:rFonts w:ascii="宋体" w:hAnsi="宋体"/>
                <w:color w:val="auto"/>
                <w:szCs w:val="24"/>
              </w:rPr>
              <w:t>2</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color w:val="auto"/>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r>
              <w:rPr>
                <w:rFonts w:ascii="宋体" w:hAnsi="宋体"/>
                <w:color w:val="auto"/>
                <w:szCs w:val="24"/>
              </w:rPr>
              <w:t>3</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color w:val="auto"/>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r>
              <w:rPr>
                <w:rFonts w:ascii="宋体" w:hAnsi="宋体"/>
                <w:color w:val="auto"/>
                <w:szCs w:val="24"/>
              </w:rPr>
              <w:t>4</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color w:val="auto"/>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r>
              <w:rPr>
                <w:rFonts w:ascii="宋体" w:hAnsi="宋体"/>
                <w:color w:val="auto"/>
                <w:szCs w:val="24"/>
              </w:rPr>
              <w:t>5</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color w:val="auto"/>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r>
              <w:rPr>
                <w:rFonts w:ascii="宋体" w:hAnsi="宋体"/>
                <w:color w:val="auto"/>
                <w:szCs w:val="24"/>
              </w:rPr>
              <w:t>6</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color w:val="auto"/>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r>
              <w:rPr>
                <w:rFonts w:ascii="宋体" w:hAnsi="宋体"/>
                <w:color w:val="auto"/>
                <w:szCs w:val="24"/>
              </w:rPr>
              <w:t>7</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color w:val="auto"/>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r>
              <w:rPr>
                <w:rFonts w:ascii="宋体" w:hAnsi="宋体"/>
                <w:color w:val="auto"/>
                <w:szCs w:val="24"/>
              </w:rPr>
              <w:t>8</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color w:val="auto"/>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r>
              <w:rPr>
                <w:rFonts w:ascii="宋体" w:hAnsi="宋体"/>
                <w:color w:val="auto"/>
                <w:szCs w:val="24"/>
              </w:rPr>
              <w:t>9</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color w:val="auto"/>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r>
              <w:rPr>
                <w:rFonts w:ascii="宋体" w:hAnsi="宋体"/>
                <w:color w:val="auto"/>
                <w:szCs w:val="24"/>
              </w:rPr>
              <w:t>10</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color w:val="auto"/>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r>
              <w:rPr>
                <w:rFonts w:ascii="宋体" w:hAnsi="宋体"/>
                <w:color w:val="auto"/>
                <w:szCs w:val="24"/>
              </w:rPr>
              <w:t>11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color w:val="auto"/>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double" w:color="000000" w:sz="4" w:space="0"/>
              <w:right w:val="single" w:color="000000" w:sz="6" w:space="0"/>
            </w:tcBorders>
            <w:tcMar>
              <w:top w:w="0" w:type="dxa"/>
              <w:left w:w="108" w:type="dxa"/>
              <w:bottom w:w="0" w:type="dxa"/>
              <w:right w:w="108" w:type="dxa"/>
            </w:tcMar>
            <w:vAlign w:val="center"/>
          </w:tcPr>
          <w:p>
            <w:pPr>
              <w:rPr>
                <w:rFonts w:ascii="宋体"/>
                <w:color w:val="auto"/>
                <w:szCs w:val="24"/>
              </w:rPr>
            </w:pPr>
            <w:r>
              <w:rPr>
                <w:rFonts w:hint="eastAsia" w:ascii="宋体" w:hAnsi="宋体"/>
                <w:color w:val="auto"/>
                <w:szCs w:val="24"/>
              </w:rPr>
              <w:t>…</w:t>
            </w:r>
          </w:p>
        </w:tc>
        <w:tc>
          <w:tcPr>
            <w:tcW w:w="5500"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17"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color w:val="auto"/>
                <w:szCs w:val="24"/>
              </w:rPr>
            </w:pPr>
          </w:p>
        </w:tc>
        <w:tc>
          <w:tcPr>
            <w:tcW w:w="1588" w:type="dxa"/>
            <w:tcBorders>
              <w:top w:val="single" w:color="000000" w:sz="6" w:space="0"/>
              <w:left w:val="single" w:color="000000" w:sz="6" w:space="0"/>
              <w:bottom w:val="double" w:color="000000" w:sz="4" w:space="0"/>
              <w:right w:val="double" w:color="000000" w:sz="4" w:space="0"/>
            </w:tcBorders>
            <w:tcMar>
              <w:top w:w="0" w:type="dxa"/>
              <w:left w:w="108" w:type="dxa"/>
              <w:bottom w:w="0" w:type="dxa"/>
              <w:right w:w="108" w:type="dxa"/>
            </w:tcMar>
            <w:vAlign w:val="center"/>
          </w:tcPr>
          <w:p>
            <w:pPr>
              <w:rPr>
                <w:rFonts w:ascii="宋体"/>
                <w:color w:val="auto"/>
                <w:szCs w:val="24"/>
              </w:rPr>
            </w:pPr>
          </w:p>
        </w:tc>
      </w:tr>
    </w:tbl>
    <w:p>
      <w:pPr>
        <w:spacing w:line="320" w:lineRule="exact"/>
        <w:rPr>
          <w:rFonts w:ascii="宋体" w:cs="Arial"/>
          <w:color w:val="auto"/>
          <w:szCs w:val="24"/>
        </w:rPr>
      </w:pPr>
    </w:p>
    <w:p>
      <w:pPr>
        <w:spacing w:line="320" w:lineRule="exact"/>
        <w:rPr>
          <w:rFonts w:ascii="宋体" w:cs="Arial"/>
          <w:color w:val="auto"/>
          <w:szCs w:val="24"/>
        </w:rPr>
      </w:pPr>
    </w:p>
    <w:p>
      <w:pPr>
        <w:spacing w:line="320" w:lineRule="exact"/>
        <w:ind w:firstLine="600"/>
        <w:rPr>
          <w:rFonts w:ascii="宋体" w:cs="Arial"/>
          <w:color w:val="auto"/>
          <w:szCs w:val="24"/>
          <w:u w:val="single"/>
        </w:rPr>
      </w:pPr>
      <w:r>
        <w:rPr>
          <w:rFonts w:hint="eastAsia" w:ascii="宋体" w:hAnsi="宋体" w:cs="Arial"/>
          <w:color w:val="auto"/>
          <w:szCs w:val="24"/>
        </w:rPr>
        <w:t>单位名称（并加盖公章）：</w:t>
      </w:r>
    </w:p>
    <w:p>
      <w:pPr>
        <w:pStyle w:val="53"/>
        <w:spacing w:line="320" w:lineRule="exact"/>
        <w:ind w:firstLine="660"/>
        <w:jc w:val="both"/>
        <w:rPr>
          <w:rFonts w:ascii="Arial" w:hAnsi="Arial" w:cs="Arial"/>
          <w:color w:val="auto"/>
        </w:rPr>
      </w:pPr>
      <w:r>
        <w:rPr>
          <w:rFonts w:hint="eastAsia"/>
          <w:color w:val="auto"/>
        </w:rPr>
        <w:t>签署日期：年月日</w:t>
      </w:r>
    </w:p>
    <w:p>
      <w:pPr>
        <w:spacing w:line="480" w:lineRule="exact"/>
        <w:ind w:firstLine="472"/>
        <w:rPr>
          <w:rFonts w:ascii="宋体"/>
          <w:b/>
          <w:color w:val="auto"/>
          <w:szCs w:val="24"/>
        </w:rPr>
      </w:pPr>
      <w:r>
        <w:rPr>
          <w:rFonts w:hint="eastAsia"/>
          <w:b/>
          <w:color w:val="auto"/>
          <w:szCs w:val="24"/>
        </w:rPr>
        <w:t>使用说明：请将此表仅粘贴于证明文件原件包装外。</w:t>
      </w:r>
      <w:r>
        <w:rPr>
          <w:color w:val="auto"/>
        </w:rPr>
        <w:br w:type="page"/>
      </w:r>
      <w:r>
        <w:rPr>
          <w:rFonts w:hint="eastAsia" w:ascii="宋体" w:hAnsi="宋体"/>
          <w:b/>
          <w:color w:val="auto"/>
          <w:szCs w:val="24"/>
        </w:rPr>
        <w:t>另附</w:t>
      </w:r>
      <w:r>
        <w:rPr>
          <w:rFonts w:ascii="宋体" w:hAnsi="宋体"/>
          <w:b/>
          <w:color w:val="auto"/>
          <w:szCs w:val="24"/>
        </w:rPr>
        <w:t>2</w:t>
      </w:r>
    </w:p>
    <w:p>
      <w:pPr>
        <w:spacing w:line="360" w:lineRule="auto"/>
        <w:jc w:val="center"/>
        <w:rPr>
          <w:rFonts w:ascii="宋体"/>
          <w:b/>
          <w:bCs/>
          <w:color w:val="auto"/>
          <w:sz w:val="36"/>
          <w:szCs w:val="36"/>
        </w:rPr>
      </w:pPr>
      <w:r>
        <w:rPr>
          <w:rFonts w:hint="eastAsia" w:ascii="宋体" w:hAnsi="宋体"/>
          <w:b/>
          <w:bCs/>
          <w:color w:val="auto"/>
          <w:sz w:val="36"/>
          <w:szCs w:val="36"/>
        </w:rPr>
        <w:t>供应商最后报价表</w:t>
      </w:r>
    </w:p>
    <w:p>
      <w:pPr>
        <w:ind w:firstLine="480"/>
        <w:rPr>
          <w:rFonts w:ascii="宋体" w:cs="Arial"/>
          <w:color w:val="auto"/>
          <w:szCs w:val="24"/>
        </w:rPr>
      </w:pPr>
    </w:p>
    <w:p>
      <w:pPr>
        <w:ind w:firstLine="480"/>
        <w:rPr>
          <w:rFonts w:ascii="宋体" w:cs="Arial"/>
          <w:color w:val="auto"/>
          <w:szCs w:val="24"/>
        </w:rPr>
      </w:pPr>
    </w:p>
    <w:p>
      <w:pPr>
        <w:ind w:firstLine="480"/>
        <w:rPr>
          <w:color w:val="auto"/>
        </w:rPr>
      </w:pPr>
      <w:r>
        <w:rPr>
          <w:rFonts w:hint="eastAsia" w:ascii="宋体" w:hAnsi="宋体" w:cs="Arial"/>
          <w:color w:val="auto"/>
          <w:szCs w:val="24"/>
        </w:rPr>
        <w:t>单位：元（人民币）</w:t>
      </w:r>
    </w:p>
    <w:tbl>
      <w:tblPr>
        <w:tblStyle w:val="33"/>
        <w:tblW w:w="9447" w:type="dxa"/>
        <w:tblInd w:w="151" w:type="dxa"/>
        <w:tblLayout w:type="fixed"/>
        <w:tblCellMar>
          <w:top w:w="0" w:type="dxa"/>
          <w:left w:w="10" w:type="dxa"/>
          <w:bottom w:w="0" w:type="dxa"/>
          <w:right w:w="10" w:type="dxa"/>
        </w:tblCellMar>
      </w:tblPr>
      <w:tblGrid>
        <w:gridCol w:w="2361"/>
        <w:gridCol w:w="2519"/>
        <w:gridCol w:w="1575"/>
        <w:gridCol w:w="2992"/>
      </w:tblGrid>
      <w:tr>
        <w:tblPrEx>
          <w:tblLayout w:type="fixed"/>
          <w:tblCellMar>
            <w:top w:w="0" w:type="dxa"/>
            <w:left w:w="10" w:type="dxa"/>
            <w:bottom w:w="0" w:type="dxa"/>
            <w:right w:w="10" w:type="dxa"/>
          </w:tblCellMar>
        </w:tblPrEx>
        <w:trPr>
          <w:trHeight w:val="445" w:hRule="atLeast"/>
        </w:trPr>
        <w:tc>
          <w:tcPr>
            <w:tcW w:w="23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bCs/>
                <w:color w:val="auto"/>
                <w:szCs w:val="24"/>
              </w:rPr>
            </w:pPr>
            <w:r>
              <w:rPr>
                <w:rFonts w:hint="eastAsia" w:ascii="宋体" w:hAnsi="宋体"/>
                <w:bCs/>
                <w:color w:val="auto"/>
                <w:szCs w:val="24"/>
              </w:rPr>
              <w:t>项目名称</w:t>
            </w:r>
          </w:p>
        </w:tc>
        <w:tc>
          <w:tcPr>
            <w:tcW w:w="2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bCs/>
                <w:color w:val="auto"/>
                <w:szCs w:val="24"/>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bCs/>
                <w:color w:val="auto"/>
                <w:szCs w:val="24"/>
              </w:rPr>
            </w:pPr>
            <w:r>
              <w:rPr>
                <w:rFonts w:hint="eastAsia" w:ascii="宋体" w:hAnsi="宋体"/>
                <w:bCs/>
                <w:color w:val="auto"/>
                <w:szCs w:val="24"/>
              </w:rPr>
              <w:t>项目编号</w:t>
            </w:r>
          </w:p>
        </w:tc>
        <w:tc>
          <w:tcPr>
            <w:tcW w:w="2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bCs/>
                <w:color w:val="auto"/>
                <w:szCs w:val="24"/>
              </w:rPr>
            </w:pPr>
          </w:p>
        </w:tc>
      </w:tr>
      <w:tr>
        <w:tblPrEx>
          <w:tblLayout w:type="fixed"/>
          <w:tblCellMar>
            <w:top w:w="0" w:type="dxa"/>
            <w:left w:w="10" w:type="dxa"/>
            <w:bottom w:w="0" w:type="dxa"/>
            <w:right w:w="10" w:type="dxa"/>
          </w:tblCellMar>
        </w:tblPrEx>
        <w:trPr>
          <w:trHeight w:val="1669" w:hRule="atLeast"/>
        </w:trPr>
        <w:tc>
          <w:tcPr>
            <w:tcW w:w="23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color w:val="auto"/>
                <w:szCs w:val="24"/>
              </w:rPr>
            </w:pPr>
            <w:r>
              <w:rPr>
                <w:rFonts w:hint="eastAsia" w:ascii="宋体" w:hAnsi="宋体" w:cs="宋体"/>
                <w:b/>
                <w:color w:val="auto"/>
                <w:szCs w:val="21"/>
              </w:rPr>
              <w:t>最后报价</w:t>
            </w:r>
          </w:p>
        </w:tc>
        <w:tc>
          <w:tcPr>
            <w:tcW w:w="708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color w:val="auto"/>
                <w:szCs w:val="21"/>
              </w:rPr>
            </w:pPr>
          </w:p>
          <w:p>
            <w:pPr>
              <w:rPr>
                <w:color w:val="auto"/>
                <w:szCs w:val="21"/>
              </w:rPr>
            </w:pPr>
          </w:p>
          <w:p>
            <w:pPr>
              <w:rPr>
                <w:color w:val="auto"/>
                <w:szCs w:val="21"/>
              </w:rPr>
            </w:pPr>
          </w:p>
          <w:p>
            <w:pPr>
              <w:rPr>
                <w:color w:val="auto"/>
                <w:szCs w:val="21"/>
              </w:rPr>
            </w:pPr>
            <w:r>
              <w:rPr>
                <w:rFonts w:hint="eastAsia"/>
                <w:color w:val="auto"/>
                <w:szCs w:val="21"/>
              </w:rPr>
              <w:t>大写 ：</w:t>
            </w:r>
          </w:p>
          <w:p>
            <w:pPr>
              <w:rPr>
                <w:color w:val="auto"/>
                <w:szCs w:val="21"/>
              </w:rPr>
            </w:pPr>
          </w:p>
          <w:p>
            <w:pPr>
              <w:rPr>
                <w:color w:val="auto"/>
                <w:szCs w:val="21"/>
              </w:rPr>
            </w:pPr>
          </w:p>
          <w:p>
            <w:pPr>
              <w:rPr>
                <w:color w:val="auto"/>
                <w:szCs w:val="21"/>
              </w:rPr>
            </w:pPr>
          </w:p>
          <w:p>
            <w:pPr>
              <w:rPr>
                <w:color w:val="auto"/>
                <w:szCs w:val="21"/>
              </w:rPr>
            </w:pPr>
          </w:p>
          <w:p>
            <w:pPr>
              <w:rPr>
                <w:color w:val="auto"/>
                <w:szCs w:val="21"/>
              </w:rPr>
            </w:pPr>
            <w:r>
              <w:rPr>
                <w:rFonts w:hint="eastAsia"/>
                <w:color w:val="auto"/>
                <w:szCs w:val="21"/>
              </w:rPr>
              <w:t>小写：</w:t>
            </w: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tc>
      </w:tr>
      <w:tr>
        <w:tblPrEx>
          <w:tblLayout w:type="fixed"/>
          <w:tblCellMar>
            <w:top w:w="0" w:type="dxa"/>
            <w:left w:w="10" w:type="dxa"/>
            <w:bottom w:w="0" w:type="dxa"/>
            <w:right w:w="10" w:type="dxa"/>
          </w:tblCellMar>
        </w:tblPrEx>
        <w:trPr>
          <w:trHeight w:val="992" w:hRule="atLeast"/>
        </w:trPr>
        <w:tc>
          <w:tcPr>
            <w:tcW w:w="9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240"/>
              <w:rPr>
                <w:color w:val="auto"/>
                <w:szCs w:val="24"/>
              </w:rPr>
            </w:pPr>
            <w:r>
              <w:rPr>
                <w:rFonts w:hint="eastAsia"/>
                <w:color w:val="auto"/>
                <w:szCs w:val="24"/>
              </w:rPr>
              <w:t>报价供应商：</w:t>
            </w:r>
          </w:p>
          <w:p>
            <w:pPr>
              <w:ind w:firstLine="240"/>
              <w:rPr>
                <w:color w:val="auto"/>
                <w:szCs w:val="24"/>
              </w:rPr>
            </w:pPr>
          </w:p>
          <w:p>
            <w:pPr>
              <w:ind w:firstLine="240"/>
              <w:rPr>
                <w:rFonts w:ascii="宋体"/>
                <w:bCs/>
                <w:color w:val="auto"/>
                <w:szCs w:val="24"/>
              </w:rPr>
            </w:pPr>
            <w:r>
              <w:rPr>
                <w:rFonts w:hint="eastAsia" w:ascii="宋体" w:hAnsi="宋体"/>
                <w:bCs/>
                <w:color w:val="auto"/>
                <w:szCs w:val="24"/>
              </w:rPr>
              <w:t>被授权人或法人代表（签字）</w:t>
            </w:r>
          </w:p>
          <w:p>
            <w:pPr>
              <w:ind w:firstLine="6600" w:firstLineChars="2750"/>
              <w:rPr>
                <w:rFonts w:ascii="宋体"/>
                <w:bCs/>
                <w:color w:val="auto"/>
                <w:szCs w:val="24"/>
              </w:rPr>
            </w:pPr>
            <w:r>
              <w:rPr>
                <w:rFonts w:hint="eastAsia" w:ascii="宋体" w:hAnsi="宋体"/>
                <w:bCs/>
                <w:color w:val="auto"/>
                <w:szCs w:val="24"/>
              </w:rPr>
              <w:t>时间：年月日</w:t>
            </w:r>
          </w:p>
        </w:tc>
      </w:tr>
    </w:tbl>
    <w:p>
      <w:pPr>
        <w:spacing w:line="320" w:lineRule="exact"/>
        <w:rPr>
          <w:rFonts w:ascii="宋体" w:hAnsi="宋体"/>
          <w:color w:val="auto"/>
          <w:szCs w:val="24"/>
        </w:rPr>
      </w:pPr>
      <w:r>
        <w:rPr>
          <w:rFonts w:hint="eastAsia" w:ascii="宋体" w:hAnsi="宋体"/>
          <w:color w:val="auto"/>
          <w:szCs w:val="24"/>
        </w:rPr>
        <w:t>注：本表格为投标供应商最后报价使用，供应商在参加谈判时可自备本表格。</w:t>
      </w:r>
    </w:p>
    <w:p>
      <w:pPr>
        <w:spacing w:line="320" w:lineRule="exact"/>
        <w:rPr>
          <w:rFonts w:ascii="宋体" w:hAnsi="宋体"/>
          <w:color w:val="auto"/>
          <w:szCs w:val="24"/>
        </w:rPr>
      </w:pPr>
    </w:p>
    <w:p>
      <w:pPr>
        <w:spacing w:line="320" w:lineRule="exact"/>
        <w:rPr>
          <w:rFonts w:ascii="宋体" w:hAnsi="宋体"/>
          <w:color w:val="auto"/>
          <w:szCs w:val="24"/>
        </w:rPr>
      </w:pPr>
    </w:p>
    <w:p>
      <w:pPr>
        <w:spacing w:line="320" w:lineRule="exact"/>
        <w:rPr>
          <w:rFonts w:ascii="宋体" w:hAnsi="宋体"/>
          <w:color w:val="auto"/>
          <w:szCs w:val="24"/>
        </w:rPr>
      </w:pPr>
    </w:p>
    <w:p>
      <w:pPr>
        <w:spacing w:line="440" w:lineRule="exact"/>
        <w:ind w:firstLine="140" w:firstLineChars="50"/>
        <w:jc w:val="left"/>
        <w:rPr>
          <w:color w:val="auto"/>
          <w:sz w:val="28"/>
          <w:szCs w:val="28"/>
        </w:rPr>
      </w:pPr>
    </w:p>
    <w:p>
      <w:pPr>
        <w:spacing w:line="440" w:lineRule="exact"/>
        <w:ind w:firstLine="5320" w:firstLineChars="1900"/>
        <w:jc w:val="left"/>
        <w:rPr>
          <w:color w:val="auto"/>
          <w:sz w:val="28"/>
          <w:szCs w:val="28"/>
        </w:rPr>
      </w:pPr>
    </w:p>
    <w:p>
      <w:pPr>
        <w:spacing w:line="320" w:lineRule="exact"/>
        <w:rPr>
          <w:color w:val="auto"/>
          <w:szCs w:val="24"/>
        </w:rPr>
      </w:pPr>
    </w:p>
    <w:sectPr>
      <w:footerReference r:id="rId3" w:type="default"/>
      <w:endnotePr>
        <w:numFmt w:val="decimal"/>
      </w:endnotePr>
      <w:pgSz w:w="11906" w:h="16838"/>
      <w:pgMar w:top="1440" w:right="1080" w:bottom="1440" w:left="108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Arabic </w:instrText>
    </w:r>
    <w:r>
      <w:fldChar w:fldCharType="separate"/>
    </w:r>
    <w:r>
      <w:t>10</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9F598"/>
    <w:multiLevelType w:val="singleLevel"/>
    <w:tmpl w:val="26E9F598"/>
    <w:lvl w:ilvl="0" w:tentative="0">
      <w:start w:val="6"/>
      <w:numFmt w:val="chineseCounting"/>
      <w:suff w:val="space"/>
      <w:lvlText w:val="第%1章"/>
      <w:lvlJc w:val="left"/>
      <w:rPr>
        <w:rFonts w:hint="eastAsia"/>
      </w:rPr>
    </w:lvl>
  </w:abstractNum>
  <w:abstractNum w:abstractNumId="1">
    <w:nsid w:val="2B6634BE"/>
    <w:multiLevelType w:val="singleLevel"/>
    <w:tmpl w:val="2B6634BE"/>
    <w:lvl w:ilvl="0" w:tentative="0">
      <w:start w:val="1"/>
      <w:numFmt w:val="decimal"/>
      <w:suff w:val="nothing"/>
      <w:lvlText w:val="（%1）"/>
      <w:lvlJc w:val="left"/>
      <w:rPr>
        <w:rFonts w:cs="Times New Roman"/>
      </w:rPr>
    </w:lvl>
  </w:abstractNum>
  <w:abstractNum w:abstractNumId="2">
    <w:nsid w:val="31361120"/>
    <w:multiLevelType w:val="multilevel"/>
    <w:tmpl w:val="31361120"/>
    <w:lvl w:ilvl="0" w:tentative="0">
      <w:start w:val="1"/>
      <w:numFmt w:val="decimal"/>
      <w:lvlText w:val="%1."/>
      <w:lvlJc w:val="left"/>
      <w:pPr>
        <w:ind w:left="870" w:hanging="36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3">
    <w:nsid w:val="4F1654FD"/>
    <w:multiLevelType w:val="singleLevel"/>
    <w:tmpl w:val="4F1654FD"/>
    <w:lvl w:ilvl="0" w:tentative="0">
      <w:start w:val="6"/>
      <w:numFmt w:val="decimal"/>
      <w:suff w:val="nothing"/>
      <w:lvlText w:val="%1."/>
      <w:lvlJc w:val="left"/>
      <w:rPr>
        <w:rFonts w:cs="Times New Roman"/>
      </w:rPr>
    </w:lvl>
  </w:abstractNum>
  <w:abstractNum w:abstractNumId="4">
    <w:nsid w:val="59DB3F6B"/>
    <w:multiLevelType w:val="singleLevel"/>
    <w:tmpl w:val="59DB3F6B"/>
    <w:lvl w:ilvl="0" w:tentative="0">
      <w:start w:val="1"/>
      <w:numFmt w:val="decimal"/>
      <w:suff w:val="space"/>
      <w:lvlText w:val="%1."/>
      <w:lvlJc w:val="left"/>
    </w:lvl>
  </w:abstractNum>
  <w:abstractNum w:abstractNumId="5">
    <w:nsid w:val="5D222A9D"/>
    <w:multiLevelType w:val="multilevel"/>
    <w:tmpl w:val="5D222A9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1A776EA"/>
    <w:multiLevelType w:val="singleLevel"/>
    <w:tmpl w:val="71A776EA"/>
    <w:lvl w:ilvl="0" w:tentative="0">
      <w:start w:val="1"/>
      <w:numFmt w:val="decimal"/>
      <w:suff w:val="nothing"/>
      <w:lvlText w:val="（%1）"/>
      <w:lvlJc w:val="left"/>
      <w:rPr>
        <w:rFonts w:cs="Times New Roman"/>
      </w:r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20"/>
  <w:drawingGridVerticalSpacing w:val="163"/>
  <w:characterSpacingControl w:val="doNotCompress"/>
  <w:noLineBreaksAfter w:lang="zh-CN" w:val="$([{£¥·‘“〈《「『【〔〖〝﹙﹛﹝＄（．［｛￡￥"/>
  <w:noLineBreaksBefore w:lang="zh-CN" w:val="!%),.:;&gt;?]}¢¨°·ˇˉ―‖’”…‰′″›℃∶、。〃〉》」』】〕〗〞︶︺︾﹀﹄﹚﹜﹞！＂％＇），．：；？］｀｜｝～￠"/>
  <w:endnotePr>
    <w:numFmt w:val="decimal"/>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0DDD"/>
    <w:rsid w:val="00002A68"/>
    <w:rsid w:val="00005726"/>
    <w:rsid w:val="000333ED"/>
    <w:rsid w:val="00033FCE"/>
    <w:rsid w:val="00035921"/>
    <w:rsid w:val="00050DDD"/>
    <w:rsid w:val="00084C88"/>
    <w:rsid w:val="00092B78"/>
    <w:rsid w:val="00093037"/>
    <w:rsid w:val="00094CB8"/>
    <w:rsid w:val="000D1833"/>
    <w:rsid w:val="000D1F58"/>
    <w:rsid w:val="000D3946"/>
    <w:rsid w:val="000E6806"/>
    <w:rsid w:val="001006B6"/>
    <w:rsid w:val="00117A7E"/>
    <w:rsid w:val="00143F7F"/>
    <w:rsid w:val="00156DD2"/>
    <w:rsid w:val="00171E12"/>
    <w:rsid w:val="00184864"/>
    <w:rsid w:val="001B7928"/>
    <w:rsid w:val="001C7DB3"/>
    <w:rsid w:val="001E723A"/>
    <w:rsid w:val="001F4AFE"/>
    <w:rsid w:val="002115D1"/>
    <w:rsid w:val="0021797C"/>
    <w:rsid w:val="00233FF4"/>
    <w:rsid w:val="00234360"/>
    <w:rsid w:val="00245ABD"/>
    <w:rsid w:val="00250E60"/>
    <w:rsid w:val="002700B1"/>
    <w:rsid w:val="00283069"/>
    <w:rsid w:val="00284056"/>
    <w:rsid w:val="00291471"/>
    <w:rsid w:val="0029150D"/>
    <w:rsid w:val="0029249C"/>
    <w:rsid w:val="002C7FEA"/>
    <w:rsid w:val="002E128D"/>
    <w:rsid w:val="00300066"/>
    <w:rsid w:val="00340C43"/>
    <w:rsid w:val="00344F85"/>
    <w:rsid w:val="00347E4C"/>
    <w:rsid w:val="0036171B"/>
    <w:rsid w:val="00361F86"/>
    <w:rsid w:val="00366E56"/>
    <w:rsid w:val="00375062"/>
    <w:rsid w:val="00376E86"/>
    <w:rsid w:val="003832BB"/>
    <w:rsid w:val="003841AC"/>
    <w:rsid w:val="0039145E"/>
    <w:rsid w:val="003A62C0"/>
    <w:rsid w:val="003B0A8A"/>
    <w:rsid w:val="003B4D4C"/>
    <w:rsid w:val="003B6B82"/>
    <w:rsid w:val="003B7538"/>
    <w:rsid w:val="003C18AE"/>
    <w:rsid w:val="003C304B"/>
    <w:rsid w:val="003D1FA0"/>
    <w:rsid w:val="003D40A8"/>
    <w:rsid w:val="00417678"/>
    <w:rsid w:val="00423421"/>
    <w:rsid w:val="00447D0C"/>
    <w:rsid w:val="00447DD3"/>
    <w:rsid w:val="004721AA"/>
    <w:rsid w:val="004D0095"/>
    <w:rsid w:val="004E1569"/>
    <w:rsid w:val="004E364D"/>
    <w:rsid w:val="004F3054"/>
    <w:rsid w:val="00552405"/>
    <w:rsid w:val="00561C0C"/>
    <w:rsid w:val="00562B8B"/>
    <w:rsid w:val="005968EE"/>
    <w:rsid w:val="005A22BC"/>
    <w:rsid w:val="005B2381"/>
    <w:rsid w:val="005B7792"/>
    <w:rsid w:val="005C7E50"/>
    <w:rsid w:val="005F149F"/>
    <w:rsid w:val="00611390"/>
    <w:rsid w:val="00613500"/>
    <w:rsid w:val="00624793"/>
    <w:rsid w:val="00641B82"/>
    <w:rsid w:val="00642283"/>
    <w:rsid w:val="0064277F"/>
    <w:rsid w:val="00657E86"/>
    <w:rsid w:val="00662267"/>
    <w:rsid w:val="0066727F"/>
    <w:rsid w:val="00674ACF"/>
    <w:rsid w:val="00682C41"/>
    <w:rsid w:val="00690D46"/>
    <w:rsid w:val="006B68F1"/>
    <w:rsid w:val="006C3912"/>
    <w:rsid w:val="006D13B9"/>
    <w:rsid w:val="006D7410"/>
    <w:rsid w:val="006E3E67"/>
    <w:rsid w:val="006E6735"/>
    <w:rsid w:val="006F2996"/>
    <w:rsid w:val="006F61E9"/>
    <w:rsid w:val="006F733B"/>
    <w:rsid w:val="00722E7F"/>
    <w:rsid w:val="0072689F"/>
    <w:rsid w:val="00740715"/>
    <w:rsid w:val="00750D53"/>
    <w:rsid w:val="007B27CD"/>
    <w:rsid w:val="007D31BD"/>
    <w:rsid w:val="007D582C"/>
    <w:rsid w:val="00801253"/>
    <w:rsid w:val="00802215"/>
    <w:rsid w:val="00821345"/>
    <w:rsid w:val="008214C2"/>
    <w:rsid w:val="008415C6"/>
    <w:rsid w:val="00865B26"/>
    <w:rsid w:val="008663F2"/>
    <w:rsid w:val="00881342"/>
    <w:rsid w:val="00881833"/>
    <w:rsid w:val="00895C48"/>
    <w:rsid w:val="008A470B"/>
    <w:rsid w:val="008B3853"/>
    <w:rsid w:val="008C0FD6"/>
    <w:rsid w:val="008D154F"/>
    <w:rsid w:val="008E5576"/>
    <w:rsid w:val="00912F23"/>
    <w:rsid w:val="00914AA7"/>
    <w:rsid w:val="00920D5F"/>
    <w:rsid w:val="0094553E"/>
    <w:rsid w:val="00945D8F"/>
    <w:rsid w:val="009517C3"/>
    <w:rsid w:val="00981D39"/>
    <w:rsid w:val="0098360C"/>
    <w:rsid w:val="00983EE3"/>
    <w:rsid w:val="009D3F53"/>
    <w:rsid w:val="009D4D88"/>
    <w:rsid w:val="009E1E7D"/>
    <w:rsid w:val="009E3EBB"/>
    <w:rsid w:val="009F0FE3"/>
    <w:rsid w:val="009F4FAB"/>
    <w:rsid w:val="00A00AC5"/>
    <w:rsid w:val="00A05E28"/>
    <w:rsid w:val="00A0688E"/>
    <w:rsid w:val="00A17ACB"/>
    <w:rsid w:val="00A20AA4"/>
    <w:rsid w:val="00A27276"/>
    <w:rsid w:val="00A80DAA"/>
    <w:rsid w:val="00AB05DB"/>
    <w:rsid w:val="00AB466E"/>
    <w:rsid w:val="00AC39B3"/>
    <w:rsid w:val="00AF7369"/>
    <w:rsid w:val="00B05C14"/>
    <w:rsid w:val="00B10CB9"/>
    <w:rsid w:val="00B234A2"/>
    <w:rsid w:val="00B2751A"/>
    <w:rsid w:val="00B30490"/>
    <w:rsid w:val="00B555C3"/>
    <w:rsid w:val="00B57F40"/>
    <w:rsid w:val="00B6172C"/>
    <w:rsid w:val="00B80D22"/>
    <w:rsid w:val="00B8442E"/>
    <w:rsid w:val="00BA5C8F"/>
    <w:rsid w:val="00BA772B"/>
    <w:rsid w:val="00BB27CC"/>
    <w:rsid w:val="00BD2383"/>
    <w:rsid w:val="00BE2EA6"/>
    <w:rsid w:val="00BF0995"/>
    <w:rsid w:val="00C05BE2"/>
    <w:rsid w:val="00C269FB"/>
    <w:rsid w:val="00C65BD6"/>
    <w:rsid w:val="00CB3A28"/>
    <w:rsid w:val="00CD6FDF"/>
    <w:rsid w:val="00CF2689"/>
    <w:rsid w:val="00CF4015"/>
    <w:rsid w:val="00D26A75"/>
    <w:rsid w:val="00D54D1A"/>
    <w:rsid w:val="00D6696B"/>
    <w:rsid w:val="00D70783"/>
    <w:rsid w:val="00D847B3"/>
    <w:rsid w:val="00DA2EBF"/>
    <w:rsid w:val="00DA56E4"/>
    <w:rsid w:val="00DE0481"/>
    <w:rsid w:val="00E07350"/>
    <w:rsid w:val="00E2059F"/>
    <w:rsid w:val="00E2091B"/>
    <w:rsid w:val="00E23563"/>
    <w:rsid w:val="00E51DBE"/>
    <w:rsid w:val="00E52C8D"/>
    <w:rsid w:val="00E802AA"/>
    <w:rsid w:val="00E8096C"/>
    <w:rsid w:val="00E845AD"/>
    <w:rsid w:val="00E961CF"/>
    <w:rsid w:val="00ED0E91"/>
    <w:rsid w:val="00F30B67"/>
    <w:rsid w:val="00F36428"/>
    <w:rsid w:val="00F61FA7"/>
    <w:rsid w:val="00F9317E"/>
    <w:rsid w:val="00FA210A"/>
    <w:rsid w:val="00FC7614"/>
    <w:rsid w:val="00FE43F5"/>
    <w:rsid w:val="020A0E29"/>
    <w:rsid w:val="050448CA"/>
    <w:rsid w:val="05883C9D"/>
    <w:rsid w:val="08146925"/>
    <w:rsid w:val="0DA300A3"/>
    <w:rsid w:val="1493351D"/>
    <w:rsid w:val="168F661E"/>
    <w:rsid w:val="2B58072B"/>
    <w:rsid w:val="30250EBD"/>
    <w:rsid w:val="30AB03E7"/>
    <w:rsid w:val="33A27B33"/>
    <w:rsid w:val="37A51FB4"/>
    <w:rsid w:val="3B7D75DC"/>
    <w:rsid w:val="3C254983"/>
    <w:rsid w:val="3F59244A"/>
    <w:rsid w:val="3F716F2D"/>
    <w:rsid w:val="52335162"/>
    <w:rsid w:val="560431F7"/>
    <w:rsid w:val="5D7375B2"/>
    <w:rsid w:val="6CD94B57"/>
    <w:rsid w:val="73AB75FF"/>
    <w:rsid w:val="73D30883"/>
    <w:rsid w:val="77164693"/>
    <w:rsid w:val="7F44177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黑体"/>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1"/>
      <w:sz w:val="24"/>
      <w:szCs w:val="22"/>
      <w:lang w:val="en-US" w:eastAsia="zh-CN" w:bidi="ar-SA"/>
    </w:rPr>
  </w:style>
  <w:style w:type="paragraph" w:styleId="2">
    <w:name w:val="heading 1"/>
    <w:basedOn w:val="1"/>
    <w:next w:val="1"/>
    <w:link w:val="34"/>
    <w:qFormat/>
    <w:uiPriority w:val="99"/>
    <w:pPr>
      <w:keepNext/>
      <w:keepLines/>
      <w:spacing w:before="340" w:after="330" w:line="578" w:lineRule="auto"/>
      <w:jc w:val="center"/>
      <w:outlineLvl w:val="0"/>
    </w:pPr>
    <w:rPr>
      <w:b/>
      <w:bCs/>
      <w:sz w:val="72"/>
      <w:szCs w:val="44"/>
    </w:rPr>
  </w:style>
  <w:style w:type="paragraph" w:styleId="3">
    <w:name w:val="heading 2"/>
    <w:basedOn w:val="1"/>
    <w:next w:val="1"/>
    <w:link w:val="35"/>
    <w:qFormat/>
    <w:uiPriority w:val="99"/>
    <w:pPr>
      <w:keepNext/>
      <w:keepLines/>
      <w:spacing w:before="20" w:after="20" w:line="415" w:lineRule="auto"/>
      <w:jc w:val="center"/>
      <w:outlineLvl w:val="1"/>
    </w:pPr>
    <w:rPr>
      <w:rFonts w:ascii="Cambria" w:hAnsi="Cambria"/>
      <w:b/>
      <w:bCs/>
      <w:sz w:val="30"/>
      <w:szCs w:val="32"/>
    </w:rPr>
  </w:style>
  <w:style w:type="paragraph" w:styleId="4">
    <w:name w:val="heading 3"/>
    <w:basedOn w:val="1"/>
    <w:next w:val="1"/>
    <w:link w:val="36"/>
    <w:qFormat/>
    <w:uiPriority w:val="99"/>
    <w:pPr>
      <w:keepNext/>
      <w:keepLines/>
      <w:spacing w:line="415" w:lineRule="auto"/>
      <w:jc w:val="left"/>
      <w:outlineLvl w:val="2"/>
    </w:pPr>
    <w:rPr>
      <w:b/>
      <w:bCs/>
      <w:sz w:val="28"/>
      <w:szCs w:val="32"/>
    </w:rPr>
  </w:style>
  <w:style w:type="character" w:default="1" w:styleId="30">
    <w:name w:val="Default Paragraph Font"/>
    <w:semiHidden/>
    <w:unhideWhenUsed/>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58"/>
    <w:qFormat/>
    <w:uiPriority w:val="99"/>
    <w:rPr>
      <w:b/>
      <w:bCs/>
      <w:sz w:val="24"/>
      <w:szCs w:val="22"/>
    </w:rPr>
  </w:style>
  <w:style w:type="paragraph" w:styleId="6">
    <w:name w:val="annotation text"/>
    <w:basedOn w:val="1"/>
    <w:link w:val="57"/>
    <w:qFormat/>
    <w:uiPriority w:val="99"/>
    <w:rPr>
      <w:sz w:val="20"/>
      <w:szCs w:val="20"/>
    </w:rPr>
  </w:style>
  <w:style w:type="paragraph" w:styleId="7">
    <w:name w:val="toc 7"/>
    <w:basedOn w:val="1"/>
    <w:next w:val="1"/>
    <w:qFormat/>
    <w:uiPriority w:val="99"/>
    <w:pPr>
      <w:ind w:left="1050"/>
      <w:jc w:val="left"/>
    </w:pPr>
    <w:rPr>
      <w:rFonts w:cs="Calibri"/>
      <w:sz w:val="20"/>
      <w:szCs w:val="20"/>
    </w:rPr>
  </w:style>
  <w:style w:type="paragraph" w:styleId="8">
    <w:name w:val="Body Text First Indent"/>
    <w:basedOn w:val="9"/>
    <w:link w:val="40"/>
    <w:qFormat/>
    <w:uiPriority w:val="99"/>
    <w:pPr>
      <w:spacing w:line="360" w:lineRule="auto"/>
      <w:ind w:left="0" w:firstLine="200"/>
      <w:jc w:val="both"/>
    </w:pPr>
    <w:rPr>
      <w:rFonts w:ascii="Calibri" w:hAnsi="Calibri" w:cs="黑体"/>
      <w:sz w:val="24"/>
      <w:szCs w:val="22"/>
    </w:rPr>
  </w:style>
  <w:style w:type="paragraph" w:styleId="9">
    <w:name w:val="Body Text"/>
    <w:basedOn w:val="1"/>
    <w:link w:val="39"/>
    <w:qFormat/>
    <w:uiPriority w:val="99"/>
    <w:pPr>
      <w:ind w:left="730"/>
      <w:jc w:val="left"/>
    </w:pPr>
    <w:rPr>
      <w:rFonts w:ascii="宋体" w:hAnsi="宋体" w:cs="Times New Roman"/>
      <w:sz w:val="23"/>
      <w:szCs w:val="23"/>
    </w:rPr>
  </w:style>
  <w:style w:type="paragraph" w:styleId="10">
    <w:name w:val="Normal Indent"/>
    <w:basedOn w:val="1"/>
    <w:qFormat/>
    <w:uiPriority w:val="99"/>
    <w:pPr>
      <w:spacing w:line="360" w:lineRule="atLeast"/>
      <w:ind w:firstLine="420"/>
      <w:jc w:val="left"/>
    </w:pPr>
    <w:rPr>
      <w:rFonts w:ascii="Times New Roman" w:hAnsi="Times New Roman"/>
      <w:szCs w:val="20"/>
    </w:rPr>
  </w:style>
  <w:style w:type="paragraph" w:styleId="11">
    <w:name w:val="Document Map"/>
    <w:basedOn w:val="1"/>
    <w:link w:val="41"/>
    <w:qFormat/>
    <w:uiPriority w:val="99"/>
    <w:pPr>
      <w:pBdr>
        <w:top w:val="none" w:color="000000" w:sz="0" w:space="3"/>
        <w:left w:val="none" w:color="000000" w:sz="0" w:space="3"/>
        <w:bottom w:val="none" w:color="000000" w:sz="0" w:space="3"/>
        <w:right w:val="none" w:color="000000" w:sz="0" w:space="3"/>
        <w:between w:val="none" w:color="000000" w:sz="0" w:space="0"/>
      </w:pBdr>
      <w:shd w:val="clear" w:color="000000" w:fill="000080"/>
    </w:pPr>
  </w:style>
  <w:style w:type="paragraph" w:styleId="12">
    <w:name w:val="Body Text 3"/>
    <w:basedOn w:val="1"/>
    <w:link w:val="88"/>
    <w:semiHidden/>
    <w:unhideWhenUsed/>
    <w:qFormat/>
    <w:uiPriority w:val="99"/>
    <w:pPr>
      <w:spacing w:after="120"/>
    </w:pPr>
    <w:rPr>
      <w:kern w:val="2"/>
      <w:sz w:val="16"/>
      <w:szCs w:val="16"/>
    </w:rPr>
  </w:style>
  <w:style w:type="paragraph" w:styleId="13">
    <w:name w:val="Body Text Indent"/>
    <w:basedOn w:val="1"/>
    <w:link w:val="42"/>
    <w:qFormat/>
    <w:uiPriority w:val="99"/>
    <w:pPr>
      <w:spacing w:line="360" w:lineRule="auto"/>
      <w:ind w:firstLine="480"/>
    </w:pPr>
    <w:rPr>
      <w:rFonts w:ascii="宋体" w:hAnsi="宋体"/>
      <w:szCs w:val="20"/>
    </w:rPr>
  </w:style>
  <w:style w:type="paragraph" w:styleId="14">
    <w:name w:val="toc 5"/>
    <w:basedOn w:val="1"/>
    <w:next w:val="1"/>
    <w:qFormat/>
    <w:uiPriority w:val="99"/>
    <w:pPr>
      <w:ind w:left="630"/>
      <w:jc w:val="left"/>
    </w:pPr>
    <w:rPr>
      <w:rFonts w:cs="Calibri"/>
      <w:sz w:val="20"/>
      <w:szCs w:val="20"/>
    </w:rPr>
  </w:style>
  <w:style w:type="paragraph" w:styleId="15">
    <w:name w:val="toc 3"/>
    <w:basedOn w:val="1"/>
    <w:next w:val="1"/>
    <w:qFormat/>
    <w:uiPriority w:val="99"/>
    <w:pPr>
      <w:ind w:left="210"/>
      <w:jc w:val="left"/>
    </w:pPr>
    <w:rPr>
      <w:rFonts w:cs="Calibri"/>
      <w:sz w:val="20"/>
      <w:szCs w:val="20"/>
    </w:rPr>
  </w:style>
  <w:style w:type="paragraph" w:styleId="16">
    <w:name w:val="Plain Text"/>
    <w:basedOn w:val="1"/>
    <w:link w:val="43"/>
    <w:qFormat/>
    <w:uiPriority w:val="99"/>
    <w:rPr>
      <w:rFonts w:ascii="宋体" w:hAnsi="宋体" w:cs="Times New Roman"/>
      <w:sz w:val="20"/>
      <w:szCs w:val="21"/>
    </w:rPr>
  </w:style>
  <w:style w:type="paragraph" w:styleId="17">
    <w:name w:val="toc 8"/>
    <w:basedOn w:val="1"/>
    <w:next w:val="1"/>
    <w:qFormat/>
    <w:uiPriority w:val="99"/>
    <w:pPr>
      <w:ind w:left="1260"/>
      <w:jc w:val="left"/>
    </w:pPr>
    <w:rPr>
      <w:rFonts w:cs="Calibri"/>
      <w:sz w:val="20"/>
      <w:szCs w:val="20"/>
    </w:rPr>
  </w:style>
  <w:style w:type="paragraph" w:styleId="18">
    <w:name w:val="Date"/>
    <w:basedOn w:val="1"/>
    <w:next w:val="1"/>
    <w:link w:val="44"/>
    <w:qFormat/>
    <w:uiPriority w:val="99"/>
    <w:rPr>
      <w:szCs w:val="20"/>
    </w:rPr>
  </w:style>
  <w:style w:type="paragraph" w:styleId="19">
    <w:name w:val="Body Text Indent 2"/>
    <w:basedOn w:val="1"/>
    <w:link w:val="45"/>
    <w:qFormat/>
    <w:uiPriority w:val="99"/>
    <w:pPr>
      <w:spacing w:after="120" w:line="480" w:lineRule="auto"/>
      <w:ind w:left="420"/>
    </w:pPr>
  </w:style>
  <w:style w:type="paragraph" w:styleId="20">
    <w:name w:val="Balloon Text"/>
    <w:basedOn w:val="1"/>
    <w:link w:val="46"/>
    <w:qFormat/>
    <w:uiPriority w:val="99"/>
    <w:rPr>
      <w:sz w:val="18"/>
      <w:szCs w:val="18"/>
    </w:rPr>
  </w:style>
  <w:style w:type="paragraph" w:styleId="21">
    <w:name w:val="footer"/>
    <w:basedOn w:val="1"/>
    <w:link w:val="47"/>
    <w:qFormat/>
    <w:uiPriority w:val="99"/>
    <w:pPr>
      <w:jc w:val="left"/>
    </w:pPr>
    <w:rPr>
      <w:sz w:val="18"/>
      <w:szCs w:val="18"/>
    </w:rPr>
  </w:style>
  <w:style w:type="paragraph" w:styleId="22">
    <w:name w:val="header"/>
    <w:basedOn w:val="1"/>
    <w:link w:val="48"/>
    <w:qFormat/>
    <w:uiPriority w:val="99"/>
    <w:pPr>
      <w:pBdr>
        <w:top w:val="none" w:color="000000" w:sz="0" w:space="3"/>
        <w:left w:val="none" w:color="000000" w:sz="0" w:space="3"/>
        <w:bottom w:val="single" w:color="000000" w:sz="6" w:space="1"/>
        <w:right w:val="none" w:color="000000" w:sz="0" w:space="3"/>
        <w:between w:val="none" w:color="000000" w:sz="0" w:space="0"/>
      </w:pBdr>
      <w:shd w:val="solid" w:color="000000" w:fill="FFFFFF"/>
      <w:jc w:val="center"/>
    </w:pPr>
    <w:rPr>
      <w:sz w:val="18"/>
      <w:szCs w:val="18"/>
    </w:rPr>
  </w:style>
  <w:style w:type="paragraph" w:styleId="23">
    <w:name w:val="toc 1"/>
    <w:basedOn w:val="1"/>
    <w:next w:val="1"/>
    <w:qFormat/>
    <w:uiPriority w:val="99"/>
    <w:pPr>
      <w:spacing w:before="360"/>
      <w:jc w:val="left"/>
    </w:pPr>
    <w:rPr>
      <w:rFonts w:ascii="Cambria" w:hAnsi="Cambria"/>
      <w:b/>
      <w:bCs/>
      <w:caps/>
      <w:szCs w:val="24"/>
    </w:rPr>
  </w:style>
  <w:style w:type="paragraph" w:styleId="24">
    <w:name w:val="toc 4"/>
    <w:basedOn w:val="1"/>
    <w:next w:val="1"/>
    <w:qFormat/>
    <w:uiPriority w:val="99"/>
    <w:pPr>
      <w:ind w:left="420"/>
      <w:jc w:val="left"/>
    </w:pPr>
    <w:rPr>
      <w:rFonts w:cs="Calibri"/>
      <w:sz w:val="20"/>
      <w:szCs w:val="20"/>
    </w:rPr>
  </w:style>
  <w:style w:type="paragraph" w:styleId="25">
    <w:name w:val="List"/>
    <w:basedOn w:val="1"/>
    <w:qFormat/>
    <w:uiPriority w:val="99"/>
    <w:pPr>
      <w:ind w:left="200" w:hanging="200"/>
    </w:pPr>
    <w:rPr>
      <w:rFonts w:cs="Times New Roman"/>
      <w:sz w:val="21"/>
      <w:szCs w:val="24"/>
    </w:rPr>
  </w:style>
  <w:style w:type="paragraph" w:styleId="26">
    <w:name w:val="toc 6"/>
    <w:basedOn w:val="1"/>
    <w:next w:val="1"/>
    <w:qFormat/>
    <w:uiPriority w:val="99"/>
    <w:pPr>
      <w:ind w:left="840"/>
      <w:jc w:val="left"/>
    </w:pPr>
    <w:rPr>
      <w:rFonts w:cs="Calibri"/>
      <w:sz w:val="20"/>
      <w:szCs w:val="20"/>
    </w:rPr>
  </w:style>
  <w:style w:type="paragraph" w:styleId="27">
    <w:name w:val="toc 2"/>
    <w:basedOn w:val="1"/>
    <w:next w:val="1"/>
    <w:qFormat/>
    <w:uiPriority w:val="99"/>
    <w:pPr>
      <w:spacing w:before="240"/>
      <w:jc w:val="left"/>
    </w:pPr>
    <w:rPr>
      <w:rFonts w:cs="Calibri"/>
      <w:b/>
      <w:bCs/>
      <w:sz w:val="20"/>
      <w:szCs w:val="20"/>
    </w:rPr>
  </w:style>
  <w:style w:type="paragraph" w:styleId="28">
    <w:name w:val="toc 9"/>
    <w:basedOn w:val="1"/>
    <w:next w:val="1"/>
    <w:qFormat/>
    <w:uiPriority w:val="99"/>
    <w:pPr>
      <w:ind w:left="1470"/>
      <w:jc w:val="left"/>
    </w:pPr>
    <w:rPr>
      <w:rFonts w:cs="Calibri"/>
      <w:sz w:val="20"/>
      <w:szCs w:val="20"/>
    </w:rPr>
  </w:style>
  <w:style w:type="paragraph" w:styleId="29">
    <w:name w:val="Normal (Web)"/>
    <w:basedOn w:val="1"/>
    <w:qFormat/>
    <w:uiPriority w:val="0"/>
    <w:pPr>
      <w:spacing w:beforeAutospacing="1" w:afterAutospacing="1"/>
      <w:jc w:val="left"/>
    </w:pPr>
    <w:rPr>
      <w:rFonts w:cs="Times New Roman"/>
    </w:rPr>
  </w:style>
  <w:style w:type="character" w:styleId="31">
    <w:name w:val="Hyperlink"/>
    <w:basedOn w:val="30"/>
    <w:qFormat/>
    <w:uiPriority w:val="99"/>
    <w:rPr>
      <w:rFonts w:cs="Times New Roman"/>
      <w:color w:val="0000FF"/>
      <w:kern w:val="0"/>
      <w:sz w:val="20"/>
      <w:u w:val="single"/>
    </w:rPr>
  </w:style>
  <w:style w:type="character" w:styleId="32">
    <w:name w:val="annotation reference"/>
    <w:basedOn w:val="30"/>
    <w:semiHidden/>
    <w:qFormat/>
    <w:uiPriority w:val="99"/>
    <w:rPr>
      <w:rFonts w:cs="Times New Roman"/>
      <w:sz w:val="21"/>
      <w:szCs w:val="21"/>
    </w:rPr>
  </w:style>
  <w:style w:type="character" w:customStyle="1" w:styleId="34">
    <w:name w:val="标题 1 Char2"/>
    <w:basedOn w:val="30"/>
    <w:link w:val="2"/>
    <w:qFormat/>
    <w:locked/>
    <w:uiPriority w:val="99"/>
    <w:rPr>
      <w:rFonts w:cs="Times New Roman"/>
      <w:b/>
      <w:bCs/>
      <w:kern w:val="44"/>
      <w:sz w:val="44"/>
      <w:szCs w:val="44"/>
    </w:rPr>
  </w:style>
  <w:style w:type="character" w:customStyle="1" w:styleId="35">
    <w:name w:val="标题 2 Char2"/>
    <w:basedOn w:val="30"/>
    <w:link w:val="3"/>
    <w:semiHidden/>
    <w:qFormat/>
    <w:locked/>
    <w:uiPriority w:val="99"/>
    <w:rPr>
      <w:rFonts w:ascii="Cambria" w:hAnsi="Cambria" w:eastAsia="宋体" w:cs="Times New Roman"/>
      <w:b/>
      <w:bCs/>
      <w:kern w:val="1"/>
      <w:sz w:val="32"/>
      <w:szCs w:val="32"/>
    </w:rPr>
  </w:style>
  <w:style w:type="character" w:customStyle="1" w:styleId="36">
    <w:name w:val="标题 3 Char2"/>
    <w:basedOn w:val="30"/>
    <w:link w:val="4"/>
    <w:semiHidden/>
    <w:qFormat/>
    <w:locked/>
    <w:uiPriority w:val="99"/>
    <w:rPr>
      <w:rFonts w:cs="Times New Roman"/>
      <w:b/>
      <w:bCs/>
      <w:kern w:val="1"/>
      <w:sz w:val="32"/>
      <w:szCs w:val="32"/>
    </w:rPr>
  </w:style>
  <w:style w:type="paragraph" w:customStyle="1" w:styleId="37">
    <w:name w:val="Comment Text1"/>
    <w:qFormat/>
    <w:uiPriority w:val="99"/>
    <w:pPr>
      <w:widowControl w:val="0"/>
    </w:pPr>
    <w:rPr>
      <w:rFonts w:ascii="Calibri" w:hAnsi="Calibri" w:eastAsia="宋体" w:cs="黑体"/>
      <w:kern w:val="1"/>
      <w:sz w:val="24"/>
      <w:szCs w:val="22"/>
      <w:lang w:val="en-US" w:eastAsia="zh-CN" w:bidi="ar-SA"/>
    </w:rPr>
  </w:style>
  <w:style w:type="paragraph" w:customStyle="1" w:styleId="38">
    <w:name w:val="Comment Subject1"/>
    <w:basedOn w:val="37"/>
    <w:next w:val="37"/>
    <w:qFormat/>
    <w:uiPriority w:val="99"/>
    <w:rPr>
      <w:b/>
      <w:bCs/>
    </w:rPr>
  </w:style>
  <w:style w:type="character" w:customStyle="1" w:styleId="39">
    <w:name w:val="正文文本 Char2"/>
    <w:basedOn w:val="30"/>
    <w:link w:val="9"/>
    <w:semiHidden/>
    <w:qFormat/>
    <w:locked/>
    <w:uiPriority w:val="99"/>
    <w:rPr>
      <w:rFonts w:cs="Times New Roman"/>
      <w:kern w:val="1"/>
      <w:sz w:val="24"/>
    </w:rPr>
  </w:style>
  <w:style w:type="character" w:customStyle="1" w:styleId="40">
    <w:name w:val="正文首行缩进 Char1"/>
    <w:basedOn w:val="39"/>
    <w:link w:val="8"/>
    <w:semiHidden/>
    <w:qFormat/>
    <w:locked/>
    <w:uiPriority w:val="99"/>
    <w:rPr>
      <w:rFonts w:cs="Times New Roman"/>
      <w:kern w:val="1"/>
      <w:sz w:val="24"/>
    </w:rPr>
  </w:style>
  <w:style w:type="character" w:customStyle="1" w:styleId="41">
    <w:name w:val="文档结构图 Char1"/>
    <w:basedOn w:val="30"/>
    <w:link w:val="11"/>
    <w:semiHidden/>
    <w:qFormat/>
    <w:locked/>
    <w:uiPriority w:val="99"/>
    <w:rPr>
      <w:rFonts w:ascii="Times New Roman" w:hAnsi="Times New Roman" w:cs="Times New Roman"/>
      <w:kern w:val="1"/>
      <w:sz w:val="2"/>
    </w:rPr>
  </w:style>
  <w:style w:type="character" w:customStyle="1" w:styleId="42">
    <w:name w:val="正文文本缩进 Char1"/>
    <w:basedOn w:val="30"/>
    <w:link w:val="13"/>
    <w:semiHidden/>
    <w:qFormat/>
    <w:locked/>
    <w:uiPriority w:val="99"/>
    <w:rPr>
      <w:rFonts w:cs="Times New Roman"/>
      <w:kern w:val="1"/>
      <w:sz w:val="24"/>
    </w:rPr>
  </w:style>
  <w:style w:type="character" w:customStyle="1" w:styleId="43">
    <w:name w:val="纯文本 Char2"/>
    <w:basedOn w:val="30"/>
    <w:link w:val="16"/>
    <w:semiHidden/>
    <w:qFormat/>
    <w:locked/>
    <w:uiPriority w:val="99"/>
    <w:rPr>
      <w:rFonts w:ascii="宋体" w:hAnsi="Courier New" w:cs="Courier New"/>
      <w:kern w:val="1"/>
      <w:sz w:val="21"/>
      <w:szCs w:val="21"/>
    </w:rPr>
  </w:style>
  <w:style w:type="character" w:customStyle="1" w:styleId="44">
    <w:name w:val="日期 Char1"/>
    <w:basedOn w:val="30"/>
    <w:link w:val="18"/>
    <w:semiHidden/>
    <w:qFormat/>
    <w:locked/>
    <w:uiPriority w:val="99"/>
    <w:rPr>
      <w:rFonts w:cs="Times New Roman"/>
      <w:kern w:val="1"/>
      <w:sz w:val="24"/>
    </w:rPr>
  </w:style>
  <w:style w:type="character" w:customStyle="1" w:styleId="45">
    <w:name w:val="正文文本缩进 2 Char2"/>
    <w:basedOn w:val="30"/>
    <w:link w:val="19"/>
    <w:semiHidden/>
    <w:qFormat/>
    <w:locked/>
    <w:uiPriority w:val="99"/>
    <w:rPr>
      <w:rFonts w:cs="Times New Roman"/>
      <w:kern w:val="1"/>
      <w:sz w:val="24"/>
    </w:rPr>
  </w:style>
  <w:style w:type="character" w:customStyle="1" w:styleId="46">
    <w:name w:val="批注框文本 Char2"/>
    <w:basedOn w:val="30"/>
    <w:link w:val="20"/>
    <w:semiHidden/>
    <w:qFormat/>
    <w:locked/>
    <w:uiPriority w:val="99"/>
    <w:rPr>
      <w:rFonts w:cs="Times New Roman"/>
      <w:kern w:val="1"/>
      <w:sz w:val="2"/>
    </w:rPr>
  </w:style>
  <w:style w:type="character" w:customStyle="1" w:styleId="47">
    <w:name w:val="页脚 Char2"/>
    <w:basedOn w:val="30"/>
    <w:link w:val="21"/>
    <w:semiHidden/>
    <w:qFormat/>
    <w:locked/>
    <w:uiPriority w:val="99"/>
    <w:rPr>
      <w:rFonts w:cs="Times New Roman"/>
      <w:kern w:val="1"/>
      <w:sz w:val="18"/>
      <w:szCs w:val="18"/>
    </w:rPr>
  </w:style>
  <w:style w:type="character" w:customStyle="1" w:styleId="48">
    <w:name w:val="页眉 Char2"/>
    <w:basedOn w:val="30"/>
    <w:link w:val="22"/>
    <w:semiHidden/>
    <w:qFormat/>
    <w:locked/>
    <w:uiPriority w:val="99"/>
    <w:rPr>
      <w:rFonts w:cs="Times New Roman"/>
      <w:kern w:val="1"/>
      <w:sz w:val="18"/>
      <w:szCs w:val="18"/>
    </w:rPr>
  </w:style>
  <w:style w:type="paragraph" w:customStyle="1" w:styleId="49">
    <w:name w:val="TOC 标题1"/>
    <w:basedOn w:val="23"/>
    <w:qFormat/>
    <w:uiPriority w:val="99"/>
    <w:pPr>
      <w:widowControl/>
      <w:spacing w:before="480" w:line="276" w:lineRule="auto"/>
    </w:pPr>
    <w:rPr>
      <w:color w:val="365F90"/>
      <w:sz w:val="28"/>
      <w:szCs w:val="28"/>
    </w:rPr>
  </w:style>
  <w:style w:type="paragraph" w:customStyle="1" w:styleId="50">
    <w:name w:val="列出段落1"/>
    <w:qFormat/>
    <w:uiPriority w:val="99"/>
    <w:pPr>
      <w:widowControl w:val="0"/>
      <w:ind w:firstLine="420"/>
      <w:jc w:val="both"/>
    </w:pPr>
    <w:rPr>
      <w:rFonts w:ascii="Calibri" w:hAnsi="Calibri" w:eastAsia="宋体" w:cs="黑体"/>
      <w:kern w:val="1"/>
      <w:sz w:val="24"/>
      <w:szCs w:val="22"/>
      <w:lang w:val="en-US" w:eastAsia="zh-CN" w:bidi="ar-SA"/>
    </w:rPr>
  </w:style>
  <w:style w:type="paragraph" w:customStyle="1" w:styleId="51">
    <w:name w:val="无间隔1"/>
    <w:qFormat/>
    <w:uiPriority w:val="99"/>
    <w:pPr>
      <w:widowControl w:val="0"/>
      <w:jc w:val="both"/>
    </w:pPr>
    <w:rPr>
      <w:rFonts w:ascii="Calibri" w:hAnsi="Calibri" w:eastAsia="宋体" w:cs="黑体"/>
      <w:kern w:val="1"/>
      <w:sz w:val="21"/>
      <w:szCs w:val="22"/>
      <w:lang w:val="en-US" w:eastAsia="zh-CN" w:bidi="ar-SA"/>
    </w:rPr>
  </w:style>
  <w:style w:type="paragraph" w:customStyle="1" w:styleId="52">
    <w:name w:val="正文 + 宋体"/>
    <w:qFormat/>
    <w:uiPriority w:val="99"/>
    <w:pPr>
      <w:ind w:left="360" w:hanging="360"/>
    </w:pPr>
    <w:rPr>
      <w:rFonts w:ascii="宋体" w:hAnsi="宋体" w:eastAsia="宋体" w:cs="宋体"/>
      <w:b/>
      <w:bCs/>
      <w:kern w:val="1"/>
      <w:sz w:val="18"/>
      <w:szCs w:val="18"/>
      <w:lang w:val="en-US" w:eastAsia="zh-CN" w:bidi="ar-SA"/>
    </w:rPr>
  </w:style>
  <w:style w:type="paragraph" w:customStyle="1" w:styleId="53">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54">
    <w:name w:val="样式 首行缩进:  2 字符"/>
    <w:qFormat/>
    <w:uiPriority w:val="99"/>
    <w:pPr>
      <w:widowControl w:val="0"/>
      <w:spacing w:line="400" w:lineRule="exact"/>
      <w:ind w:firstLine="200"/>
      <w:jc w:val="both"/>
    </w:pPr>
    <w:rPr>
      <w:rFonts w:ascii="Times New Roman" w:hAnsi="Times New Roman" w:eastAsia="宋体" w:cs="Times New Roman"/>
      <w:kern w:val="1"/>
      <w:sz w:val="24"/>
      <w:szCs w:val="22"/>
      <w:lang w:val="en-US" w:eastAsia="zh-CN" w:bidi="ar-SA"/>
    </w:rPr>
  </w:style>
  <w:style w:type="paragraph" w:customStyle="1" w:styleId="55">
    <w:name w:val="Default"/>
    <w:qFormat/>
    <w:uiPriority w:val="99"/>
    <w:pPr>
      <w:widowControl w:val="0"/>
    </w:pPr>
    <w:rPr>
      <w:rFonts w:ascii="宋体" w:hAnsi="宋体" w:eastAsia="宋体" w:cs="宋体"/>
      <w:kern w:val="1"/>
      <w:sz w:val="24"/>
      <w:szCs w:val="24"/>
      <w:lang w:val="en-US" w:eastAsia="zh-CN" w:bidi="ar-SA"/>
    </w:rPr>
  </w:style>
  <w:style w:type="paragraph" w:styleId="56">
    <w:name w:val="List Paragraph"/>
    <w:basedOn w:val="1"/>
    <w:qFormat/>
    <w:uiPriority w:val="99"/>
    <w:pPr>
      <w:ind w:firstLine="420"/>
    </w:pPr>
  </w:style>
  <w:style w:type="character" w:customStyle="1" w:styleId="57">
    <w:name w:val="批注文字 Char1"/>
    <w:basedOn w:val="30"/>
    <w:link w:val="6"/>
    <w:semiHidden/>
    <w:qFormat/>
    <w:locked/>
    <w:uiPriority w:val="99"/>
    <w:rPr>
      <w:rFonts w:cs="Times New Roman"/>
      <w:kern w:val="1"/>
      <w:sz w:val="24"/>
    </w:rPr>
  </w:style>
  <w:style w:type="character" w:customStyle="1" w:styleId="58">
    <w:name w:val="批注主题 Char1"/>
    <w:basedOn w:val="57"/>
    <w:link w:val="5"/>
    <w:semiHidden/>
    <w:qFormat/>
    <w:locked/>
    <w:uiPriority w:val="99"/>
    <w:rPr>
      <w:rFonts w:cs="Times New Roman"/>
      <w:b/>
      <w:bCs/>
      <w:kern w:val="1"/>
      <w:sz w:val="24"/>
    </w:rPr>
  </w:style>
  <w:style w:type="character" w:customStyle="1" w:styleId="59">
    <w:name w:val="Comment Reference1"/>
    <w:qFormat/>
    <w:uiPriority w:val="99"/>
    <w:rPr>
      <w:sz w:val="21"/>
    </w:rPr>
  </w:style>
  <w:style w:type="character" w:customStyle="1" w:styleId="60">
    <w:name w:val="标题 1 Char1"/>
    <w:qFormat/>
    <w:uiPriority w:val="99"/>
    <w:rPr>
      <w:b/>
      <w:sz w:val="44"/>
    </w:rPr>
  </w:style>
  <w:style w:type="character" w:customStyle="1" w:styleId="61">
    <w:name w:val="标题 2 Char1"/>
    <w:qFormat/>
    <w:uiPriority w:val="99"/>
    <w:rPr>
      <w:rFonts w:ascii="Cambria" w:hAnsi="Cambria"/>
      <w:b/>
      <w:sz w:val="32"/>
    </w:rPr>
  </w:style>
  <w:style w:type="character" w:customStyle="1" w:styleId="62">
    <w:name w:val="标题 3 Char1"/>
    <w:qFormat/>
    <w:uiPriority w:val="99"/>
    <w:rPr>
      <w:b/>
      <w:sz w:val="32"/>
    </w:rPr>
  </w:style>
  <w:style w:type="character" w:customStyle="1" w:styleId="63">
    <w:name w:val="正文文本 Char1"/>
    <w:qFormat/>
    <w:uiPriority w:val="99"/>
    <w:rPr>
      <w:sz w:val="20"/>
    </w:rPr>
  </w:style>
  <w:style w:type="character" w:customStyle="1" w:styleId="64">
    <w:name w:val="正文首行缩进 Char"/>
    <w:basedOn w:val="63"/>
    <w:qFormat/>
    <w:uiPriority w:val="99"/>
    <w:rPr>
      <w:rFonts w:cs="Times New Roman"/>
      <w:kern w:val="1"/>
      <w:sz w:val="20"/>
      <w:szCs w:val="20"/>
    </w:rPr>
  </w:style>
  <w:style w:type="character" w:customStyle="1" w:styleId="65">
    <w:name w:val="文档结构图 Char"/>
    <w:qFormat/>
    <w:uiPriority w:val="99"/>
    <w:rPr>
      <w:rFonts w:ascii="Times New Roman" w:hAnsi="Times New Roman"/>
      <w:kern w:val="0"/>
      <w:sz w:val="21"/>
    </w:rPr>
  </w:style>
  <w:style w:type="character" w:customStyle="1" w:styleId="66">
    <w:name w:val="正文文本缩进 Char"/>
    <w:qFormat/>
    <w:uiPriority w:val="99"/>
    <w:rPr>
      <w:sz w:val="20"/>
    </w:rPr>
  </w:style>
  <w:style w:type="character" w:customStyle="1" w:styleId="67">
    <w:name w:val="纯文本 Char1"/>
    <w:qFormat/>
    <w:uiPriority w:val="99"/>
    <w:rPr>
      <w:rFonts w:ascii="宋体" w:hAnsi="宋体" w:eastAsia="宋体"/>
      <w:kern w:val="0"/>
      <w:sz w:val="21"/>
    </w:rPr>
  </w:style>
  <w:style w:type="character" w:customStyle="1" w:styleId="68">
    <w:name w:val="日期 Char"/>
    <w:qFormat/>
    <w:uiPriority w:val="99"/>
    <w:rPr>
      <w:sz w:val="20"/>
    </w:rPr>
  </w:style>
  <w:style w:type="character" w:customStyle="1" w:styleId="69">
    <w:name w:val="正文文本缩进 2 Char1"/>
    <w:qFormat/>
    <w:uiPriority w:val="99"/>
    <w:rPr>
      <w:sz w:val="20"/>
    </w:rPr>
  </w:style>
  <w:style w:type="character" w:customStyle="1" w:styleId="70">
    <w:name w:val="批注框文本 Char1"/>
    <w:qFormat/>
    <w:uiPriority w:val="99"/>
    <w:rPr>
      <w:kern w:val="0"/>
      <w:sz w:val="21"/>
    </w:rPr>
  </w:style>
  <w:style w:type="character" w:customStyle="1" w:styleId="71">
    <w:name w:val="页脚 Char1"/>
    <w:qFormat/>
    <w:uiPriority w:val="99"/>
    <w:rPr>
      <w:sz w:val="18"/>
    </w:rPr>
  </w:style>
  <w:style w:type="character" w:customStyle="1" w:styleId="72">
    <w:name w:val="页眉 Char1"/>
    <w:qFormat/>
    <w:uiPriority w:val="99"/>
    <w:rPr>
      <w:sz w:val="18"/>
    </w:rPr>
  </w:style>
  <w:style w:type="character" w:customStyle="1" w:styleId="73">
    <w:name w:val="标题 1 Char"/>
    <w:qFormat/>
    <w:uiPriority w:val="99"/>
    <w:rPr>
      <w:rFonts w:eastAsia="微软雅黑"/>
      <w:b/>
      <w:kern w:val="0"/>
      <w:sz w:val="20"/>
    </w:rPr>
  </w:style>
  <w:style w:type="character" w:customStyle="1" w:styleId="74">
    <w:name w:val="批注框文本 Char"/>
    <w:qFormat/>
    <w:uiPriority w:val="99"/>
    <w:rPr>
      <w:rFonts w:eastAsia="微软雅黑"/>
      <w:kern w:val="0"/>
      <w:sz w:val="20"/>
    </w:rPr>
  </w:style>
  <w:style w:type="character" w:customStyle="1" w:styleId="75">
    <w:name w:val="页眉 Char"/>
    <w:qFormat/>
    <w:uiPriority w:val="99"/>
    <w:rPr>
      <w:rFonts w:eastAsia="微软雅黑"/>
      <w:kern w:val="0"/>
      <w:sz w:val="20"/>
    </w:rPr>
  </w:style>
  <w:style w:type="character" w:customStyle="1" w:styleId="76">
    <w:name w:val="页脚 Char"/>
    <w:qFormat/>
    <w:uiPriority w:val="99"/>
    <w:rPr>
      <w:rFonts w:eastAsia="微软雅黑"/>
      <w:kern w:val="0"/>
      <w:sz w:val="20"/>
    </w:rPr>
  </w:style>
  <w:style w:type="character" w:customStyle="1" w:styleId="77">
    <w:name w:val="标题 2 Char"/>
    <w:qFormat/>
    <w:uiPriority w:val="99"/>
    <w:rPr>
      <w:rFonts w:ascii="Cambria" w:hAnsi="Cambria" w:eastAsia="微软雅黑"/>
      <w:b/>
      <w:kern w:val="0"/>
      <w:sz w:val="20"/>
    </w:rPr>
  </w:style>
  <w:style w:type="character" w:customStyle="1" w:styleId="78">
    <w:name w:val="正文文本 Char Char"/>
    <w:qFormat/>
    <w:uiPriority w:val="99"/>
    <w:rPr>
      <w:rFonts w:ascii="宋体" w:eastAsia="宋体"/>
      <w:kern w:val="0"/>
      <w:sz w:val="20"/>
    </w:rPr>
  </w:style>
  <w:style w:type="character" w:customStyle="1" w:styleId="79">
    <w:name w:val="正文文本 Char"/>
    <w:qFormat/>
    <w:uiPriority w:val="99"/>
    <w:rPr>
      <w:rFonts w:eastAsia="微软雅黑"/>
      <w:kern w:val="0"/>
      <w:sz w:val="20"/>
    </w:rPr>
  </w:style>
  <w:style w:type="character" w:customStyle="1" w:styleId="80">
    <w:name w:val="标题 3 Char"/>
    <w:qFormat/>
    <w:uiPriority w:val="99"/>
    <w:rPr>
      <w:rFonts w:eastAsia="微软雅黑"/>
      <w:b/>
      <w:kern w:val="0"/>
      <w:sz w:val="20"/>
    </w:rPr>
  </w:style>
  <w:style w:type="character" w:customStyle="1" w:styleId="81">
    <w:name w:val="正文文本缩进 2 Char"/>
    <w:qFormat/>
    <w:uiPriority w:val="99"/>
    <w:rPr>
      <w:rFonts w:eastAsia="微软雅黑"/>
      <w:kern w:val="0"/>
      <w:sz w:val="20"/>
    </w:rPr>
  </w:style>
  <w:style w:type="character" w:customStyle="1" w:styleId="82">
    <w:name w:val="纯文本 Char"/>
    <w:qFormat/>
    <w:uiPriority w:val="99"/>
    <w:rPr>
      <w:rFonts w:ascii="宋体" w:eastAsia="宋体"/>
      <w:kern w:val="0"/>
      <w:sz w:val="20"/>
    </w:rPr>
  </w:style>
  <w:style w:type="character" w:styleId="83">
    <w:name w:val="Placeholder Text"/>
    <w:basedOn w:val="30"/>
    <w:qFormat/>
    <w:uiPriority w:val="99"/>
    <w:rPr>
      <w:rFonts w:cs="Times New Roman"/>
      <w:color w:val="808080"/>
    </w:rPr>
  </w:style>
  <w:style w:type="character" w:customStyle="1" w:styleId="84">
    <w:name w:val="批注文字 Char"/>
    <w:qFormat/>
    <w:uiPriority w:val="99"/>
    <w:rPr>
      <w:kern w:val="1"/>
      <w:sz w:val="22"/>
    </w:rPr>
  </w:style>
  <w:style w:type="character" w:customStyle="1" w:styleId="85">
    <w:name w:val="批注主题 Char"/>
    <w:basedOn w:val="84"/>
    <w:qFormat/>
    <w:uiPriority w:val="99"/>
    <w:rPr>
      <w:rFonts w:cs="Times New Roman"/>
      <w:b/>
      <w:bCs/>
      <w:kern w:val="1"/>
      <w:sz w:val="22"/>
      <w:szCs w:val="22"/>
    </w:rPr>
  </w:style>
  <w:style w:type="paragraph" w:customStyle="1" w:styleId="86">
    <w:name w:val="p0"/>
    <w:basedOn w:val="1"/>
    <w:qFormat/>
    <w:uiPriority w:val="0"/>
    <w:pPr>
      <w:widowControl/>
      <w:spacing w:before="100" w:beforeAutospacing="1" w:after="100" w:afterAutospacing="1"/>
    </w:pPr>
    <w:rPr>
      <w:rFonts w:ascii="宋体" w:hAnsi="宋体" w:cs="宋体"/>
      <w:kern w:val="0"/>
      <w:szCs w:val="24"/>
    </w:rPr>
  </w:style>
  <w:style w:type="paragraph" w:customStyle="1" w:styleId="87">
    <w:name w:val="Table Paragraph"/>
    <w:basedOn w:val="1"/>
    <w:qFormat/>
    <w:uiPriority w:val="1"/>
    <w:pPr>
      <w:jc w:val="left"/>
    </w:pPr>
    <w:rPr>
      <w:rFonts w:eastAsia="Calibri" w:cs="Times New Roman"/>
      <w:kern w:val="0"/>
      <w:sz w:val="22"/>
      <w:lang w:eastAsia="en-US"/>
    </w:rPr>
  </w:style>
  <w:style w:type="character" w:customStyle="1" w:styleId="88">
    <w:name w:val="正文文本 3 Char"/>
    <w:basedOn w:val="30"/>
    <w:link w:val="12"/>
    <w:semiHidden/>
    <w:uiPriority w:val="99"/>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55</Pages>
  <Words>4654</Words>
  <Characters>26534</Characters>
  <Lines>221</Lines>
  <Paragraphs>62</Paragraphs>
  <TotalTime>34</TotalTime>
  <ScaleCrop>false</ScaleCrop>
  <LinksUpToDate>false</LinksUpToDate>
  <CharactersWithSpaces>31126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2018-05-12T02:05:00Z</dcterms:created>
  <dc:creator>Administrator</dc:creator>
  <cp:lastModifiedBy>许昌光大电子商务技术服务有限公司:许昌光大电子商务技术服务有限公司</cp:lastModifiedBy>
  <cp:lastPrinted>2018-08-28T08:14:00Z</cp:lastPrinted>
  <dcterms:modified xsi:type="dcterms:W3CDTF">2018-09-04T01:37:22Z</dcterms:modified>
  <dc:title>长葛市政府采购项目</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