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uto"/>
        <w:ind w:firstLine="645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长招采竞字【2018】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114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号</w:t>
      </w:r>
    </w:p>
    <w:p>
      <w:pPr>
        <w:shd w:val="solid" w:color="FFFFFF" w:fill="auto"/>
        <w:autoSpaceDN w:val="0"/>
        <w:spacing w:line="360" w:lineRule="auto"/>
        <w:ind w:firstLine="645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长葛市公安局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eastAsia="zh-CN"/>
        </w:rPr>
        <w:t>公安教育训练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装备采购项目</w:t>
      </w:r>
    </w:p>
    <w:p>
      <w:pPr>
        <w:shd w:val="solid" w:color="FFFFFF" w:fill="auto"/>
        <w:autoSpaceDN w:val="0"/>
        <w:spacing w:line="360" w:lineRule="auto"/>
        <w:ind w:firstLine="645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eastAsia="zh-CN"/>
        </w:rPr>
        <w:t>竞争性谈判公告</w:t>
      </w:r>
    </w:p>
    <w:p>
      <w:pPr>
        <w:shd w:val="solid" w:color="FFFFFF" w:fill="auto"/>
        <w:autoSpaceDN w:val="0"/>
        <w:spacing w:line="360" w:lineRule="auto"/>
        <w:ind w:firstLine="645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受“长葛市公安局”的委托，长葛市公共资源交易中心就“长葛市公安局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公安教育训练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装备采购项目”进行竞争性谈判采购，欢迎合格的投标人前来投标。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一、项目基本情况</w:t>
      </w:r>
    </w:p>
    <w:p>
      <w:pPr>
        <w:shd w:val="solid" w:color="FFFFFF" w:fill="auto"/>
        <w:autoSpaceDN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（一）项目名称：长葛市公安局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公安教育训练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装备采购项目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（二）项目编号：长招采竞字【2018】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114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号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（三）项目需求：拟采购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教育训练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装备一批，详细参数见谈判文件。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（四）采购预算：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¥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1262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00.00元。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二、需要落实的政府采购政策</w:t>
      </w:r>
    </w:p>
    <w:p>
      <w:pPr>
        <w:shd w:val="solid" w:color="FFFFFF" w:fill="auto"/>
        <w:autoSpaceDN w:val="0"/>
        <w:spacing w:line="360" w:lineRule="auto"/>
        <w:ind w:firstLine="645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本项目落实节约能源、保护环境、扶持不发达地区和少数民族地区、促进中小企业、监狱企业发展等政府采购政策（详见谈判文件）。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三、投标人资格要求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（一）符合《中华人民共和国政府采购法》第二十二条之规定。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（二）具备相应的经营范围，有履行合同能力和完善的服务体系；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三）根据《关于在政府采购活动中查询及使用信用记录有关问题的通知》(财库[2016]125号)的规定，对列入失信被执行人、重大税收违法案件当事人名单、政府采购严重违法失信行为记录名单及其他不符合《中华人民共和国政府采购法》第二十二条规定条件的供应商，拒绝参与本项目政府采购活动。</w:t>
      </w:r>
    </w:p>
    <w:p>
      <w:pPr>
        <w:shd w:val="solid" w:color="FFFFFF" w:fill="auto"/>
        <w:autoSpaceDN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四）与招标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（五）本项目不接受联合体投标</w:t>
      </w:r>
    </w:p>
    <w:p>
      <w:pPr>
        <w:shd w:val="solid" w:color="FFFFFF" w:fill="auto"/>
        <w:autoSpaceDN w:val="0"/>
        <w:spacing w:line="360" w:lineRule="auto"/>
        <w:ind w:firstLine="482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四、获取招标文件的时间、地点、方式</w:t>
      </w:r>
    </w:p>
    <w:p>
      <w:pPr>
        <w:shd w:val="solid" w:color="FFFFFF" w:fill="auto"/>
        <w:autoSpaceDN w:val="0"/>
        <w:spacing w:line="360" w:lineRule="auto"/>
        <w:ind w:firstLine="562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(一)投标报名</w:t>
      </w:r>
    </w:p>
    <w:p>
      <w:pPr>
        <w:shd w:val="solid" w:color="FFFFFF" w:fill="auto"/>
        <w:autoSpaceDN w:val="0"/>
        <w:spacing w:line="360" w:lineRule="auto"/>
        <w:ind w:firstLine="562"/>
        <w:jc w:val="left"/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  <w:shd w:val="clear" w:color="auto" w:fill="FFFFFF"/>
        </w:rPr>
        <w:t>1、报名时间：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>2018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 xml:space="preserve">2018 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  <w:t>日。</w:t>
      </w:r>
    </w:p>
    <w:p>
      <w:pPr>
        <w:shd w:val="solid" w:color="FFFFFF" w:fill="auto"/>
        <w:autoSpaceDN w:val="0"/>
        <w:spacing w:line="360" w:lineRule="auto"/>
        <w:ind w:firstLine="562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2、报名方式：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网上报名。</w:t>
      </w:r>
    </w:p>
    <w:p>
      <w:pPr>
        <w:shd w:val="solid" w:color="FFFFFF" w:fill="auto"/>
        <w:autoSpaceDN w:val="0"/>
        <w:spacing w:line="360" w:lineRule="auto"/>
        <w:ind w:firstLine="562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3、公告期限：自本公告发布之日起3个工作日。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（二）网上下载招标文件</w:t>
      </w:r>
      <w:bookmarkStart w:id="0" w:name="_GoBack"/>
      <w:bookmarkEnd w:id="0"/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1、持CA数字认证证书，登录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instrText xml:space="preserve">HYPERLINK "http://221.14.6.70:8088/ggzy/eps/public/RegistAllJcxx.html"</w:instrTex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http://221.14.6.70:8088/ggzy/eps/public/RegistAllJcxx.html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进行免费注册登记（详见全国公共资源交易平台（河南省﹒许昌市）“常见问题解答-诚信库网上注册相关资料下载”）；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2、在投标报名时间内登录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instrText xml:space="preserve">HYPERLINK "http://221.14.6.70:8088/ggzy/"</w:instrTex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http://221.14.6.70:8088/ggzy/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，自行下载招标文件（详见全国公共资源交易平台（河南省﹒许昌市）“常见问题解答-交易系统操作手册”）。</w:t>
      </w:r>
    </w:p>
    <w:p>
      <w:pPr>
        <w:shd w:val="solid" w:color="FFFFFF" w:fill="auto"/>
        <w:autoSpaceDN w:val="0"/>
        <w:spacing w:line="360" w:lineRule="auto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 （三）未通过全国公共资源交易平台（河南省﹒许昌市）下载招标文件的投标企业,拒收其递交的投标文件。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五、投标截止时间、开标时间及地点：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FF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（一）投标截止及开标时间：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2018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时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分（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北京时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间），逾期送达或不符合规定的投标文件不予接受。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（二）开标地点：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长葛市公共资源交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易中心开标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  <w:t>三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室（长葛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市葛天大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道东段商务区6#楼 4楼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418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室）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六、本次招标公告同时在《河南省政府采购网》、《许昌市政府采购网》、《全国公共资源交易平台（河南省﹒许昌市）》上发布。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七、集中采购机构及采购单位地址、联系人、联系电话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集中采购机构：长葛市公共资源交易中心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地址：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长葛市葛天大道东段商务区6#楼4楼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联系电话：0374-6189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667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采购单位：长葛市公安局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联系人：黄先生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联系电话：18839902227</w:t>
      </w:r>
    </w:p>
    <w:p>
      <w:pPr>
        <w:shd w:val="solid" w:color="FFFFFF" w:fill="auto"/>
        <w:autoSpaceDN w:val="0"/>
        <w:spacing w:line="360" w:lineRule="auto"/>
        <w:rPr>
          <w:rFonts w:ascii="仿宋" w:hAnsi="仿宋" w:eastAsia="仿宋" w:cs="仿宋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 xml:space="preserve">    八、</w:t>
      </w:r>
      <w:r>
        <w:rPr>
          <w:rFonts w:ascii="仿宋" w:hAnsi="仿宋" w:eastAsia="仿宋" w:cs="仿宋"/>
          <w:b/>
          <w:color w:val="000000"/>
          <w:sz w:val="28"/>
          <w:szCs w:val="28"/>
          <w:shd w:val="clear" w:color="auto" w:fill="FFFFFF"/>
        </w:rPr>
        <w:t>特别提示</w:t>
      </w:r>
    </w:p>
    <w:p>
      <w:pPr>
        <w:shd w:val="solid" w:color="FFFFFF" w:fill="auto"/>
        <w:autoSpaceDN w:val="0"/>
        <w:spacing w:line="360" w:lineRule="auto"/>
        <w:ind w:firstLine="640"/>
        <w:rPr>
          <w:rFonts w:ascii="微软雅黑" w:hAnsi="微软雅黑" w:eastAsia="微软雅黑"/>
          <w:color w:val="000000"/>
          <w:sz w:val="24"/>
          <w:shd w:val="clear" w:color="auto" w:fill="FFFFFF"/>
        </w:rPr>
      </w:pPr>
      <w:r>
        <w:rPr>
          <w:rFonts w:ascii="仿宋" w:hAnsi="仿宋" w:eastAsia="仿宋"/>
          <w:color w:val="000000"/>
          <w:sz w:val="32"/>
          <w:shd w:val="clear" w:color="auto" w:fill="FFFFFF"/>
        </w:rPr>
        <w:t>所有投标单位请时刻关注《全国公共资源交易平台（河南省﹒许昌市）》，澄清、答疑、变更均在《全国公共资源交易平台（河南省﹒许昌市）》发布，不再另行通知。如未及时查看影响其投标，后果自负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F5F39"/>
    <w:rsid w:val="21A05667"/>
    <w:rsid w:val="2EC604A0"/>
    <w:rsid w:val="312E4C06"/>
    <w:rsid w:val="677F5F3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2018-08-30T02:09:00Z</dcterms:created>
  <dc:creator>长葛市公共资源交易中心:王秋玲</dc:creator>
  <cp:lastModifiedBy>长葛市公共资源交易中心:王秋玲</cp:lastModifiedBy>
  <dcterms:modified xsi:type="dcterms:W3CDTF">2018-09-03T02:21:10Z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