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600"/>
        <w:jc w:val="left"/>
      </w:pPr>
      <w:r>
        <w:rPr>
          <w:rFonts w:hint="eastAsia" w:ascii="黑体" w:hAnsi="宋体" w:eastAsia="黑体" w:cs="黑体"/>
          <w:b/>
          <w:color w:val="000000"/>
          <w:kern w:val="0"/>
          <w:sz w:val="36"/>
          <w:szCs w:val="36"/>
          <w:shd w:val="clear" w:color="auto" w:fill="FFFFFF"/>
          <w:lang w:bidi="ar"/>
        </w:rPr>
        <w:t xml:space="preserve"> </w:t>
      </w:r>
      <w:r>
        <w:rPr>
          <w:rFonts w:hint="eastAsia" w:ascii="仿宋_GB2312" w:hAnsi="微软雅黑" w:eastAsia="仿宋_GB2312" w:cs="仿宋_GB2312"/>
          <w:b/>
          <w:color w:val="000000"/>
          <w:kern w:val="0"/>
          <w:sz w:val="32"/>
          <w:szCs w:val="32"/>
          <w:u w:val="single"/>
          <w:shd w:val="clear" w:color="auto" w:fill="FFFFFF"/>
          <w:lang w:bidi="ar"/>
        </w:rPr>
        <w:t>许昌高级中学理化生实验室设备</w:t>
      </w:r>
      <w:r>
        <w:rPr>
          <w:rFonts w:hint="eastAsia" w:ascii="仿宋_GB2312" w:hAnsi="微软雅黑" w:eastAsia="仿宋_GB2312" w:cs="仿宋_GB2312"/>
          <w:b/>
          <w:color w:val="000000"/>
          <w:kern w:val="0"/>
          <w:sz w:val="32"/>
          <w:szCs w:val="32"/>
          <w:shd w:val="clear" w:color="auto" w:fill="FFFFFF"/>
          <w:lang w:bidi="ar"/>
        </w:rPr>
        <w:t>采购需求、评标标准等说明</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一、项目概况</w:t>
      </w:r>
    </w:p>
    <w:p>
      <w:pPr>
        <w:widowControl/>
        <w:shd w:val="clear" w:color="auto" w:fill="FFFFFF"/>
        <w:spacing w:line="360" w:lineRule="atLeast"/>
        <w:jc w:val="left"/>
      </w:pPr>
      <w:r>
        <w:rPr>
          <w:rFonts w:ascii="微软雅黑" w:hAnsi="微软雅黑" w:eastAsia="微软雅黑" w:cs="微软雅黑"/>
          <w:color w:val="000000"/>
          <w:kern w:val="0"/>
          <w:sz w:val="30"/>
          <w:szCs w:val="30"/>
          <w:shd w:val="clear" w:color="auto" w:fill="FFFFFF"/>
          <w:lang w:bidi="ar"/>
        </w:rPr>
        <w:t>   </w:t>
      </w:r>
      <w:r>
        <w:rPr>
          <w:rFonts w:hint="eastAsia" w:ascii="微软雅黑" w:hAnsi="微软雅黑" w:eastAsia="微软雅黑" w:cs="微软雅黑"/>
          <w:color w:val="000000"/>
          <w:kern w:val="0"/>
          <w:sz w:val="30"/>
          <w:szCs w:val="30"/>
          <w:shd w:val="clear" w:color="auto" w:fill="FFFFFF"/>
          <w:lang w:bidi="ar"/>
        </w:rPr>
        <w:t xml:space="preserve"> </w:t>
      </w:r>
      <w:r>
        <w:rPr>
          <w:rFonts w:ascii="仿宋" w:hAnsi="仿宋" w:eastAsia="仿宋" w:cs="仿宋"/>
          <w:color w:val="000000"/>
          <w:kern w:val="0"/>
          <w:sz w:val="30"/>
          <w:szCs w:val="30"/>
          <w:shd w:val="clear" w:color="auto" w:fill="FFFFFF"/>
          <w:lang w:bidi="ar"/>
        </w:rPr>
        <w:t> （一）项目名称：</w:t>
      </w:r>
      <w:r>
        <w:rPr>
          <w:rFonts w:hint="eastAsia" w:ascii="仿宋" w:hAnsi="仿宋" w:eastAsia="仿宋" w:cs="仿宋"/>
          <w:color w:val="000000"/>
          <w:kern w:val="0"/>
          <w:sz w:val="30"/>
          <w:szCs w:val="30"/>
          <w:shd w:val="clear" w:color="auto" w:fill="FFFFFF"/>
          <w:lang w:bidi="ar"/>
        </w:rPr>
        <w:t>许昌</w:t>
      </w:r>
      <w:r>
        <w:rPr>
          <w:rFonts w:hint="eastAsia" w:ascii="仿宋" w:hAnsi="仿宋" w:eastAsia="仿宋" w:cs="仿宋"/>
          <w:color w:val="000000"/>
          <w:kern w:val="0"/>
          <w:sz w:val="30"/>
          <w:szCs w:val="30"/>
          <w:shd w:val="clear" w:color="auto" w:fill="FFFFFF"/>
          <w:lang w:eastAsia="zh-CN" w:bidi="ar"/>
        </w:rPr>
        <w:t>高级中学</w:t>
      </w:r>
      <w:r>
        <w:rPr>
          <w:rFonts w:hint="eastAsia" w:ascii="仿宋" w:hAnsi="仿宋" w:eastAsia="仿宋" w:cs="仿宋"/>
          <w:color w:val="000000"/>
          <w:kern w:val="0"/>
          <w:sz w:val="30"/>
          <w:szCs w:val="30"/>
          <w:shd w:val="clear" w:color="auto" w:fill="FFFFFF"/>
          <w:lang w:bidi="ar"/>
        </w:rPr>
        <w:t>理化生实验室设备采购项目</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lang w:bidi="ar"/>
        </w:rPr>
        <w:t>（二）采购方式：</w:t>
      </w:r>
      <w:r>
        <w:rPr>
          <w:rFonts w:hint="eastAsia" w:ascii="仿宋" w:hAnsi="仿宋" w:eastAsia="仿宋" w:cs="仿宋"/>
          <w:color w:val="000000"/>
          <w:kern w:val="0"/>
          <w:sz w:val="30"/>
          <w:szCs w:val="30"/>
          <w:shd w:val="clear" w:color="auto" w:fill="FFFFFF"/>
          <w:lang w:bidi="ar"/>
        </w:rPr>
        <w:t>公开招标</w:t>
      </w:r>
      <w:r>
        <w:rPr>
          <w:rFonts w:ascii="仿宋" w:hAnsi="仿宋" w:eastAsia="仿宋" w:cs="仿宋"/>
          <w:color w:val="000000"/>
          <w:kern w:val="0"/>
          <w:sz w:val="30"/>
          <w:szCs w:val="30"/>
          <w:shd w:val="clear" w:color="auto" w:fill="FFFFFF"/>
          <w:lang w:bidi="ar"/>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（三）主要内容、数量及要求：</w:t>
      </w:r>
      <w:r>
        <w:rPr>
          <w:rFonts w:hint="eastAsia" w:ascii="仿宋" w:hAnsi="仿宋" w:eastAsia="仿宋" w:cs="仿宋"/>
          <w:color w:val="000000"/>
          <w:kern w:val="0"/>
          <w:sz w:val="30"/>
          <w:szCs w:val="30"/>
          <w:shd w:val="clear" w:color="auto" w:fill="FFFFFF"/>
          <w:lang w:bidi="ar"/>
        </w:rPr>
        <w:t>56座物理实验室设备3套，56座化学实验室设备3套，56座生物实验室设备3套。</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lang w:val="en-US" w:eastAsia="zh-CN" w:bidi="ar"/>
        </w:rPr>
      </w:pPr>
      <w:r>
        <w:rPr>
          <w:rFonts w:ascii="仿宋" w:hAnsi="仿宋" w:eastAsia="仿宋" w:cs="仿宋"/>
          <w:color w:val="000000"/>
          <w:kern w:val="0"/>
          <w:sz w:val="30"/>
          <w:szCs w:val="30"/>
          <w:shd w:val="clear" w:color="auto" w:fill="FFFFFF"/>
          <w:lang w:bidi="ar"/>
        </w:rPr>
        <w:t>（四）预算金额：</w:t>
      </w:r>
      <w:r>
        <w:rPr>
          <w:rFonts w:hint="eastAsia" w:ascii="仿宋" w:hAnsi="仿宋" w:eastAsia="仿宋" w:cs="仿宋"/>
          <w:color w:val="000000"/>
          <w:kern w:val="0"/>
          <w:sz w:val="30"/>
          <w:szCs w:val="30"/>
          <w:shd w:val="clear" w:color="auto" w:fill="FFFFFF"/>
          <w:lang w:bidi="ar"/>
        </w:rPr>
        <w:t>270万元</w:t>
      </w:r>
      <w:r>
        <w:rPr>
          <w:rFonts w:hint="eastAsia" w:ascii="仿宋" w:hAnsi="仿宋" w:eastAsia="仿宋" w:cs="仿宋"/>
          <w:color w:val="000000"/>
          <w:kern w:val="0"/>
          <w:sz w:val="30"/>
          <w:szCs w:val="30"/>
          <w:shd w:val="clear" w:color="auto" w:fill="FFFFFF"/>
          <w:lang w:eastAsia="zh-CN" w:bidi="ar"/>
        </w:rPr>
        <w:t>，最高限价</w:t>
      </w:r>
      <w:r>
        <w:rPr>
          <w:rFonts w:hint="eastAsia" w:ascii="仿宋" w:hAnsi="仿宋" w:eastAsia="仿宋" w:cs="仿宋"/>
          <w:color w:val="000000"/>
          <w:kern w:val="0"/>
          <w:sz w:val="30"/>
          <w:szCs w:val="30"/>
          <w:shd w:val="clear" w:color="auto" w:fill="FFFFFF"/>
          <w:lang w:val="en-US" w:eastAsia="zh-CN" w:bidi="ar"/>
        </w:rPr>
        <w:t>270万元</w:t>
      </w:r>
    </w:p>
    <w:p>
      <w:pPr>
        <w:widowControl/>
        <w:shd w:val="clear" w:color="auto" w:fill="FFFFFF"/>
        <w:spacing w:line="360" w:lineRule="atLeast"/>
        <w:ind w:firstLine="600"/>
        <w:jc w:val="left"/>
        <w:rPr>
          <w:rFonts w:eastAsia="仿宋"/>
        </w:rPr>
      </w:pPr>
      <w:r>
        <w:rPr>
          <w:rFonts w:ascii="仿宋" w:hAnsi="仿宋" w:eastAsia="仿宋" w:cs="仿宋"/>
          <w:color w:val="000000"/>
          <w:kern w:val="0"/>
          <w:sz w:val="30"/>
          <w:szCs w:val="30"/>
          <w:shd w:val="clear" w:color="auto" w:fill="FFFFFF"/>
          <w:lang w:bidi="ar"/>
        </w:rPr>
        <w:t>（五）交付（服务、完工）时间：</w:t>
      </w:r>
      <w:r>
        <w:rPr>
          <w:rFonts w:hint="eastAsia" w:ascii="仿宋" w:hAnsi="仿宋" w:eastAsia="仿宋" w:cs="仿宋"/>
          <w:color w:val="000000"/>
          <w:kern w:val="0"/>
          <w:sz w:val="30"/>
          <w:szCs w:val="30"/>
          <w:shd w:val="clear" w:color="auto" w:fill="FFFFFF"/>
          <w:lang w:bidi="ar"/>
        </w:rPr>
        <w:t>合同签订后30日历天</w:t>
      </w:r>
    </w:p>
    <w:p>
      <w:pPr>
        <w:widowControl/>
        <w:shd w:val="clear" w:color="auto" w:fill="FFFFFF"/>
        <w:spacing w:line="360" w:lineRule="atLeast"/>
        <w:ind w:firstLine="600"/>
        <w:jc w:val="left"/>
        <w:rPr>
          <w:rFonts w:eastAsia="仿宋"/>
        </w:rPr>
      </w:pPr>
      <w:r>
        <w:rPr>
          <w:rFonts w:ascii="仿宋" w:hAnsi="仿宋" w:eastAsia="仿宋" w:cs="仿宋"/>
          <w:color w:val="000000"/>
          <w:kern w:val="0"/>
          <w:sz w:val="30"/>
          <w:szCs w:val="30"/>
          <w:shd w:val="clear" w:color="auto" w:fill="FFFFFF"/>
          <w:lang w:bidi="ar"/>
        </w:rPr>
        <w:t>（六）交付（服务、施工）地点：</w:t>
      </w:r>
      <w:r>
        <w:rPr>
          <w:rFonts w:hint="eastAsia" w:ascii="仿宋" w:hAnsi="仿宋" w:eastAsia="仿宋" w:cs="仿宋"/>
          <w:color w:val="000000"/>
          <w:kern w:val="0"/>
          <w:sz w:val="30"/>
          <w:szCs w:val="30"/>
          <w:shd w:val="clear" w:color="auto" w:fill="FFFFFF"/>
          <w:lang w:bidi="ar"/>
        </w:rPr>
        <w:t>许昌高中</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（七）进口产品：允许□不允许</w:t>
      </w:r>
      <w:r>
        <w:rPr>
          <w:rFonts w:ascii="Wingdings 2" w:hAnsi="Wingdings 2" w:eastAsia="Wingdings 2" w:cs="Wingdings 2"/>
          <w:color w:val="000000"/>
          <w:kern w:val="0"/>
          <w:sz w:val="32"/>
          <w:szCs w:val="32"/>
          <w:shd w:val="clear" w:color="auto" w:fill="FFFFFF"/>
          <w:lang w:bidi="ar"/>
        </w:rPr>
        <w:t></w:t>
      </w:r>
    </w:p>
    <w:p>
      <w:pPr>
        <w:widowControl/>
        <w:shd w:val="clear" w:color="auto" w:fill="FFFFFF"/>
        <w:spacing w:line="360" w:lineRule="atLeast"/>
        <w:ind w:firstLine="600"/>
        <w:jc w:val="left"/>
        <w:rPr>
          <w:rFonts w:ascii="Wingdings 2" w:hAnsi="Wingdings 2" w:eastAsia="Wingdings 2" w:cs="Wingdings 2"/>
          <w:color w:val="000000"/>
          <w:kern w:val="0"/>
          <w:sz w:val="32"/>
          <w:szCs w:val="32"/>
          <w:shd w:val="clear" w:color="auto" w:fill="FFFFFF"/>
          <w:lang w:bidi="ar"/>
        </w:rPr>
      </w:pPr>
      <w:r>
        <w:rPr>
          <w:rFonts w:ascii="仿宋" w:hAnsi="仿宋" w:eastAsia="仿宋" w:cs="仿宋"/>
          <w:color w:val="000000"/>
          <w:kern w:val="0"/>
          <w:sz w:val="30"/>
          <w:szCs w:val="30"/>
          <w:shd w:val="clear" w:color="auto" w:fill="FFFFFF"/>
          <w:lang w:bidi="ar"/>
        </w:rPr>
        <w:t>（八）分包：允许□不允许</w:t>
      </w:r>
      <w:r>
        <w:rPr>
          <w:rFonts w:ascii="Wingdings 2" w:hAnsi="Wingdings 2" w:eastAsia="Wingdings 2" w:cs="Wingdings 2"/>
          <w:color w:val="000000"/>
          <w:kern w:val="0"/>
          <w:sz w:val="32"/>
          <w:szCs w:val="32"/>
          <w:shd w:val="clear" w:color="auto" w:fill="FFFFFF"/>
          <w:lang w:bidi="ar"/>
        </w:rPr>
        <w:t></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二、需要落实的政府采购政策</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本项目落实节能环保</w:t>
      </w:r>
      <w:r>
        <w:rPr>
          <w:rFonts w:ascii="楷体" w:hAnsi="楷体" w:eastAsia="楷体" w:cs="宋体"/>
          <w:color w:val="000000"/>
          <w:kern w:val="0"/>
          <w:sz w:val="28"/>
          <w:szCs w:val="28"/>
          <w:shd w:val="clear" w:color="auto" w:fill="FFFFFF"/>
          <w:lang w:val="zh-CN" w:bidi="ar"/>
        </w:rPr>
        <w:t>√</w:t>
      </w:r>
      <w:r>
        <w:rPr>
          <w:rFonts w:ascii="仿宋" w:hAnsi="仿宋" w:eastAsia="仿宋" w:cs="仿宋"/>
          <w:color w:val="000000"/>
          <w:kern w:val="0"/>
          <w:sz w:val="30"/>
          <w:szCs w:val="30"/>
          <w:shd w:val="clear" w:color="auto" w:fill="FFFFFF"/>
          <w:lang w:bidi="ar"/>
        </w:rPr>
        <w:t>、中小微型企业扶持</w:t>
      </w:r>
      <w:r>
        <w:rPr>
          <w:rFonts w:ascii="楷体" w:hAnsi="楷体" w:eastAsia="楷体" w:cs="宋体"/>
          <w:color w:val="000000"/>
          <w:kern w:val="0"/>
          <w:sz w:val="28"/>
          <w:szCs w:val="28"/>
          <w:shd w:val="clear" w:color="auto" w:fill="FFFFFF"/>
          <w:lang w:val="zh-CN" w:bidi="ar"/>
        </w:rPr>
        <w:t>√</w:t>
      </w:r>
      <w:r>
        <w:rPr>
          <w:rFonts w:ascii="仿宋" w:hAnsi="仿宋" w:eastAsia="仿宋" w:cs="仿宋"/>
          <w:color w:val="000000"/>
          <w:kern w:val="0"/>
          <w:sz w:val="30"/>
          <w:szCs w:val="30"/>
          <w:shd w:val="clear" w:color="auto" w:fill="FFFFFF"/>
          <w:lang w:bidi="ar"/>
        </w:rPr>
        <w:t>、支持监狱企业发展</w:t>
      </w:r>
      <w:r>
        <w:rPr>
          <w:rFonts w:ascii="楷体" w:hAnsi="楷体" w:eastAsia="楷体" w:cs="宋体"/>
          <w:color w:val="000000"/>
          <w:kern w:val="0"/>
          <w:sz w:val="28"/>
          <w:szCs w:val="28"/>
          <w:shd w:val="clear" w:color="auto" w:fill="FFFFFF"/>
          <w:lang w:val="zh-CN" w:bidi="ar"/>
        </w:rPr>
        <w:t>√</w:t>
      </w:r>
      <w:r>
        <w:rPr>
          <w:rFonts w:ascii="仿宋" w:hAnsi="仿宋" w:eastAsia="仿宋" w:cs="仿宋"/>
          <w:color w:val="000000"/>
          <w:kern w:val="0"/>
          <w:sz w:val="30"/>
          <w:szCs w:val="30"/>
          <w:shd w:val="clear" w:color="auto" w:fill="FFFFFF"/>
          <w:lang w:bidi="ar"/>
        </w:rPr>
        <w:t>、残疾人福利性单位扶持</w:t>
      </w:r>
      <w:r>
        <w:rPr>
          <w:rFonts w:ascii="楷体" w:hAnsi="楷体" w:eastAsia="楷体" w:cs="宋体"/>
          <w:color w:val="000000"/>
          <w:kern w:val="0"/>
          <w:sz w:val="28"/>
          <w:szCs w:val="28"/>
          <w:shd w:val="clear" w:color="auto" w:fill="FFFFFF"/>
          <w:lang w:val="zh-CN" w:bidi="ar"/>
        </w:rPr>
        <w:t>√</w:t>
      </w:r>
      <w:r>
        <w:rPr>
          <w:rFonts w:ascii="仿宋" w:hAnsi="仿宋" w:eastAsia="仿宋" w:cs="仿宋"/>
          <w:color w:val="000000"/>
          <w:kern w:val="0"/>
          <w:sz w:val="30"/>
          <w:szCs w:val="30"/>
          <w:shd w:val="clear" w:color="auto" w:fill="FFFFFF"/>
          <w:lang w:bidi="ar"/>
        </w:rPr>
        <w:t>等相关政府采购政策。</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三、投标人资格要求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（一）具备《政府采购法》第二十二条第一款规定条件并提供相关材料。</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lang w:bidi="ar"/>
        </w:rPr>
        <w:t>（</w:t>
      </w:r>
      <w:r>
        <w:rPr>
          <w:rFonts w:hint="eastAsia" w:ascii="仿宋" w:hAnsi="仿宋" w:eastAsia="仿宋" w:cs="仿宋"/>
          <w:color w:val="000000"/>
          <w:kern w:val="0"/>
          <w:sz w:val="30"/>
          <w:szCs w:val="30"/>
          <w:shd w:val="clear" w:color="auto" w:fill="FFFFFF"/>
          <w:lang w:bidi="ar"/>
        </w:rPr>
        <w:t>二</w:t>
      </w:r>
      <w:r>
        <w:rPr>
          <w:rFonts w:ascii="仿宋" w:hAnsi="仿宋" w:eastAsia="仿宋" w:cs="仿宋"/>
          <w:color w:val="000000"/>
          <w:kern w:val="0"/>
          <w:sz w:val="30"/>
          <w:szCs w:val="30"/>
          <w:shd w:val="clear" w:color="auto" w:fill="FFFFFF"/>
          <w:lang w:bidi="ar"/>
        </w:rPr>
        <w:t>）本次招标接受□不接受</w:t>
      </w:r>
      <w:r>
        <w:rPr>
          <w:rFonts w:ascii="Wingdings 2" w:hAnsi="Wingdings 2" w:eastAsia="Wingdings 2" w:cs="Wingdings 2"/>
          <w:color w:val="000000"/>
          <w:kern w:val="0"/>
          <w:sz w:val="32"/>
          <w:szCs w:val="32"/>
          <w:shd w:val="clear" w:color="auto" w:fill="FFFFFF"/>
          <w:lang w:bidi="ar"/>
        </w:rPr>
        <w:t></w:t>
      </w:r>
      <w:r>
        <w:rPr>
          <w:rFonts w:ascii="仿宋" w:hAnsi="仿宋" w:eastAsia="仿宋" w:cs="仿宋"/>
          <w:color w:val="000000"/>
          <w:kern w:val="0"/>
          <w:sz w:val="30"/>
          <w:szCs w:val="30"/>
          <w:shd w:val="clear" w:color="auto" w:fill="FFFFFF"/>
          <w:lang w:bidi="ar"/>
        </w:rPr>
        <w:t>联合体投标。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w:t>
      </w:r>
      <w:r>
        <w:rPr>
          <w:rFonts w:hint="eastAsia" w:ascii="仿宋" w:hAnsi="仿宋" w:eastAsia="仿宋" w:cs="仿宋"/>
          <w:color w:val="000000"/>
          <w:kern w:val="0"/>
          <w:sz w:val="30"/>
          <w:szCs w:val="30"/>
          <w:shd w:val="clear" w:color="auto" w:fill="FFFFFF"/>
          <w:lang w:bidi="ar"/>
        </w:rPr>
        <w:t>三</w:t>
      </w:r>
      <w:r>
        <w:rPr>
          <w:rFonts w:ascii="仿宋" w:hAnsi="仿宋" w:eastAsia="仿宋" w:cs="仿宋"/>
          <w:color w:val="000000"/>
          <w:kern w:val="0"/>
          <w:sz w:val="30"/>
          <w:szCs w:val="30"/>
          <w:shd w:val="clear" w:color="auto" w:fill="FFFFFF"/>
          <w:lang w:bidi="ar"/>
        </w:rPr>
        <w:t>）根据采购项目特殊要求，规定投标人的特定条件</w:t>
      </w:r>
      <w:r>
        <w:rPr>
          <w:rFonts w:hint="eastAsia" w:ascii="仿宋" w:hAnsi="仿宋" w:eastAsia="仿宋" w:cs="仿宋"/>
          <w:color w:val="000000"/>
          <w:kern w:val="0"/>
          <w:sz w:val="30"/>
          <w:szCs w:val="30"/>
          <w:shd w:val="clear" w:color="auto" w:fill="FFFFFF"/>
          <w:lang w:bidi="ar"/>
        </w:rPr>
        <w:t>：无</w:t>
      </w:r>
      <w:r>
        <w:rPr>
          <w:rFonts w:ascii="仿宋" w:hAnsi="仿宋" w:eastAsia="仿宋" w:cs="仿宋"/>
          <w:color w:val="000000"/>
          <w:kern w:val="0"/>
          <w:sz w:val="30"/>
          <w:szCs w:val="30"/>
          <w:shd w:val="clear" w:color="auto" w:fill="FFFFFF"/>
          <w:lang w:bidi="ar"/>
        </w:rPr>
        <w:t>。</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四、采购需求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（一）本项目需实现的功能或者目标</w:t>
      </w:r>
      <w:r>
        <w:rPr>
          <w:rFonts w:hint="eastAsia" w:ascii="仿宋" w:hAnsi="仿宋" w:eastAsia="仿宋" w:cs="仿宋"/>
          <w:color w:val="000000"/>
          <w:kern w:val="0"/>
          <w:sz w:val="30"/>
          <w:szCs w:val="30"/>
          <w:shd w:val="clear" w:color="auto" w:fill="FFFFFF"/>
          <w:lang w:bidi="ar"/>
        </w:rPr>
        <w:t>：完成学生理化生学科探究实验设备的配置。</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（二）采购清单</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本次项目物品采购总数量为：一、56座物理实验室设备3套，二、56座化学实验室设备3套，三、56座生物实验室设备3套。</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物理、化学、生物实验室单套数量及技术要求：</w:t>
      </w:r>
    </w:p>
    <w:tbl>
      <w:tblPr>
        <w:tblStyle w:val="11"/>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73"/>
        <w:gridCol w:w="5850"/>
        <w:gridCol w:w="518"/>
        <w:gridCol w:w="80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序号</w:t>
            </w:r>
          </w:p>
        </w:tc>
        <w:tc>
          <w:tcPr>
            <w:tcW w:w="873"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货物名称</w:t>
            </w:r>
          </w:p>
        </w:tc>
        <w:tc>
          <w:tcPr>
            <w:tcW w:w="5850"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技术规格及主要参数</w:t>
            </w:r>
          </w:p>
        </w:tc>
        <w:tc>
          <w:tcPr>
            <w:tcW w:w="518"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单位</w:t>
            </w:r>
          </w:p>
        </w:tc>
        <w:tc>
          <w:tcPr>
            <w:tcW w:w="803"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数量</w:t>
            </w:r>
          </w:p>
        </w:tc>
        <w:tc>
          <w:tcPr>
            <w:tcW w:w="1056" w:type="dxa"/>
            <w:shd w:val="clear" w:color="auto" w:fill="auto"/>
          </w:tcPr>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是否为</w:t>
            </w:r>
          </w:p>
          <w:p>
            <w:pPr>
              <w:widowControl/>
              <w:spacing w:line="360" w:lineRule="atLeast"/>
              <w:jc w:val="center"/>
              <w:rPr>
                <w:rFonts w:ascii="仿宋" w:hAnsi="仿宋" w:eastAsia="仿宋" w:cs="仿宋"/>
                <w:bCs/>
                <w:color w:val="000000"/>
                <w:kern w:val="0"/>
                <w:sz w:val="24"/>
                <w:lang w:bidi="ar"/>
              </w:rPr>
            </w:pPr>
            <w:r>
              <w:rPr>
                <w:rFonts w:ascii="仿宋" w:hAnsi="仿宋" w:eastAsia="仿宋" w:cs="仿宋"/>
                <w:bCs/>
                <w:color w:val="000000"/>
                <w:kern w:val="0"/>
                <w:sz w:val="24"/>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7" w:type="dxa"/>
            <w:gridSpan w:val="6"/>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
                <w:color w:val="000000"/>
                <w:kern w:val="0"/>
                <w:sz w:val="24"/>
                <w:lang w:bidi="ar"/>
              </w:rPr>
              <w:t>一、物理实验室集成系统（56座）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教学演示端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可移动讲台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钢木结构，规格：</w:t>
            </w:r>
            <w:r>
              <w:rPr>
                <w:rFonts w:ascii="仿宋" w:hAnsi="仿宋" w:eastAsia="仿宋" w:cs="仿宋"/>
                <w:bCs/>
                <w:color w:val="000000"/>
                <w:kern w:val="0"/>
                <w:sz w:val="24"/>
                <w:lang w:bidi="ar"/>
              </w:rPr>
              <w:t>1200*600*900mm</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（1）台面：采用12.7mm厚双面膜耐腐蚀实芯理化板制作，四角倒R15圆角。耐酸、耐碱、耐高温，坚固耐用，防潮、无细孔、不膨胀、不龟裂、不变形、不导电、便于维护及具有良好的承重性能；</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（2）钢木结构：主框架采用50*50*</w:t>
            </w:r>
            <w:r>
              <w:rPr>
                <w:rFonts w:hint="eastAsia" w:ascii="仿宋" w:hAnsi="仿宋" w:eastAsia="仿宋" w:cs="仿宋"/>
                <w:bCs/>
                <w:color w:val="000000"/>
                <w:kern w:val="0"/>
                <w:sz w:val="24"/>
                <w:lang w:val="en-US" w:eastAsia="zh-CN" w:bidi="ar"/>
              </w:rPr>
              <w:t>1.2</w:t>
            </w:r>
            <w:r>
              <w:rPr>
                <w:rFonts w:hint="eastAsia" w:ascii="仿宋" w:hAnsi="仿宋" w:eastAsia="仿宋" w:cs="仿宋"/>
                <w:bCs/>
                <w:color w:val="000000"/>
                <w:kern w:val="0"/>
                <w:sz w:val="24"/>
                <w:lang w:bidi="ar"/>
              </w:rPr>
              <w:t>mm矩形管焊接而成，表面经酸洗磷化、纯环氧树脂塑粉高温固化处理，平整光滑，不允许有喷涂层脱落、鼓泡、凹陷、压痕以及表面划伤、麻点、裂痕、崩角和刃口等，切割、钻孔和倒角应去毛刺；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(4)正前方设置可移动置物架，放置教案和教具；</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(5)桌脚：采用静音医用万向轮。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实践操作端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物理学生实验台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新型钢制结构，规格：</w:t>
            </w:r>
            <w:r>
              <w:rPr>
                <w:rFonts w:ascii="仿宋" w:hAnsi="仿宋" w:eastAsia="仿宋" w:cs="仿宋"/>
                <w:bCs/>
                <w:color w:val="000000"/>
                <w:kern w:val="0"/>
                <w:sz w:val="24"/>
                <w:lang w:bidi="ar"/>
              </w:rPr>
              <w:t>1200*600*780mm</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前面两角倒R30圆角，后面两角倒R15圆角。台面后方卡入学生桌铝型槽内，前方用预埋件与桌体固定。耐酸、耐碱、耐高温，坚固耐用，防潮、无细孔、不膨胀、不龟裂、不变形、不导电、便于维护及具有良好的承重性能。</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（2）新型钢塑结构，学生位镂空式，符合人体工程学设计，美观大方。专用书包斗ABS工程塑料一次性注塑成型结合，成型尺寸410*330*120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。镂空设计，底部设有排水孔，便于清理，不屯垃圾，中间设挂凳卡。</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（3）脚架：采用多材质组合结构，组合尺寸590*770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，定制81*55*2mm椭圆管采用模具一体成型为”Y”字型（没有二次焊接，牢固性可靠、美观实用），下开口采用磨具成型改性工程塑料材料装饰，上端连接件采用铸铝一体成型，上框采用20*30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距形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4）后档水板采用105*14*2mm厚一体成型铝合金、左右堵头连接件采用铸铝磨具一体成型，固定台面不易脱落，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w:t>
            </w:r>
          </w:p>
        </w:tc>
        <w:tc>
          <w:tcPr>
            <w:tcW w:w="873"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实验凳</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规格：Φ</w:t>
            </w:r>
            <w:r>
              <w:rPr>
                <w:rFonts w:ascii="仿宋" w:hAnsi="仿宋" w:eastAsia="仿宋" w:cs="仿宋"/>
                <w:bCs/>
                <w:color w:val="000000"/>
                <w:kern w:val="0"/>
                <w:sz w:val="24"/>
                <w:lang w:bidi="ar"/>
              </w:rPr>
              <w:t>315*450-500mm</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（1）凳脚材质：4个凳脚采用17×34×1.7mm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凳面与凳脚留有一定的空间便于凳子挂在挂凳扣上。方便教室的打扫。</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系统控制端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智能系统控制柜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规格：450*200*1100mm；</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智能控制柜：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风机控制系统1套。</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（1）电源控制系统：可以对220V进行控制，可以单独进行控制，进行单选、全选、反选，分组进行控制；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（2）照明控制系统可以对照明进行控制，可以单独进行控制，进行单选、全选、反选，分组进行控制；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(4)、智能摇臂控制系统：可以对摇臂进行控制，可以单独进行控制，进行单选、全选、反选，分组进行控制；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5）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控制系统：采用自主研发控制系统；</w:t>
            </w:r>
            <w:r>
              <w:rPr>
                <w:rFonts w:ascii="仿宋" w:hAnsi="仿宋" w:eastAsia="仿宋" w:cs="仿宋"/>
                <w:bCs/>
                <w:color w:val="000000"/>
                <w:kern w:val="0"/>
                <w:sz w:val="24"/>
                <w:lang w:bidi="ar"/>
              </w:rPr>
              <w:t xml:space="preserve"> </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台</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顶装智能控制平台</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规格：10寸触摸屏。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集中控制系统。可执行各分项分页控制，支持手机APP控制；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（1）通风控制：触摸数字无极变频控制，具有频率数字显示功能，可精确控制通风风量；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（2）供水控制：集中控制整室给排水；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（3）照明控制：分组控制整室照明；</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 xml:space="preserve">（4）电源控制：控制学生AC220V电源； </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（5）摇臂控制：可以实现单个控制，可以集中控制，可以任意组合控制。</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学生端分组控制系统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可以对学生端模块的电源控制系统、照明控制系统、给排水控制系统、智能摇臂控制系统经行独立分组控制，实现全选、反选、单选功能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远程控制系统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（1）APP登入有网络注册功能，注册后登入系统操作，使用者忘记密码方便找回，同时方便升级系统，带来新的体验。</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（2）能使用APP能控制总电源关闭；</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（3）APP能显示当前温度、相对湿度及当前时间；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（4）使用APP能控制学生低压电源的交流电压，且电压值为实测值。如APP给学生交流3V，学生电源电压实测电压为3V；</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（5）使用APP同时控制水电风光源开启与关闭，同时可以扩展功能（监控布防、空调控制等等）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温湿度监视系统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内置精密温湿度传感装置，实时监控房间内的温度和湿度，保障室内舒适的环境舒适性，在触摸屏中实时显示当前环境的温度和湿度。</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集成供给端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顶装主体框架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主体防尘保护罩</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1400*430*150mm</w:t>
            </w:r>
            <w:r>
              <w:rPr>
                <w:rFonts w:hint="eastAsia" w:ascii="仿宋" w:hAnsi="仿宋" w:eastAsia="仿宋" w:cs="仿宋"/>
                <w:bCs/>
                <w:color w:val="000000"/>
                <w:kern w:val="0"/>
                <w:sz w:val="24"/>
                <w:lang w:bidi="ar"/>
              </w:rPr>
              <w:t>，整体采用PP材质，保护主体构架内的供应系统的安全，防止灰尘进入罩体内。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智能摇臂升降系统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，接收智能控制系统信号实现远程遥控，动力为直流24V低压电机推送杆，固定于3mm厚专用铝合金模具一体成型，外部保护罩为铝合金模具一次成型，摇臂上装电源、选配网络及上下水模块。</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hint="eastAsia" w:ascii="仿宋" w:hAnsi="仿宋" w:eastAsia="仿宋" w:cs="仿宋"/>
                <w:bCs/>
                <w:color w:val="000000"/>
                <w:kern w:val="0"/>
                <w:sz w:val="24"/>
                <w:lang w:bidi="ar"/>
              </w:rPr>
            </w:pPr>
            <w:r>
              <w:rPr>
                <w:rFonts w:hint="eastAsia" w:ascii="仿宋" w:hAnsi="仿宋" w:eastAsia="仿宋" w:cs="仿宋"/>
                <w:bCs/>
                <w:color w:val="000000"/>
                <w:kern w:val="0"/>
                <w:sz w:val="24"/>
                <w:lang w:bidi="ar"/>
              </w:rPr>
              <w:t>12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智能多功能高低压智能电源</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AC220/DC30V</w:t>
            </w:r>
            <w:r>
              <w:rPr>
                <w:rFonts w:hint="eastAsia" w:ascii="仿宋" w:hAnsi="仿宋" w:eastAsia="仿宋" w:cs="仿宋"/>
                <w:bCs/>
                <w:color w:val="000000"/>
                <w:kern w:val="0"/>
                <w:sz w:val="24"/>
                <w:lang w:bidi="ar"/>
              </w:rPr>
              <w:t>，定制耐腐蚀、耐高温的PC亮光薄膜面板功能面板，高压220V,独立漏电、过载保护；</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低压20V，学生电源采用耐磨、学生电源的控制采用“电容式”触摸数字键盘，贴片元件生产技术，微电脑控制，采用1.54寸液晶显示电源学生交直流电压 ；</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学生直流电源也是通过数字键盘直接选取，调节范围为1.5～24V，分辨率可达0.1V,额定电流2A，亦具有过载保护智能检测功能。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低压电源控制系统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由教师端控制箱控制</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多功能电源</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规格：65*65*8mm（2个/组），接收智能化控制系统控制，内含新国标多功能插座2个。</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急停装置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铝合金材质，在水电系统出现故障时紧急制动，确保实验时安全。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供电线路</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模块化设计，每组模块间采用活接式连接，方便安装、检修。采用2.5mm²电线进行系统布线。</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智能照明</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安装调试</w:t>
            </w:r>
          </w:p>
        </w:tc>
        <w:tc>
          <w:tcPr>
            <w:tcW w:w="5850" w:type="dxa"/>
            <w:shd w:val="clear" w:color="000000" w:fill="FFFFFF"/>
            <w:vAlign w:val="center"/>
          </w:tcPr>
          <w:p>
            <w:pPr>
              <w:widowControl/>
              <w:numPr>
                <w:ilvl w:val="0"/>
                <w:numId w:val="1"/>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吊顶式安装系统采用模块化结构设计，采用吊装安装方式；</w:t>
            </w:r>
          </w:p>
          <w:p>
            <w:pPr>
              <w:widowControl/>
              <w:numPr>
                <w:ilvl w:val="0"/>
                <w:numId w:val="1"/>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系统结构安装调试；</w:t>
            </w:r>
          </w:p>
          <w:p>
            <w:pPr>
              <w:widowControl/>
              <w:numPr>
                <w:ilvl w:val="0"/>
                <w:numId w:val="1"/>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系统控制安装调试；</w:t>
            </w:r>
          </w:p>
          <w:p>
            <w:pPr>
              <w:widowControl/>
              <w:numPr>
                <w:ilvl w:val="0"/>
                <w:numId w:val="1"/>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供电系统安装调试；</w:t>
            </w:r>
          </w:p>
          <w:p>
            <w:pPr>
              <w:widowControl/>
              <w:numPr>
                <w:ilvl w:val="0"/>
                <w:numId w:val="1"/>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照明系统安装调试。</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系统安装辅件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
                <w:color w:val="000000"/>
                <w:kern w:val="0"/>
                <w:sz w:val="24"/>
                <w:lang w:bidi="ar"/>
              </w:rPr>
              <w:t>二、化学实验室集成系统（56座）</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教学演示端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可移动讲台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钢木结构，规格：</w:t>
            </w:r>
            <w:r>
              <w:rPr>
                <w:rFonts w:ascii="仿宋" w:hAnsi="仿宋" w:eastAsia="仿宋" w:cs="仿宋"/>
                <w:bCs/>
                <w:color w:val="000000"/>
                <w:kern w:val="0"/>
                <w:sz w:val="24"/>
                <w:lang w:bidi="ar"/>
              </w:rPr>
              <w:t>1200*600*900mm</w:t>
            </w:r>
            <w:r>
              <w:rPr>
                <w:rFonts w:hint="eastAsia" w:ascii="仿宋" w:hAnsi="仿宋" w:eastAsia="仿宋" w:cs="仿宋"/>
                <w:bCs/>
                <w:color w:val="000000"/>
                <w:kern w:val="0"/>
                <w:sz w:val="24"/>
                <w:lang w:bidi="ar"/>
              </w:rPr>
              <w:t>。</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（1）台面：采用12.7mm厚双面膜耐腐蚀实芯理化板制作，四角倒R15圆角。耐酸、耐碱、耐高温，坚固耐用，防潮、无细孔、不膨胀、不龟裂、不变形、不导电、便于维护及具有良好的承重性能；</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（2）钢木结构：主框架采用50*50*</w:t>
            </w:r>
            <w:r>
              <w:rPr>
                <w:rFonts w:hint="eastAsia" w:ascii="仿宋" w:hAnsi="仿宋" w:eastAsia="仿宋" w:cs="仿宋"/>
                <w:bCs/>
                <w:color w:val="000000"/>
                <w:kern w:val="0"/>
                <w:sz w:val="24"/>
                <w:lang w:val="en-US" w:eastAsia="zh-CN" w:bidi="ar"/>
              </w:rPr>
              <w:t>1.2</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矩形管焊接而成，表面经酸洗磷化、纯环氧树脂塑粉高温固化处理，平整光滑，不允许有喷涂层脱落、鼓泡、凹陷、压痕以及表面划伤、麻点、裂痕、崩角和刃口等，切割、钻孔和倒角应去毛刺；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（4）正前方设置可移动置物架，放置教案和教具；</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（5）桌脚：采用静音医用万向轮。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演示通风仪器柜</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1200*600*900mm</w:t>
            </w:r>
            <w:r>
              <w:rPr>
                <w:rFonts w:hint="eastAsia" w:ascii="仿宋" w:hAnsi="仿宋" w:eastAsia="仿宋" w:cs="仿宋"/>
                <w:bCs/>
                <w:color w:val="000000"/>
                <w:kern w:val="0"/>
                <w:sz w:val="24"/>
                <w:lang w:bidi="ar"/>
              </w:rPr>
              <w:t>。</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（2）外壳：采用厚1.0mm（含）以上优质冷轧钢板冲压成型制作，表面经耐酸碱环氧树脂喷涂处理；</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（3）台面：要求采用12.7mm厚实芯理化板边缘加厚至25.4mm，边缘呈圆弧形，结构坚固致密，能抗强冲击，耐强酸碱，耐高温，更具有良好的承重性能；</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（4）照明：采用30W日光灯，并设有5mm厚磨沙玻璃；</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（5）拉手：采用ABS注塑；</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（6）顶部气流板： 采用5mm厚抗倍特板，安装位置与角度需使排气分布均匀，无死角，在标准状况下，导流板上方与中、下方出风口排风量比例各约50±10%，以确保不同比重之气体均能有效排除，另并具手动可调排风量比例设计，可提高中、下方出风口排风量比例至80%以上；</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（7）化验水斗：采用PP制作，耐酸碱一体成型小水杯；</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（8）化验水咀：采用实验室专用单口烤漆水咀；</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（9）窗口：采用5mm厚的钢化防暴玻璃。内部采用垂体平衡装置，可以停留在上下任何位置；</w:t>
            </w:r>
          </w:p>
          <w:p>
            <w:pPr>
              <w:widowControl/>
              <w:spacing w:line="360" w:lineRule="atLeast"/>
              <w:jc w:val="left"/>
              <w:rPr>
                <w:rFonts w:ascii="仿宋" w:hAnsi="仿宋" w:eastAsia="仿宋" w:cs="仿宋"/>
                <w:bCs/>
                <w:color w:val="000000"/>
                <w:kern w:val="0"/>
                <w:sz w:val="24"/>
                <w:lang w:bidi="ar"/>
              </w:rPr>
            </w:pP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实践操作端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化学学生实验台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1200*600*780mm</w:t>
            </w:r>
            <w:r>
              <w:rPr>
                <w:rFonts w:hint="eastAsia" w:ascii="仿宋" w:hAnsi="仿宋" w:eastAsia="仿宋" w:cs="仿宋"/>
                <w:bCs/>
                <w:color w:val="000000"/>
                <w:kern w:val="0"/>
                <w:sz w:val="24"/>
                <w:lang w:bidi="ar"/>
              </w:rPr>
              <w:t>。新型钢制结构</w:t>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前面两角倒R30圆角，后面两角倒R15圆角。台面后方卡入学生桌铝型槽内，前方用预埋件与桌体固定。耐酸、耐碱、耐高温，坚固耐用，防潮、无细孔、不膨胀、不龟裂、不变形、不导电、便于维护及具有良好的承重性能。（2）新型钢塑结构，学生位镂空式，符合人体工程学设计，美观大方。专用书包斗ABS工程塑料一次性注塑成型结合，成型尺寸410*330*120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。镂空设计，底部设有排水孔，便于清理，不屯垃圾，中间设挂凳卡。（3）</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脚架：采用多材质组合结构，组合尺寸590*770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定制81*55*2mm椭圆管采用模具一体成型为”Y”字型（没有二次焊接，牢固性可靠、美观实用），下开口采用磨具成型改性工程塑料材料装饰，上端连接件采用铸铝一体成型，上框采用20*30距形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4）后档水板采用105*14*2mm厚一体成型铝合金、左右堵头连接件采用铸铝磨具一体成型，固定台面不易脱落，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4</w:t>
            </w:r>
          </w:p>
        </w:tc>
        <w:tc>
          <w:tcPr>
            <w:tcW w:w="873"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实验凳</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规格：Φ</w:t>
            </w:r>
            <w:r>
              <w:rPr>
                <w:rFonts w:ascii="仿宋" w:hAnsi="仿宋" w:eastAsia="仿宋" w:cs="仿宋"/>
                <w:bCs/>
                <w:color w:val="000000"/>
                <w:kern w:val="0"/>
                <w:sz w:val="24"/>
                <w:lang w:bidi="ar"/>
              </w:rPr>
              <w:t>315*450-500mm</w:t>
            </w:r>
            <w:r>
              <w:rPr>
                <w:rFonts w:hint="eastAsia" w:ascii="仿宋" w:hAnsi="仿宋" w:eastAsia="仿宋" w:cs="仿宋"/>
                <w:bCs/>
                <w:color w:val="000000"/>
                <w:kern w:val="0"/>
                <w:sz w:val="24"/>
                <w:lang w:bidi="ar"/>
              </w:rPr>
              <w:t>。</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（1）凳脚材质：4个凳脚采用17×34×1.7mm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凳面与凳脚留有一定的空间便于凳子挂在挂凳扣上。方便教室的打扫。</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全新钢塑水槽柜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450*600*810mm</w:t>
            </w:r>
            <w:r>
              <w:rPr>
                <w:rFonts w:hint="eastAsia" w:ascii="仿宋" w:hAnsi="仿宋" w:eastAsia="仿宋" w:cs="仿宋"/>
                <w:bCs/>
                <w:color w:val="000000"/>
                <w:kern w:val="0"/>
                <w:sz w:val="24"/>
                <w:lang w:bidi="ar"/>
              </w:rPr>
              <w:t>，整体采用三段式结构，前部凸起，采用实验室专用一次成型的绿色环保材质，背板和侧板采用1.0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厚镀锌钢板后两侧圆弧角设计，前面门板两侧圆弧形设计，底座为专用一次成型绿色环保材质。内部钢框支撑，要求无毒无味，防水防潮，不生锈，承重力强，可重复拆卸拼装，专用连接件拼装。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三联高低位龙头</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PP一体化水槽及多功能实验下水装置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水槽为整体模具一体成型，尺寸450*600*250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，并设有溢水口，底部带S弯防臭设计，与地面下水管密封连接；水柜内设计方管支撑架，前方设置检修门，整体可拆卸背板，便于维修。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系统控制端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智能系统控制柜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规格：450*200*1100mm；</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智能控制柜：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风机控制系统1套。</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（1）电源控制系统：可以对220V进行控制，可以单独进行控制，进行单选、全选、反选，分组进行控制；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（2）照明控制系统可以对照明进行控制，可以单独进行控制，进行单选、全选、反选，分组进行控制；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(4)、智能摇臂控制系统：可以对摇臂进行控制，可以单独进行控制，进行单选、全选、反选，分组进行控制；</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5）通风控制系统：采用风机矢量控制变频器：应用空间电压矢量控制原理，采用模块化设计、双CPU控制，是集数字技术、计算机技术、现代自控技术于一体的高科技产品，具有精度高、噪音低、转矩大、性能可靠等特点。（6）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控制系统：采用自主研发控制系统；</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台</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顶装智能控制平台</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规格：10寸触摸屏。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集中控制系统。可执行各分项分页控制；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（1）通风控制：触摸数字无极变频控制，具有频率数字显示功能，可精确控制通风风量；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（2）供水控制：集中控制整室给排水；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（3）照明控制：分组控制整室照明；</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 xml:space="preserve">（4）电源控制：控制学生AC220V电源； </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（5）摇臂控制：可以实现单个控制，可以集中控制，可以任意组合控制。</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学生端分组控制系统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可以对学生端模块的电源控制系统、照明控制系统、给排水控制系统、智能摇臂控制系统经行独立分组控制，实现全选、反选、单选功能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远程控制系统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（1）APP登入有网络注册功能，注册后登入系统操作，使用者忘记密码方便找回，同时方便升级系统，带来新的体验。</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（2）能使用APP能控制总电源关闭；</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（3）APP能显示当前温度、相对湿度及当前时间；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（4）使用APP能控制学生低压电源的交流电压，且电压值为实测值。如APP给学生交流3V，学生电源电压实测电压为3V；</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（5）使用APP同时控制水电风光源开启与关闭，同时可以扩展功能（监控布防、空调控制等等）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温湿度监视系统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内置精密温湿度传感装置，实时监控房间内的温度和湿度，保障室内舒适的环境舒适性，在触摸屏中实时显示当前环境的温度和湿度。</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系统通风端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可拆卸式万向吸风罩</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四节，即插即用型，使用时插入通风槽中，自动锁止，不使用时取下更好保护学生学生视线同时放入收纳柜</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（1）关节：高密度PP材质，可360°旋转调节方向。</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（2）关节密封圈：不易老化之高密度橡胶。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（3）关节连接杆：304不锈钢。</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（4）关节松紧选钮：高密度PP材质，内嵌不锈钢轴承，与关节连接杆锁合。</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（5）气流调节阀：手动调节外部阀门旋钮。</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（6）拱形集气罩：直径210mm，高密度铝合金制成。</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（7）伸缩导管：直径50mm铝合金。</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（8）固定底座：采用铝合金结构，即插即用。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室内行程通风系统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采用防腐蚀PP材质，整体焊接成型，具有整体结构性能好、严密性高等优点。同时具有耐酸碱性能。</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规格：主风管600*250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，支风管直径110mm。管卡采用碳钢制作，表面经镀铬处理，具有耐腐蚀、防火、防潮等功能。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室外行程通风系统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采用防腐蚀PP材质，整体焊接成型，具有整体结构性能好、严密性高等优点。同时具有耐酸碱性能。</w:t>
            </w:r>
            <w:r>
              <w:rPr>
                <w:rFonts w:hint="eastAsia" w:ascii="仿宋" w:hAnsi="仿宋" w:eastAsia="仿宋" w:cs="仿宋"/>
                <w:bCs/>
                <w:color w:val="000000"/>
                <w:kern w:val="0"/>
                <w:sz w:val="24"/>
                <w:lang w:bidi="ar"/>
              </w:rPr>
              <w:br w:type="page"/>
            </w:r>
            <w:r>
              <w:rPr>
                <w:rFonts w:hint="eastAsia" w:ascii="仿宋" w:hAnsi="仿宋" w:eastAsia="仿宋" w:cs="仿宋"/>
                <w:bCs/>
                <w:color w:val="000000"/>
                <w:kern w:val="0"/>
                <w:sz w:val="24"/>
                <w:lang w:bidi="ar"/>
              </w:rPr>
              <w:t>规格：600*250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。管卡采用碳钢制作，表面经镀铬处理，具有耐腐蚀、防火、防潮等功能。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通风风机</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（1）结构：PP蜗牛式离心风机。功率：5.5KW。风量：7100-13500m3/h。风压：926-735Pa。噪音：≤55dB(A)。室内换气次数：≥20次/h。终端流速：≥11.3米/秒整个通风系统均为中压系统（500 Pa＜P≤1500 Pa＝，低压系统（P≤500 Pa），主管内风速约8-14米/秒（m/s），支管内风速约6-8米/秒（m/s）。</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（2）每台通风设备都可以独立操作，相互之间不受影响。</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（3）气流组织合理，排气顺畅，无气味溢出、气体排放符合国家规定排放标准。</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（4）通风系统主管内壁光滑，以降低噪声向室内传播，同时管井外壁应同室内装修保持一致，美观耐用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台</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风机控制线</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（1）采用交联聚乙烯绝缘﹑铝塑带绕包总屏蔽﹑低烟无卤聚烯烃内衬层﹑钢丝铠装﹑低烟无卤聚烯烃护套耐火计算机对绞控制电缆。1. 电缆的额定电压300/500V</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（2）电缆长期工作温度-30～90℃</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（3）电缆敷设温度不低于0℃</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 WDZCN-DJYJP3YP3VR-33电缆弯曲半径不小于电缆直径的12倍</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（5）低烟无卤成束阻燃型电缆燃烧时析出气体中HCL含量≤100mg/g</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集成供给端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顶装主体框架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主体防尘保护罩</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1400*430*150mm</w:t>
            </w:r>
            <w:r>
              <w:rPr>
                <w:rFonts w:hint="eastAsia" w:ascii="仿宋" w:hAnsi="仿宋" w:eastAsia="仿宋" w:cs="仿宋"/>
                <w:bCs/>
                <w:color w:val="000000"/>
                <w:kern w:val="0"/>
                <w:sz w:val="24"/>
                <w:lang w:bidi="ar"/>
              </w:rPr>
              <w:t>，整体采用PP材质，保护主体构架内的供应系统的安全，防止灰尘进入罩体内。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智能摇臂升降系统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，接收智能控制系统信号实现远程遥控，动力为直流24V低压电机推送杆，固定于3mm厚专用铝合金模具一体成型，外部保护罩为铝合金模具一次成型，摇臂上装电源、选配网络及上下水模块。</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上下水智能安装面板</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215*240*88mm</w:t>
            </w:r>
            <w:r>
              <w:rPr>
                <w:rFonts w:hint="eastAsia" w:ascii="仿宋" w:hAnsi="仿宋" w:eastAsia="仿宋" w:cs="仿宋"/>
                <w:bCs/>
                <w:color w:val="000000"/>
                <w:kern w:val="0"/>
                <w:sz w:val="24"/>
                <w:lang w:bidi="ar"/>
              </w:rPr>
              <w:t>，接收智能化控制系统控制，主体采用铝合金材质，内部铝质框架，外壳采用ABS注塑成型，预留多个供应系统安装位置，水电分离设计，模块设计防水功能。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多功能电源</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规格：65*65*8mm（2个/组），接收智能化控制系统控制，内含新国标多功能插座2个。</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急停装置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铝合金材质，在水电系统出现故障时紧急制动，确保实验时安全。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供电线路</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模块化设计，每组模块间采用活接式连接，方便安装、检修。采用2.5mm²电线进行系统布线。</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智能照明</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自动给排水系统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自动排水模块1组、水模拟量控制器1组、电源控制器1套、自动保护系统1组。</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自动给排水接口</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给水布管</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给水主管选用φ20-32mmPP-R给水管，模块化设计，每组模块间采用活接式连接，方便安装、检修。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排水布管</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排水管选用加厚φ50-75mmPVC-U国标管（具有防酸、防碱、耐腐蚀功能），模块化设计，每组模块间采用活接式连接，方便安装、检修。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安装调试</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（1）吊顶式安装系统采用模块化结构设计，采用吊装安装方式；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（2）系统结构安装调试；</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（3）系统控制安装调试；</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（4）通风系统安装调试；</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（5）给排水安装调试；</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（6）供电系统安装调试；</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（7）照明系统安装调试。</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系统安装辅件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
                <w:color w:val="000000"/>
                <w:kern w:val="0"/>
                <w:sz w:val="24"/>
                <w:lang w:bidi="ar"/>
              </w:rPr>
              <w:t>三、生物实验室集成系统（56座）</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教学演示端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可移动讲台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钢木结构，</w:t>
            </w:r>
            <w:r>
              <w:rPr>
                <w:rFonts w:ascii="仿宋" w:hAnsi="仿宋" w:eastAsia="仿宋" w:cs="仿宋"/>
                <w:bCs/>
                <w:color w:val="000000"/>
                <w:kern w:val="0"/>
                <w:sz w:val="24"/>
                <w:lang w:bidi="ar"/>
              </w:rPr>
              <w:t>1200*600*900mm</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（1）台面：采用12.7mm厚双面膜耐腐蚀实芯理化板制作，四角倒R15圆角。耐酸、耐碱、耐高温，坚固耐用，防潮、无细孔、不膨胀、不龟裂、不变形、不导电、便于维护及具有良好的承重性能；</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（2）钢木结构：主框架采用50*50*</w:t>
            </w:r>
            <w:r>
              <w:rPr>
                <w:rFonts w:hint="eastAsia" w:ascii="仿宋" w:hAnsi="仿宋" w:eastAsia="仿宋" w:cs="仿宋"/>
                <w:bCs/>
                <w:color w:val="000000"/>
                <w:kern w:val="0"/>
                <w:sz w:val="24"/>
                <w:lang w:val="en-US" w:eastAsia="zh-CN" w:bidi="ar"/>
              </w:rPr>
              <w:t>1.2</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矩形管焊接而成，表面经酸洗磷化、纯环氧树脂塑粉高温固化处理，平整光滑，不允许有喷涂层脱落、鼓泡、凹陷、压痕以及表面划伤、麻点、裂痕、崩角和刃口等，切割、钻孔和倒角应去毛刺；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3）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（4）正前方设置可移动置物架，放置教案和教具；</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（5）桌脚：采用静音医用万向轮。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全新钢塑水槽柜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450*600*810mm</w:t>
            </w:r>
            <w:r>
              <w:rPr>
                <w:rFonts w:hint="eastAsia" w:ascii="仿宋" w:hAnsi="仿宋" w:eastAsia="仿宋" w:cs="仿宋"/>
                <w:bCs/>
                <w:color w:val="000000"/>
                <w:kern w:val="0"/>
                <w:sz w:val="24"/>
                <w:lang w:bidi="ar"/>
              </w:rPr>
              <w:t>，水槽柜：整体采用三段式结构，前部凸起，采用实验室专用一次成型的绿色环保材质，背板和侧板采用1.0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厚镀锌钢板后两侧圆弧角设计，前面门板两侧圆弧形设计，底座为专用一次成型绿色环保材质。内部钢框支撑，要求无毒无味，防水防潮，不生锈，承重力强，可重复拆卸拼装，专用连接件拼装。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三联高低位龙头</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PP一体化水槽及多功能实验下水装置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水槽为整体模具一体成型，尺寸450*600*250，并设有溢水口，底部带S弯防臭设计，与地面下水管密封连接；水柜内设计方管支撑架，前方设置检修门，整体可拆卸背板，便于维修。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实践操作端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生物学生实验台</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新型钢制结构，规格</w:t>
            </w:r>
            <w:r>
              <w:rPr>
                <w:rFonts w:ascii="仿宋" w:hAnsi="仿宋" w:eastAsia="仿宋" w:cs="仿宋"/>
                <w:bCs/>
                <w:color w:val="000000"/>
                <w:kern w:val="0"/>
                <w:sz w:val="24"/>
                <w:lang w:bidi="ar"/>
              </w:rPr>
              <w:t>1200*600*780</w:t>
            </w:r>
            <w:r>
              <w:rPr>
                <w:rFonts w:hint="eastAsia" w:ascii="仿宋" w:hAnsi="仿宋" w:eastAsia="仿宋" w:cs="仿宋"/>
                <w:bCs/>
                <w:color w:val="000000"/>
                <w:kern w:val="0"/>
                <w:sz w:val="24"/>
                <w:lang w:bidi="ar"/>
              </w:rPr>
              <w:t>mm。</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台面：采用12.7mm厚双面膜耐腐蚀实芯理化板制作，前面两角倒R30圆角，后面两角倒R15圆角。台面后方卡入学生桌铝型槽内，前方用预埋件与桌体固定。耐酸、耐碱、耐高温，坚固耐用，防潮、无细孔、不膨胀、不龟裂、不变形、不导电、便于维护及具有良好的承重性能。</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（2）新型钢塑结构，学生位镂空式，符合人体工程学设计，美观大方。专用书包斗ABS工程塑料一次性注塑成型结合，成型尺寸410*330*120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。镂空设计，底部设有排水孔，便于清理，不屯垃圾，中间设挂凳卡。</w:t>
            </w:r>
            <w:r>
              <w:rPr>
                <w:rFonts w:hint="eastAsia" w:ascii="仿宋" w:hAnsi="仿宋" w:eastAsia="仿宋" w:cs="仿宋"/>
                <w:bCs/>
                <w:color w:val="000000"/>
                <w:kern w:val="0"/>
                <w:sz w:val="24"/>
                <w:lang w:bidi="ar"/>
              </w:rPr>
              <w:br w:type="textWrapping"/>
            </w:r>
            <w:bookmarkStart w:id="1" w:name="_GoBack"/>
            <w:bookmarkEnd w:id="1"/>
            <w:r>
              <w:rPr>
                <w:rFonts w:hint="eastAsia" w:ascii="仿宋" w:hAnsi="仿宋" w:eastAsia="仿宋" w:cs="仿宋"/>
                <w:bCs/>
                <w:color w:val="000000"/>
                <w:kern w:val="0"/>
                <w:sz w:val="24"/>
                <w:lang w:bidi="ar"/>
              </w:rPr>
              <w:t>（3）脚架：采用多材质组合结构，组合尺寸590*770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，定制81*55*2mm椭圆管采用模具一体成型为”Y”字型（没有二次焊接，牢固性可靠、美观实用），下开口采用磨具成型改性工程塑料材料装饰，上端连接件采用铸铝一体成型，上框采用20*30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距形管焊接成型，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Cs/>
                <w:color w:val="000000"/>
                <w:kern w:val="0"/>
                <w:sz w:val="24"/>
                <w:lang w:bidi="ar"/>
              </w:rPr>
              <w:br w:type="textWrapping"/>
            </w: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4）后档水板采用105*14*2mm厚一体成型铝合金、左右堵头连接件采用铸铝磨具一体成型，固定台面不易脱落，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（5）桌脚：采用一体注塑模具成型，结构美观牢固，后脚采用一寸定向轮，方便移动，前脚采用防滑调整脚，同时可以与地面固定，防止桌移动。并用专用注塑模具件装饰。</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6</w:t>
            </w:r>
          </w:p>
        </w:tc>
        <w:tc>
          <w:tcPr>
            <w:tcW w:w="873" w:type="dxa"/>
            <w:shd w:val="clear" w:color="auto" w:fill="auto"/>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实验凳</w:t>
            </w:r>
          </w:p>
        </w:tc>
        <w:tc>
          <w:tcPr>
            <w:tcW w:w="5850" w:type="dxa"/>
            <w:shd w:val="clear" w:color="auto" w:fill="auto"/>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规格：Φ</w:t>
            </w:r>
            <w:r>
              <w:rPr>
                <w:rFonts w:ascii="仿宋" w:hAnsi="仿宋" w:eastAsia="仿宋" w:cs="仿宋"/>
                <w:bCs/>
                <w:color w:val="000000"/>
                <w:kern w:val="0"/>
                <w:sz w:val="24"/>
                <w:lang w:bidi="ar"/>
              </w:rPr>
              <w:t>315*450-5</w:t>
            </w:r>
            <w:r>
              <w:rPr>
                <w:rFonts w:hint="eastAsia" w:ascii="仿宋" w:hAnsi="仿宋" w:eastAsia="仿宋" w:cs="仿宋"/>
                <w:bCs/>
                <w:color w:val="000000"/>
                <w:kern w:val="0"/>
                <w:sz w:val="24"/>
                <w:lang w:bidi="ar"/>
              </w:rPr>
              <w:t>00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
                <w:bCs w:val="0"/>
                <w:color w:val="000000"/>
                <w:kern w:val="0"/>
                <w:sz w:val="24"/>
                <w:lang w:bidi="ar"/>
              </w:rPr>
              <w:t>*</w:t>
            </w:r>
            <w:r>
              <w:rPr>
                <w:rFonts w:hint="eastAsia" w:ascii="仿宋" w:hAnsi="仿宋" w:eastAsia="仿宋" w:cs="仿宋"/>
                <w:bCs/>
                <w:color w:val="000000"/>
                <w:kern w:val="0"/>
                <w:sz w:val="24"/>
                <w:lang w:bidi="ar"/>
              </w:rPr>
              <w:t>（1）凳脚材质：4个凳脚采用17×34×1.7mm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厚6mm。表面细纹咬花，防滑不发光，凳面底部镶嵌4枚铜质螺纹，采用不锈钢螺丝与圆型托盘固定。（3）脚垫材质：采用PP加耐磨纤维质塑料，实心倒勾式一体射出成型 凳面与凳脚留有一定的空间便于凳子挂在挂凳扣上。方便教室的打扫。</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张</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全新钢塑水槽柜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450*600*8</w:t>
            </w:r>
            <w:r>
              <w:rPr>
                <w:rFonts w:hint="eastAsia" w:ascii="仿宋" w:hAnsi="仿宋" w:eastAsia="仿宋" w:cs="仿宋"/>
                <w:bCs/>
                <w:color w:val="000000"/>
                <w:kern w:val="0"/>
                <w:sz w:val="24"/>
                <w:lang w:bidi="ar"/>
              </w:rPr>
              <w:t>10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，整体采用三段式结构，前部凸起，采用实验室专用一次成型的绿色环保材质，背板和侧板采用1.0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厚镀锌钢板后两侧圆弧角设计，前面门板两侧圆弧形设计，底座为专用一次成型绿色环保材质。内部钢框支撑，要求无毒无味，防水防潮，不生锈，承重力强，可重复拆卸拼装，专用连接件拼装。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三联高低位龙头</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PP一体化水槽及多功能实验下水装置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水槽为整体模具一体成型，尺寸450*600*250</w:t>
            </w:r>
            <w:r>
              <w:rPr>
                <w:rFonts w:ascii="仿宋" w:hAnsi="仿宋" w:eastAsia="仿宋" w:cs="仿宋"/>
                <w:bCs/>
                <w:color w:val="000000"/>
                <w:kern w:val="0"/>
                <w:sz w:val="24"/>
                <w:lang w:bidi="ar"/>
              </w:rPr>
              <w:t>mm</w:t>
            </w:r>
            <w:r>
              <w:rPr>
                <w:rFonts w:hint="eastAsia" w:ascii="仿宋" w:hAnsi="仿宋" w:eastAsia="仿宋" w:cs="仿宋"/>
                <w:bCs/>
                <w:color w:val="000000"/>
                <w:kern w:val="0"/>
                <w:sz w:val="24"/>
                <w:lang w:bidi="ar"/>
              </w:rPr>
              <w:t>，并设有溢水口，底部带S弯防臭设计，与地面下水管密封连接；水柜内设计方管支撑架，前方设置检修门，整体可拆卸背板，便于维修。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系统控制端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智能系统控制柜</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规格：450*200*1100mm；</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智能控制柜：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风机控制系统1套。</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（1）电源控制系统：可以对220V进行控制，可以单独进行控制，进行单选、全选、反选，分组进行控制；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（2）照明控制系统可以对照明进行控制，可以单独进行控制，进行单选、全选、反选，分组进行控制；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(4)智能摇臂控制系统：可以对摇臂进行控制，可以单独进行控制，进行单选、全选、反选，分组进行控制；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通风控制系统：采用风机矢量控制变频器：应用空间电压矢量控制原理，采用模块化设计、双CPU控制，是集数字技术、计算机技术、现代自控技术于一体的高科技产品，具有精度高、噪音低、转矩大、性能可靠等特点。</w:t>
            </w:r>
          </w:p>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（6）主要参数指标为：1.频率指示、异常指示、转速指示、状态指示等均由LED显示；2.输入额定电压：三相380V，±15%；3.输入额定频率：50/60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额定电流；7.保护功能：输入缺相、输入欠压、直流过压、过载等。控制系统：采用自主研发控制系统；</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台</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顶装智能控制平台</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规格：10寸触摸屏。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集中控制系统。可执行各分项分页控制；</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（1）通风控制：触摸数字无极变频控制，具有频率数字显示功能，可精确控制通风风量；</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（2）供水控制：集中控制整室给排水；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（3）照明控制：分组控制整室照明；</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 xml:space="preserve">（4）电源控制：控制学生AC220V电源； </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（5）摇臂控制：可以实现单个控制，可以集中控制，可以任意组合控制。</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学生端分组控制系统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可以对学生端模块的电源控制系统、照明控制系统、给排水控制系统、智能摇臂控制系统经行独立分组控制，实现全选、反选、单选功能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远程控制系统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（1）APP登入有网络注册功能，注册后登入系统操作，使用者忘记密码方便找回，同时方便升级系统，带来新的体验。</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（2）能使用APP能控制总电源关闭；</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（3）APP能显示当前温度、相对湿度及当前时间；</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（4）使用APP能控制学生低压电源的交流电压，且电压值为实测值。如APP给学生交流3V，学生电源电压实测电压为3V；</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（5）使用APP同时控制水电风光源开启与关闭，同时可以扩展功能（监控布防、空调控制等等）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温湿度监视系统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内置精密温湿度传感装置，实时监控房间内的温度和湿度，保障室内舒适的环境舒适性，在触摸屏中实时显示当前环境的温度和湿度。</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1" w:type="dxa"/>
            <w:gridSpan w:val="5"/>
            <w:shd w:val="clear" w:color="000000" w:fill="D9D9D9"/>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集成供给端</w:t>
            </w:r>
          </w:p>
        </w:tc>
        <w:tc>
          <w:tcPr>
            <w:tcW w:w="1056" w:type="dxa"/>
            <w:shd w:val="clear" w:color="000000" w:fill="D9D9D9"/>
            <w:vAlign w:val="center"/>
          </w:tcPr>
          <w:p>
            <w:pPr>
              <w:widowControl/>
              <w:spacing w:line="360" w:lineRule="atLeast"/>
              <w:jc w:val="center"/>
              <w:rPr>
                <w:rFonts w:ascii="仿宋" w:hAnsi="仿宋" w:eastAsia="仿宋" w:cs="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顶装主体框架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，整体采用≥3.0mm冷轧钢板，经激光雕刻机精细雕刻，数控折弯成型，表面经环氧树脂粉末喷涂高温固化处理。要做到承重性能强和耐酸碱、耐腐蚀。</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主体防尘保护罩</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t xml:space="preserve"> </w:t>
            </w:r>
            <w:r>
              <w:rPr>
                <w:rFonts w:ascii="仿宋" w:hAnsi="仿宋" w:eastAsia="仿宋" w:cs="仿宋"/>
                <w:bCs/>
                <w:color w:val="000000"/>
                <w:kern w:val="0"/>
                <w:sz w:val="24"/>
                <w:lang w:bidi="ar"/>
              </w:rPr>
              <w:t>1400*430*150</w:t>
            </w:r>
            <w:r>
              <w:rPr>
                <w:rFonts w:hint="eastAsia" w:ascii="仿宋" w:hAnsi="仿宋" w:eastAsia="仿宋" w:cs="仿宋"/>
                <w:bCs/>
                <w:color w:val="000000"/>
                <w:kern w:val="0"/>
                <w:sz w:val="24"/>
                <w:lang w:bidi="ar"/>
              </w:rPr>
              <w:t>mm</w:t>
            </w:r>
            <w:r>
              <w:rPr>
                <w:rFonts w:ascii="仿宋" w:hAnsi="仿宋" w:eastAsia="仿宋" w:cs="仿宋"/>
                <w:bCs/>
                <w:color w:val="000000"/>
                <w:kern w:val="0"/>
                <w:sz w:val="24"/>
                <w:lang w:bidi="ar"/>
              </w:rPr>
              <w:t>,</w:t>
            </w:r>
            <w:r>
              <w:rPr>
                <w:rFonts w:hint="eastAsia" w:ascii="仿宋" w:hAnsi="仿宋" w:eastAsia="仿宋" w:cs="仿宋"/>
                <w:bCs/>
                <w:color w:val="000000"/>
                <w:kern w:val="0"/>
                <w:sz w:val="24"/>
                <w:lang w:bidi="ar"/>
              </w:rPr>
              <w:t>整体采用PP材质，保护主体构架内的供应系统的安全，防止灰尘进入罩体内。</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8</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智能摇臂升降系统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1520*575*290mm</w:t>
            </w:r>
            <w:r>
              <w:rPr>
                <w:rFonts w:hint="eastAsia" w:ascii="仿宋" w:hAnsi="仿宋" w:eastAsia="仿宋" w:cs="仿宋"/>
                <w:bCs/>
                <w:color w:val="000000"/>
                <w:kern w:val="0"/>
                <w:sz w:val="24"/>
                <w:lang w:bidi="ar"/>
              </w:rPr>
              <w:t>，接收智能控制系统信号实现远程遥控，动力为直流24V低压电机推送杆，固定于3mm厚专用铝合金模具一体成型，外部保护罩为铝合金模具一次成型，摇臂上装电源、选配网络及上下水模块。</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上下水智能安装面板</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w:t>
            </w:r>
            <w:r>
              <w:rPr>
                <w:rFonts w:ascii="仿宋" w:hAnsi="仿宋" w:eastAsia="仿宋" w:cs="仿宋"/>
                <w:bCs/>
                <w:color w:val="000000"/>
                <w:kern w:val="0"/>
                <w:sz w:val="24"/>
                <w:lang w:bidi="ar"/>
              </w:rPr>
              <w:t>215*240*88mm</w:t>
            </w:r>
            <w:r>
              <w:rPr>
                <w:rFonts w:hint="eastAsia" w:ascii="仿宋" w:hAnsi="仿宋" w:eastAsia="仿宋" w:cs="仿宋"/>
                <w:bCs/>
                <w:color w:val="000000"/>
                <w:kern w:val="0"/>
                <w:sz w:val="24"/>
                <w:lang w:bidi="ar"/>
              </w:rPr>
              <w:t>，接收智能化控制系统控制，主体采用铝合金材质，内部铝质框架，外壳采用ABS注塑成型，预留多个供应系统安装位置，水电分离设计，模块设计防水功能。</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19</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多功能电源</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规格：65*65*8mm（2个/组）接收智能化控制系统控制，内含新国标多功能插座2个。</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20</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急停装置</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铝合金材质，在水电系统出现故障时紧急制动，确保实验时安全。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个</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21</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供电线路</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模块化设计，每组模块间采用活接式连接，方便安装、检修。采用2.5mm²电线进行系统布线。</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22</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智能照明</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接收智能化控制系统控制，功能面板采用1200*85mm，配置LED日光灯1根，每根15W，灯罩采用ABS一次成型，设计安装磨砂透明均光板，不仅能使光线扩散均匀更能起到安全防护作用。</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16</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23</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自动给排水系统</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自动排水模块1组、水模拟量控制器1组、电源控制器1套、自动保护系统1组。</w:t>
            </w:r>
            <w:r>
              <w:rPr>
                <w:rFonts w:hint="eastAsia" w:ascii="仿宋" w:hAnsi="仿宋" w:eastAsia="仿宋" w:cs="仿宋"/>
                <w:bCs/>
                <w:color w:val="000000"/>
                <w:kern w:val="0"/>
                <w:sz w:val="24"/>
                <w:lang w:bidi="ar"/>
              </w:rPr>
              <w:br w:type="textWrapping"/>
            </w:r>
            <w:r>
              <w:rPr>
                <w:rFonts w:hint="eastAsia" w:ascii="仿宋" w:hAnsi="仿宋" w:eastAsia="仿宋" w:cs="仿宋"/>
                <w:bCs/>
                <w:color w:val="000000"/>
                <w:kern w:val="0"/>
                <w:sz w:val="24"/>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24</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自动给排水接口</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14</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25</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给水布管</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给水主管选用φ20-32mmPP-R给水管，模块化设计，每组模块间采用活接式连接，方便安装、检修。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26</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排水布管</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排水管选用加厚φ50-75mmPVC-U国标管（具有防酸、防碱、耐腐蚀功能），模块化设计，每组模块间采用活接式连接，方便安装、检修。</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27</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安装调试</w:t>
            </w:r>
          </w:p>
        </w:tc>
        <w:tc>
          <w:tcPr>
            <w:tcW w:w="5850" w:type="dxa"/>
            <w:shd w:val="clear" w:color="000000" w:fill="FFFFFF"/>
            <w:vAlign w:val="center"/>
          </w:tcPr>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吊顶式安装系统采用模块化结构设计，采用吊装安装方式；</w:t>
            </w:r>
          </w:p>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系统结构安装调试；</w:t>
            </w:r>
          </w:p>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系统控制安装调试；</w:t>
            </w:r>
          </w:p>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给排水安装调试；</w:t>
            </w:r>
          </w:p>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供电系统安装调试；</w:t>
            </w:r>
          </w:p>
          <w:p>
            <w:pPr>
              <w:widowControl/>
              <w:numPr>
                <w:ilvl w:val="0"/>
                <w:numId w:val="2"/>
              </w:numPr>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照明系统安装调试。</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套</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28</w:t>
            </w:r>
          </w:p>
        </w:tc>
        <w:tc>
          <w:tcPr>
            <w:tcW w:w="87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系统安装辅件</w:t>
            </w:r>
          </w:p>
        </w:tc>
        <w:tc>
          <w:tcPr>
            <w:tcW w:w="5850" w:type="dxa"/>
            <w:shd w:val="clear" w:color="000000" w:fill="FFFFFF"/>
            <w:vAlign w:val="center"/>
          </w:tcPr>
          <w:p>
            <w:pPr>
              <w:widowControl/>
              <w:spacing w:line="360" w:lineRule="atLeast"/>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采用双槽钢横梁吊装方式，减少楼板承重，防止左右晃动，可进行上下、左右的平衡调节，实验功能板离地2m左右。主要辅件有：槽钢、三角构件、直角座、龙骨架连接件、吊装挂件、安装连接板等。</w:t>
            </w:r>
          </w:p>
        </w:tc>
        <w:tc>
          <w:tcPr>
            <w:tcW w:w="518"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项</w:t>
            </w:r>
          </w:p>
        </w:tc>
        <w:tc>
          <w:tcPr>
            <w:tcW w:w="803"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w:t>
            </w:r>
          </w:p>
        </w:tc>
        <w:tc>
          <w:tcPr>
            <w:tcW w:w="1056" w:type="dxa"/>
            <w:shd w:val="clear" w:color="000000" w:fill="FFFFFF"/>
            <w:vAlign w:val="center"/>
          </w:tcPr>
          <w:p>
            <w:pPr>
              <w:widowControl/>
              <w:spacing w:line="360" w:lineRule="atLeast"/>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否</w:t>
            </w:r>
          </w:p>
        </w:tc>
      </w:tr>
    </w:tbl>
    <w:p>
      <w:pPr>
        <w:widowControl/>
        <w:shd w:val="clear" w:color="auto" w:fill="FFFFFF"/>
        <w:ind w:firstLine="601"/>
        <w:jc w:val="left"/>
        <w:rPr>
          <w:rFonts w:ascii="仿宋" w:hAnsi="仿宋" w:eastAsia="仿宋" w:cs="仿宋"/>
          <w:color w:val="000000"/>
          <w:kern w:val="0"/>
          <w:sz w:val="30"/>
          <w:szCs w:val="30"/>
          <w:shd w:val="clear" w:color="auto" w:fill="FFFFFF"/>
          <w:lang w:bidi="ar"/>
        </w:rPr>
      </w:pPr>
    </w:p>
    <w:p>
      <w:pPr>
        <w:widowControl/>
        <w:shd w:val="clear" w:color="auto" w:fill="FFFFFF"/>
        <w:ind w:firstLine="601"/>
        <w:jc w:val="left"/>
        <w:rPr>
          <w:rFonts w:ascii="仿宋" w:hAnsi="仿宋" w:eastAsia="仿宋" w:cs="仿宋"/>
          <w:b/>
          <w:bCs/>
          <w:color w:val="000000"/>
          <w:kern w:val="0"/>
          <w:sz w:val="30"/>
          <w:szCs w:val="30"/>
          <w:shd w:val="clear" w:color="auto" w:fill="FFFFFF"/>
          <w:lang w:bidi="ar"/>
        </w:rPr>
      </w:pPr>
      <w:r>
        <w:rPr>
          <w:rFonts w:hint="eastAsia" w:ascii="仿宋" w:hAnsi="仿宋" w:eastAsia="仿宋" w:cs="仿宋"/>
          <w:b/>
          <w:bCs/>
          <w:color w:val="000000"/>
          <w:kern w:val="0"/>
          <w:sz w:val="30"/>
          <w:szCs w:val="30"/>
          <w:shd w:val="clear" w:color="auto" w:fill="FFFFFF"/>
          <w:lang w:bidi="ar"/>
        </w:rPr>
        <w:t>其他要求：</w:t>
      </w:r>
    </w:p>
    <w:p>
      <w:pPr>
        <w:pStyle w:val="23"/>
        <w:widowControl/>
        <w:numPr>
          <w:ilvl w:val="0"/>
          <w:numId w:val="3"/>
        </w:numPr>
        <w:shd w:val="clear" w:color="auto" w:fill="FFFFFF"/>
        <w:ind w:firstLineChars="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投标人须提供物理实验室中的学生实验桌、智能系统控制柜、智能摇臂升降系统的实物图片；</w:t>
      </w:r>
    </w:p>
    <w:p>
      <w:pPr>
        <w:pStyle w:val="23"/>
        <w:widowControl/>
        <w:numPr>
          <w:ilvl w:val="0"/>
          <w:numId w:val="3"/>
        </w:numPr>
        <w:shd w:val="clear" w:color="auto" w:fill="FFFFFF"/>
        <w:ind w:firstLineChars="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投标人评标时自</w:t>
      </w:r>
      <w:r>
        <w:rPr>
          <w:rFonts w:hint="eastAsia" w:ascii="仿宋" w:hAnsi="仿宋" w:eastAsia="仿宋" w:cs="仿宋"/>
          <w:color w:val="000000"/>
          <w:kern w:val="0"/>
          <w:sz w:val="30"/>
          <w:szCs w:val="30"/>
          <w:shd w:val="clear" w:color="auto" w:fill="FFFFFF"/>
          <w:lang w:eastAsia="zh-CN" w:bidi="ar"/>
        </w:rPr>
        <w:t>带电脑</w:t>
      </w:r>
      <w:r>
        <w:rPr>
          <w:rFonts w:hint="eastAsia" w:ascii="仿宋" w:hAnsi="仿宋" w:eastAsia="仿宋" w:cs="仿宋"/>
          <w:color w:val="000000"/>
          <w:kern w:val="0"/>
          <w:sz w:val="30"/>
          <w:szCs w:val="30"/>
          <w:shd w:val="clear" w:color="auto" w:fill="FFFFFF"/>
          <w:lang w:bidi="ar"/>
        </w:rPr>
        <w:t>搭</w:t>
      </w:r>
      <w:r>
        <w:rPr>
          <w:rFonts w:hint="eastAsia" w:ascii="仿宋" w:hAnsi="仿宋" w:eastAsia="仿宋" w:cs="仿宋"/>
          <w:color w:val="000000"/>
          <w:kern w:val="0"/>
          <w:sz w:val="30"/>
          <w:szCs w:val="30"/>
          <w:shd w:val="clear" w:color="auto" w:fill="FFFFFF"/>
          <w:lang w:eastAsia="zh-CN" w:bidi="ar"/>
        </w:rPr>
        <w:t>建</w:t>
      </w:r>
      <w:r>
        <w:rPr>
          <w:rFonts w:hint="eastAsia" w:ascii="仿宋" w:hAnsi="仿宋" w:eastAsia="仿宋" w:cs="仿宋"/>
          <w:color w:val="000000"/>
          <w:kern w:val="0"/>
          <w:sz w:val="30"/>
          <w:szCs w:val="30"/>
          <w:shd w:val="clear" w:color="auto" w:fill="FFFFFF"/>
          <w:lang w:bidi="ar"/>
        </w:rPr>
        <w:t>演示平台，对顶装控制系统进行视频演示，演示时间不得超过15分钟。</w:t>
      </w:r>
    </w:p>
    <w:p>
      <w:pPr>
        <w:pStyle w:val="23"/>
        <w:widowControl/>
        <w:shd w:val="clear" w:color="auto" w:fill="FFFFFF"/>
        <w:ind w:left="961" w:firstLine="0" w:firstLineChars="0"/>
        <w:jc w:val="left"/>
        <w:rPr>
          <w:rFonts w:ascii="仿宋" w:hAnsi="仿宋" w:eastAsia="仿宋" w:cs="仿宋"/>
          <w:color w:val="000000"/>
          <w:kern w:val="0"/>
          <w:sz w:val="30"/>
          <w:szCs w:val="30"/>
          <w:shd w:val="clear" w:color="auto" w:fill="FFFFFF"/>
          <w:lang w:bidi="ar"/>
        </w:rPr>
      </w:pPr>
    </w:p>
    <w:p>
      <w:pPr>
        <w:widowControl/>
        <w:numPr>
          <w:ilvl w:val="0"/>
          <w:numId w:val="4"/>
        </w:numPr>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采购标的执行标准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该采购项目为中小学实验室成套设备，应符合下列标准和规范的相关要求：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1、《教学实验室设备-实验台（桌）的安全要求及试验方法》（GB/T 21747－2008）</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2、《中小学理科实验室装备规范》（JY/T 0385-2006）</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3、《实验室家具通用技术条件》（GB/T24820-2009）</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4、《金属家具通用技术条件》（GB/T3325-2008）</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5、《浸渍胶膜纸饰面人造板》(GB/T15102-2006)</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6、《室内装饰装修材料 人造板及其制品中甲醛释放限量》（GB 18580-2001）</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7、《人造板及饰面人造板理化性能试验方法》（GB/T 17657-1999）</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8、《铝合金建筑型材 第1部分：基材》（GB5237.1-2008）</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9、《教学实验室设备电源系统》（JY/T 0374-2004）</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10、《室内空气质量标准》（GB/T 18883-2002）</w:t>
      </w:r>
    </w:p>
    <w:p>
      <w:pPr>
        <w:widowControl/>
        <w:numPr>
          <w:ilvl w:val="0"/>
          <w:numId w:val="5"/>
        </w:numPr>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服务标准、期限、效率等要求</w:t>
      </w:r>
      <w:r>
        <w:rPr>
          <w:rFonts w:hint="eastAsia" w:ascii="仿宋" w:hAnsi="仿宋" w:eastAsia="仿宋" w:cs="仿宋"/>
          <w:color w:val="000000"/>
          <w:kern w:val="0"/>
          <w:sz w:val="30"/>
          <w:szCs w:val="30"/>
          <w:shd w:val="clear" w:color="auto" w:fill="FFFFFF"/>
          <w:lang w:bidi="ar"/>
        </w:rPr>
        <w:t>：所有产品免费质保期限最低为一年。在质保期内产品发生质量问题时应即时免费为使用方更换，保证产品正常使用。保修期结束后，仍负责提供维修服务，只能收取成本费；解决问题时间不得超过24小时。</w:t>
      </w:r>
    </w:p>
    <w:p>
      <w:pPr>
        <w:widowControl/>
        <w:shd w:val="clear" w:color="auto" w:fill="FFFFFF"/>
        <w:spacing w:line="360" w:lineRule="atLeast"/>
        <w:ind w:firstLine="600" w:firstLineChars="200"/>
        <w:jc w:val="left"/>
      </w:pPr>
      <w:r>
        <w:rPr>
          <w:rFonts w:ascii="仿宋" w:hAnsi="仿宋" w:eastAsia="仿宋" w:cs="仿宋"/>
          <w:color w:val="000000"/>
          <w:kern w:val="0"/>
          <w:sz w:val="30"/>
          <w:szCs w:val="30"/>
          <w:shd w:val="clear" w:color="auto" w:fill="FFFFFF"/>
          <w:lang w:bidi="ar"/>
        </w:rPr>
        <w:t>（五）验收标准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中标人所供货物必须经具有法定资质的第三方质量监督检验机构到交货地点进行验收（费用由中标人承担）。</w:t>
      </w:r>
      <w:r>
        <w:rPr>
          <w:rFonts w:ascii="仿宋" w:hAnsi="仿宋" w:eastAsia="仿宋" w:cs="仿宋"/>
          <w:color w:val="000000"/>
          <w:kern w:val="0"/>
          <w:sz w:val="30"/>
          <w:szCs w:val="30"/>
          <w:shd w:val="clear" w:color="auto" w:fill="FFFFFF"/>
          <w:lang w:bidi="ar"/>
        </w:rPr>
        <w:t>验收时,按照采购合同的约定对每一项技术、服务、安全标准的履约情况进行确认。验收结束后,出具验收书,列明各项标准的验收情况及项目总体评价。</w:t>
      </w:r>
    </w:p>
    <w:p>
      <w:pPr>
        <w:widowControl/>
        <w:shd w:val="clear" w:color="auto" w:fill="FFFFFF"/>
        <w:spacing w:line="360" w:lineRule="atLeast"/>
        <w:ind w:firstLine="600" w:firstLineChars="2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1、</w:t>
      </w:r>
      <w:r>
        <w:rPr>
          <w:rFonts w:hint="eastAsia" w:ascii="仿宋" w:hAnsi="仿宋" w:eastAsia="仿宋" w:cs="仿宋"/>
          <w:color w:val="000000"/>
          <w:kern w:val="0"/>
          <w:sz w:val="30"/>
          <w:szCs w:val="30"/>
          <w:shd w:val="clear" w:color="auto" w:fill="FFFFFF"/>
          <w:lang w:bidi="ar"/>
        </w:rPr>
        <w:t>该采购项目依据本项目采购需求中“（三）</w:t>
      </w:r>
      <w:r>
        <w:rPr>
          <w:rFonts w:ascii="仿宋" w:hAnsi="仿宋" w:eastAsia="仿宋" w:cs="仿宋"/>
          <w:color w:val="000000"/>
          <w:kern w:val="0"/>
          <w:sz w:val="30"/>
          <w:szCs w:val="30"/>
          <w:shd w:val="clear" w:color="auto" w:fill="FFFFFF"/>
          <w:lang w:bidi="ar"/>
        </w:rPr>
        <w:t>采购标的执行标准</w:t>
      </w:r>
      <w:r>
        <w:rPr>
          <w:rFonts w:hint="eastAsia" w:ascii="仿宋" w:hAnsi="仿宋" w:eastAsia="仿宋" w:cs="仿宋"/>
          <w:color w:val="000000"/>
          <w:kern w:val="0"/>
          <w:sz w:val="30"/>
          <w:szCs w:val="30"/>
          <w:shd w:val="clear" w:color="auto" w:fill="FFFFFF"/>
          <w:lang w:bidi="ar"/>
        </w:rPr>
        <w:t>”之标准验收</w:t>
      </w:r>
      <w:r>
        <w:rPr>
          <w:rFonts w:ascii="仿宋" w:hAnsi="仿宋" w:eastAsia="仿宋" w:cs="仿宋"/>
          <w:color w:val="000000"/>
          <w:kern w:val="0"/>
          <w:sz w:val="30"/>
          <w:szCs w:val="30"/>
          <w:shd w:val="clear" w:color="auto" w:fill="FFFFFF"/>
          <w:lang w:bidi="ar"/>
        </w:rPr>
        <w:t>；</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2、按照招标文件要求、投标文件响应和承诺验收；</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五、评标方法和评标标准</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lang w:bidi="ar"/>
        </w:rPr>
        <w:t>（一）评标方法：最低评标价法□ 综合评分法</w:t>
      </w:r>
      <w:r>
        <w:rPr>
          <w:rFonts w:ascii="Wingdings 2" w:hAnsi="Wingdings 2" w:eastAsia="Wingdings 2" w:cs="Wingdings 2"/>
          <w:color w:val="000000"/>
          <w:kern w:val="0"/>
          <w:sz w:val="32"/>
          <w:szCs w:val="32"/>
          <w:shd w:val="clear" w:color="auto" w:fill="FFFFFF"/>
          <w:lang w:bidi="ar"/>
        </w:rPr>
        <w:t></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（二）综合评分法评标标准：</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7"/>
        <w:gridCol w:w="20"/>
        <w:gridCol w:w="20"/>
        <w:gridCol w:w="731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07" w:hRule="atLeast"/>
          <w:jc w:val="center"/>
        </w:trPr>
        <w:tc>
          <w:tcPr>
            <w:tcW w:w="1417" w:type="dxa"/>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lang w:bidi="ar"/>
              </w:rPr>
              <w:t>分值构成</w:t>
            </w:r>
          </w:p>
          <w:p>
            <w:pPr>
              <w:widowControl/>
              <w:spacing w:line="330" w:lineRule="atLeast"/>
              <w:jc w:val="center"/>
            </w:pPr>
            <w:r>
              <w:rPr>
                <w:rFonts w:ascii="仿宋" w:hAnsi="仿宋" w:eastAsia="仿宋" w:cs="仿宋"/>
                <w:color w:val="000000"/>
                <w:kern w:val="0"/>
                <w:sz w:val="24"/>
                <w:lang w:bidi="ar"/>
              </w:rPr>
              <w:t>(总分100分)</w:t>
            </w:r>
          </w:p>
        </w:tc>
        <w:tc>
          <w:tcPr>
            <w:tcW w:w="8330" w:type="dxa"/>
            <w:gridSpan w:val="4"/>
            <w:shd w:val="clear" w:color="auto" w:fill="FFFFFF"/>
            <w:tcMar>
              <w:left w:w="108" w:type="dxa"/>
              <w:right w:w="108" w:type="dxa"/>
            </w:tcMar>
            <w:vAlign w:val="center"/>
          </w:tcPr>
          <w:p>
            <w:pPr>
              <w:widowControl/>
              <w:spacing w:line="360" w:lineRule="atLeast"/>
              <w:ind w:firstLine="480"/>
              <w:jc w:val="center"/>
            </w:pPr>
            <w:r>
              <w:rPr>
                <w:rFonts w:ascii="仿宋" w:hAnsi="仿宋" w:eastAsia="仿宋" w:cs="仿宋"/>
                <w:color w:val="000000"/>
                <w:kern w:val="0"/>
                <w:sz w:val="24"/>
                <w:lang w:bidi="ar"/>
              </w:rPr>
              <w:t>价格分值：</w:t>
            </w: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40</w:t>
            </w:r>
            <w:r>
              <w:rPr>
                <w:rFonts w:ascii="仿宋" w:hAnsi="仿宋" w:eastAsia="仿宋" w:cs="仿宋"/>
                <w:color w:val="000000"/>
                <w:kern w:val="0"/>
                <w:sz w:val="24"/>
                <w:u w:val="single"/>
                <w:lang w:bidi="ar"/>
              </w:rPr>
              <w:t>     </w:t>
            </w:r>
            <w:r>
              <w:rPr>
                <w:rFonts w:ascii="仿宋" w:hAnsi="仿宋" w:eastAsia="仿宋" w:cs="仿宋"/>
                <w:color w:val="000000"/>
                <w:kern w:val="0"/>
                <w:sz w:val="24"/>
                <w:lang w:bidi="ar"/>
              </w:rPr>
              <w:t>分</w:t>
            </w:r>
          </w:p>
          <w:p>
            <w:pPr>
              <w:widowControl/>
              <w:spacing w:line="360" w:lineRule="atLeast"/>
              <w:ind w:firstLine="480"/>
              <w:jc w:val="center"/>
            </w:pPr>
            <w:r>
              <w:rPr>
                <w:rFonts w:ascii="仿宋" w:hAnsi="仿宋" w:eastAsia="仿宋" w:cs="仿宋"/>
                <w:color w:val="000000"/>
                <w:kern w:val="0"/>
                <w:sz w:val="24"/>
                <w:lang w:bidi="ar"/>
              </w:rPr>
              <w:t>商务部分：</w:t>
            </w: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22</w:t>
            </w:r>
            <w:r>
              <w:rPr>
                <w:rFonts w:ascii="仿宋" w:hAnsi="仿宋" w:eastAsia="仿宋" w:cs="仿宋"/>
                <w:color w:val="000000"/>
                <w:kern w:val="0"/>
                <w:sz w:val="24"/>
                <w:u w:val="single"/>
                <w:lang w:bidi="ar"/>
              </w:rPr>
              <w:t>     </w:t>
            </w:r>
            <w:r>
              <w:rPr>
                <w:rFonts w:ascii="仿宋" w:hAnsi="仿宋" w:eastAsia="仿宋" w:cs="仿宋"/>
                <w:color w:val="000000"/>
                <w:kern w:val="0"/>
                <w:sz w:val="24"/>
                <w:lang w:bidi="ar"/>
              </w:rPr>
              <w:t>分</w:t>
            </w:r>
          </w:p>
          <w:p>
            <w:pPr>
              <w:widowControl/>
              <w:spacing w:line="360" w:lineRule="atLeast"/>
              <w:ind w:firstLine="480"/>
              <w:jc w:val="center"/>
            </w:pPr>
            <w:r>
              <w:rPr>
                <w:rFonts w:ascii="仿宋" w:hAnsi="仿宋" w:eastAsia="仿宋" w:cs="仿宋"/>
                <w:color w:val="000000"/>
                <w:kern w:val="0"/>
                <w:sz w:val="24"/>
                <w:lang w:bidi="ar"/>
              </w:rPr>
              <w:t>技术部分：</w:t>
            </w: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38</w:t>
            </w:r>
            <w:r>
              <w:rPr>
                <w:rFonts w:ascii="仿宋" w:hAnsi="仿宋" w:eastAsia="仿宋" w:cs="仿宋"/>
                <w:color w:val="000000"/>
                <w:kern w:val="0"/>
                <w:sz w:val="24"/>
                <w:u w:val="single"/>
                <w:lang w:bidi="ar"/>
              </w:rPr>
              <w:t>     </w:t>
            </w:r>
            <w:r>
              <w:rPr>
                <w:rFonts w:ascii="仿宋" w:hAnsi="仿宋" w:eastAsia="仿宋" w:cs="仿宋"/>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747" w:type="dxa"/>
            <w:gridSpan w:val="5"/>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一、价格部分（满分</w:t>
            </w:r>
            <w:r>
              <w:rPr>
                <w:rFonts w:ascii="仿宋" w:hAnsi="仿宋" w:eastAsia="仿宋" w:cs="仿宋"/>
                <w:b/>
                <w:color w:val="000000"/>
                <w:kern w:val="0"/>
                <w:sz w:val="24"/>
                <w:u w:val="single"/>
                <w:lang w:bidi="ar"/>
              </w:rPr>
              <w:t>  </w:t>
            </w:r>
            <w:r>
              <w:rPr>
                <w:rFonts w:hint="eastAsia" w:ascii="仿宋" w:hAnsi="仿宋" w:eastAsia="仿宋" w:cs="仿宋"/>
                <w:b/>
                <w:color w:val="000000"/>
                <w:kern w:val="0"/>
                <w:sz w:val="24"/>
                <w:u w:val="single"/>
                <w:lang w:bidi="ar"/>
              </w:rPr>
              <w:t>40</w:t>
            </w:r>
            <w:r>
              <w:rPr>
                <w:rFonts w:ascii="仿宋" w:hAnsi="仿宋" w:eastAsia="仿宋" w:cs="仿宋"/>
                <w:b/>
                <w:color w:val="000000"/>
                <w:kern w:val="0"/>
                <w:sz w:val="24"/>
                <w:u w:val="single"/>
                <w:lang w:bidi="ar"/>
              </w:rPr>
              <w:t> </w:t>
            </w:r>
            <w:r>
              <w:rPr>
                <w:rFonts w:ascii="仿宋" w:hAnsi="仿宋" w:eastAsia="仿宋" w:cs="仿宋"/>
                <w:b/>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437" w:type="dxa"/>
            <w:gridSpan w:val="2"/>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评分因素</w:t>
            </w:r>
          </w:p>
        </w:tc>
        <w:tc>
          <w:tcPr>
            <w:tcW w:w="7337" w:type="dxa"/>
            <w:gridSpan w:val="2"/>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评分标准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1437" w:type="dxa"/>
            <w:gridSpan w:val="2"/>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lang w:bidi="ar"/>
              </w:rPr>
              <w:t>投标报价</w:t>
            </w:r>
          </w:p>
          <w:p>
            <w:pPr>
              <w:widowControl/>
              <w:spacing w:line="330" w:lineRule="atLeast"/>
              <w:jc w:val="center"/>
            </w:pPr>
            <w:r>
              <w:rPr>
                <w:rFonts w:ascii="仿宋" w:hAnsi="仿宋" w:eastAsia="仿宋" w:cs="仿宋"/>
                <w:color w:val="000000"/>
                <w:kern w:val="0"/>
                <w:sz w:val="24"/>
                <w:lang w:bidi="ar"/>
              </w:rPr>
              <w:t>评分标准</w:t>
            </w:r>
          </w:p>
        </w:tc>
        <w:tc>
          <w:tcPr>
            <w:tcW w:w="7337" w:type="dxa"/>
            <w:gridSpan w:val="2"/>
            <w:shd w:val="clear" w:color="auto" w:fill="FFFFFF"/>
            <w:tcMar>
              <w:left w:w="108" w:type="dxa"/>
              <w:right w:w="108" w:type="dxa"/>
            </w:tcMar>
            <w:vAlign w:val="center"/>
          </w:tcPr>
          <w:p>
            <w:pPr>
              <w:spacing w:line="360" w:lineRule="auto"/>
              <w:ind w:firstLine="480" w:firstLineChars="200"/>
              <w:rPr>
                <w:rFonts w:ascii="宋体" w:hAnsi="宋体"/>
                <w:sz w:val="24"/>
              </w:rPr>
            </w:pPr>
            <w:r>
              <w:rPr>
                <w:rFonts w:hint="eastAsia" w:ascii="宋体" w:hAnsi="宋体"/>
                <w:sz w:val="24"/>
              </w:rPr>
              <w:t>评标基准价：满足招标文件要求的有效投标报价中，最低的投标报价为评标基准价。</w:t>
            </w:r>
          </w:p>
          <w:p>
            <w:pPr>
              <w:spacing w:line="360" w:lineRule="auto"/>
              <w:ind w:firstLine="480" w:firstLineChars="200"/>
            </w:pPr>
            <w:r>
              <w:rPr>
                <w:rFonts w:hint="eastAsia" w:ascii="宋体" w:hAnsi="宋体"/>
                <w:sz w:val="24"/>
              </w:rPr>
              <w:t>投标报价得分=（评标基准价/投标报价）×40 </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40</w:t>
            </w:r>
            <w:r>
              <w:rPr>
                <w:rFonts w:ascii="仿宋" w:hAnsi="仿宋" w:eastAsia="仿宋" w:cs="仿宋"/>
                <w:color w:val="000000"/>
                <w:kern w:val="0"/>
                <w:sz w:val="24"/>
                <w:u w:val="single"/>
                <w:lang w:bidi="ar"/>
              </w:rPr>
              <w:t> </w:t>
            </w:r>
            <w:r>
              <w:rPr>
                <w:rFonts w:ascii="仿宋" w:hAnsi="仿宋" w:eastAsia="仿宋" w:cs="仿宋"/>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9747" w:type="dxa"/>
            <w:gridSpan w:val="5"/>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二、商务部分（满分</w:t>
            </w:r>
            <w:r>
              <w:rPr>
                <w:rFonts w:ascii="仿宋" w:hAnsi="仿宋" w:eastAsia="仿宋" w:cs="仿宋"/>
                <w:b/>
                <w:color w:val="000000"/>
                <w:kern w:val="0"/>
                <w:sz w:val="24"/>
                <w:u w:val="single"/>
                <w:lang w:bidi="ar"/>
              </w:rPr>
              <w:t>  </w:t>
            </w:r>
            <w:r>
              <w:rPr>
                <w:rFonts w:hint="eastAsia" w:ascii="仿宋" w:hAnsi="仿宋" w:eastAsia="仿宋" w:cs="仿宋"/>
                <w:b/>
                <w:color w:val="000000"/>
                <w:kern w:val="0"/>
                <w:sz w:val="24"/>
                <w:u w:val="single"/>
                <w:lang w:bidi="ar"/>
              </w:rPr>
              <w:t>22</w:t>
            </w:r>
            <w:r>
              <w:rPr>
                <w:rFonts w:ascii="仿宋" w:hAnsi="仿宋" w:eastAsia="仿宋" w:cs="仿宋"/>
                <w:b/>
                <w:color w:val="000000"/>
                <w:kern w:val="0"/>
                <w:sz w:val="24"/>
                <w:u w:val="single"/>
                <w:lang w:bidi="ar"/>
              </w:rPr>
              <w:t> </w:t>
            </w:r>
            <w:r>
              <w:rPr>
                <w:rFonts w:ascii="仿宋" w:hAnsi="仿宋" w:eastAsia="仿宋" w:cs="仿宋"/>
                <w:b/>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437" w:type="dxa"/>
            <w:gridSpan w:val="2"/>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评分因素</w:t>
            </w:r>
          </w:p>
        </w:tc>
        <w:tc>
          <w:tcPr>
            <w:tcW w:w="7337" w:type="dxa"/>
            <w:gridSpan w:val="2"/>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评分标准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04" w:hRule="atLeast"/>
          <w:jc w:val="center"/>
        </w:trPr>
        <w:tc>
          <w:tcPr>
            <w:tcW w:w="1437" w:type="dxa"/>
            <w:gridSpan w:val="2"/>
            <w:shd w:val="clear" w:color="auto" w:fill="FFFFFF"/>
            <w:tcMar>
              <w:left w:w="108" w:type="dxa"/>
              <w:right w:w="108" w:type="dxa"/>
            </w:tcMar>
            <w:vAlign w:val="center"/>
          </w:tcPr>
          <w:p>
            <w:pPr>
              <w:widowControl/>
              <w:spacing w:line="360" w:lineRule="atLeast"/>
              <w:jc w:val="center"/>
            </w:pPr>
            <w:r>
              <w:rPr>
                <w:rFonts w:ascii="仿宋" w:hAnsi="仿宋" w:eastAsia="仿宋" w:cs="仿宋"/>
                <w:color w:val="000000"/>
                <w:kern w:val="0"/>
                <w:sz w:val="24"/>
                <w:lang w:bidi="ar"/>
              </w:rPr>
              <w:t>信誉</w:t>
            </w:r>
          </w:p>
        </w:tc>
        <w:tc>
          <w:tcPr>
            <w:tcW w:w="7337" w:type="dxa"/>
            <w:gridSpan w:val="2"/>
            <w:shd w:val="clear" w:color="auto" w:fill="FFFFFF"/>
            <w:tcMar>
              <w:left w:w="108" w:type="dxa"/>
              <w:right w:w="108" w:type="dxa"/>
            </w:tcMar>
            <w:vAlign w:val="center"/>
          </w:tcPr>
          <w:p>
            <w:pPr>
              <w:spacing w:line="360" w:lineRule="auto"/>
              <w:ind w:firstLine="480" w:firstLineChars="200"/>
              <w:rPr>
                <w:rFonts w:ascii="宋体" w:hAnsi="宋体"/>
                <w:sz w:val="24"/>
              </w:rPr>
            </w:pPr>
            <w:r>
              <w:rPr>
                <w:rFonts w:hint="eastAsia" w:ascii="宋体" w:hAnsi="宋体"/>
                <w:sz w:val="24"/>
              </w:rPr>
              <w:t>1.投标人提供</w:t>
            </w:r>
            <w:r>
              <w:rPr>
                <w:rFonts w:hint="eastAsia" w:hAnsi="宋体"/>
                <w:sz w:val="24"/>
              </w:rPr>
              <w:t>国家认证认可监督管理委员会认定的专业检测机构出具的</w:t>
            </w:r>
            <w:r>
              <w:rPr>
                <w:rFonts w:hint="eastAsia" w:ascii="宋体" w:hAnsi="宋体"/>
                <w:sz w:val="24"/>
              </w:rPr>
              <w:t xml:space="preserve">合格的ABS塑料书包斗通过以下四项检测：（1）八大重金属（铅(Pb) 砷(As) 锑(Sb) 钡(Ba) 镉(Cd) 铬(Cr) 汞(Hg) 硒(Se)）、（2）悬臂梁冲击强度、（3）REACH181项、（4）240小时耐紫外线老化，有害物质检测报告，每有一份得1分，共4分； </w:t>
            </w:r>
          </w:p>
          <w:p>
            <w:pPr>
              <w:spacing w:line="360" w:lineRule="auto"/>
              <w:ind w:firstLine="480" w:firstLineChars="200"/>
              <w:rPr>
                <w:rFonts w:ascii="宋体" w:hAnsi="宋体"/>
                <w:sz w:val="24"/>
              </w:rPr>
            </w:pPr>
            <w:r>
              <w:rPr>
                <w:rFonts w:hint="eastAsia" w:ascii="宋体" w:hAnsi="宋体"/>
                <w:sz w:val="24"/>
              </w:rPr>
              <w:t>2.投标人提供所投理化生实验室产品中的讲台、实验台、实验凳、控制柜、仪器柜等获得环保部授权颁发的中国环境标志产品认证的，每有一项得1分，共3分；</w:t>
            </w:r>
          </w:p>
        </w:tc>
        <w:tc>
          <w:tcPr>
            <w:tcW w:w="973" w:type="dxa"/>
            <w:shd w:val="clear" w:color="auto" w:fill="FFFFFF"/>
            <w:tcMar>
              <w:left w:w="108" w:type="dxa"/>
              <w:right w:w="108" w:type="dxa"/>
            </w:tcMar>
            <w:vAlign w:val="center"/>
          </w:tcPr>
          <w:p>
            <w:pPr>
              <w:widowControl/>
              <w:spacing w:line="330" w:lineRule="atLeast"/>
              <w:jc w:val="center"/>
            </w:pPr>
            <w:r>
              <w:rPr>
                <w:rFonts w:hint="eastAsia" w:ascii="仿宋" w:hAnsi="仿宋" w:eastAsia="仿宋" w:cs="仿宋"/>
                <w:color w:val="000000"/>
                <w:kern w:val="0"/>
                <w:sz w:val="24"/>
                <w:lang w:bidi="ar"/>
              </w:rPr>
              <w:t>7</w:t>
            </w:r>
            <w:r>
              <w:rPr>
                <w:rFonts w:ascii="仿宋" w:hAnsi="仿宋" w:eastAsia="仿宋" w:cs="仿宋"/>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745" w:hRule="atLeast"/>
          <w:jc w:val="center"/>
        </w:trPr>
        <w:tc>
          <w:tcPr>
            <w:tcW w:w="1437" w:type="dxa"/>
            <w:gridSpan w:val="2"/>
            <w:shd w:val="clear" w:color="auto" w:fill="FFFFFF"/>
            <w:tcMar>
              <w:left w:w="108" w:type="dxa"/>
              <w:right w:w="108" w:type="dxa"/>
            </w:tcMar>
            <w:vAlign w:val="center"/>
          </w:tcPr>
          <w:p>
            <w:pPr>
              <w:widowControl/>
              <w:spacing w:line="360" w:lineRule="atLeast"/>
              <w:jc w:val="center"/>
            </w:pPr>
            <w:r>
              <w:rPr>
                <w:rFonts w:hint="eastAsia" w:ascii="仿宋" w:hAnsi="仿宋" w:eastAsia="仿宋" w:cs="仿宋"/>
                <w:color w:val="000000"/>
                <w:kern w:val="0"/>
                <w:sz w:val="24"/>
                <w:lang w:bidi="ar"/>
              </w:rPr>
              <w:t>售后服务</w:t>
            </w:r>
          </w:p>
        </w:tc>
        <w:tc>
          <w:tcPr>
            <w:tcW w:w="7337" w:type="dxa"/>
            <w:gridSpan w:val="2"/>
            <w:shd w:val="clear" w:color="auto" w:fill="FFFFFF"/>
            <w:tcMar>
              <w:left w:w="108" w:type="dxa"/>
              <w:right w:w="108" w:type="dxa"/>
            </w:tcMar>
            <w:vAlign w:val="center"/>
          </w:tcPr>
          <w:p>
            <w:pPr>
              <w:spacing w:line="360" w:lineRule="auto"/>
              <w:ind w:firstLine="480" w:firstLineChars="200"/>
              <w:rPr>
                <w:rFonts w:ascii="宋体" w:hAnsi="宋体"/>
                <w:sz w:val="24"/>
              </w:rPr>
            </w:pPr>
            <w:r>
              <w:rPr>
                <w:rFonts w:hint="eastAsia" w:ascii="宋体" w:hAnsi="宋体"/>
                <w:sz w:val="24"/>
              </w:rPr>
              <w:t>1.解决问题时间：共3分。以半小时为单位（四舍五入法），以2小时为起点，基本分1分，每减少0.5小时，加1分，2小时以上不得分。</w:t>
            </w:r>
          </w:p>
          <w:p>
            <w:pPr>
              <w:spacing w:line="360" w:lineRule="auto"/>
              <w:ind w:firstLine="480" w:firstLineChars="200"/>
              <w:rPr>
                <w:rFonts w:ascii="宋体" w:hAnsi="宋体"/>
                <w:sz w:val="24"/>
              </w:rPr>
            </w:pPr>
            <w:r>
              <w:rPr>
                <w:rFonts w:hint="eastAsia" w:ascii="宋体" w:hAnsi="宋体"/>
                <w:sz w:val="24"/>
              </w:rPr>
              <w:t>2.免费保修时间：共3分。以年为单位，以1年为起点，每增加1年加1分，1年以下的不得分。</w:t>
            </w:r>
          </w:p>
          <w:p>
            <w:pPr>
              <w:spacing w:line="360" w:lineRule="auto"/>
              <w:ind w:firstLine="480" w:firstLineChars="200"/>
              <w:rPr>
                <w:rFonts w:ascii="宋体" w:hAnsi="宋体"/>
                <w:sz w:val="24"/>
              </w:rPr>
            </w:pPr>
            <w:r>
              <w:rPr>
                <w:rFonts w:hint="eastAsia" w:ascii="宋体" w:hAnsi="宋体"/>
                <w:sz w:val="24"/>
              </w:rPr>
              <w:t>3.投标人所投讲台、实验台、实验凳、控制柜、仪器柜等产品中有产品责任保险的，每有一项产品得1分，满分3分。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9</w:t>
            </w:r>
            <w:r>
              <w:rPr>
                <w:rFonts w:ascii="仿宋" w:hAnsi="仿宋" w:eastAsia="仿宋" w:cs="仿宋"/>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833" w:hRule="atLeast"/>
          <w:jc w:val="center"/>
        </w:trPr>
        <w:tc>
          <w:tcPr>
            <w:tcW w:w="1437" w:type="dxa"/>
            <w:gridSpan w:val="2"/>
            <w:shd w:val="clear" w:color="auto" w:fill="FFFFFF"/>
            <w:tcMar>
              <w:left w:w="108" w:type="dxa"/>
              <w:right w:w="108" w:type="dxa"/>
            </w:tcMar>
            <w:vAlign w:val="center"/>
          </w:tcPr>
          <w:p>
            <w:pPr>
              <w:widowControl/>
              <w:spacing w:line="400" w:lineRule="atLeast"/>
              <w:jc w:val="center"/>
            </w:pPr>
            <w:r>
              <w:rPr>
                <w:rFonts w:ascii="仿宋" w:hAnsi="仿宋" w:eastAsia="仿宋" w:cs="仿宋"/>
                <w:color w:val="000000"/>
                <w:kern w:val="0"/>
                <w:sz w:val="24"/>
                <w:lang w:bidi="ar"/>
              </w:rPr>
              <w:t>业绩</w:t>
            </w:r>
          </w:p>
        </w:tc>
        <w:tc>
          <w:tcPr>
            <w:tcW w:w="7337" w:type="dxa"/>
            <w:gridSpan w:val="2"/>
            <w:shd w:val="clear" w:color="auto" w:fill="FFFFFF"/>
            <w:tcMar>
              <w:left w:w="108" w:type="dxa"/>
              <w:right w:w="108" w:type="dxa"/>
            </w:tcMar>
            <w:vAlign w:val="center"/>
          </w:tcPr>
          <w:p>
            <w:pPr>
              <w:spacing w:line="360" w:lineRule="auto"/>
              <w:ind w:firstLine="480" w:firstLineChars="200"/>
            </w:pPr>
            <w:r>
              <w:rPr>
                <w:rFonts w:hint="eastAsia" w:ascii="宋体" w:hAnsi="宋体"/>
                <w:sz w:val="24"/>
              </w:rPr>
              <w:t>具有</w:t>
            </w:r>
            <w:r>
              <w:rPr>
                <w:rFonts w:ascii="仿宋" w:hAnsi="仿宋" w:eastAsia="仿宋" w:cs="仿宋"/>
                <w:color w:val="000000"/>
                <w:kern w:val="0"/>
                <w:sz w:val="24"/>
                <w:lang w:bidi="ar"/>
              </w:rPr>
              <w:t> </w:t>
            </w:r>
            <w:r>
              <w:rPr>
                <w:rFonts w:hint="eastAsia" w:ascii="宋体" w:hAnsi="宋体"/>
                <w:sz w:val="24"/>
              </w:rPr>
              <w:t>2016年以来（以合同日期为准）同类项目业绩，单项合同（中标公告网页截图、中标通知书、合同齐全）金额在100万以上（含100万），每份合同得3分，满分6分。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6</w:t>
            </w:r>
            <w:r>
              <w:rPr>
                <w:rFonts w:ascii="仿宋" w:hAnsi="仿宋" w:eastAsia="仿宋" w:cs="仿宋"/>
                <w:color w:val="000000"/>
                <w:kern w:val="0"/>
                <w:sz w:val="24"/>
                <w:u w:val="single"/>
                <w:lang w:bidi="ar"/>
              </w:rPr>
              <w:t> </w:t>
            </w:r>
            <w:r>
              <w:rPr>
                <w:rFonts w:ascii="仿宋" w:hAnsi="仿宋" w:eastAsia="仿宋" w:cs="仿宋"/>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23" w:hRule="atLeast"/>
          <w:jc w:val="center"/>
        </w:trPr>
        <w:tc>
          <w:tcPr>
            <w:tcW w:w="9747" w:type="dxa"/>
            <w:gridSpan w:val="5"/>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三、技术部分（满分</w:t>
            </w:r>
            <w:r>
              <w:rPr>
                <w:rFonts w:ascii="仿宋" w:hAnsi="仿宋" w:eastAsia="仿宋" w:cs="仿宋"/>
                <w:b/>
                <w:color w:val="000000"/>
                <w:kern w:val="0"/>
                <w:sz w:val="24"/>
                <w:u w:val="single"/>
                <w:lang w:bidi="ar"/>
              </w:rPr>
              <w:t>  </w:t>
            </w:r>
            <w:r>
              <w:rPr>
                <w:rFonts w:hint="eastAsia" w:ascii="仿宋" w:hAnsi="仿宋" w:eastAsia="仿宋" w:cs="仿宋"/>
                <w:b/>
                <w:color w:val="000000"/>
                <w:kern w:val="0"/>
                <w:sz w:val="24"/>
                <w:u w:val="single"/>
                <w:lang w:bidi="ar"/>
              </w:rPr>
              <w:t>38</w:t>
            </w:r>
            <w:r>
              <w:rPr>
                <w:rFonts w:ascii="仿宋" w:hAnsi="仿宋" w:eastAsia="仿宋" w:cs="仿宋"/>
                <w:b/>
                <w:color w:val="000000"/>
                <w:kern w:val="0"/>
                <w:sz w:val="24"/>
                <w:u w:val="single"/>
                <w:lang w:bidi="ar"/>
              </w:rPr>
              <w:t> </w:t>
            </w:r>
            <w:r>
              <w:rPr>
                <w:rFonts w:ascii="仿宋" w:hAnsi="仿宋" w:eastAsia="仿宋" w:cs="仿宋"/>
                <w:b/>
                <w:color w:val="000000"/>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91" w:hRule="atLeast"/>
          <w:jc w:val="center"/>
        </w:trPr>
        <w:tc>
          <w:tcPr>
            <w:tcW w:w="1457" w:type="dxa"/>
            <w:gridSpan w:val="3"/>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评分因素</w:t>
            </w:r>
          </w:p>
        </w:tc>
        <w:tc>
          <w:tcPr>
            <w:tcW w:w="7317" w:type="dxa"/>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评分标准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b/>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87" w:hRule="atLeast"/>
          <w:jc w:val="center"/>
        </w:trPr>
        <w:tc>
          <w:tcPr>
            <w:tcW w:w="1457" w:type="dxa"/>
            <w:gridSpan w:val="3"/>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lang w:bidi="ar"/>
              </w:rPr>
              <w:t>对招标文件</w:t>
            </w:r>
          </w:p>
          <w:p>
            <w:pPr>
              <w:widowControl/>
              <w:spacing w:line="330" w:lineRule="atLeast"/>
              <w:jc w:val="center"/>
            </w:pPr>
            <w:r>
              <w:rPr>
                <w:rFonts w:ascii="仿宋" w:hAnsi="仿宋" w:eastAsia="仿宋" w:cs="仿宋"/>
                <w:color w:val="000000"/>
                <w:kern w:val="0"/>
                <w:sz w:val="24"/>
                <w:lang w:bidi="ar"/>
              </w:rPr>
              <w:t>响应程度</w:t>
            </w:r>
          </w:p>
        </w:tc>
        <w:tc>
          <w:tcPr>
            <w:tcW w:w="7317" w:type="dxa"/>
            <w:shd w:val="clear" w:color="auto" w:fill="FFFFFF"/>
            <w:tcMar>
              <w:left w:w="108" w:type="dxa"/>
              <w:right w:w="108" w:type="dxa"/>
            </w:tcMar>
            <w:vAlign w:val="center"/>
          </w:tcPr>
          <w:p>
            <w:pPr>
              <w:spacing w:line="360" w:lineRule="auto"/>
              <w:rPr>
                <w:rFonts w:ascii="宋体" w:hAnsi="宋体"/>
                <w:sz w:val="24"/>
              </w:rPr>
            </w:pPr>
            <w:r>
              <w:rPr>
                <w:rFonts w:hint="eastAsia" w:ascii="宋体" w:hAnsi="宋体"/>
                <w:sz w:val="24"/>
              </w:rPr>
              <w:t>一、技术参数分数：</w:t>
            </w:r>
          </w:p>
          <w:p>
            <w:pPr>
              <w:spacing w:line="360" w:lineRule="auto"/>
              <w:ind w:firstLine="480" w:firstLineChars="200"/>
              <w:rPr>
                <w:rFonts w:ascii="宋体" w:hAnsi="宋体"/>
                <w:sz w:val="24"/>
              </w:rPr>
            </w:pPr>
            <w:r>
              <w:rPr>
                <w:rFonts w:hint="eastAsia" w:ascii="宋体" w:hAnsi="宋体"/>
                <w:sz w:val="24"/>
                <w:lang w:eastAsia="zh-CN"/>
              </w:rPr>
              <w:t>带</w:t>
            </w:r>
            <w:r>
              <w:rPr>
                <w:rFonts w:hint="eastAsia" w:ascii="宋体" w:hAnsi="宋体" w:eastAsia="宋体" w:cs="宋体"/>
                <w:sz w:val="24"/>
                <w:lang w:eastAsia="zh-CN"/>
              </w:rPr>
              <w:t>*技术参数中，</w:t>
            </w:r>
            <w:r>
              <w:rPr>
                <w:rFonts w:hint="eastAsia" w:ascii="宋体" w:hAnsi="宋体"/>
                <w:sz w:val="24"/>
              </w:rPr>
              <w:t>投标技术参数优于招标文件技术参数的每项加</w:t>
            </w:r>
            <w:r>
              <w:rPr>
                <w:rFonts w:hint="eastAsia" w:ascii="宋体" w:hAnsi="宋体"/>
                <w:sz w:val="24"/>
                <w:lang w:val="en-US" w:eastAsia="zh-CN"/>
              </w:rPr>
              <w:t>1</w:t>
            </w:r>
            <w:r>
              <w:rPr>
                <w:rFonts w:hint="eastAsia" w:ascii="宋体" w:hAnsi="宋体"/>
                <w:sz w:val="24"/>
              </w:rPr>
              <w:t>分（最多加</w:t>
            </w:r>
            <w:r>
              <w:rPr>
                <w:rFonts w:hint="eastAsia" w:ascii="宋体" w:hAnsi="宋体"/>
                <w:sz w:val="24"/>
                <w:lang w:val="en-US" w:eastAsia="zh-CN"/>
              </w:rPr>
              <w:t>9</w:t>
            </w:r>
            <w:r>
              <w:rPr>
                <w:rFonts w:hint="eastAsia" w:ascii="宋体" w:hAnsi="宋体"/>
                <w:sz w:val="24"/>
              </w:rPr>
              <w:t>分）。</w:t>
            </w:r>
          </w:p>
          <w:p>
            <w:pPr>
              <w:spacing w:line="360" w:lineRule="auto"/>
              <w:rPr>
                <w:rFonts w:ascii="宋体" w:hAnsi="宋体"/>
                <w:sz w:val="24"/>
              </w:rPr>
            </w:pPr>
            <w:bookmarkStart w:id="0" w:name="_Hlk521650569"/>
            <w:r>
              <w:rPr>
                <w:rFonts w:hint="eastAsia" w:ascii="宋体" w:hAnsi="宋体"/>
                <w:sz w:val="24"/>
              </w:rPr>
              <w:t>二、产品演示分数：</w:t>
            </w:r>
          </w:p>
          <w:p>
            <w:pPr>
              <w:spacing w:line="360" w:lineRule="auto"/>
              <w:ind w:firstLine="480" w:firstLineChars="200"/>
              <w:rPr>
                <w:rFonts w:ascii="宋体" w:hAnsi="宋体"/>
                <w:sz w:val="24"/>
              </w:rPr>
            </w:pPr>
            <w:r>
              <w:rPr>
                <w:rFonts w:hint="eastAsia" w:ascii="宋体" w:hAnsi="宋体"/>
                <w:sz w:val="24"/>
              </w:rPr>
              <w:t>顶装控制系统视频演示，需进行以下6项</w:t>
            </w:r>
            <w:bookmarkEnd w:id="0"/>
            <w:r>
              <w:rPr>
                <w:rFonts w:hint="eastAsia" w:ascii="宋体" w:hAnsi="宋体"/>
                <w:sz w:val="24"/>
              </w:rPr>
              <w:t>演示（每成功演示一项得2分，共计12分）：</w:t>
            </w:r>
          </w:p>
          <w:p>
            <w:pPr>
              <w:spacing w:line="360" w:lineRule="auto"/>
              <w:rPr>
                <w:rFonts w:ascii="宋体" w:hAnsi="宋体"/>
                <w:sz w:val="24"/>
              </w:rPr>
            </w:pPr>
            <w:r>
              <w:rPr>
                <w:rFonts w:hint="eastAsia" w:ascii="宋体" w:hAnsi="宋体"/>
                <w:sz w:val="24"/>
              </w:rPr>
              <w:t>（1）通过电控箱和APP控制摇臂自动折叠，可单个或分组进行控制，有全选及反选功能；当给水管或排水管连接在摇臂上，摇臂不能升降,防止误操作，起保护作用。（2分）</w:t>
            </w:r>
          </w:p>
          <w:p>
            <w:pPr>
              <w:spacing w:line="360" w:lineRule="auto"/>
              <w:rPr>
                <w:rFonts w:ascii="宋体" w:hAnsi="宋体"/>
                <w:sz w:val="24"/>
              </w:rPr>
            </w:pPr>
            <w:r>
              <w:rPr>
                <w:rFonts w:hint="eastAsia" w:ascii="宋体" w:hAnsi="宋体"/>
                <w:sz w:val="24"/>
              </w:rPr>
              <w:t>（2）通过电控箱和APP控制控制220V插座开与关，可单个或分组进行控制，有全选及反选功能；如果摇臂在升降时220V插座自动关闭。（2分）</w:t>
            </w:r>
          </w:p>
          <w:p>
            <w:pPr>
              <w:spacing w:line="360" w:lineRule="auto"/>
              <w:rPr>
                <w:rFonts w:ascii="宋体" w:hAnsi="宋体"/>
                <w:sz w:val="24"/>
              </w:rPr>
            </w:pPr>
            <w:r>
              <w:rPr>
                <w:rFonts w:hint="eastAsia" w:ascii="宋体" w:hAnsi="宋体"/>
                <w:sz w:val="24"/>
              </w:rPr>
              <w:t>（3）通过电控箱和APP控制给排水开与关，可单个或分组进行控制，有全选及反选功能；（2分）</w:t>
            </w:r>
          </w:p>
          <w:p>
            <w:pPr>
              <w:spacing w:line="360" w:lineRule="auto"/>
              <w:rPr>
                <w:rFonts w:ascii="宋体" w:hAnsi="宋体"/>
                <w:sz w:val="24"/>
              </w:rPr>
            </w:pPr>
            <w:r>
              <w:rPr>
                <w:rFonts w:hint="eastAsia" w:ascii="宋体" w:hAnsi="宋体"/>
                <w:sz w:val="24"/>
              </w:rPr>
              <w:t>（4）通过电控箱和APP控制风机，可单个或分组进行控制，有全选及反选功能；（2分）</w:t>
            </w:r>
          </w:p>
          <w:p>
            <w:pPr>
              <w:spacing w:line="360" w:lineRule="auto"/>
              <w:rPr>
                <w:rFonts w:ascii="宋体" w:hAnsi="宋体"/>
                <w:sz w:val="24"/>
              </w:rPr>
            </w:pPr>
            <w:r>
              <w:rPr>
                <w:rFonts w:hint="eastAsia" w:ascii="宋体" w:hAnsi="宋体"/>
                <w:sz w:val="24"/>
              </w:rPr>
              <w:t>（5）通过电控箱和APP控制LED灯开与关，可单个或分组进行控制，有全选及反选功能；（2分）</w:t>
            </w:r>
          </w:p>
          <w:p>
            <w:pPr>
              <w:spacing w:line="360" w:lineRule="auto"/>
              <w:rPr>
                <w:rFonts w:ascii="宋体" w:hAnsi="宋体"/>
                <w:sz w:val="24"/>
              </w:rPr>
            </w:pPr>
            <w:r>
              <w:rPr>
                <w:rFonts w:hint="eastAsia" w:ascii="宋体" w:hAnsi="宋体"/>
                <w:sz w:val="24"/>
              </w:rPr>
              <w:t>（6）通过电控箱和APP控制低压电路，可分组进行控制，输出电压为数码触控操作；（2分）</w:t>
            </w:r>
          </w:p>
          <w:p>
            <w:pPr>
              <w:spacing w:line="360" w:lineRule="auto"/>
              <w:rPr>
                <w:rFonts w:ascii="宋体" w:hAnsi="宋体"/>
                <w:sz w:val="24"/>
              </w:rPr>
            </w:pPr>
            <w:r>
              <w:rPr>
                <w:rFonts w:hint="eastAsia" w:ascii="宋体" w:hAnsi="宋体"/>
                <w:sz w:val="24"/>
              </w:rPr>
              <w:t>3.投标人提供省级以上（含省级）质检部门出具的实验台理化板、ABS工程塑料板、PP工程塑料（聚丙烯）板三项甲醛释放限量达标检测报告，每有一项得1分，共3分。</w:t>
            </w:r>
          </w:p>
          <w:p>
            <w:pPr>
              <w:spacing w:line="360" w:lineRule="auto"/>
              <w:rPr>
                <w:rFonts w:ascii="宋体" w:hAnsi="宋体"/>
                <w:sz w:val="24"/>
              </w:rPr>
            </w:pPr>
            <w:r>
              <w:rPr>
                <w:rFonts w:hint="eastAsia" w:ascii="宋体" w:hAnsi="宋体"/>
                <w:sz w:val="24"/>
              </w:rPr>
              <w:t>4.投标人提供质检部门出具的镀锌钢板、高强度方管、钢化玻璃检测报告，每有一项得1分，共3分。</w:t>
            </w:r>
          </w:p>
          <w:p>
            <w:pPr>
              <w:spacing w:line="360" w:lineRule="auto"/>
              <w:rPr>
                <w:rFonts w:ascii="宋体" w:hAnsi="宋体"/>
                <w:sz w:val="24"/>
              </w:rPr>
            </w:pPr>
            <w:r>
              <w:rPr>
                <w:rFonts w:hint="eastAsia" w:ascii="宋体" w:hAnsi="宋体"/>
                <w:sz w:val="24"/>
              </w:rPr>
              <w:t>5. 投标人须提供教室设计效果图、平面布局图、产品图片，共11分。设计效果图能完整体现学生实验桌、智能系统控制柜、智能摇臂升降系统产品的得4分；平面布局图清晰合理的得3分；产品图片完整美观，体现产品</w:t>
            </w:r>
            <w:r>
              <w:rPr>
                <w:rFonts w:hint="eastAsia"/>
                <w:sz w:val="24"/>
              </w:rPr>
              <w:t>外观设计、</w:t>
            </w:r>
            <w:r>
              <w:rPr>
                <w:rFonts w:hint="eastAsia" w:ascii="宋体" w:hAnsi="宋体" w:cs="宋体"/>
                <w:sz w:val="24"/>
              </w:rPr>
              <w:t>照片</w:t>
            </w:r>
            <w:r>
              <w:rPr>
                <w:rFonts w:hint="eastAsia" w:ascii="宋体" w:hAnsi="宋体"/>
                <w:sz w:val="24"/>
              </w:rPr>
              <w:t>清晰且符合招标文件要求的得4分。没有不得分。</w:t>
            </w:r>
          </w:p>
        </w:tc>
        <w:tc>
          <w:tcPr>
            <w:tcW w:w="973" w:type="dxa"/>
            <w:shd w:val="clear" w:color="auto" w:fill="FFFFFF"/>
            <w:tcMar>
              <w:left w:w="108" w:type="dxa"/>
              <w:right w:w="108" w:type="dxa"/>
            </w:tcMar>
            <w:vAlign w:val="center"/>
          </w:tcPr>
          <w:p>
            <w:pPr>
              <w:widowControl/>
              <w:spacing w:line="330" w:lineRule="atLeast"/>
              <w:jc w:val="center"/>
            </w:pPr>
            <w:r>
              <w:rPr>
                <w:rFonts w:ascii="仿宋" w:hAnsi="仿宋" w:eastAsia="仿宋" w:cs="仿宋"/>
                <w:color w:val="000000"/>
                <w:kern w:val="0"/>
                <w:sz w:val="24"/>
                <w:u w:val="single"/>
                <w:lang w:bidi="ar"/>
              </w:rPr>
              <w:t> </w:t>
            </w:r>
            <w:r>
              <w:rPr>
                <w:rFonts w:hint="eastAsia" w:ascii="仿宋" w:hAnsi="仿宋" w:eastAsia="仿宋" w:cs="仿宋"/>
                <w:color w:val="000000"/>
                <w:kern w:val="0"/>
                <w:sz w:val="24"/>
                <w:u w:val="single"/>
                <w:lang w:bidi="ar"/>
              </w:rPr>
              <w:t>38</w:t>
            </w:r>
            <w:r>
              <w:rPr>
                <w:rFonts w:ascii="仿宋" w:hAnsi="仿宋" w:eastAsia="仿宋" w:cs="仿宋"/>
                <w:color w:val="000000"/>
                <w:kern w:val="0"/>
                <w:sz w:val="24"/>
                <w:lang w:bidi="ar"/>
              </w:rPr>
              <w:t>分</w:t>
            </w:r>
          </w:p>
        </w:tc>
      </w:tr>
    </w:tbl>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六、采购资金支付</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lang w:bidi="ar"/>
        </w:rPr>
        <w:t>（一）支付方式：</w:t>
      </w:r>
      <w:r>
        <w:rPr>
          <w:rFonts w:hint="eastAsia" w:ascii="仿宋" w:hAnsi="仿宋" w:eastAsia="仿宋" w:cs="仿宋"/>
          <w:color w:val="000000"/>
          <w:kern w:val="0"/>
          <w:sz w:val="30"/>
          <w:szCs w:val="30"/>
          <w:shd w:val="clear" w:color="auto" w:fill="FFFFFF"/>
          <w:lang w:bidi="ar"/>
        </w:rPr>
        <w:t>银行转帐</w:t>
      </w:r>
    </w:p>
    <w:p>
      <w:pPr>
        <w:widowControl/>
        <w:shd w:val="clear" w:color="auto" w:fill="FFFFFF"/>
        <w:spacing w:line="360" w:lineRule="atLeast"/>
        <w:ind w:firstLine="600"/>
        <w:jc w:val="left"/>
      </w:pPr>
      <w:r>
        <w:rPr>
          <w:rFonts w:ascii="仿宋" w:hAnsi="仿宋" w:eastAsia="仿宋" w:cs="仿宋"/>
          <w:color w:val="000000"/>
          <w:kern w:val="0"/>
          <w:sz w:val="30"/>
          <w:szCs w:val="30"/>
          <w:shd w:val="clear" w:color="auto" w:fill="FFFFFF"/>
          <w:lang w:bidi="ar"/>
        </w:rPr>
        <w:t>（二）支付时间及条件：</w:t>
      </w:r>
      <w:r>
        <w:rPr>
          <w:rFonts w:hint="eastAsia" w:ascii="仿宋" w:hAnsi="仿宋" w:eastAsia="仿宋" w:cs="仿宋"/>
          <w:color w:val="000000"/>
          <w:kern w:val="0"/>
          <w:sz w:val="30"/>
          <w:szCs w:val="30"/>
          <w:shd w:val="clear" w:color="auto" w:fill="FFFFFF"/>
          <w:lang w:bidi="ar"/>
        </w:rPr>
        <w:t>验收合格后支付中标金额的90%，验收合格后一年内支付中标金额的10%。</w:t>
      </w:r>
    </w:p>
    <w:p>
      <w:pPr>
        <w:widowControl/>
        <w:shd w:val="clear" w:color="auto" w:fill="FFFFFF"/>
        <w:spacing w:line="360" w:lineRule="atLeast"/>
        <w:ind w:firstLine="600"/>
        <w:jc w:val="left"/>
      </w:pPr>
      <w:r>
        <w:rPr>
          <w:rFonts w:hint="eastAsia" w:ascii="黑体" w:hAnsi="宋体" w:eastAsia="黑体" w:cs="黑体"/>
          <w:color w:val="000000"/>
          <w:kern w:val="0"/>
          <w:sz w:val="30"/>
          <w:szCs w:val="30"/>
          <w:shd w:val="clear" w:color="auto" w:fill="FFFFFF"/>
          <w:lang w:bidi="ar"/>
        </w:rPr>
        <w:t>七、联系方式</w:t>
      </w:r>
    </w:p>
    <w:p>
      <w:pPr>
        <w:widowControl/>
        <w:shd w:val="clear" w:color="auto" w:fill="FFFFFF"/>
        <w:spacing w:line="525" w:lineRule="atLeast"/>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联系人姓名：</w:t>
      </w:r>
      <w:r>
        <w:rPr>
          <w:rFonts w:hint="eastAsia" w:ascii="仿宋" w:hAnsi="仿宋" w:eastAsia="仿宋" w:cs="仿宋"/>
          <w:color w:val="000000"/>
          <w:kern w:val="0"/>
          <w:sz w:val="30"/>
          <w:szCs w:val="30"/>
          <w:shd w:val="clear" w:color="auto" w:fill="FFFFFF"/>
          <w:lang w:eastAsia="zh-CN" w:bidi="ar"/>
        </w:rPr>
        <w:t>郁俊峰</w:t>
      </w:r>
      <w:r>
        <w:rPr>
          <w:rFonts w:hint="eastAsia" w:ascii="仿宋" w:hAnsi="仿宋" w:eastAsia="仿宋" w:cs="仿宋"/>
          <w:color w:val="000000"/>
          <w:kern w:val="0"/>
          <w:sz w:val="30"/>
          <w:szCs w:val="30"/>
          <w:shd w:val="clear" w:color="auto" w:fill="FFFFFF"/>
          <w:lang w:bidi="ar"/>
        </w:rPr>
        <w:t xml:space="preserve">       </w:t>
      </w:r>
      <w:r>
        <w:rPr>
          <w:rFonts w:ascii="仿宋" w:hAnsi="仿宋" w:eastAsia="仿宋" w:cs="仿宋"/>
          <w:color w:val="000000"/>
          <w:kern w:val="0"/>
          <w:sz w:val="30"/>
          <w:szCs w:val="30"/>
          <w:shd w:val="clear" w:color="auto" w:fill="FFFFFF"/>
          <w:lang w:bidi="ar"/>
        </w:rPr>
        <w:t>   联系电话：</w:t>
      </w:r>
      <w:r>
        <w:rPr>
          <w:rFonts w:hint="eastAsia" w:ascii="仿宋" w:hAnsi="仿宋" w:eastAsia="仿宋" w:cs="仿宋"/>
          <w:color w:val="000000"/>
          <w:kern w:val="0"/>
          <w:sz w:val="30"/>
          <w:szCs w:val="30"/>
          <w:shd w:val="clear" w:color="auto" w:fill="FFFFFF"/>
          <w:lang w:bidi="ar"/>
        </w:rPr>
        <w:t xml:space="preserve"> </w:t>
      </w:r>
      <w:r>
        <w:rPr>
          <w:rFonts w:hint="eastAsia" w:ascii="仿宋" w:hAnsi="仿宋" w:eastAsia="仿宋" w:cs="仿宋"/>
          <w:color w:val="000000"/>
          <w:kern w:val="0"/>
          <w:sz w:val="30"/>
          <w:szCs w:val="30"/>
          <w:shd w:val="clear" w:color="auto" w:fill="FFFFFF"/>
          <w:lang w:val="en-US" w:eastAsia="zh-CN" w:bidi="ar"/>
        </w:rPr>
        <w:t>13938062662</w:t>
      </w:r>
      <w:r>
        <w:rPr>
          <w:rFonts w:hint="eastAsia" w:ascii="仿宋" w:hAnsi="仿宋" w:eastAsia="仿宋" w:cs="仿宋"/>
          <w:color w:val="000000"/>
          <w:kern w:val="0"/>
          <w:sz w:val="30"/>
          <w:szCs w:val="30"/>
          <w:shd w:val="clear" w:color="auto" w:fill="FFFFFF"/>
          <w:lang w:bidi="ar"/>
        </w:rPr>
        <w:t xml:space="preserve">     </w:t>
      </w:r>
    </w:p>
    <w:p>
      <w:pPr>
        <w:widowControl/>
        <w:shd w:val="clear" w:color="auto" w:fill="FFFFFF"/>
        <w:spacing w:line="525" w:lineRule="atLeast"/>
        <w:jc w:val="lef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单位地址：</w:t>
      </w:r>
      <w:r>
        <w:rPr>
          <w:rFonts w:hint="eastAsia" w:ascii="仿宋" w:hAnsi="仿宋" w:eastAsia="仿宋" w:cs="仿宋"/>
          <w:color w:val="000000"/>
          <w:kern w:val="0"/>
          <w:sz w:val="30"/>
          <w:szCs w:val="30"/>
          <w:shd w:val="clear" w:color="auto" w:fill="FFFFFF"/>
          <w:lang w:bidi="ar"/>
        </w:rPr>
        <w:t xml:space="preserve">许昌市建安大道1028号许昌高级中学                  </w:t>
      </w:r>
      <w:r>
        <w:rPr>
          <w:rFonts w:ascii="仿宋" w:hAnsi="仿宋" w:eastAsia="仿宋" w:cs="仿宋"/>
          <w:color w:val="000000"/>
          <w:kern w:val="0"/>
          <w:sz w:val="30"/>
          <w:szCs w:val="30"/>
          <w:shd w:val="clear" w:color="auto" w:fill="FFFFFF"/>
          <w:lang w:bidi="ar"/>
        </w:rPr>
        <w:t>  </w:t>
      </w:r>
    </w:p>
    <w:p>
      <w:pPr>
        <w:widowControl/>
        <w:shd w:val="clear" w:color="auto" w:fill="FFFFFF"/>
        <w:spacing w:line="525" w:lineRule="atLeast"/>
        <w:ind w:firstLine="795"/>
        <w:jc w:val="left"/>
        <w:rPr>
          <w:rFonts w:ascii="仿宋" w:hAnsi="仿宋" w:eastAsia="仿宋" w:cs="仿宋"/>
          <w:color w:val="000000"/>
          <w:kern w:val="0"/>
          <w:sz w:val="30"/>
          <w:szCs w:val="30"/>
          <w:shd w:val="clear" w:color="auto" w:fill="FFFFFF"/>
          <w:lang w:bidi="ar"/>
        </w:rPr>
      </w:pPr>
    </w:p>
    <w:p>
      <w:pPr>
        <w:widowControl/>
        <w:shd w:val="clear" w:color="auto" w:fill="FFFFFF"/>
        <w:wordWrap w:val="0"/>
        <w:spacing w:line="330" w:lineRule="atLeast"/>
        <w:ind w:firstLine="4350"/>
        <w:jc w:val="right"/>
        <w:rPr>
          <w:rFonts w:ascii="仿宋" w:hAnsi="仿宋" w:eastAsia="仿宋" w:cs="仿宋"/>
          <w:color w:val="000000"/>
          <w:kern w:val="0"/>
          <w:sz w:val="30"/>
          <w:szCs w:val="30"/>
          <w:shd w:val="clear" w:color="auto" w:fill="FFFFFF"/>
          <w:lang w:bidi="ar"/>
        </w:rPr>
      </w:pPr>
      <w:r>
        <w:rPr>
          <w:rFonts w:ascii="仿宋" w:hAnsi="仿宋" w:eastAsia="仿宋" w:cs="仿宋"/>
          <w:color w:val="000000"/>
          <w:kern w:val="0"/>
          <w:sz w:val="30"/>
          <w:szCs w:val="30"/>
          <w:shd w:val="clear" w:color="auto" w:fill="FFFFFF"/>
          <w:lang w:bidi="ar"/>
        </w:rPr>
        <w:t>单位全称</w:t>
      </w:r>
      <w:r>
        <w:rPr>
          <w:rFonts w:hint="eastAsia" w:ascii="仿宋" w:hAnsi="仿宋" w:eastAsia="仿宋" w:cs="仿宋"/>
          <w:color w:val="000000"/>
          <w:kern w:val="0"/>
          <w:sz w:val="30"/>
          <w:szCs w:val="30"/>
          <w:shd w:val="clear" w:color="auto" w:fill="FFFFFF"/>
          <w:lang w:bidi="ar"/>
        </w:rPr>
        <w:t xml:space="preserve">： 许昌高级中学                   </w:t>
      </w:r>
    </w:p>
    <w:p>
      <w:pPr>
        <w:widowControl/>
        <w:shd w:val="clear" w:color="auto" w:fill="FFFFFF"/>
        <w:spacing w:line="330" w:lineRule="atLeast"/>
        <w:ind w:firstLine="5700" w:firstLineChars="1900"/>
      </w:pPr>
      <w:r>
        <w:rPr>
          <w:rFonts w:hint="eastAsia" w:ascii="仿宋" w:hAnsi="仿宋" w:eastAsia="仿宋" w:cs="仿宋"/>
          <w:color w:val="000000"/>
          <w:kern w:val="0"/>
          <w:sz w:val="30"/>
          <w:szCs w:val="30"/>
          <w:shd w:val="clear" w:color="auto" w:fill="FFFFFF"/>
          <w:lang w:bidi="ar"/>
        </w:rPr>
        <w:t xml:space="preserve"> 2018</w:t>
      </w:r>
      <w:r>
        <w:rPr>
          <w:rFonts w:ascii="仿宋" w:hAnsi="仿宋" w:eastAsia="仿宋" w:cs="仿宋"/>
          <w:color w:val="000000"/>
          <w:kern w:val="0"/>
          <w:sz w:val="30"/>
          <w:szCs w:val="30"/>
          <w:shd w:val="clear" w:color="auto" w:fill="FFFFFF"/>
          <w:lang w:bidi="ar"/>
        </w:rPr>
        <w:t>年</w:t>
      </w:r>
      <w:r>
        <w:rPr>
          <w:rFonts w:hint="eastAsia" w:ascii="仿宋" w:hAnsi="仿宋" w:eastAsia="仿宋" w:cs="仿宋"/>
          <w:color w:val="000000"/>
          <w:kern w:val="0"/>
          <w:sz w:val="30"/>
          <w:szCs w:val="30"/>
          <w:shd w:val="clear" w:color="auto" w:fill="FFFFFF"/>
          <w:lang w:val="en-US" w:eastAsia="zh-CN" w:bidi="ar"/>
        </w:rPr>
        <w:t>8</w:t>
      </w:r>
      <w:r>
        <w:rPr>
          <w:rFonts w:ascii="仿宋" w:hAnsi="仿宋" w:eastAsia="仿宋" w:cs="仿宋"/>
          <w:color w:val="000000"/>
          <w:kern w:val="0"/>
          <w:sz w:val="30"/>
          <w:szCs w:val="30"/>
          <w:shd w:val="clear" w:color="auto" w:fill="FFFFFF"/>
          <w:lang w:bidi="ar"/>
        </w:rPr>
        <w:t>月</w:t>
      </w:r>
      <w:r>
        <w:rPr>
          <w:rFonts w:hint="eastAsia" w:ascii="仿宋" w:hAnsi="仿宋" w:eastAsia="仿宋" w:cs="仿宋"/>
          <w:color w:val="000000"/>
          <w:kern w:val="0"/>
          <w:sz w:val="30"/>
          <w:szCs w:val="30"/>
          <w:shd w:val="clear" w:color="auto" w:fill="FFFFFF"/>
          <w:lang w:val="en-US" w:eastAsia="zh-CN" w:bidi="ar"/>
        </w:rPr>
        <w:t>16</w:t>
      </w:r>
      <w:r>
        <w:rPr>
          <w:rFonts w:ascii="仿宋" w:hAnsi="仿宋" w:eastAsia="仿宋" w:cs="仿宋"/>
          <w:color w:val="000000"/>
          <w:kern w:val="0"/>
          <w:sz w:val="30"/>
          <w:szCs w:val="30"/>
          <w:shd w:val="clear" w:color="auto" w:fill="FFFFFF"/>
          <w:lang w:bidi="ar"/>
        </w:rPr>
        <w:t>日</w:t>
      </w:r>
      <w:r>
        <w:rPr>
          <w:rFonts w:hint="eastAsia" w:ascii="仿宋" w:hAnsi="仿宋" w:eastAsia="仿宋" w:cs="仿宋"/>
          <w:color w:val="000000"/>
          <w:kern w:val="0"/>
          <w:sz w:val="30"/>
          <w:szCs w:val="30"/>
          <w:shd w:val="clear" w:color="auto" w:fill="FFFFFF"/>
          <w:lang w:bidi="ar"/>
        </w:rPr>
        <w:t xml:space="preserve"> </w:t>
      </w: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E830"/>
    <w:multiLevelType w:val="singleLevel"/>
    <w:tmpl w:val="24BAE830"/>
    <w:lvl w:ilvl="0" w:tentative="0">
      <w:start w:val="4"/>
      <w:numFmt w:val="chineseCounting"/>
      <w:suff w:val="nothing"/>
      <w:lvlText w:val="（%1）"/>
      <w:lvlJc w:val="left"/>
      <w:rPr>
        <w:rFonts w:hint="eastAsia"/>
      </w:rPr>
    </w:lvl>
  </w:abstractNum>
  <w:abstractNum w:abstractNumId="1">
    <w:nsid w:val="4C303417"/>
    <w:multiLevelType w:val="singleLevel"/>
    <w:tmpl w:val="4C303417"/>
    <w:lvl w:ilvl="0" w:tentative="0">
      <w:start w:val="3"/>
      <w:numFmt w:val="chineseCounting"/>
      <w:suff w:val="nothing"/>
      <w:lvlText w:val="（%1）"/>
      <w:lvlJc w:val="left"/>
      <w:rPr>
        <w:rFonts w:hint="eastAsia"/>
      </w:rPr>
    </w:lvl>
  </w:abstractNum>
  <w:abstractNum w:abstractNumId="2">
    <w:nsid w:val="5B505570"/>
    <w:multiLevelType w:val="singleLevel"/>
    <w:tmpl w:val="5B505570"/>
    <w:lvl w:ilvl="0" w:tentative="0">
      <w:start w:val="1"/>
      <w:numFmt w:val="decimal"/>
      <w:suff w:val="nothing"/>
      <w:lvlText w:val="（%1）"/>
      <w:lvlJc w:val="left"/>
    </w:lvl>
  </w:abstractNum>
  <w:abstractNum w:abstractNumId="3">
    <w:nsid w:val="5B5057C8"/>
    <w:multiLevelType w:val="singleLevel"/>
    <w:tmpl w:val="5B5057C8"/>
    <w:lvl w:ilvl="0" w:tentative="0">
      <w:start w:val="1"/>
      <w:numFmt w:val="decimal"/>
      <w:suff w:val="nothing"/>
      <w:lvlText w:val="（%1）"/>
      <w:lvlJc w:val="left"/>
    </w:lvl>
  </w:abstractNum>
  <w:abstractNum w:abstractNumId="4">
    <w:nsid w:val="7CB2063C"/>
    <w:multiLevelType w:val="multilevel"/>
    <w:tmpl w:val="7CB2063C"/>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F2"/>
    <w:rsid w:val="00005A9E"/>
    <w:rsid w:val="000E4071"/>
    <w:rsid w:val="000E638B"/>
    <w:rsid w:val="000F2ECA"/>
    <w:rsid w:val="001A5271"/>
    <w:rsid w:val="001C738C"/>
    <w:rsid w:val="001C74ED"/>
    <w:rsid w:val="001D6429"/>
    <w:rsid w:val="00217830"/>
    <w:rsid w:val="00222B17"/>
    <w:rsid w:val="002559B7"/>
    <w:rsid w:val="00281293"/>
    <w:rsid w:val="002B0112"/>
    <w:rsid w:val="002E30DF"/>
    <w:rsid w:val="003226B5"/>
    <w:rsid w:val="00347A86"/>
    <w:rsid w:val="003846A4"/>
    <w:rsid w:val="003E5222"/>
    <w:rsid w:val="004A0D10"/>
    <w:rsid w:val="005075F2"/>
    <w:rsid w:val="005344A6"/>
    <w:rsid w:val="005C1B5B"/>
    <w:rsid w:val="00626D8E"/>
    <w:rsid w:val="00635895"/>
    <w:rsid w:val="006C0EBC"/>
    <w:rsid w:val="00715D29"/>
    <w:rsid w:val="00736B57"/>
    <w:rsid w:val="007A7365"/>
    <w:rsid w:val="007B19D6"/>
    <w:rsid w:val="007D24F7"/>
    <w:rsid w:val="007E41BD"/>
    <w:rsid w:val="0080115A"/>
    <w:rsid w:val="008D24F8"/>
    <w:rsid w:val="00913C5D"/>
    <w:rsid w:val="009632FF"/>
    <w:rsid w:val="00974109"/>
    <w:rsid w:val="009F2CAA"/>
    <w:rsid w:val="00A224E9"/>
    <w:rsid w:val="00A6695B"/>
    <w:rsid w:val="00BF023A"/>
    <w:rsid w:val="00C0507B"/>
    <w:rsid w:val="00C066F0"/>
    <w:rsid w:val="00C3665B"/>
    <w:rsid w:val="00C9600B"/>
    <w:rsid w:val="00CA3F58"/>
    <w:rsid w:val="00D01096"/>
    <w:rsid w:val="00D03DBD"/>
    <w:rsid w:val="00D05E2E"/>
    <w:rsid w:val="00D21912"/>
    <w:rsid w:val="00D409B8"/>
    <w:rsid w:val="00D75948"/>
    <w:rsid w:val="00E173D4"/>
    <w:rsid w:val="00E36F96"/>
    <w:rsid w:val="00E45409"/>
    <w:rsid w:val="00F04199"/>
    <w:rsid w:val="00F14976"/>
    <w:rsid w:val="00F476F9"/>
    <w:rsid w:val="00F508F9"/>
    <w:rsid w:val="00F95286"/>
    <w:rsid w:val="00FC1265"/>
    <w:rsid w:val="00FC1699"/>
    <w:rsid w:val="00FC32BE"/>
    <w:rsid w:val="03213D46"/>
    <w:rsid w:val="06182FC8"/>
    <w:rsid w:val="068D2987"/>
    <w:rsid w:val="06E843E6"/>
    <w:rsid w:val="077857F4"/>
    <w:rsid w:val="07D36542"/>
    <w:rsid w:val="08576F9F"/>
    <w:rsid w:val="093C32E4"/>
    <w:rsid w:val="0A7A31B3"/>
    <w:rsid w:val="0EB504E8"/>
    <w:rsid w:val="0F8871BD"/>
    <w:rsid w:val="0F9F7D71"/>
    <w:rsid w:val="10D423B3"/>
    <w:rsid w:val="11526362"/>
    <w:rsid w:val="11857C1E"/>
    <w:rsid w:val="14D20A08"/>
    <w:rsid w:val="16FF467A"/>
    <w:rsid w:val="17146DAE"/>
    <w:rsid w:val="189445DE"/>
    <w:rsid w:val="1ACF084D"/>
    <w:rsid w:val="1ADE3C06"/>
    <w:rsid w:val="1AF36B9E"/>
    <w:rsid w:val="1B9E655D"/>
    <w:rsid w:val="1BA175F5"/>
    <w:rsid w:val="1C5C7D9A"/>
    <w:rsid w:val="1D224DDD"/>
    <w:rsid w:val="1DB41C66"/>
    <w:rsid w:val="1E121487"/>
    <w:rsid w:val="202472AD"/>
    <w:rsid w:val="202C2156"/>
    <w:rsid w:val="2073028C"/>
    <w:rsid w:val="229C746D"/>
    <w:rsid w:val="24DC350E"/>
    <w:rsid w:val="27D70CDB"/>
    <w:rsid w:val="2A94318B"/>
    <w:rsid w:val="2D4704B3"/>
    <w:rsid w:val="30C85C22"/>
    <w:rsid w:val="30F1020C"/>
    <w:rsid w:val="348A0FA0"/>
    <w:rsid w:val="35E36BC2"/>
    <w:rsid w:val="362536CE"/>
    <w:rsid w:val="371D5D10"/>
    <w:rsid w:val="3A9E2560"/>
    <w:rsid w:val="3B5163D2"/>
    <w:rsid w:val="3BFA61D7"/>
    <w:rsid w:val="3CCA1E0A"/>
    <w:rsid w:val="3D277AF2"/>
    <w:rsid w:val="3D363B3B"/>
    <w:rsid w:val="3E544775"/>
    <w:rsid w:val="3EBE38C5"/>
    <w:rsid w:val="3EC054F8"/>
    <w:rsid w:val="41DE7E91"/>
    <w:rsid w:val="44693C2C"/>
    <w:rsid w:val="47987EB5"/>
    <w:rsid w:val="496B204B"/>
    <w:rsid w:val="4AB62767"/>
    <w:rsid w:val="4E9A6A2F"/>
    <w:rsid w:val="4FB638C0"/>
    <w:rsid w:val="504C2674"/>
    <w:rsid w:val="507A2BFD"/>
    <w:rsid w:val="50C5788B"/>
    <w:rsid w:val="52D713A1"/>
    <w:rsid w:val="53642ECC"/>
    <w:rsid w:val="53F73376"/>
    <w:rsid w:val="59303BD4"/>
    <w:rsid w:val="5B6031B6"/>
    <w:rsid w:val="5BD621D5"/>
    <w:rsid w:val="60013769"/>
    <w:rsid w:val="60237BF3"/>
    <w:rsid w:val="60F139AA"/>
    <w:rsid w:val="65FB24B4"/>
    <w:rsid w:val="662743A7"/>
    <w:rsid w:val="669D73A7"/>
    <w:rsid w:val="66FF56E6"/>
    <w:rsid w:val="675B7BFD"/>
    <w:rsid w:val="688716D5"/>
    <w:rsid w:val="6A616724"/>
    <w:rsid w:val="6C201BEA"/>
    <w:rsid w:val="6C500A8C"/>
    <w:rsid w:val="6D540710"/>
    <w:rsid w:val="6DCA06DA"/>
    <w:rsid w:val="6F02191E"/>
    <w:rsid w:val="71FD506A"/>
    <w:rsid w:val="73F3240E"/>
    <w:rsid w:val="77C3705A"/>
    <w:rsid w:val="78083385"/>
    <w:rsid w:val="7B774E21"/>
    <w:rsid w:val="7BE90778"/>
    <w:rsid w:val="7C2E66BF"/>
    <w:rsid w:val="7D4F50C9"/>
    <w:rsid w:val="7EA3022A"/>
    <w:rsid w:val="7F3F30CC"/>
    <w:rsid w:val="7FE0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sz w:val="18"/>
      <w:szCs w:val="18"/>
    </w:rPr>
  </w:style>
  <w:style w:type="paragraph" w:styleId="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jc w:val="left"/>
    </w:pPr>
    <w:rPr>
      <w:rFonts w:cs="Times New Roman"/>
      <w:kern w:val="0"/>
      <w:sz w:val="24"/>
    </w:rPr>
  </w:style>
  <w:style w:type="character" w:styleId="7">
    <w:name w:val="Strong"/>
    <w:qFormat/>
    <w:uiPriority w:val="0"/>
    <w:rPr>
      <w:rFonts w:cs="Times New Roman"/>
      <w:b/>
      <w:bCs/>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red"/>
    <w:basedOn w:val="6"/>
    <w:qFormat/>
    <w:uiPriority w:val="0"/>
    <w:rPr>
      <w:color w:val="FF0000"/>
      <w:sz w:val="18"/>
      <w:szCs w:val="18"/>
    </w:rPr>
  </w:style>
  <w:style w:type="character" w:customStyle="1" w:styleId="14">
    <w:name w:val="red1"/>
    <w:basedOn w:val="6"/>
    <w:qFormat/>
    <w:uiPriority w:val="0"/>
    <w:rPr>
      <w:color w:val="FF0000"/>
    </w:rPr>
  </w:style>
  <w:style w:type="character" w:customStyle="1" w:styleId="15">
    <w:name w:val="green"/>
    <w:basedOn w:val="6"/>
    <w:qFormat/>
    <w:uiPriority w:val="0"/>
    <w:rPr>
      <w:color w:val="66AE00"/>
      <w:sz w:val="18"/>
      <w:szCs w:val="18"/>
    </w:rPr>
  </w:style>
  <w:style w:type="character" w:customStyle="1" w:styleId="16">
    <w:name w:val="green1"/>
    <w:basedOn w:val="6"/>
    <w:qFormat/>
    <w:uiPriority w:val="0"/>
    <w:rPr>
      <w:color w:val="FF0000"/>
      <w:sz w:val="18"/>
      <w:szCs w:val="18"/>
    </w:rPr>
  </w:style>
  <w:style w:type="character" w:customStyle="1" w:styleId="17">
    <w:name w:val="hover25"/>
    <w:basedOn w:val="6"/>
    <w:qFormat/>
    <w:uiPriority w:val="0"/>
  </w:style>
  <w:style w:type="character" w:customStyle="1" w:styleId="18">
    <w:name w:val="blue"/>
    <w:basedOn w:val="6"/>
    <w:qFormat/>
    <w:uiPriority w:val="0"/>
    <w:rPr>
      <w:color w:val="0371C6"/>
      <w:sz w:val="21"/>
      <w:szCs w:val="21"/>
    </w:rPr>
  </w:style>
  <w:style w:type="character" w:customStyle="1" w:styleId="19">
    <w:name w:val="right"/>
    <w:basedOn w:val="6"/>
    <w:qFormat/>
    <w:uiPriority w:val="0"/>
    <w:rPr>
      <w:color w:val="999999"/>
      <w:sz w:val="18"/>
      <w:szCs w:val="18"/>
    </w:rPr>
  </w:style>
  <w:style w:type="character" w:customStyle="1" w:styleId="20">
    <w:name w:val="gb-jt"/>
    <w:basedOn w:val="6"/>
    <w:qFormat/>
    <w:uiPriority w:val="0"/>
  </w:style>
  <w:style w:type="character" w:customStyle="1" w:styleId="21">
    <w:name w:val="页眉 字符"/>
    <w:basedOn w:val="6"/>
    <w:link w:val="3"/>
    <w:qFormat/>
    <w:uiPriority w:val="0"/>
    <w:rPr>
      <w:rFonts w:asciiTheme="minorHAnsi" w:hAnsiTheme="minorHAnsi" w:eastAsiaTheme="minorEastAsia" w:cstheme="minorBidi"/>
      <w:kern w:val="2"/>
      <w:sz w:val="18"/>
      <w:szCs w:val="18"/>
    </w:rPr>
  </w:style>
  <w:style w:type="character" w:customStyle="1" w:styleId="22">
    <w:name w:val="页脚 字符"/>
    <w:basedOn w:val="6"/>
    <w:link w:val="2"/>
    <w:qFormat/>
    <w:uiPriority w:val="0"/>
    <w:rPr>
      <w:rFonts w:asciiTheme="minorHAnsi" w:hAnsiTheme="minorHAnsi" w:eastAsiaTheme="minorEastAsia" w:cstheme="minorBidi"/>
      <w:kern w:val="2"/>
      <w:sz w:val="18"/>
      <w:szCs w:val="18"/>
    </w:rPr>
  </w:style>
  <w:style w:type="paragraph" w:customStyle="1" w:styleId="2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2861</Words>
  <Characters>16312</Characters>
  <Lines>135</Lines>
  <Paragraphs>38</Paragraphs>
  <TotalTime>0</TotalTime>
  <ScaleCrop>false</ScaleCrop>
  <LinksUpToDate>false</LinksUpToDate>
  <CharactersWithSpaces>19135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2018-08-15T23:09:00Z</dcterms:created>
  <dc:creator>Administrator</dc:creator>
  <cp:lastModifiedBy>Administrator</cp:lastModifiedBy>
  <dcterms:modified xsi:type="dcterms:W3CDTF">2018-08-21T02:25:23Z</dcterms:modified>
  <dc:title> 许昌高级中学理化生实验室设备采购需求、评标标准等说明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