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360" w:lineRule="auto"/>
        <w:ind w:firstLine="602" w:firstLineChars="200"/>
        <w:jc w:val="center"/>
        <w:rPr>
          <w:rFonts w:cs="楷体" w:asciiTheme="minorEastAsia" w:hAnsiTheme="minorEastAsia" w:eastAsiaTheme="minorEastAsia"/>
          <w:b/>
          <w:bCs/>
          <w:sz w:val="30"/>
          <w:szCs w:val="30"/>
        </w:rPr>
      </w:pPr>
      <w:r>
        <w:rPr>
          <w:rFonts w:hint="eastAsia" w:cs="楷体" w:asciiTheme="minorEastAsia" w:hAnsiTheme="minorEastAsia" w:eastAsiaTheme="minorEastAsia"/>
          <w:b/>
          <w:bCs/>
          <w:sz w:val="30"/>
          <w:szCs w:val="30"/>
        </w:rPr>
        <w:t>许昌市四大机关办公区保洁服务服务</w:t>
      </w:r>
    </w:p>
    <w:p>
      <w:pPr>
        <w:spacing w:after="0" w:line="360" w:lineRule="auto"/>
        <w:ind w:firstLine="602" w:firstLineChars="200"/>
        <w:jc w:val="center"/>
        <w:rPr>
          <w:rFonts w:cs="楷体" w:asciiTheme="minorEastAsia" w:hAnsiTheme="minorEastAsia" w:eastAsiaTheme="minorEastAsia"/>
          <w:sz w:val="30"/>
          <w:szCs w:val="30"/>
        </w:rPr>
      </w:pPr>
      <w:r>
        <w:rPr>
          <w:rFonts w:hint="eastAsia" w:cs="楷体" w:asciiTheme="minorEastAsia" w:hAnsiTheme="minorEastAsia" w:eastAsiaTheme="minorEastAsia"/>
          <w:b/>
          <w:bCs/>
          <w:sz w:val="30"/>
          <w:szCs w:val="30"/>
        </w:rPr>
        <w:t>采购需求、评标标准</w:t>
      </w:r>
    </w:p>
    <w:p>
      <w:pPr>
        <w:spacing w:after="0" w:line="360" w:lineRule="auto"/>
        <w:ind w:firstLine="600" w:firstLineChars="200"/>
        <w:rPr>
          <w:rFonts w:cs="楷体" w:asciiTheme="minorEastAsia" w:hAnsiTheme="minorEastAsia" w:eastAsiaTheme="minorEastAsia"/>
          <w:sz w:val="30"/>
          <w:szCs w:val="30"/>
        </w:rPr>
      </w:pPr>
    </w:p>
    <w:p>
      <w:pPr>
        <w:spacing w:after="0" w:line="360" w:lineRule="auto"/>
        <w:ind w:firstLine="600" w:firstLineChars="200"/>
        <w:rPr>
          <w:rFonts w:cs="楷体" w:asciiTheme="minorEastAsia" w:hAnsiTheme="minorEastAsia" w:eastAsiaTheme="minorEastAsia"/>
          <w:sz w:val="30"/>
          <w:szCs w:val="30"/>
        </w:rPr>
      </w:pPr>
      <w:r>
        <w:rPr>
          <w:rFonts w:hint="eastAsia" w:cs="楷体" w:asciiTheme="minorEastAsia" w:hAnsiTheme="minorEastAsia" w:eastAsiaTheme="minorEastAsia"/>
          <w:sz w:val="30"/>
          <w:szCs w:val="30"/>
        </w:rPr>
        <w:t>一、项目概况</w:t>
      </w:r>
    </w:p>
    <w:p>
      <w:pPr>
        <w:spacing w:after="0" w:line="360" w:lineRule="auto"/>
        <w:ind w:firstLine="600" w:firstLineChars="200"/>
        <w:rPr>
          <w:rFonts w:cs="楷体" w:asciiTheme="minorEastAsia" w:hAnsiTheme="minorEastAsia" w:eastAsiaTheme="minorEastAsia"/>
          <w:sz w:val="30"/>
          <w:szCs w:val="30"/>
        </w:rPr>
      </w:pPr>
      <w:r>
        <w:rPr>
          <w:rFonts w:hint="eastAsia" w:cs="楷体" w:asciiTheme="minorEastAsia" w:hAnsiTheme="minorEastAsia" w:eastAsiaTheme="minorEastAsia"/>
          <w:sz w:val="30"/>
          <w:szCs w:val="30"/>
        </w:rPr>
        <w:t>（一）项目名称：</w:t>
      </w:r>
      <w:r>
        <w:rPr>
          <w:rFonts w:hint="eastAsia" w:cs="楷体" w:asciiTheme="minorEastAsia" w:hAnsiTheme="minorEastAsia" w:eastAsiaTheme="minorEastAsia"/>
          <w:sz w:val="30"/>
          <w:szCs w:val="30"/>
          <w:lang w:val="zh-CN"/>
        </w:rPr>
        <w:t>机关办公区保洁服务。</w:t>
      </w:r>
    </w:p>
    <w:p>
      <w:pPr>
        <w:spacing w:after="0" w:line="360" w:lineRule="auto"/>
        <w:ind w:firstLine="600" w:firstLineChars="200"/>
        <w:rPr>
          <w:rFonts w:cs="楷体" w:asciiTheme="minorEastAsia" w:hAnsiTheme="minorEastAsia" w:eastAsiaTheme="minorEastAsia"/>
          <w:sz w:val="30"/>
          <w:szCs w:val="30"/>
        </w:rPr>
      </w:pPr>
      <w:r>
        <w:rPr>
          <w:rFonts w:hint="eastAsia" w:cs="楷体" w:asciiTheme="minorEastAsia" w:hAnsiTheme="minorEastAsia" w:eastAsiaTheme="minorEastAsia"/>
          <w:sz w:val="30"/>
          <w:szCs w:val="30"/>
        </w:rPr>
        <w:t>（二）采购方式：公开招标。</w:t>
      </w:r>
    </w:p>
    <w:p>
      <w:pPr>
        <w:spacing w:after="0" w:line="360" w:lineRule="auto"/>
        <w:ind w:firstLine="664"/>
        <w:rPr>
          <w:rFonts w:hint="eastAsia" w:cs="宋体" w:asciiTheme="minorEastAsia" w:hAnsiTheme="minorEastAsia" w:eastAsiaTheme="minorEastAsia"/>
          <w:spacing w:val="6"/>
          <w:sz w:val="30"/>
          <w:szCs w:val="30"/>
        </w:rPr>
      </w:pPr>
      <w:r>
        <w:rPr>
          <w:rFonts w:hint="eastAsia" w:cs="楷体" w:asciiTheme="minorEastAsia" w:hAnsiTheme="minorEastAsia" w:eastAsiaTheme="minorEastAsia"/>
          <w:sz w:val="30"/>
          <w:szCs w:val="30"/>
        </w:rPr>
        <w:t>（三）主要内容、数量及要求：</w:t>
      </w:r>
    </w:p>
    <w:p>
      <w:pPr>
        <w:spacing w:after="0" w:line="360" w:lineRule="auto"/>
        <w:ind w:firstLine="664"/>
        <w:rPr>
          <w:rFonts w:ascii="宋体" w:hAnsi="宋体" w:eastAsia="宋体" w:cs="Times New Roman"/>
          <w:sz w:val="30"/>
          <w:szCs w:val="30"/>
        </w:rPr>
      </w:pPr>
      <w:r>
        <w:rPr>
          <w:rFonts w:hint="eastAsia" w:cs="宋体" w:asciiTheme="minorEastAsia" w:hAnsiTheme="minorEastAsia" w:eastAsiaTheme="minorEastAsia"/>
          <w:spacing w:val="6"/>
          <w:sz w:val="30"/>
          <w:szCs w:val="30"/>
        </w:rPr>
        <w:t>1、</w:t>
      </w:r>
      <w:r>
        <w:rPr>
          <w:rFonts w:hint="eastAsia" w:ascii="宋体" w:hAnsi="宋体" w:eastAsia="宋体" w:cs="宋体"/>
          <w:spacing w:val="6"/>
          <w:sz w:val="30"/>
          <w:szCs w:val="30"/>
        </w:rPr>
        <w:t>许昌市委、市政府机关办公区楼</w:t>
      </w:r>
      <w:r>
        <w:rPr>
          <w:rFonts w:hint="eastAsia" w:ascii="宋体" w:hAnsi="宋体" w:eastAsia="宋体" w:cs="宋体"/>
          <w:spacing w:val="6"/>
          <w:sz w:val="30"/>
          <w:szCs w:val="30"/>
          <w:lang w:eastAsia="zh-CN"/>
        </w:rPr>
        <w:t>、</w:t>
      </w:r>
      <w:r>
        <w:rPr>
          <w:rFonts w:hint="eastAsia" w:ascii="宋体" w:hAnsi="宋体" w:eastAsia="宋体" w:cs="宋体"/>
          <w:spacing w:val="6"/>
          <w:sz w:val="30"/>
          <w:szCs w:val="30"/>
        </w:rPr>
        <w:t>三号楼大会议室</w:t>
      </w:r>
      <w:r>
        <w:rPr>
          <w:rFonts w:hint="eastAsia" w:ascii="宋体" w:hAnsi="宋体" w:eastAsia="宋体" w:cs="宋体"/>
          <w:spacing w:val="6"/>
          <w:sz w:val="30"/>
          <w:szCs w:val="30"/>
          <w:lang w:eastAsia="zh-CN"/>
        </w:rPr>
        <w:t>、</w:t>
      </w:r>
      <w:r>
        <w:rPr>
          <w:rFonts w:hint="eastAsia" w:ascii="宋体" w:hAnsi="宋体" w:eastAsia="宋体" w:cs="宋体"/>
          <w:spacing w:val="6"/>
          <w:sz w:val="30"/>
          <w:szCs w:val="30"/>
        </w:rPr>
        <w:t>学习室</w:t>
      </w:r>
      <w:r>
        <w:rPr>
          <w:rFonts w:hint="eastAsia" w:ascii="宋体" w:hAnsi="宋体" w:eastAsia="宋体" w:cs="宋体"/>
          <w:spacing w:val="6"/>
          <w:sz w:val="30"/>
          <w:szCs w:val="30"/>
          <w:lang w:eastAsia="zh-CN"/>
        </w:rPr>
        <w:t>、</w:t>
      </w:r>
      <w:r>
        <w:rPr>
          <w:rFonts w:hint="eastAsia" w:ascii="宋体" w:hAnsi="宋体" w:eastAsia="宋体" w:cs="宋体"/>
          <w:spacing w:val="6"/>
          <w:sz w:val="30"/>
          <w:szCs w:val="30"/>
        </w:rPr>
        <w:t>接待室</w:t>
      </w:r>
      <w:r>
        <w:rPr>
          <w:rFonts w:hint="eastAsia" w:ascii="宋体" w:hAnsi="宋体" w:eastAsia="宋体" w:cs="宋体"/>
          <w:spacing w:val="6"/>
          <w:sz w:val="30"/>
          <w:szCs w:val="30"/>
          <w:lang w:eastAsia="zh-CN"/>
        </w:rPr>
        <w:t>、</w:t>
      </w:r>
      <w:r>
        <w:rPr>
          <w:rFonts w:hint="eastAsia" w:ascii="宋体" w:hAnsi="宋体" w:eastAsia="宋体" w:cs="宋体"/>
          <w:spacing w:val="6"/>
          <w:sz w:val="30"/>
          <w:szCs w:val="30"/>
        </w:rPr>
        <w:t>休息室保洁</w:t>
      </w:r>
      <w:r>
        <w:rPr>
          <w:rFonts w:hint="eastAsia" w:ascii="宋体" w:hAnsi="宋体" w:eastAsia="宋体" w:cs="宋体"/>
          <w:spacing w:val="6"/>
          <w:sz w:val="30"/>
          <w:szCs w:val="30"/>
          <w:lang w:val="en-US" w:eastAsia="zh-CN"/>
        </w:rPr>
        <w:t>及</w:t>
      </w:r>
      <w:r>
        <w:rPr>
          <w:rFonts w:hint="eastAsia" w:ascii="宋体" w:hAnsi="宋体" w:eastAsia="宋体" w:cs="宋体"/>
          <w:spacing w:val="6"/>
          <w:sz w:val="30"/>
          <w:szCs w:val="30"/>
        </w:rPr>
        <w:t>会务服务。</w:t>
      </w:r>
    </w:p>
    <w:p>
      <w:pPr>
        <w:spacing w:after="0" w:line="360" w:lineRule="auto"/>
        <w:ind w:firstLine="664"/>
        <w:rPr>
          <w:rFonts w:hint="eastAsia" w:cs="宋体" w:asciiTheme="minorEastAsia" w:hAnsiTheme="minorEastAsia" w:eastAsiaTheme="minorEastAsia"/>
          <w:spacing w:val="6"/>
          <w:sz w:val="30"/>
          <w:szCs w:val="30"/>
        </w:rPr>
      </w:pPr>
      <w:r>
        <w:rPr>
          <w:rFonts w:hint="eastAsia" w:cs="宋体" w:asciiTheme="minorEastAsia" w:hAnsiTheme="minorEastAsia" w:eastAsiaTheme="minorEastAsia"/>
          <w:spacing w:val="6"/>
          <w:sz w:val="30"/>
          <w:szCs w:val="30"/>
        </w:rPr>
        <w:t>2、</w:t>
      </w:r>
      <w:r>
        <w:rPr>
          <w:rFonts w:hint="eastAsia" w:ascii="宋体" w:hAnsi="宋体" w:eastAsia="宋体" w:cs="宋体"/>
          <w:spacing w:val="6"/>
          <w:sz w:val="30"/>
          <w:szCs w:val="30"/>
        </w:rPr>
        <w:t>许昌市人大、市政协机关办公区</w:t>
      </w:r>
      <w:r>
        <w:rPr>
          <w:rFonts w:hint="eastAsia" w:ascii="宋体" w:hAnsi="宋体" w:eastAsia="宋体" w:cs="宋体"/>
          <w:spacing w:val="6"/>
          <w:sz w:val="30"/>
          <w:szCs w:val="30"/>
          <w:lang w:eastAsia="zh-CN"/>
        </w:rPr>
        <w:t>、</w:t>
      </w:r>
      <w:r>
        <w:rPr>
          <w:rFonts w:hint="eastAsia" w:ascii="宋体" w:hAnsi="宋体" w:eastAsia="宋体" w:cs="宋体"/>
          <w:spacing w:val="6"/>
          <w:sz w:val="30"/>
          <w:szCs w:val="30"/>
        </w:rPr>
        <w:t>综合楼</w:t>
      </w:r>
      <w:r>
        <w:rPr>
          <w:rFonts w:hint="eastAsia" w:ascii="宋体" w:hAnsi="宋体" w:eastAsia="宋体" w:cs="宋体"/>
          <w:spacing w:val="6"/>
          <w:sz w:val="30"/>
          <w:szCs w:val="30"/>
          <w:lang w:eastAsia="zh-CN"/>
        </w:rPr>
        <w:t>、</w:t>
      </w:r>
      <w:r>
        <w:rPr>
          <w:rFonts w:hint="eastAsia" w:ascii="宋体" w:hAnsi="宋体" w:eastAsia="宋体" w:cs="宋体"/>
          <w:spacing w:val="6"/>
          <w:sz w:val="30"/>
          <w:szCs w:val="30"/>
        </w:rPr>
        <w:t>巡视办</w:t>
      </w:r>
      <w:r>
        <w:rPr>
          <w:rFonts w:hint="eastAsia" w:ascii="宋体" w:hAnsi="宋体" w:eastAsia="宋体" w:cs="宋体"/>
          <w:spacing w:val="6"/>
          <w:sz w:val="30"/>
          <w:szCs w:val="30"/>
          <w:lang w:eastAsia="zh-CN"/>
        </w:rPr>
        <w:t>、</w:t>
      </w:r>
      <w:r>
        <w:rPr>
          <w:rFonts w:hint="eastAsia" w:ascii="宋体" w:hAnsi="宋体" w:eastAsia="宋体" w:cs="宋体"/>
          <w:spacing w:val="6"/>
          <w:sz w:val="30"/>
          <w:szCs w:val="30"/>
        </w:rPr>
        <w:t>南水北调</w:t>
      </w:r>
      <w:r>
        <w:rPr>
          <w:rFonts w:hint="eastAsia" w:ascii="宋体" w:hAnsi="宋体" w:eastAsia="宋体" w:cs="宋体"/>
          <w:spacing w:val="6"/>
          <w:sz w:val="30"/>
          <w:szCs w:val="30"/>
          <w:lang w:val="en-US" w:eastAsia="zh-CN"/>
        </w:rPr>
        <w:t>办公区</w:t>
      </w:r>
      <w:r>
        <w:rPr>
          <w:rFonts w:hint="eastAsia" w:ascii="宋体" w:hAnsi="宋体" w:eastAsia="宋体" w:cs="宋体"/>
          <w:spacing w:val="6"/>
          <w:sz w:val="30"/>
          <w:szCs w:val="30"/>
          <w:lang w:eastAsia="zh-CN"/>
        </w:rPr>
        <w:t>、</w:t>
      </w:r>
      <w:r>
        <w:rPr>
          <w:rFonts w:hint="eastAsia" w:ascii="宋体" w:hAnsi="宋体" w:eastAsia="宋体" w:cs="宋体"/>
          <w:spacing w:val="6"/>
          <w:sz w:val="30"/>
          <w:szCs w:val="30"/>
        </w:rPr>
        <w:t>地下室停车场、信访局前后、西门广场</w:t>
      </w:r>
      <w:r>
        <w:rPr>
          <w:rFonts w:hint="eastAsia" w:ascii="宋体" w:hAnsi="宋体" w:eastAsia="宋体" w:cs="宋体"/>
          <w:spacing w:val="6"/>
          <w:sz w:val="30"/>
          <w:szCs w:val="30"/>
          <w:lang w:eastAsia="zh-CN"/>
        </w:rPr>
        <w:t>、</w:t>
      </w:r>
      <w:r>
        <w:rPr>
          <w:rFonts w:hint="eastAsia" w:ascii="宋体" w:hAnsi="宋体" w:eastAsia="宋体" w:cs="宋体"/>
          <w:spacing w:val="6"/>
          <w:sz w:val="30"/>
          <w:szCs w:val="30"/>
        </w:rPr>
        <w:t>人民路办公区保洁服务</w:t>
      </w:r>
      <w:r>
        <w:rPr>
          <w:rFonts w:hint="eastAsia" w:ascii="宋体" w:hAnsi="宋体" w:eastAsia="宋体" w:cs="宋体"/>
          <w:spacing w:val="6"/>
          <w:sz w:val="30"/>
          <w:szCs w:val="30"/>
          <w:lang w:val="en-US" w:eastAsia="zh-CN"/>
        </w:rPr>
        <w:t>及</w:t>
      </w:r>
      <w:r>
        <w:rPr>
          <w:rFonts w:hint="eastAsia" w:ascii="宋体" w:hAnsi="宋体" w:eastAsia="宋体" w:cs="宋体"/>
          <w:spacing w:val="6"/>
          <w:sz w:val="30"/>
          <w:szCs w:val="30"/>
        </w:rPr>
        <w:t>会务服务。</w:t>
      </w:r>
    </w:p>
    <w:p>
      <w:pPr>
        <w:spacing w:after="0" w:line="360" w:lineRule="auto"/>
        <w:ind w:firstLine="664"/>
        <w:rPr>
          <w:rFonts w:asciiTheme="minorEastAsia" w:hAnsiTheme="minorEastAsia" w:eastAsiaTheme="minorEastAsia"/>
          <w:sz w:val="30"/>
          <w:szCs w:val="30"/>
        </w:rPr>
      </w:pPr>
      <w:r>
        <w:rPr>
          <w:rFonts w:hint="eastAsia" w:asciiTheme="minorEastAsia" w:hAnsiTheme="minorEastAsia" w:eastAsiaTheme="minorEastAsia"/>
          <w:sz w:val="30"/>
          <w:szCs w:val="30"/>
        </w:rPr>
        <w:t>3、保洁员配置人数60人。</w:t>
      </w:r>
    </w:p>
    <w:p>
      <w:pPr>
        <w:spacing w:after="0" w:line="360" w:lineRule="auto"/>
        <w:ind w:firstLine="600" w:firstLineChars="200"/>
        <w:rPr>
          <w:rFonts w:cs="楷体" w:asciiTheme="minorEastAsia" w:hAnsiTheme="minorEastAsia" w:eastAsiaTheme="minorEastAsia"/>
          <w:sz w:val="30"/>
          <w:szCs w:val="30"/>
        </w:rPr>
      </w:pPr>
      <w:r>
        <w:rPr>
          <w:rFonts w:hint="eastAsia" w:cs="楷体" w:asciiTheme="minorEastAsia" w:hAnsiTheme="minorEastAsia" w:eastAsiaTheme="minorEastAsia"/>
          <w:sz w:val="30"/>
          <w:szCs w:val="30"/>
        </w:rPr>
        <w:t>（四）预算金额：1224000元/年；最高限价：1224000元/年。</w:t>
      </w:r>
    </w:p>
    <w:p>
      <w:pPr>
        <w:spacing w:after="0" w:line="360" w:lineRule="auto"/>
        <w:ind w:firstLine="600" w:firstLineChars="200"/>
        <w:rPr>
          <w:rFonts w:cs="楷体" w:asciiTheme="minorEastAsia" w:hAnsiTheme="minorEastAsia" w:eastAsiaTheme="minorEastAsia"/>
          <w:sz w:val="30"/>
          <w:szCs w:val="30"/>
        </w:rPr>
      </w:pPr>
      <w:r>
        <w:rPr>
          <w:rFonts w:hint="eastAsia" w:cs="楷体" w:asciiTheme="minorEastAsia" w:hAnsiTheme="minorEastAsia" w:eastAsiaTheme="minorEastAsia"/>
          <w:sz w:val="30"/>
          <w:szCs w:val="30"/>
        </w:rPr>
        <w:t>（五）交付（服务、完工）时间：合同签订后2年。</w:t>
      </w:r>
    </w:p>
    <w:p>
      <w:pPr>
        <w:spacing w:after="0" w:line="360" w:lineRule="auto"/>
        <w:ind w:firstLine="600" w:firstLineChars="200"/>
        <w:rPr>
          <w:rFonts w:cs="楷体" w:asciiTheme="minorEastAsia" w:hAnsiTheme="minorEastAsia" w:eastAsiaTheme="minorEastAsia"/>
          <w:sz w:val="30"/>
          <w:szCs w:val="30"/>
        </w:rPr>
      </w:pPr>
      <w:r>
        <w:rPr>
          <w:rFonts w:hint="eastAsia" w:cs="楷体" w:asciiTheme="minorEastAsia" w:hAnsiTheme="minorEastAsia" w:eastAsiaTheme="minorEastAsia"/>
          <w:sz w:val="30"/>
          <w:szCs w:val="30"/>
        </w:rPr>
        <w:t>（六）交付（服务、施工）地点：许昌市四大机关办公区。</w:t>
      </w:r>
    </w:p>
    <w:p>
      <w:pPr>
        <w:spacing w:after="0" w:line="360" w:lineRule="auto"/>
        <w:ind w:firstLine="600" w:firstLineChars="200"/>
        <w:rPr>
          <w:rFonts w:cs="楷体" w:asciiTheme="minorEastAsia" w:hAnsiTheme="minorEastAsia" w:eastAsiaTheme="minorEastAsia"/>
          <w:sz w:val="30"/>
          <w:szCs w:val="30"/>
          <w:lang w:val="zh-CN"/>
        </w:rPr>
      </w:pPr>
      <w:r>
        <w:rPr>
          <w:rFonts w:hint="eastAsia" w:cs="楷体" w:asciiTheme="minorEastAsia" w:hAnsiTheme="minorEastAsia" w:eastAsiaTheme="minorEastAsia"/>
          <w:sz w:val="30"/>
          <w:szCs w:val="30"/>
        </w:rPr>
        <w:t>（七）</w:t>
      </w:r>
      <w:r>
        <w:rPr>
          <w:rFonts w:hint="eastAsia" w:cs="楷体" w:asciiTheme="minorEastAsia" w:hAnsiTheme="minorEastAsia" w:eastAsiaTheme="minorEastAsia"/>
          <w:sz w:val="30"/>
          <w:szCs w:val="30"/>
          <w:lang w:val="zh-CN"/>
        </w:rPr>
        <w:t>分包：不允许。</w:t>
      </w:r>
    </w:p>
    <w:p>
      <w:pPr>
        <w:spacing w:after="0" w:line="360" w:lineRule="auto"/>
        <w:ind w:firstLine="600" w:firstLineChars="200"/>
        <w:rPr>
          <w:rFonts w:cs="楷体" w:asciiTheme="minorEastAsia" w:hAnsiTheme="minorEastAsia" w:eastAsiaTheme="minorEastAsia"/>
          <w:sz w:val="30"/>
          <w:szCs w:val="30"/>
          <w:lang w:val="zh-CN"/>
        </w:rPr>
      </w:pPr>
      <w:r>
        <w:rPr>
          <w:rFonts w:hint="eastAsia" w:cs="楷体" w:asciiTheme="minorEastAsia" w:hAnsiTheme="minorEastAsia" w:eastAsiaTheme="minorEastAsia"/>
          <w:sz w:val="30"/>
          <w:szCs w:val="30"/>
          <w:lang w:val="zh-CN"/>
        </w:rPr>
        <w:t>二、需要落实的政府采购政策</w:t>
      </w:r>
    </w:p>
    <w:p>
      <w:pPr>
        <w:spacing w:after="0" w:line="360" w:lineRule="auto"/>
        <w:ind w:firstLine="600" w:firstLineChars="200"/>
        <w:rPr>
          <w:rFonts w:cs="楷体" w:asciiTheme="minorEastAsia" w:hAnsiTheme="minorEastAsia" w:eastAsiaTheme="minorEastAsia"/>
          <w:sz w:val="30"/>
          <w:szCs w:val="30"/>
          <w:lang w:val="zh-CN"/>
        </w:rPr>
      </w:pPr>
      <w:r>
        <w:rPr>
          <w:rFonts w:hint="eastAsia" w:cs="楷体" w:asciiTheme="minorEastAsia" w:hAnsiTheme="minorEastAsia" w:eastAsiaTheme="minorEastAsia"/>
          <w:sz w:val="30"/>
          <w:szCs w:val="30"/>
          <w:lang w:val="zh-CN"/>
        </w:rPr>
        <w:t>本项目落实节能环保√、中小微型企业扶持√、残疾人福利性单位扶持√等相关政府采购政策。</w:t>
      </w:r>
    </w:p>
    <w:p>
      <w:pPr>
        <w:spacing w:after="0" w:line="360" w:lineRule="auto"/>
        <w:ind w:firstLine="600" w:firstLineChars="200"/>
        <w:rPr>
          <w:rFonts w:cs="楷体" w:asciiTheme="minorEastAsia" w:hAnsiTheme="minorEastAsia" w:eastAsiaTheme="minorEastAsia"/>
          <w:sz w:val="30"/>
          <w:szCs w:val="30"/>
        </w:rPr>
      </w:pPr>
      <w:r>
        <w:rPr>
          <w:rFonts w:hint="eastAsia" w:cs="楷体" w:asciiTheme="minorEastAsia" w:hAnsiTheme="minorEastAsia" w:eastAsiaTheme="minorEastAsia"/>
          <w:sz w:val="30"/>
          <w:szCs w:val="30"/>
        </w:rPr>
        <w:t>三、投标人资格要求</w:t>
      </w:r>
    </w:p>
    <w:p>
      <w:pPr>
        <w:spacing w:after="0" w:line="360" w:lineRule="auto"/>
        <w:ind w:firstLine="600" w:firstLineChars="200"/>
        <w:rPr>
          <w:rFonts w:cs="楷体" w:asciiTheme="minorEastAsia" w:hAnsiTheme="minorEastAsia" w:eastAsiaTheme="minorEastAsia"/>
          <w:sz w:val="30"/>
          <w:szCs w:val="30"/>
        </w:rPr>
      </w:pPr>
      <w:r>
        <w:rPr>
          <w:rFonts w:hint="eastAsia" w:cs="楷体" w:asciiTheme="minorEastAsia" w:hAnsiTheme="minorEastAsia" w:eastAsiaTheme="minorEastAsia"/>
          <w:sz w:val="30"/>
          <w:szCs w:val="30"/>
        </w:rPr>
        <w:t>（一）具备《政府采购法》第二十二条规定条件并提供相关证明材料。</w:t>
      </w:r>
    </w:p>
    <w:p>
      <w:pPr>
        <w:spacing w:after="0" w:line="360" w:lineRule="auto"/>
        <w:ind w:firstLine="600" w:firstLineChars="200"/>
        <w:rPr>
          <w:rFonts w:cs="楷体" w:asciiTheme="minorEastAsia" w:hAnsiTheme="minorEastAsia" w:eastAsiaTheme="minorEastAsia"/>
          <w:sz w:val="30"/>
          <w:szCs w:val="30"/>
        </w:rPr>
      </w:pPr>
      <w:r>
        <w:rPr>
          <w:rFonts w:hint="eastAsia" w:cs="楷体" w:asciiTheme="minorEastAsia" w:hAnsiTheme="minorEastAsia" w:eastAsiaTheme="minorEastAsia"/>
          <w:sz w:val="30"/>
          <w:szCs w:val="30"/>
        </w:rPr>
        <w:t>（二）</w:t>
      </w:r>
      <w:r>
        <w:rPr>
          <w:rFonts w:hint="eastAsia" w:cs="楷体" w:asciiTheme="minorEastAsia" w:hAnsiTheme="minorEastAsia" w:eastAsiaTheme="minorEastAsia"/>
          <w:sz w:val="30"/>
          <w:szCs w:val="30"/>
          <w:lang w:val="zh-CN"/>
        </w:rPr>
        <w:t>本次招标不接受联合体投标。</w:t>
      </w:r>
    </w:p>
    <w:p>
      <w:pPr>
        <w:tabs>
          <w:tab w:val="left" w:pos="540"/>
        </w:tabs>
        <w:spacing w:after="0" w:line="360" w:lineRule="auto"/>
        <w:ind w:firstLine="588" w:firstLineChars="196"/>
        <w:rPr>
          <w:rFonts w:asciiTheme="minorEastAsia" w:hAnsiTheme="minorEastAsia" w:eastAsiaTheme="minorEastAsia"/>
          <w:bCs/>
          <w:sz w:val="30"/>
          <w:szCs w:val="30"/>
        </w:rPr>
      </w:pPr>
      <w:r>
        <w:rPr>
          <w:rFonts w:hint="eastAsia" w:asciiTheme="minorEastAsia" w:hAnsiTheme="minorEastAsia" w:eastAsiaTheme="minorEastAsia"/>
          <w:bCs/>
          <w:sz w:val="30"/>
          <w:szCs w:val="30"/>
        </w:rPr>
        <w:t>四、采购需求</w:t>
      </w:r>
    </w:p>
    <w:p>
      <w:pPr>
        <w:tabs>
          <w:tab w:val="left" w:pos="540"/>
        </w:tabs>
        <w:spacing w:after="0" w:line="360" w:lineRule="auto"/>
        <w:ind w:firstLine="588" w:firstLineChars="196"/>
        <w:rPr>
          <w:rFonts w:asciiTheme="minorEastAsia" w:hAnsiTheme="minorEastAsia" w:eastAsiaTheme="minorEastAsia"/>
          <w:bCs/>
          <w:sz w:val="30"/>
          <w:szCs w:val="30"/>
        </w:rPr>
      </w:pPr>
      <w:r>
        <w:rPr>
          <w:rFonts w:hint="eastAsia" w:asciiTheme="minorEastAsia" w:hAnsiTheme="minorEastAsia" w:eastAsiaTheme="minorEastAsia"/>
          <w:bCs/>
          <w:sz w:val="30"/>
          <w:szCs w:val="30"/>
        </w:rPr>
        <w:t>（一）服务需求</w:t>
      </w:r>
    </w:p>
    <w:p>
      <w:pPr>
        <w:spacing w:after="0" w:line="360" w:lineRule="auto"/>
        <w:ind w:firstLine="664"/>
        <w:rPr>
          <w:rFonts w:ascii="宋体" w:hAnsi="宋体" w:eastAsia="宋体" w:cs="Times New Roman"/>
        </w:rPr>
      </w:pPr>
      <w:r>
        <w:rPr>
          <w:rFonts w:hint="eastAsia" w:ascii="宋体" w:hAnsi="宋体" w:eastAsia="宋体" w:cs="宋体"/>
          <w:spacing w:val="6"/>
          <w:sz w:val="32"/>
          <w:szCs w:val="32"/>
        </w:rPr>
        <w:t>服务项目为办公区各办公楼内公共区域、指定办公房间和办公区院内卫生，会议室会务服务；服务形式为日常清洁和定期清洁等相关服务。全部工作由投标人大包完成（包工、包料、包质量、包效果、包安全）。具体质量标准如下：</w:t>
      </w:r>
    </w:p>
    <w:p>
      <w:pPr>
        <w:spacing w:after="0" w:line="360" w:lineRule="auto"/>
        <w:ind w:firstLine="664"/>
        <w:rPr>
          <w:rFonts w:ascii="宋体" w:hAnsi="宋体" w:eastAsia="宋体" w:cs="Times New Roman"/>
        </w:rPr>
      </w:pPr>
      <w:r>
        <w:rPr>
          <w:rFonts w:hint="eastAsia" w:ascii="宋体" w:hAnsi="宋体" w:eastAsia="宋体" w:cs="宋体"/>
          <w:b/>
          <w:spacing w:val="6"/>
          <w:sz w:val="32"/>
          <w:szCs w:val="32"/>
        </w:rPr>
        <w:t>1、地面</w:t>
      </w:r>
    </w:p>
    <w:p>
      <w:pPr>
        <w:spacing w:after="0" w:line="360" w:lineRule="auto"/>
        <w:ind w:firstLine="664"/>
        <w:rPr>
          <w:rFonts w:ascii="宋体" w:hAnsi="宋体" w:eastAsia="宋体" w:cs="Times New Roman"/>
        </w:rPr>
      </w:pPr>
      <w:r>
        <w:rPr>
          <w:rFonts w:hint="eastAsia" w:ascii="宋体" w:hAnsi="宋体" w:eastAsia="宋体" w:cs="宋体"/>
          <w:spacing w:val="6"/>
          <w:sz w:val="32"/>
          <w:szCs w:val="32"/>
        </w:rPr>
        <w:t>（1）办公区所有路面每天要循环清扫保洁，保证地面无烟头、杂物、纸屑、地面要定期冲洗，随时清扫、保持整洁干净。</w:t>
      </w:r>
    </w:p>
    <w:p>
      <w:pPr>
        <w:spacing w:after="0" w:line="360" w:lineRule="auto"/>
        <w:ind w:firstLine="664"/>
        <w:rPr>
          <w:rFonts w:ascii="宋体" w:hAnsi="宋体" w:eastAsia="宋体" w:cs="Times New Roman"/>
        </w:rPr>
      </w:pPr>
      <w:r>
        <w:rPr>
          <w:rFonts w:hint="eastAsia" w:ascii="宋体" w:hAnsi="宋体" w:eastAsia="宋体" w:cs="宋体"/>
          <w:spacing w:val="6"/>
          <w:sz w:val="32"/>
          <w:szCs w:val="32"/>
        </w:rPr>
        <w:t>（2）冬季下雪要及时清扫积雪，上午7：30分之前按照保洁清雪线路图，必须把人行道全部清理出宽1米的道路，台阶、走廊、通道清扫完毕，其它保洁区域积雪一天内清理完毕。</w:t>
      </w:r>
    </w:p>
    <w:p>
      <w:pPr>
        <w:spacing w:after="0" w:line="360" w:lineRule="auto"/>
        <w:ind w:firstLine="664"/>
        <w:rPr>
          <w:rFonts w:ascii="宋体" w:hAnsi="宋体" w:eastAsia="宋体" w:cs="Times New Roman"/>
        </w:rPr>
      </w:pPr>
      <w:r>
        <w:rPr>
          <w:rFonts w:hint="eastAsia" w:ascii="宋体" w:hAnsi="宋体" w:eastAsia="宋体" w:cs="宋体"/>
          <w:spacing w:val="6"/>
          <w:sz w:val="32"/>
          <w:szCs w:val="32"/>
        </w:rPr>
        <w:t>（3）各楼大厅用静电地拖每天保持整洁，无污染，无水渍（定期清洗地面或视实际状况而定），每班数次静推，地面光亮洁净。</w:t>
      </w:r>
    </w:p>
    <w:p>
      <w:pPr>
        <w:spacing w:after="0" w:line="360" w:lineRule="auto"/>
        <w:ind w:firstLine="664"/>
        <w:rPr>
          <w:rFonts w:ascii="宋体" w:hAnsi="宋体" w:eastAsia="宋体" w:cs="Times New Roman"/>
        </w:rPr>
      </w:pPr>
      <w:r>
        <w:rPr>
          <w:rFonts w:hint="eastAsia" w:ascii="宋体" w:hAnsi="宋体" w:eastAsia="宋体" w:cs="宋体"/>
          <w:spacing w:val="6"/>
          <w:sz w:val="32"/>
          <w:szCs w:val="32"/>
        </w:rPr>
        <w:t>（4）公共场所的走廊、过道、楼梯，大理石地面或瓷砖，水磨石地面、每班次必须循环拖地，定期消毒；日常保养，静电地拖要求无污物、无污渍、无水渍，地面光亮。</w:t>
      </w:r>
    </w:p>
    <w:p>
      <w:pPr>
        <w:spacing w:after="0" w:line="360" w:lineRule="auto"/>
        <w:ind w:firstLine="664"/>
        <w:rPr>
          <w:rFonts w:ascii="宋体" w:hAnsi="宋体" w:eastAsia="宋体" w:cs="Times New Roman"/>
        </w:rPr>
      </w:pPr>
      <w:r>
        <w:rPr>
          <w:rFonts w:hint="eastAsia" w:ascii="宋体" w:hAnsi="宋体" w:eastAsia="宋体" w:cs="宋体"/>
          <w:spacing w:val="6"/>
          <w:sz w:val="32"/>
          <w:szCs w:val="32"/>
        </w:rPr>
        <w:t>（5）大理石、瓷砖等硬地面，要求表面及其接缝清洁干净，地面匀称光亮，水泥地面干净，墙角线、地角线及易发现的地方无积尘、杂物、污渍等。</w:t>
      </w:r>
    </w:p>
    <w:p>
      <w:pPr>
        <w:spacing w:after="0" w:line="360" w:lineRule="auto"/>
        <w:ind w:firstLine="664"/>
        <w:rPr>
          <w:rFonts w:ascii="宋体" w:hAnsi="宋体" w:eastAsia="宋体" w:cs="Times New Roman"/>
        </w:rPr>
      </w:pPr>
      <w:r>
        <w:rPr>
          <w:rFonts w:hint="eastAsia" w:ascii="宋体" w:hAnsi="宋体" w:eastAsia="宋体" w:cs="宋体"/>
          <w:spacing w:val="6"/>
          <w:sz w:val="32"/>
          <w:szCs w:val="32"/>
        </w:rPr>
        <w:t>（6）卫生间、洗手间、茶炉房保持无污渍、无杂物、无异味、无水渍，物品摆放整齐。</w:t>
      </w:r>
    </w:p>
    <w:p>
      <w:pPr>
        <w:spacing w:after="0" w:line="360" w:lineRule="auto"/>
        <w:ind w:firstLine="664"/>
        <w:rPr>
          <w:rFonts w:ascii="宋体" w:hAnsi="宋体" w:eastAsia="宋体" w:cs="Times New Roman"/>
        </w:rPr>
      </w:pPr>
      <w:r>
        <w:rPr>
          <w:rFonts w:hint="eastAsia" w:ascii="宋体" w:hAnsi="宋体" w:eastAsia="宋体" w:cs="宋体"/>
          <w:b/>
          <w:spacing w:val="6"/>
          <w:sz w:val="32"/>
          <w:szCs w:val="32"/>
        </w:rPr>
        <w:t>2、洗手间</w:t>
      </w:r>
    </w:p>
    <w:p>
      <w:pPr>
        <w:spacing w:after="0" w:line="360" w:lineRule="auto"/>
        <w:ind w:firstLine="664"/>
        <w:rPr>
          <w:rFonts w:ascii="宋体" w:hAnsi="宋体" w:eastAsia="宋体" w:cs="Times New Roman"/>
        </w:rPr>
      </w:pPr>
      <w:r>
        <w:rPr>
          <w:rFonts w:hint="eastAsia" w:ascii="宋体" w:hAnsi="宋体" w:eastAsia="宋体" w:cs="宋体"/>
          <w:spacing w:val="6"/>
          <w:sz w:val="32"/>
          <w:szCs w:val="32"/>
        </w:rPr>
        <w:t>（1）每天早班、中班必须全面清洁洗手间、坐便器、面盆、托把池，地面应定期清洗、随时冲洗，注意循环物业保洁，保持卫生间无积尘、杂物、污渍，包括卫生间各种设施。</w:t>
      </w:r>
    </w:p>
    <w:p>
      <w:pPr>
        <w:spacing w:after="0" w:line="360" w:lineRule="auto"/>
        <w:ind w:firstLine="664"/>
        <w:rPr>
          <w:rFonts w:ascii="宋体" w:hAnsi="宋体" w:eastAsia="宋体" w:cs="Times New Roman"/>
        </w:rPr>
      </w:pPr>
      <w:r>
        <w:rPr>
          <w:rFonts w:hint="eastAsia" w:ascii="宋体" w:hAnsi="宋体" w:eastAsia="宋体" w:cs="宋体"/>
          <w:spacing w:val="6"/>
          <w:sz w:val="32"/>
          <w:szCs w:val="32"/>
        </w:rPr>
        <w:t>（2）洗手间内的垃圾桶、茶叶桶、纸桶当天清理，保持桶内无垃圾，桶外、墙面、地面无垃圾。</w:t>
      </w:r>
    </w:p>
    <w:p>
      <w:pPr>
        <w:spacing w:after="0" w:line="360" w:lineRule="auto"/>
        <w:ind w:firstLine="664"/>
        <w:rPr>
          <w:rFonts w:ascii="宋体" w:hAnsi="宋体" w:eastAsia="宋体" w:cs="Times New Roman"/>
        </w:rPr>
      </w:pPr>
      <w:r>
        <w:rPr>
          <w:rFonts w:hint="eastAsia" w:ascii="宋体" w:hAnsi="宋体" w:eastAsia="宋体" w:cs="宋体"/>
          <w:spacing w:val="6"/>
          <w:sz w:val="32"/>
          <w:szCs w:val="32"/>
        </w:rPr>
        <w:t>（3）洗手间每天喷洒空气清新剂或点檀香6次以上，小便池樟脑丸及时补充。</w:t>
      </w:r>
    </w:p>
    <w:p>
      <w:pPr>
        <w:spacing w:after="0" w:line="360" w:lineRule="auto"/>
        <w:ind w:firstLine="664"/>
        <w:rPr>
          <w:rFonts w:ascii="宋体" w:hAnsi="宋体" w:eastAsia="宋体" w:cs="Times New Roman"/>
        </w:rPr>
      </w:pPr>
      <w:r>
        <w:rPr>
          <w:rFonts w:hint="eastAsia" w:ascii="宋体" w:hAnsi="宋体" w:eastAsia="宋体" w:cs="宋体"/>
          <w:b/>
          <w:spacing w:val="6"/>
          <w:sz w:val="32"/>
          <w:szCs w:val="32"/>
        </w:rPr>
        <w:t>3、玻璃金属类</w:t>
      </w:r>
    </w:p>
    <w:p>
      <w:pPr>
        <w:spacing w:after="0" w:line="360" w:lineRule="auto"/>
        <w:ind w:firstLine="664"/>
        <w:rPr>
          <w:rFonts w:ascii="宋体" w:hAnsi="宋体" w:eastAsia="宋体" w:cs="Times New Roman"/>
        </w:rPr>
      </w:pPr>
      <w:r>
        <w:rPr>
          <w:rFonts w:hint="eastAsia" w:ascii="宋体" w:hAnsi="宋体" w:eastAsia="宋体" w:cs="宋体"/>
          <w:spacing w:val="6"/>
          <w:sz w:val="32"/>
          <w:szCs w:val="32"/>
        </w:rPr>
        <w:t>（1）定期对区域内的玻璃擦拭或用清洁器进行清理，要求无水渍、污渍、尘渍，达到玻璃光洁明亮（含镜面）。</w:t>
      </w:r>
    </w:p>
    <w:p>
      <w:pPr>
        <w:spacing w:after="0" w:line="360" w:lineRule="auto"/>
        <w:ind w:firstLine="664"/>
        <w:rPr>
          <w:rFonts w:ascii="宋体" w:hAnsi="宋体" w:eastAsia="宋体" w:cs="Times New Roman"/>
        </w:rPr>
      </w:pPr>
      <w:r>
        <w:rPr>
          <w:rFonts w:hint="eastAsia" w:ascii="宋体" w:hAnsi="宋体" w:eastAsia="宋体" w:cs="宋体"/>
          <w:spacing w:val="6"/>
          <w:sz w:val="32"/>
          <w:szCs w:val="32"/>
        </w:rPr>
        <w:t>（2）对铜、不锈钢、铁艺及其它金属制成的装饰物、栏杆、指示牌、台架、灯座等用专业清洁剂擦拭，保持光亮，要求无锈痕、无污渍、无灰尘、无手印。</w:t>
      </w:r>
    </w:p>
    <w:p>
      <w:pPr>
        <w:spacing w:after="0" w:line="360" w:lineRule="auto"/>
        <w:ind w:firstLine="664"/>
        <w:rPr>
          <w:rFonts w:ascii="宋体" w:hAnsi="宋体" w:eastAsia="宋体" w:cs="Times New Roman"/>
        </w:rPr>
      </w:pPr>
      <w:r>
        <w:rPr>
          <w:rFonts w:hint="eastAsia" w:ascii="宋体" w:hAnsi="宋体" w:eastAsia="宋体" w:cs="宋体"/>
          <w:spacing w:val="6"/>
          <w:sz w:val="32"/>
          <w:szCs w:val="32"/>
        </w:rPr>
        <w:t>（3）各类金属擦拭时，必须按纹理进行，切勿用硬物刮铲，以防人为性的损伤。</w:t>
      </w:r>
    </w:p>
    <w:p>
      <w:pPr>
        <w:spacing w:after="0" w:line="360" w:lineRule="auto"/>
        <w:ind w:firstLine="664"/>
        <w:rPr>
          <w:rFonts w:ascii="宋体" w:hAnsi="宋体" w:eastAsia="宋体" w:cs="Times New Roman"/>
        </w:rPr>
      </w:pPr>
      <w:r>
        <w:rPr>
          <w:rFonts w:hint="eastAsia" w:ascii="宋体" w:hAnsi="宋体" w:eastAsia="宋体" w:cs="宋体"/>
          <w:spacing w:val="6"/>
          <w:sz w:val="32"/>
          <w:szCs w:val="32"/>
        </w:rPr>
        <w:t>（4）玻璃门、窗、镜面光亮洁净无暇，铝合金槽，窗台无积尘、无沙粒。</w:t>
      </w:r>
    </w:p>
    <w:p>
      <w:pPr>
        <w:spacing w:after="0" w:line="360" w:lineRule="auto"/>
        <w:ind w:firstLine="664"/>
        <w:rPr>
          <w:rFonts w:ascii="宋体" w:hAnsi="宋体" w:eastAsia="宋体" w:cs="Times New Roman"/>
        </w:rPr>
      </w:pPr>
      <w:r>
        <w:rPr>
          <w:rFonts w:hint="eastAsia" w:ascii="宋体" w:hAnsi="宋体" w:eastAsia="宋体" w:cs="宋体"/>
          <w:b/>
          <w:spacing w:val="6"/>
          <w:sz w:val="32"/>
          <w:szCs w:val="32"/>
        </w:rPr>
        <w:t>4、综合类</w:t>
      </w:r>
    </w:p>
    <w:p>
      <w:pPr>
        <w:spacing w:after="0" w:line="360" w:lineRule="auto"/>
        <w:ind w:firstLine="664"/>
        <w:rPr>
          <w:rFonts w:ascii="宋体" w:hAnsi="宋体" w:eastAsia="宋体" w:cs="Times New Roman"/>
        </w:rPr>
      </w:pPr>
      <w:r>
        <w:rPr>
          <w:rFonts w:hint="eastAsia" w:ascii="宋体" w:hAnsi="宋体" w:eastAsia="宋体" w:cs="宋体"/>
          <w:spacing w:val="6"/>
          <w:sz w:val="32"/>
          <w:szCs w:val="32"/>
        </w:rPr>
        <w:t>（1）领导办公室大厅、走廊的纸篓、痰盂做到无水渍、无灰尘、无污渍，花盆内无烟头、无纸屑、无杂物。</w:t>
      </w:r>
    </w:p>
    <w:p>
      <w:pPr>
        <w:spacing w:after="0" w:line="360" w:lineRule="auto"/>
        <w:ind w:firstLine="664"/>
        <w:rPr>
          <w:rFonts w:ascii="宋体" w:hAnsi="宋体" w:eastAsia="宋体" w:cs="Times New Roman"/>
        </w:rPr>
      </w:pPr>
      <w:r>
        <w:rPr>
          <w:rFonts w:hint="eastAsia" w:ascii="宋体" w:hAnsi="宋体" w:eastAsia="宋体" w:cs="宋体"/>
          <w:spacing w:val="6"/>
          <w:sz w:val="32"/>
          <w:szCs w:val="32"/>
        </w:rPr>
        <w:t>（2）各楼大厅、走廊、会议室、卫生间、洗手间、茶炉房、地下室等公共场所天花板(含风口）无蜘蛛网，墙壁公用设施无尘积。</w:t>
      </w:r>
    </w:p>
    <w:p>
      <w:pPr>
        <w:spacing w:after="0" w:line="360" w:lineRule="auto"/>
        <w:ind w:firstLine="664"/>
        <w:rPr>
          <w:rFonts w:ascii="宋体" w:hAnsi="宋体" w:eastAsia="宋体" w:cs="Times New Roman"/>
        </w:rPr>
      </w:pPr>
      <w:r>
        <w:rPr>
          <w:rFonts w:hint="eastAsia" w:ascii="宋体" w:hAnsi="宋体" w:eastAsia="宋体" w:cs="宋体"/>
          <w:spacing w:val="6"/>
          <w:sz w:val="32"/>
          <w:szCs w:val="32"/>
        </w:rPr>
        <w:t>（3）办公区内各种悬挂指示牌、装饰物等要求干净、整洁、无灰尘、无鸟粪、无水渍。</w:t>
      </w:r>
    </w:p>
    <w:p>
      <w:pPr>
        <w:spacing w:after="0" w:line="360" w:lineRule="auto"/>
        <w:ind w:firstLine="664"/>
        <w:rPr>
          <w:rFonts w:ascii="宋体" w:hAnsi="宋体" w:eastAsia="宋体" w:cs="Times New Roman"/>
        </w:rPr>
      </w:pPr>
      <w:r>
        <w:rPr>
          <w:rFonts w:hint="eastAsia" w:ascii="宋体" w:hAnsi="宋体" w:eastAsia="宋体" w:cs="宋体"/>
          <w:spacing w:val="6"/>
          <w:sz w:val="32"/>
          <w:szCs w:val="32"/>
        </w:rPr>
        <w:t>（4）对办公区各楼内共用场所每日上午7时之前普遍消毒1次，时间从3月份至11月份不得间断。</w:t>
      </w:r>
    </w:p>
    <w:p>
      <w:pPr>
        <w:spacing w:after="0" w:line="360" w:lineRule="auto"/>
        <w:ind w:firstLine="664"/>
        <w:rPr>
          <w:rFonts w:ascii="宋体" w:hAnsi="宋体" w:eastAsia="宋体" w:cs="Times New Roman"/>
        </w:rPr>
      </w:pPr>
      <w:r>
        <w:rPr>
          <w:rFonts w:hint="eastAsia" w:ascii="宋体" w:hAnsi="宋体" w:eastAsia="宋体" w:cs="宋体"/>
          <w:spacing w:val="6"/>
          <w:sz w:val="32"/>
          <w:szCs w:val="32"/>
        </w:rPr>
        <w:t>（5）各楼共用部分、领导办公室蚊蝇，可用药物、人力消杀，保持无蚊蝇。</w:t>
      </w:r>
    </w:p>
    <w:p>
      <w:pPr>
        <w:spacing w:after="0" w:line="360" w:lineRule="auto"/>
        <w:ind w:firstLine="664"/>
        <w:rPr>
          <w:rFonts w:ascii="宋体" w:hAnsi="宋体" w:eastAsia="宋体" w:cs="Times New Roman"/>
        </w:rPr>
      </w:pPr>
      <w:r>
        <w:rPr>
          <w:rFonts w:hint="eastAsia" w:ascii="宋体" w:hAnsi="宋体" w:eastAsia="宋体" w:cs="宋体"/>
          <w:spacing w:val="6"/>
          <w:sz w:val="32"/>
          <w:szCs w:val="32"/>
        </w:rPr>
        <w:t>（6）办公区室内外死角、暗沟每月投放灭鼠药1次，一年不得间断。</w:t>
      </w:r>
    </w:p>
    <w:p>
      <w:pPr>
        <w:spacing w:after="0" w:line="360" w:lineRule="auto"/>
        <w:ind w:firstLine="664"/>
        <w:rPr>
          <w:rFonts w:ascii="宋体" w:hAnsi="宋体" w:eastAsia="宋体" w:cs="Times New Roman"/>
        </w:rPr>
      </w:pPr>
      <w:r>
        <w:rPr>
          <w:rFonts w:hint="eastAsia" w:ascii="宋体" w:hAnsi="宋体" w:eastAsia="宋体" w:cs="宋体"/>
          <w:spacing w:val="6"/>
          <w:sz w:val="32"/>
          <w:szCs w:val="32"/>
        </w:rPr>
        <w:t>（7）办公区明沟（雨水井内）、死角每周进行一次大清理，保持死角无垃圾、无杂物、无污渍。</w:t>
      </w:r>
    </w:p>
    <w:p>
      <w:pPr>
        <w:spacing w:after="0" w:line="360" w:lineRule="auto"/>
        <w:ind w:firstLine="664"/>
        <w:rPr>
          <w:rFonts w:ascii="宋体" w:hAnsi="宋体" w:eastAsia="宋体" w:cs="Times New Roman"/>
        </w:rPr>
      </w:pPr>
      <w:r>
        <w:rPr>
          <w:rFonts w:hint="eastAsia" w:ascii="宋体" w:hAnsi="宋体" w:eastAsia="宋体" w:cs="宋体"/>
          <w:spacing w:val="6"/>
          <w:sz w:val="32"/>
          <w:szCs w:val="32"/>
        </w:rPr>
        <w:t>（8）及时处理保洁范围内乱贴、乱画、乱挂、乱放杂物现象。</w:t>
      </w:r>
    </w:p>
    <w:p>
      <w:pPr>
        <w:spacing w:after="0" w:line="360" w:lineRule="auto"/>
        <w:ind w:firstLine="664"/>
        <w:rPr>
          <w:rFonts w:ascii="宋体" w:hAnsi="宋体" w:eastAsia="宋体" w:cs="Times New Roman"/>
        </w:rPr>
      </w:pPr>
      <w:r>
        <w:rPr>
          <w:rFonts w:hint="eastAsia" w:ascii="宋体" w:hAnsi="宋体" w:eastAsia="宋体" w:cs="宋体"/>
          <w:spacing w:val="6"/>
          <w:sz w:val="32"/>
          <w:szCs w:val="32"/>
        </w:rPr>
        <w:t>（9）地下室至少每周清扫一次，其余时间巡扫，保持清洁干净。</w:t>
      </w:r>
    </w:p>
    <w:p>
      <w:pPr>
        <w:spacing w:after="0" w:line="360" w:lineRule="auto"/>
        <w:ind w:firstLine="664"/>
        <w:rPr>
          <w:rFonts w:ascii="宋体" w:hAnsi="宋体" w:eastAsia="宋体" w:cs="Times New Roman"/>
        </w:rPr>
      </w:pPr>
      <w:r>
        <w:rPr>
          <w:rFonts w:hint="eastAsia" w:ascii="宋体" w:hAnsi="宋体" w:eastAsia="宋体" w:cs="宋体"/>
          <w:spacing w:val="6"/>
          <w:sz w:val="32"/>
          <w:szCs w:val="32"/>
        </w:rPr>
        <w:t>（10）保洁工具和用品不得随意摆放，须在固定的不明显位置整齐悬挂拖把，放置其它物品。</w:t>
      </w:r>
    </w:p>
    <w:p>
      <w:pPr>
        <w:spacing w:after="0" w:line="360" w:lineRule="auto"/>
        <w:ind w:firstLine="664"/>
        <w:rPr>
          <w:rFonts w:ascii="宋体" w:hAnsi="宋体" w:eastAsia="宋体" w:cs="Times New Roman"/>
        </w:rPr>
      </w:pPr>
      <w:r>
        <w:rPr>
          <w:rFonts w:hint="eastAsia" w:ascii="宋体" w:hAnsi="宋体" w:eastAsia="宋体" w:cs="宋体"/>
          <w:spacing w:val="6"/>
          <w:sz w:val="32"/>
          <w:szCs w:val="32"/>
        </w:rPr>
        <w:t>（11）会务服务周到细致。</w:t>
      </w:r>
    </w:p>
    <w:p>
      <w:pPr>
        <w:spacing w:after="0" w:line="360" w:lineRule="auto"/>
        <w:ind w:firstLine="600" w:firstLineChars="200"/>
        <w:rPr>
          <w:rFonts w:asciiTheme="minorEastAsia" w:hAnsiTheme="minorEastAsia" w:eastAsiaTheme="minorEastAsia"/>
          <w:sz w:val="30"/>
          <w:szCs w:val="30"/>
        </w:rPr>
      </w:pPr>
      <w:r>
        <w:rPr>
          <w:rFonts w:hint="eastAsia" w:asciiTheme="minorEastAsia" w:hAnsiTheme="minorEastAsia" w:eastAsiaTheme="minorEastAsia"/>
          <w:sz w:val="30"/>
          <w:szCs w:val="30"/>
        </w:rPr>
        <w:t>（二）验收标准</w:t>
      </w:r>
    </w:p>
    <w:p>
      <w:pPr>
        <w:spacing w:after="0" w:line="360" w:lineRule="auto"/>
        <w:ind w:firstLine="600" w:firstLineChars="200"/>
        <w:rPr>
          <w:rFonts w:asciiTheme="minorEastAsia" w:hAnsiTheme="minorEastAsia" w:eastAsiaTheme="minorEastAsia"/>
          <w:sz w:val="30"/>
          <w:szCs w:val="30"/>
        </w:rPr>
      </w:pPr>
      <w:r>
        <w:rPr>
          <w:rFonts w:hint="eastAsia" w:asciiTheme="minorEastAsia" w:hAnsiTheme="minorEastAsia" w:eastAsiaTheme="minorEastAsia"/>
          <w:sz w:val="30"/>
          <w:szCs w:val="30"/>
        </w:rPr>
        <w:t>由采购人成立验收小组,按照招标文件要求、投标文件响应和承诺以及采购合同的约定，每季度末对中标人履约情况进行验收。验收时,按照采购合同的约定对每一项技术、服务、安全标准的履约情况进行确认。</w:t>
      </w:r>
    </w:p>
    <w:p>
      <w:pPr>
        <w:autoSpaceDE w:val="0"/>
        <w:autoSpaceDN w:val="0"/>
        <w:spacing w:after="0" w:line="360" w:lineRule="auto"/>
        <w:ind w:firstLine="588" w:firstLineChars="196"/>
        <w:rPr>
          <w:rFonts w:asciiTheme="minorEastAsia" w:hAnsiTheme="minorEastAsia" w:eastAsiaTheme="minorEastAsia"/>
          <w:sz w:val="30"/>
          <w:szCs w:val="30"/>
        </w:rPr>
      </w:pPr>
      <w:r>
        <w:rPr>
          <w:rFonts w:hint="eastAsia" w:asciiTheme="minorEastAsia" w:hAnsiTheme="minorEastAsia" w:eastAsiaTheme="minorEastAsia"/>
          <w:sz w:val="30"/>
          <w:szCs w:val="30"/>
        </w:rPr>
        <w:t>（三）其它要求</w:t>
      </w:r>
    </w:p>
    <w:p>
      <w:pPr>
        <w:autoSpaceDE w:val="0"/>
        <w:autoSpaceDN w:val="0"/>
        <w:spacing w:after="0" w:line="360" w:lineRule="auto"/>
        <w:ind w:firstLine="600" w:firstLineChars="200"/>
        <w:rPr>
          <w:rFonts w:cs="宋体" w:asciiTheme="minorEastAsia" w:hAnsiTheme="minorEastAsia" w:eastAsiaTheme="minorEastAsia"/>
          <w:sz w:val="30"/>
          <w:szCs w:val="30"/>
          <w:lang w:val="zh-CN"/>
        </w:rPr>
      </w:pPr>
      <w:r>
        <w:rPr>
          <w:rFonts w:hint="eastAsia" w:cs="宋体" w:asciiTheme="minorEastAsia" w:hAnsiTheme="minorEastAsia" w:eastAsiaTheme="minorEastAsia"/>
          <w:sz w:val="30"/>
          <w:szCs w:val="30"/>
        </w:rPr>
        <w:t>1</w:t>
      </w:r>
      <w:r>
        <w:rPr>
          <w:rFonts w:hint="eastAsia" w:cs="宋体" w:asciiTheme="minorEastAsia" w:hAnsiTheme="minorEastAsia" w:eastAsiaTheme="minorEastAsia"/>
          <w:sz w:val="30"/>
          <w:szCs w:val="30"/>
          <w:lang w:val="zh-CN"/>
        </w:rPr>
        <w:t>、投标人投标文件中须有详细的实施方案，</w:t>
      </w:r>
      <w:r>
        <w:rPr>
          <w:rFonts w:hint="eastAsia" w:asciiTheme="minorEastAsia" w:hAnsiTheme="minorEastAsia" w:eastAsiaTheme="minorEastAsia"/>
          <w:sz w:val="30"/>
          <w:szCs w:val="30"/>
        </w:rPr>
        <w:t>否则为无效投标。</w:t>
      </w:r>
    </w:p>
    <w:p>
      <w:pPr>
        <w:spacing w:after="0" w:line="360" w:lineRule="auto"/>
        <w:ind w:firstLine="600" w:firstLineChars="200"/>
        <w:rPr>
          <w:rFonts w:cs="宋体" w:asciiTheme="minorEastAsia" w:hAnsiTheme="minorEastAsia" w:eastAsiaTheme="minorEastAsia"/>
          <w:sz w:val="30"/>
          <w:szCs w:val="30"/>
          <w:lang w:val="zh-CN"/>
        </w:rPr>
      </w:pPr>
      <w:r>
        <w:rPr>
          <w:rFonts w:hint="eastAsia" w:cs="宋体" w:asciiTheme="minorEastAsia" w:hAnsiTheme="minorEastAsia" w:eastAsiaTheme="minorEastAsia"/>
          <w:sz w:val="30"/>
          <w:szCs w:val="30"/>
        </w:rPr>
        <w:t>2、</w:t>
      </w:r>
      <w:r>
        <w:rPr>
          <w:rFonts w:hint="eastAsia" w:cs="宋体" w:asciiTheme="minorEastAsia" w:hAnsiTheme="minorEastAsia" w:eastAsiaTheme="minorEastAsia"/>
          <w:sz w:val="30"/>
          <w:szCs w:val="30"/>
          <w:lang w:val="zh-CN"/>
        </w:rPr>
        <w:t>所派管理服务人员必须恪守职责，遵守采购人的各项规章制度，服从采购单位的管理。采购单位有权对管理服务人员进行具体的工作安排，并对工作进行监督检查，对不称职的管理服务人员采购单位有权要求调换。</w:t>
      </w:r>
    </w:p>
    <w:p>
      <w:pPr>
        <w:pStyle w:val="10"/>
        <w:tabs>
          <w:tab w:val="left" w:pos="993"/>
        </w:tabs>
        <w:snapToGrid w:val="0"/>
        <w:spacing w:line="360" w:lineRule="auto"/>
        <w:ind w:firstLine="600"/>
        <w:jc w:val="left"/>
        <w:rPr>
          <w:rFonts w:cs="宋体" w:asciiTheme="minorEastAsia" w:hAnsiTheme="minorEastAsia" w:eastAsiaTheme="minorEastAsia"/>
          <w:sz w:val="30"/>
          <w:szCs w:val="30"/>
        </w:rPr>
      </w:pPr>
      <w:r>
        <w:rPr>
          <w:rFonts w:hint="eastAsia" w:cs="宋体" w:asciiTheme="minorEastAsia" w:hAnsiTheme="minorEastAsia" w:eastAsiaTheme="minorEastAsia"/>
          <w:sz w:val="30"/>
          <w:szCs w:val="30"/>
        </w:rPr>
        <w:t>3、</w:t>
      </w:r>
      <w:r>
        <w:rPr>
          <w:rFonts w:hint="eastAsia" w:cs="宋体" w:asciiTheme="minorEastAsia" w:hAnsiTheme="minorEastAsia" w:eastAsiaTheme="minorEastAsia"/>
          <w:sz w:val="30"/>
          <w:szCs w:val="30"/>
          <w:lang w:val="zh-CN"/>
        </w:rPr>
        <w:t>投标人须定期对管理服务人员进行岗位再培训。</w:t>
      </w:r>
    </w:p>
    <w:p>
      <w:pPr>
        <w:pStyle w:val="10"/>
        <w:tabs>
          <w:tab w:val="left" w:pos="993"/>
        </w:tabs>
        <w:snapToGrid w:val="0"/>
        <w:spacing w:line="360" w:lineRule="auto"/>
        <w:ind w:firstLine="600"/>
        <w:jc w:val="left"/>
        <w:rPr>
          <w:rFonts w:cs="宋体" w:asciiTheme="minorEastAsia" w:hAnsiTheme="minorEastAsia" w:eastAsiaTheme="minorEastAsia"/>
          <w:sz w:val="30"/>
          <w:szCs w:val="30"/>
          <w:lang w:val="zh-CN"/>
        </w:rPr>
      </w:pPr>
      <w:r>
        <w:rPr>
          <w:rFonts w:hint="eastAsia" w:cs="宋体" w:asciiTheme="minorEastAsia" w:hAnsiTheme="minorEastAsia" w:eastAsiaTheme="minorEastAsia"/>
          <w:sz w:val="30"/>
          <w:szCs w:val="30"/>
        </w:rPr>
        <w:t>4、</w:t>
      </w:r>
      <w:r>
        <w:rPr>
          <w:rFonts w:hint="eastAsia" w:cs="宋体" w:asciiTheme="minorEastAsia" w:hAnsiTheme="minorEastAsia" w:eastAsiaTheme="minorEastAsia"/>
          <w:sz w:val="30"/>
          <w:szCs w:val="30"/>
          <w:lang w:val="zh-CN"/>
        </w:rPr>
        <w:t>工作期间管理服务人员对于突发事件必须能够在第一时间进行现场处置，并在第一时间向采购方汇报。</w:t>
      </w:r>
    </w:p>
    <w:p>
      <w:pPr>
        <w:pStyle w:val="10"/>
        <w:tabs>
          <w:tab w:val="left" w:pos="993"/>
        </w:tabs>
        <w:snapToGrid w:val="0"/>
        <w:spacing w:line="360" w:lineRule="auto"/>
        <w:ind w:firstLine="600"/>
        <w:jc w:val="left"/>
        <w:rPr>
          <w:rFonts w:cs="宋体" w:asciiTheme="minorEastAsia" w:hAnsiTheme="minorEastAsia" w:eastAsiaTheme="minorEastAsia"/>
          <w:sz w:val="30"/>
          <w:szCs w:val="30"/>
        </w:rPr>
      </w:pPr>
      <w:r>
        <w:rPr>
          <w:rFonts w:hint="eastAsia" w:cs="宋体" w:asciiTheme="minorEastAsia" w:hAnsiTheme="minorEastAsia" w:eastAsiaTheme="minorEastAsia"/>
          <w:sz w:val="30"/>
          <w:szCs w:val="30"/>
        </w:rPr>
        <w:t>5、物业管理所需办公用房由采购方无偿提供，相关所需办公经费由中标方承担。</w:t>
      </w:r>
    </w:p>
    <w:p>
      <w:pPr>
        <w:spacing w:after="0" w:line="360" w:lineRule="auto"/>
        <w:ind w:firstLine="600" w:firstLineChars="200"/>
        <w:rPr>
          <w:rFonts w:asciiTheme="minorEastAsia" w:hAnsiTheme="minorEastAsia" w:eastAsiaTheme="minorEastAsia"/>
          <w:sz w:val="30"/>
          <w:szCs w:val="30"/>
        </w:rPr>
      </w:pPr>
      <w:r>
        <w:rPr>
          <w:rFonts w:hint="eastAsia" w:asciiTheme="minorEastAsia" w:hAnsiTheme="minorEastAsia" w:eastAsiaTheme="minorEastAsia"/>
          <w:sz w:val="30"/>
          <w:szCs w:val="30"/>
        </w:rPr>
        <w:t>五、评标方法和评标标准</w:t>
      </w:r>
    </w:p>
    <w:p>
      <w:pPr>
        <w:spacing w:after="0" w:line="360" w:lineRule="auto"/>
        <w:ind w:firstLine="600" w:firstLineChars="200"/>
        <w:rPr>
          <w:rFonts w:asciiTheme="minorEastAsia" w:hAnsiTheme="minorEastAsia" w:eastAsiaTheme="minorEastAsia"/>
          <w:sz w:val="30"/>
          <w:szCs w:val="30"/>
        </w:rPr>
      </w:pPr>
      <w:r>
        <w:rPr>
          <w:rFonts w:hint="eastAsia" w:asciiTheme="minorEastAsia" w:hAnsiTheme="minorEastAsia" w:eastAsiaTheme="minorEastAsia"/>
          <w:sz w:val="30"/>
          <w:szCs w:val="30"/>
        </w:rPr>
        <w:t>（一）评标方法：综合评分法</w:t>
      </w:r>
      <w:r>
        <w:rPr>
          <w:rFonts w:hint="eastAsia" w:asciiTheme="minorEastAsia" w:hAnsiTheme="minorEastAsia" w:eastAsiaTheme="minorEastAsia"/>
          <w:sz w:val="30"/>
          <w:szCs w:val="30"/>
          <w:lang w:val="zh-CN"/>
        </w:rPr>
        <w:t>√</w:t>
      </w:r>
    </w:p>
    <w:p>
      <w:pPr>
        <w:spacing w:after="0" w:line="360" w:lineRule="auto"/>
        <w:ind w:firstLine="600" w:firstLineChars="200"/>
        <w:rPr>
          <w:rFonts w:asciiTheme="minorEastAsia" w:hAnsiTheme="minorEastAsia" w:eastAsiaTheme="minorEastAsia"/>
          <w:sz w:val="30"/>
          <w:szCs w:val="30"/>
        </w:rPr>
      </w:pPr>
      <w:r>
        <w:rPr>
          <w:rFonts w:hint="eastAsia" w:asciiTheme="minorEastAsia" w:hAnsiTheme="minorEastAsia" w:eastAsiaTheme="minorEastAsia"/>
          <w:sz w:val="30"/>
          <w:szCs w:val="30"/>
        </w:rPr>
        <w:t>（二）综合评分法评标标准：</w:t>
      </w:r>
    </w:p>
    <w:tbl>
      <w:tblPr>
        <w:tblStyle w:val="7"/>
        <w:tblW w:w="8716" w:type="dxa"/>
        <w:tblInd w:w="0"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Layout w:type="fixed"/>
        <w:tblCellMar>
          <w:top w:w="0" w:type="dxa"/>
          <w:left w:w="0" w:type="dxa"/>
          <w:bottom w:w="0" w:type="dxa"/>
          <w:right w:w="0" w:type="dxa"/>
        </w:tblCellMar>
      </w:tblPr>
      <w:tblGrid>
        <w:gridCol w:w="1417"/>
        <w:gridCol w:w="13"/>
        <w:gridCol w:w="12"/>
        <w:gridCol w:w="5896"/>
        <w:gridCol w:w="1378"/>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Layout w:type="fixed"/>
          <w:tblCellMar>
            <w:top w:w="0" w:type="dxa"/>
            <w:left w:w="0" w:type="dxa"/>
            <w:bottom w:w="0" w:type="dxa"/>
            <w:right w:w="0" w:type="dxa"/>
          </w:tblCellMar>
        </w:tblPrEx>
        <w:trPr>
          <w:trHeight w:val="1107" w:hRule="atLeast"/>
        </w:trPr>
        <w:tc>
          <w:tcPr>
            <w:tcW w:w="1417"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adjustRightInd/>
              <w:snapToGrid/>
              <w:spacing w:after="0" w:line="330" w:lineRule="atLeast"/>
              <w:jc w:val="center"/>
              <w:rPr>
                <w:rFonts w:cs="宋体" w:asciiTheme="minorEastAsia" w:hAnsiTheme="minorEastAsia" w:eastAsiaTheme="minorEastAsia"/>
                <w:color w:val="000000"/>
                <w:sz w:val="24"/>
                <w:szCs w:val="24"/>
              </w:rPr>
            </w:pPr>
            <w:r>
              <w:rPr>
                <w:rFonts w:hint="eastAsia" w:cs="仿宋" w:asciiTheme="minorEastAsia" w:hAnsiTheme="minorEastAsia" w:eastAsiaTheme="minorEastAsia"/>
                <w:color w:val="000000"/>
                <w:sz w:val="24"/>
                <w:szCs w:val="24"/>
              </w:rPr>
              <w:t>分值构成</w:t>
            </w:r>
          </w:p>
          <w:p>
            <w:pPr>
              <w:adjustRightInd/>
              <w:snapToGrid/>
              <w:spacing w:after="0" w:line="330" w:lineRule="atLeast"/>
              <w:jc w:val="center"/>
              <w:rPr>
                <w:rFonts w:cs="宋体" w:asciiTheme="minorEastAsia" w:hAnsiTheme="minorEastAsia" w:eastAsiaTheme="minorEastAsia"/>
                <w:color w:val="000000"/>
                <w:sz w:val="24"/>
                <w:szCs w:val="24"/>
              </w:rPr>
            </w:pPr>
            <w:r>
              <w:rPr>
                <w:rFonts w:hint="eastAsia" w:cs="仿宋" w:asciiTheme="minorEastAsia" w:hAnsiTheme="minorEastAsia" w:eastAsiaTheme="minorEastAsia"/>
                <w:color w:val="000000"/>
                <w:sz w:val="24"/>
                <w:szCs w:val="24"/>
              </w:rPr>
              <w:t>(总分100分)</w:t>
            </w:r>
          </w:p>
        </w:tc>
        <w:tc>
          <w:tcPr>
            <w:tcW w:w="7299" w:type="dxa"/>
            <w:gridSpan w:val="4"/>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adjustRightInd/>
              <w:snapToGrid/>
              <w:spacing w:after="0" w:line="360" w:lineRule="atLeast"/>
              <w:jc w:val="center"/>
              <w:rPr>
                <w:rFonts w:cs="宋体" w:asciiTheme="minorEastAsia" w:hAnsiTheme="minorEastAsia" w:eastAsiaTheme="minorEastAsia"/>
                <w:color w:val="000000"/>
                <w:sz w:val="24"/>
                <w:szCs w:val="24"/>
              </w:rPr>
            </w:pPr>
            <w:r>
              <w:rPr>
                <w:rFonts w:hint="eastAsia" w:cs="仿宋" w:asciiTheme="minorEastAsia" w:hAnsiTheme="minorEastAsia" w:eastAsiaTheme="minorEastAsia"/>
                <w:color w:val="000000"/>
                <w:sz w:val="24"/>
                <w:szCs w:val="24"/>
              </w:rPr>
              <w:t>价格分值：</w:t>
            </w:r>
            <w:r>
              <w:rPr>
                <w:rFonts w:hint="eastAsia" w:cs="宋体" w:asciiTheme="minorEastAsia" w:hAnsiTheme="minorEastAsia" w:eastAsiaTheme="minorEastAsia"/>
                <w:color w:val="000000"/>
                <w:sz w:val="24"/>
                <w:szCs w:val="24"/>
              </w:rPr>
              <w:t>10</w:t>
            </w:r>
            <w:r>
              <w:rPr>
                <w:rFonts w:hint="eastAsia" w:cs="仿宋" w:asciiTheme="minorEastAsia" w:hAnsiTheme="minorEastAsia" w:eastAsiaTheme="minorEastAsia"/>
                <w:color w:val="000000"/>
                <w:sz w:val="24"/>
                <w:szCs w:val="24"/>
              </w:rPr>
              <w:t>分</w:t>
            </w:r>
          </w:p>
          <w:p>
            <w:pPr>
              <w:adjustRightInd/>
              <w:snapToGrid/>
              <w:spacing w:after="0" w:line="360" w:lineRule="atLeast"/>
              <w:jc w:val="center"/>
              <w:rPr>
                <w:rFonts w:cs="宋体" w:asciiTheme="minorEastAsia" w:hAnsiTheme="minorEastAsia" w:eastAsiaTheme="minorEastAsia"/>
                <w:color w:val="000000"/>
                <w:sz w:val="24"/>
                <w:szCs w:val="24"/>
              </w:rPr>
            </w:pPr>
            <w:r>
              <w:rPr>
                <w:rFonts w:hint="eastAsia" w:cs="仿宋" w:asciiTheme="minorEastAsia" w:hAnsiTheme="minorEastAsia" w:eastAsiaTheme="minorEastAsia"/>
                <w:color w:val="000000"/>
                <w:sz w:val="24"/>
                <w:szCs w:val="24"/>
              </w:rPr>
              <w:t>商务部分：</w:t>
            </w:r>
            <w:r>
              <w:rPr>
                <w:rFonts w:hint="eastAsia" w:cs="宋体" w:asciiTheme="minorEastAsia" w:hAnsiTheme="minorEastAsia" w:eastAsiaTheme="minorEastAsia"/>
                <w:color w:val="000000"/>
                <w:sz w:val="24"/>
                <w:szCs w:val="24"/>
              </w:rPr>
              <w:t>6</w:t>
            </w:r>
            <w:r>
              <w:rPr>
                <w:rFonts w:hint="eastAsia" w:cs="宋体" w:asciiTheme="minorEastAsia" w:hAnsiTheme="minorEastAsia" w:eastAsiaTheme="minorEastAsia"/>
                <w:color w:val="000000"/>
                <w:sz w:val="24"/>
                <w:szCs w:val="24"/>
                <w:lang w:val="en-US" w:eastAsia="zh-CN"/>
              </w:rPr>
              <w:t>6</w:t>
            </w:r>
            <w:r>
              <w:rPr>
                <w:rFonts w:hint="eastAsia" w:cs="仿宋" w:asciiTheme="minorEastAsia" w:hAnsiTheme="minorEastAsia" w:eastAsiaTheme="minorEastAsia"/>
                <w:color w:val="000000"/>
                <w:sz w:val="24"/>
                <w:szCs w:val="24"/>
              </w:rPr>
              <w:t>分</w:t>
            </w:r>
          </w:p>
          <w:p>
            <w:pPr>
              <w:adjustRightInd/>
              <w:snapToGrid/>
              <w:spacing w:after="0" w:line="360" w:lineRule="atLeast"/>
              <w:jc w:val="center"/>
              <w:rPr>
                <w:rFonts w:cs="宋体" w:asciiTheme="minorEastAsia" w:hAnsiTheme="minorEastAsia" w:eastAsiaTheme="minorEastAsia"/>
                <w:color w:val="000000"/>
                <w:sz w:val="24"/>
                <w:szCs w:val="24"/>
              </w:rPr>
            </w:pPr>
            <w:r>
              <w:rPr>
                <w:rFonts w:hint="eastAsia" w:cs="仿宋" w:asciiTheme="minorEastAsia" w:hAnsiTheme="minorEastAsia" w:eastAsiaTheme="minorEastAsia"/>
                <w:color w:val="000000"/>
                <w:sz w:val="24"/>
                <w:szCs w:val="24"/>
              </w:rPr>
              <w:t>技术部分：</w:t>
            </w:r>
            <w:r>
              <w:rPr>
                <w:rFonts w:hint="eastAsia" w:cs="宋体" w:asciiTheme="minorEastAsia" w:hAnsiTheme="minorEastAsia" w:eastAsiaTheme="minorEastAsia"/>
                <w:color w:val="000000"/>
                <w:sz w:val="24"/>
                <w:szCs w:val="24"/>
                <w:lang w:val="en-US" w:eastAsia="zh-CN"/>
              </w:rPr>
              <w:t>24</w:t>
            </w:r>
            <w:r>
              <w:rPr>
                <w:rFonts w:hint="eastAsia" w:cs="仿宋" w:asciiTheme="minorEastAsia" w:hAnsiTheme="minorEastAsia" w:eastAsiaTheme="minorEastAsia"/>
                <w:color w:val="000000"/>
                <w:sz w:val="24"/>
                <w:szCs w:val="24"/>
              </w:rPr>
              <w:t>分</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91" w:hRule="atLeast"/>
        </w:trPr>
        <w:tc>
          <w:tcPr>
            <w:tcW w:w="8716" w:type="dxa"/>
            <w:gridSpan w:val="5"/>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adjustRightInd/>
              <w:snapToGrid/>
              <w:spacing w:after="0" w:line="330" w:lineRule="atLeast"/>
              <w:jc w:val="center"/>
              <w:rPr>
                <w:rFonts w:cs="宋体" w:asciiTheme="minorEastAsia" w:hAnsiTheme="minorEastAsia" w:eastAsiaTheme="minorEastAsia"/>
                <w:color w:val="000000"/>
                <w:sz w:val="24"/>
                <w:szCs w:val="24"/>
              </w:rPr>
            </w:pPr>
            <w:r>
              <w:rPr>
                <w:rFonts w:hint="eastAsia" w:cs="仿宋" w:asciiTheme="minorEastAsia" w:hAnsiTheme="minorEastAsia" w:eastAsiaTheme="minorEastAsia"/>
                <w:color w:val="000000"/>
                <w:sz w:val="24"/>
                <w:szCs w:val="24"/>
              </w:rPr>
              <w:t>一、价格部分（满分</w:t>
            </w:r>
            <w:r>
              <w:rPr>
                <w:rFonts w:hint="eastAsia" w:cs="宋体" w:asciiTheme="minorEastAsia" w:hAnsiTheme="minorEastAsia" w:eastAsiaTheme="minorEastAsia"/>
                <w:color w:val="000000"/>
                <w:sz w:val="24"/>
                <w:szCs w:val="24"/>
              </w:rPr>
              <w:t>10</w:t>
            </w:r>
            <w:r>
              <w:rPr>
                <w:rFonts w:hint="eastAsia" w:cs="仿宋" w:asciiTheme="minorEastAsia" w:hAnsiTheme="minorEastAsia" w:eastAsiaTheme="minorEastAsia"/>
                <w:color w:val="000000"/>
                <w:sz w:val="24"/>
                <w:szCs w:val="24"/>
              </w:rPr>
              <w:t>分）</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91" w:hRule="atLeast"/>
        </w:trPr>
        <w:tc>
          <w:tcPr>
            <w:tcW w:w="1430" w:type="dxa"/>
            <w:gridSpan w:val="2"/>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adjustRightInd/>
              <w:snapToGrid/>
              <w:spacing w:after="0" w:line="330" w:lineRule="atLeast"/>
              <w:jc w:val="center"/>
              <w:rPr>
                <w:rFonts w:cs="宋体" w:asciiTheme="minorEastAsia" w:hAnsiTheme="minorEastAsia" w:eastAsiaTheme="minorEastAsia"/>
                <w:color w:val="000000"/>
                <w:sz w:val="24"/>
                <w:szCs w:val="24"/>
              </w:rPr>
            </w:pPr>
            <w:r>
              <w:rPr>
                <w:rFonts w:hint="eastAsia" w:cs="仿宋" w:asciiTheme="minorEastAsia" w:hAnsiTheme="minorEastAsia" w:eastAsiaTheme="minorEastAsia"/>
                <w:color w:val="000000"/>
                <w:sz w:val="24"/>
                <w:szCs w:val="24"/>
              </w:rPr>
              <w:t>评分因素</w:t>
            </w:r>
          </w:p>
        </w:tc>
        <w:tc>
          <w:tcPr>
            <w:tcW w:w="5908" w:type="dxa"/>
            <w:gridSpan w:val="2"/>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adjustRightInd/>
              <w:snapToGrid/>
              <w:spacing w:after="0" w:line="330" w:lineRule="atLeast"/>
              <w:jc w:val="center"/>
              <w:rPr>
                <w:rFonts w:cs="宋体" w:asciiTheme="minorEastAsia" w:hAnsiTheme="minorEastAsia" w:eastAsiaTheme="minorEastAsia"/>
                <w:color w:val="000000"/>
                <w:sz w:val="24"/>
                <w:szCs w:val="24"/>
              </w:rPr>
            </w:pPr>
            <w:r>
              <w:rPr>
                <w:rFonts w:hint="eastAsia" w:cs="仿宋" w:asciiTheme="minorEastAsia" w:hAnsiTheme="minorEastAsia" w:eastAsiaTheme="minorEastAsia"/>
                <w:color w:val="000000"/>
                <w:sz w:val="24"/>
                <w:szCs w:val="24"/>
              </w:rPr>
              <w:t>评分标准</w:t>
            </w:r>
          </w:p>
        </w:tc>
        <w:tc>
          <w:tcPr>
            <w:tcW w:w="137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adjustRightInd/>
              <w:snapToGrid/>
              <w:spacing w:after="0" w:line="330" w:lineRule="atLeast"/>
              <w:jc w:val="center"/>
              <w:rPr>
                <w:rFonts w:cs="宋体" w:asciiTheme="minorEastAsia" w:hAnsiTheme="minorEastAsia" w:eastAsiaTheme="minorEastAsia"/>
                <w:color w:val="000000"/>
                <w:sz w:val="24"/>
                <w:szCs w:val="24"/>
              </w:rPr>
            </w:pPr>
            <w:r>
              <w:rPr>
                <w:rFonts w:hint="eastAsia" w:cs="仿宋" w:asciiTheme="minorEastAsia" w:hAnsiTheme="minorEastAsia" w:eastAsiaTheme="minorEastAsia"/>
                <w:color w:val="000000"/>
                <w:sz w:val="24"/>
                <w:szCs w:val="24"/>
              </w:rPr>
              <w:t>分值</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90" w:hRule="atLeast"/>
        </w:trPr>
        <w:tc>
          <w:tcPr>
            <w:tcW w:w="1430" w:type="dxa"/>
            <w:gridSpan w:val="2"/>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adjustRightInd/>
              <w:snapToGrid/>
              <w:spacing w:after="0" w:line="330" w:lineRule="atLeast"/>
              <w:jc w:val="center"/>
              <w:rPr>
                <w:rFonts w:cs="宋体" w:asciiTheme="minorEastAsia" w:hAnsiTheme="minorEastAsia" w:eastAsiaTheme="minorEastAsia"/>
                <w:color w:val="000000"/>
                <w:sz w:val="24"/>
                <w:szCs w:val="24"/>
              </w:rPr>
            </w:pPr>
            <w:r>
              <w:rPr>
                <w:rFonts w:hint="eastAsia" w:cs="仿宋" w:asciiTheme="minorEastAsia" w:hAnsiTheme="minorEastAsia" w:eastAsiaTheme="minorEastAsia"/>
                <w:color w:val="000000"/>
                <w:sz w:val="24"/>
                <w:szCs w:val="24"/>
              </w:rPr>
              <w:t>投标报价</w:t>
            </w:r>
          </w:p>
          <w:p>
            <w:pPr>
              <w:adjustRightInd/>
              <w:snapToGrid/>
              <w:spacing w:after="0" w:line="90" w:lineRule="atLeast"/>
              <w:jc w:val="center"/>
              <w:rPr>
                <w:rFonts w:cs="宋体" w:asciiTheme="minorEastAsia" w:hAnsiTheme="minorEastAsia" w:eastAsiaTheme="minorEastAsia"/>
                <w:color w:val="000000"/>
                <w:sz w:val="24"/>
                <w:szCs w:val="24"/>
              </w:rPr>
            </w:pPr>
            <w:r>
              <w:rPr>
                <w:rFonts w:hint="eastAsia" w:cs="仿宋" w:asciiTheme="minorEastAsia" w:hAnsiTheme="minorEastAsia" w:eastAsiaTheme="minorEastAsia"/>
                <w:color w:val="000000"/>
                <w:sz w:val="24"/>
                <w:szCs w:val="24"/>
              </w:rPr>
              <w:t>评分标准</w:t>
            </w:r>
          </w:p>
        </w:tc>
        <w:tc>
          <w:tcPr>
            <w:tcW w:w="5908" w:type="dxa"/>
            <w:gridSpan w:val="2"/>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adjustRightInd/>
              <w:snapToGrid/>
              <w:spacing w:after="0" w:line="330" w:lineRule="atLeast"/>
              <w:rPr>
                <w:rFonts w:cs="宋体" w:asciiTheme="minorEastAsia" w:hAnsiTheme="minorEastAsia" w:eastAsiaTheme="minorEastAsia"/>
                <w:color w:val="000000"/>
                <w:sz w:val="24"/>
                <w:szCs w:val="24"/>
              </w:rPr>
            </w:pPr>
            <w:r>
              <w:rPr>
                <w:rFonts w:hint="eastAsia" w:cs="仿宋" w:asciiTheme="minorEastAsia" w:hAnsiTheme="minorEastAsia" w:eastAsiaTheme="minorEastAsia"/>
                <w:color w:val="000000"/>
                <w:sz w:val="24"/>
                <w:szCs w:val="24"/>
              </w:rPr>
              <w:t>评标基准价：满足招标文件要求的有效投标报价中，最低的投标报价为评标基准价。</w:t>
            </w:r>
          </w:p>
          <w:p>
            <w:pPr>
              <w:adjustRightInd/>
              <w:snapToGrid/>
              <w:spacing w:after="0" w:line="90" w:lineRule="atLeast"/>
              <w:rPr>
                <w:rFonts w:cs="宋体" w:asciiTheme="minorEastAsia" w:hAnsiTheme="minorEastAsia" w:eastAsiaTheme="minorEastAsia"/>
                <w:color w:val="000000"/>
                <w:sz w:val="24"/>
                <w:szCs w:val="24"/>
              </w:rPr>
            </w:pPr>
            <w:r>
              <w:rPr>
                <w:rFonts w:hint="eastAsia" w:cs="仿宋" w:asciiTheme="minorEastAsia" w:hAnsiTheme="minorEastAsia" w:eastAsiaTheme="minorEastAsia"/>
                <w:color w:val="000000"/>
                <w:sz w:val="24"/>
                <w:szCs w:val="24"/>
              </w:rPr>
              <w:t>投标报价得分=（评标基准价/投标报价）×</w:t>
            </w:r>
            <w:r>
              <w:rPr>
                <w:rFonts w:hint="eastAsia" w:cs="宋体" w:asciiTheme="minorEastAsia" w:hAnsiTheme="minorEastAsia" w:eastAsiaTheme="minorEastAsia"/>
                <w:color w:val="000000"/>
                <w:sz w:val="24"/>
                <w:szCs w:val="24"/>
              </w:rPr>
              <w:t>10</w:t>
            </w:r>
          </w:p>
        </w:tc>
        <w:tc>
          <w:tcPr>
            <w:tcW w:w="137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adjustRightInd/>
              <w:snapToGrid/>
              <w:spacing w:after="0" w:line="90" w:lineRule="atLeast"/>
              <w:jc w:val="center"/>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10</w:t>
            </w:r>
            <w:r>
              <w:rPr>
                <w:rFonts w:hint="eastAsia" w:cs="仿宋" w:asciiTheme="minorEastAsia" w:hAnsiTheme="minorEastAsia" w:eastAsiaTheme="minorEastAsia"/>
                <w:color w:val="000000"/>
                <w:sz w:val="24"/>
                <w:szCs w:val="24"/>
              </w:rPr>
              <w:t>分</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91" w:hRule="atLeast"/>
        </w:trPr>
        <w:tc>
          <w:tcPr>
            <w:tcW w:w="8716" w:type="dxa"/>
            <w:gridSpan w:val="5"/>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adjustRightInd/>
              <w:snapToGrid/>
              <w:spacing w:after="0" w:line="330" w:lineRule="atLeast"/>
              <w:jc w:val="center"/>
              <w:rPr>
                <w:rFonts w:cs="宋体" w:asciiTheme="minorEastAsia" w:hAnsiTheme="minorEastAsia" w:eastAsiaTheme="minorEastAsia"/>
                <w:color w:val="000000"/>
                <w:sz w:val="24"/>
                <w:szCs w:val="24"/>
              </w:rPr>
            </w:pPr>
            <w:r>
              <w:rPr>
                <w:rFonts w:hint="eastAsia" w:cs="仿宋" w:asciiTheme="minorEastAsia" w:hAnsiTheme="minorEastAsia" w:eastAsiaTheme="minorEastAsia"/>
                <w:color w:val="000000"/>
                <w:sz w:val="24"/>
                <w:szCs w:val="24"/>
              </w:rPr>
              <w:t>二、商务部分（满分</w:t>
            </w:r>
            <w:r>
              <w:rPr>
                <w:rFonts w:hint="eastAsia" w:cs="宋体" w:asciiTheme="minorEastAsia" w:hAnsiTheme="minorEastAsia" w:eastAsiaTheme="minorEastAsia"/>
                <w:color w:val="000000"/>
                <w:sz w:val="24"/>
                <w:szCs w:val="24"/>
              </w:rPr>
              <w:t>66</w:t>
            </w:r>
            <w:r>
              <w:rPr>
                <w:rFonts w:hint="eastAsia" w:cs="仿宋" w:asciiTheme="minorEastAsia" w:hAnsiTheme="minorEastAsia" w:eastAsiaTheme="minorEastAsia"/>
                <w:color w:val="000000"/>
                <w:sz w:val="24"/>
                <w:szCs w:val="24"/>
              </w:rPr>
              <w:t>分）</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91" w:hRule="atLeast"/>
        </w:trPr>
        <w:tc>
          <w:tcPr>
            <w:tcW w:w="1430" w:type="dxa"/>
            <w:gridSpan w:val="2"/>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adjustRightInd/>
              <w:snapToGrid/>
              <w:spacing w:after="0" w:line="330" w:lineRule="atLeast"/>
              <w:jc w:val="center"/>
              <w:rPr>
                <w:rFonts w:cs="宋体" w:asciiTheme="minorEastAsia" w:hAnsiTheme="minorEastAsia" w:eastAsiaTheme="minorEastAsia"/>
                <w:color w:val="000000"/>
                <w:sz w:val="24"/>
                <w:szCs w:val="24"/>
              </w:rPr>
            </w:pPr>
            <w:r>
              <w:rPr>
                <w:rFonts w:hint="eastAsia" w:cs="仿宋" w:asciiTheme="minorEastAsia" w:hAnsiTheme="minorEastAsia" w:eastAsiaTheme="minorEastAsia"/>
                <w:color w:val="000000"/>
                <w:sz w:val="24"/>
                <w:szCs w:val="24"/>
              </w:rPr>
              <w:t>评分因素</w:t>
            </w:r>
          </w:p>
        </w:tc>
        <w:tc>
          <w:tcPr>
            <w:tcW w:w="5908" w:type="dxa"/>
            <w:gridSpan w:val="2"/>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adjustRightInd/>
              <w:snapToGrid/>
              <w:spacing w:after="0" w:line="330" w:lineRule="atLeast"/>
              <w:jc w:val="center"/>
              <w:rPr>
                <w:rFonts w:cs="宋体" w:asciiTheme="minorEastAsia" w:hAnsiTheme="minorEastAsia" w:eastAsiaTheme="minorEastAsia"/>
                <w:color w:val="000000"/>
                <w:sz w:val="24"/>
                <w:szCs w:val="24"/>
              </w:rPr>
            </w:pPr>
            <w:r>
              <w:rPr>
                <w:rFonts w:hint="eastAsia" w:cs="仿宋" w:asciiTheme="minorEastAsia" w:hAnsiTheme="minorEastAsia" w:eastAsiaTheme="minorEastAsia"/>
                <w:color w:val="000000"/>
                <w:sz w:val="24"/>
                <w:szCs w:val="24"/>
              </w:rPr>
              <w:t>评分标准</w:t>
            </w:r>
          </w:p>
        </w:tc>
        <w:tc>
          <w:tcPr>
            <w:tcW w:w="137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adjustRightInd/>
              <w:snapToGrid/>
              <w:spacing w:after="0" w:line="330" w:lineRule="atLeast"/>
              <w:jc w:val="center"/>
              <w:rPr>
                <w:rFonts w:cs="宋体" w:asciiTheme="minorEastAsia" w:hAnsiTheme="minorEastAsia" w:eastAsiaTheme="minorEastAsia"/>
                <w:color w:val="000000"/>
                <w:sz w:val="24"/>
                <w:szCs w:val="24"/>
              </w:rPr>
            </w:pPr>
            <w:r>
              <w:rPr>
                <w:rFonts w:hint="eastAsia" w:cs="仿宋" w:asciiTheme="minorEastAsia" w:hAnsiTheme="minorEastAsia" w:eastAsiaTheme="minorEastAsia"/>
                <w:color w:val="000000"/>
                <w:sz w:val="24"/>
                <w:szCs w:val="24"/>
              </w:rPr>
              <w:t>分值</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Layout w:type="fixed"/>
          <w:tblCellMar>
            <w:top w:w="0" w:type="dxa"/>
            <w:left w:w="0" w:type="dxa"/>
            <w:bottom w:w="0" w:type="dxa"/>
            <w:right w:w="0" w:type="dxa"/>
          </w:tblCellMar>
        </w:tblPrEx>
        <w:trPr>
          <w:trHeight w:val="1349" w:hRule="atLeast"/>
        </w:trPr>
        <w:tc>
          <w:tcPr>
            <w:tcW w:w="1430" w:type="dxa"/>
            <w:gridSpan w:val="2"/>
            <w:vMerge w:val="restart"/>
            <w:tcBorders>
              <w:top w:val="nil"/>
              <w:left w:val="single" w:color="auto" w:sz="8" w:space="0"/>
              <w:right w:val="single" w:color="auto" w:sz="8" w:space="0"/>
            </w:tcBorders>
            <w:shd w:val="clear" w:color="auto" w:fill="auto"/>
            <w:tcMar>
              <w:top w:w="0" w:type="dxa"/>
              <w:left w:w="108" w:type="dxa"/>
              <w:bottom w:w="0" w:type="dxa"/>
              <w:right w:w="108" w:type="dxa"/>
            </w:tcMar>
            <w:vAlign w:val="center"/>
          </w:tcPr>
          <w:p>
            <w:pPr>
              <w:adjustRightInd/>
              <w:snapToGrid/>
              <w:spacing w:after="0" w:line="360" w:lineRule="atLeast"/>
              <w:jc w:val="center"/>
              <w:rPr>
                <w:rFonts w:cs="仿宋" w:asciiTheme="minorEastAsia" w:hAnsiTheme="minorEastAsia" w:eastAsiaTheme="minorEastAsia"/>
                <w:color w:val="000000"/>
                <w:sz w:val="24"/>
                <w:szCs w:val="24"/>
              </w:rPr>
            </w:pPr>
            <w:r>
              <w:rPr>
                <w:rFonts w:hint="eastAsia" w:cs="仿宋" w:asciiTheme="minorEastAsia" w:hAnsiTheme="minorEastAsia" w:eastAsiaTheme="minorEastAsia"/>
                <w:color w:val="000000"/>
                <w:sz w:val="24"/>
                <w:szCs w:val="24"/>
              </w:rPr>
              <w:t>信誉</w:t>
            </w:r>
          </w:p>
        </w:tc>
        <w:tc>
          <w:tcPr>
            <w:tcW w:w="5908" w:type="dxa"/>
            <w:gridSpan w:val="2"/>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adjustRightInd/>
              <w:snapToGrid/>
              <w:spacing w:after="0" w:line="330" w:lineRule="atLeast"/>
              <w:ind w:firstLine="480" w:firstLineChars="200"/>
              <w:rPr>
                <w:rFonts w:cs="宋体" w:asciiTheme="minorEastAsia" w:hAnsiTheme="minorEastAsia" w:eastAsiaTheme="minorEastAsia"/>
                <w:color w:val="000000"/>
                <w:sz w:val="24"/>
                <w:szCs w:val="24"/>
              </w:rPr>
            </w:pPr>
            <w:r>
              <w:rPr>
                <w:rFonts w:hint="eastAsia" w:asciiTheme="minorEastAsia" w:hAnsiTheme="minorEastAsia" w:eastAsiaTheme="minorEastAsia" w:cstheme="minorEastAsia"/>
                <w:sz w:val="24"/>
                <w:szCs w:val="24"/>
              </w:rPr>
              <w:t>投标人2014年以来，所管理的项目获得过市级及以上优秀（示范）物业服务大厦或者物业服务公共物业优秀（示范）项目荣誉的，市级荣誉每个2分，省级以上荣誉每个4分。满分6分（以市级及以上住建局（厅、部）颁发的的文件或证书为准，同一项目获得多个荣誉的按最高荣誉计分）。</w:t>
            </w:r>
          </w:p>
        </w:tc>
        <w:tc>
          <w:tcPr>
            <w:tcW w:w="137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adjustRightInd/>
              <w:snapToGrid/>
              <w:spacing w:after="0" w:line="330" w:lineRule="atLeast"/>
              <w:jc w:val="center"/>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6分</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1349" w:hRule="atLeast"/>
        </w:trPr>
        <w:tc>
          <w:tcPr>
            <w:tcW w:w="1430" w:type="dxa"/>
            <w:gridSpan w:val="2"/>
            <w:vMerge w:val="continue"/>
            <w:tcBorders>
              <w:left w:val="single" w:color="auto" w:sz="8" w:space="0"/>
              <w:right w:val="single" w:color="auto" w:sz="8" w:space="0"/>
            </w:tcBorders>
            <w:shd w:val="clear" w:color="auto" w:fill="auto"/>
            <w:tcMar>
              <w:top w:w="0" w:type="dxa"/>
              <w:left w:w="108" w:type="dxa"/>
              <w:bottom w:w="0" w:type="dxa"/>
              <w:right w:w="108" w:type="dxa"/>
            </w:tcMar>
            <w:vAlign w:val="center"/>
          </w:tcPr>
          <w:p>
            <w:pPr>
              <w:adjustRightInd/>
              <w:snapToGrid/>
              <w:spacing w:after="0" w:line="360" w:lineRule="atLeast"/>
              <w:jc w:val="center"/>
              <w:rPr>
                <w:rFonts w:cs="仿宋" w:asciiTheme="minorEastAsia" w:hAnsiTheme="minorEastAsia" w:eastAsiaTheme="minorEastAsia"/>
                <w:color w:val="000000"/>
                <w:sz w:val="24"/>
                <w:szCs w:val="24"/>
              </w:rPr>
            </w:pPr>
          </w:p>
        </w:tc>
        <w:tc>
          <w:tcPr>
            <w:tcW w:w="5908" w:type="dxa"/>
            <w:gridSpan w:val="2"/>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adjustRightInd/>
              <w:snapToGrid/>
              <w:spacing w:after="0"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cstheme="minorEastAsia"/>
                <w:sz w:val="24"/>
                <w:szCs w:val="24"/>
              </w:rPr>
              <w:t>被市级及以上工商行政管理机关授予“守合同重信用企业”称号的，得6分。</w:t>
            </w:r>
          </w:p>
        </w:tc>
        <w:tc>
          <w:tcPr>
            <w:tcW w:w="137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adjustRightInd/>
              <w:snapToGrid/>
              <w:spacing w:after="0" w:line="360" w:lineRule="auto"/>
              <w:jc w:val="center"/>
              <w:rPr>
                <w:rFonts w:cs="宋体" w:asciiTheme="minorEastAsia" w:hAnsiTheme="minorEastAsia" w:eastAsiaTheme="minorEastAsia"/>
                <w:color w:val="000000"/>
                <w:sz w:val="24"/>
                <w:szCs w:val="24"/>
              </w:rPr>
            </w:pPr>
            <w:r>
              <w:rPr>
                <w:rFonts w:hint="eastAsia" w:asciiTheme="minorEastAsia" w:hAnsiTheme="minorEastAsia" w:eastAsiaTheme="minorEastAsia" w:cstheme="minorEastAsia"/>
                <w:color w:val="000000"/>
                <w:sz w:val="24"/>
                <w:szCs w:val="24"/>
              </w:rPr>
              <w:t>6分</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Layout w:type="fixed"/>
          <w:tblCellMar>
            <w:top w:w="0" w:type="dxa"/>
            <w:left w:w="0" w:type="dxa"/>
            <w:bottom w:w="0" w:type="dxa"/>
            <w:right w:w="0" w:type="dxa"/>
          </w:tblCellMar>
        </w:tblPrEx>
        <w:trPr>
          <w:trHeight w:val="745" w:hRule="atLeast"/>
        </w:trPr>
        <w:tc>
          <w:tcPr>
            <w:tcW w:w="1430" w:type="dxa"/>
            <w:gridSpan w:val="2"/>
            <w:vMerge w:val="restart"/>
            <w:tcBorders>
              <w:top w:val="nil"/>
              <w:left w:val="single" w:color="auto" w:sz="8" w:space="0"/>
              <w:right w:val="single" w:color="auto" w:sz="8" w:space="0"/>
            </w:tcBorders>
            <w:shd w:val="clear" w:color="auto" w:fill="auto"/>
            <w:tcMar>
              <w:top w:w="0" w:type="dxa"/>
              <w:left w:w="108" w:type="dxa"/>
              <w:bottom w:w="0" w:type="dxa"/>
              <w:right w:w="108" w:type="dxa"/>
            </w:tcMar>
            <w:vAlign w:val="center"/>
          </w:tcPr>
          <w:p>
            <w:pPr>
              <w:adjustRightInd/>
              <w:snapToGrid/>
              <w:spacing w:after="0" w:line="360" w:lineRule="atLeast"/>
              <w:jc w:val="center"/>
              <w:rPr>
                <w:rFonts w:cs="仿宋" w:asciiTheme="minorEastAsia" w:hAnsiTheme="minorEastAsia" w:eastAsiaTheme="minorEastAsia"/>
                <w:color w:val="000000"/>
                <w:sz w:val="24"/>
                <w:szCs w:val="24"/>
              </w:rPr>
            </w:pPr>
            <w:r>
              <w:rPr>
                <w:rFonts w:hint="eastAsia" w:cs="仿宋" w:asciiTheme="minorEastAsia" w:hAnsiTheme="minorEastAsia" w:eastAsiaTheme="minorEastAsia"/>
                <w:color w:val="000000"/>
                <w:sz w:val="24"/>
                <w:szCs w:val="24"/>
              </w:rPr>
              <w:t>企业实力</w:t>
            </w:r>
          </w:p>
        </w:tc>
        <w:tc>
          <w:tcPr>
            <w:tcW w:w="5908" w:type="dxa"/>
            <w:gridSpan w:val="2"/>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adjustRightInd/>
              <w:snapToGrid/>
              <w:spacing w:after="0" w:line="360" w:lineRule="atLeast"/>
              <w:ind w:firstLine="480" w:firstLineChars="200"/>
              <w:rPr>
                <w:rFonts w:cs="宋体" w:asciiTheme="minorEastAsia" w:hAnsiTheme="minorEastAsia" w:eastAsiaTheme="minorEastAsia"/>
                <w:color w:val="000000"/>
                <w:sz w:val="24"/>
                <w:szCs w:val="24"/>
              </w:rPr>
            </w:pPr>
            <w:r>
              <w:rPr>
                <w:rFonts w:hint="eastAsia" w:asciiTheme="minorEastAsia" w:hAnsiTheme="minorEastAsia" w:eastAsiaTheme="minorEastAsia"/>
                <w:sz w:val="24"/>
              </w:rPr>
              <w:t>投标人通过ISO9001质量管理体系认证、ISO14001环境管理体系认证、OHSAS18001职业健康安全管理体系认证的，每通过一项体系认证得5分。满分15分（以相应的认证证书为准）。</w:t>
            </w:r>
          </w:p>
        </w:tc>
        <w:tc>
          <w:tcPr>
            <w:tcW w:w="137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adjustRightInd/>
              <w:snapToGrid/>
              <w:spacing w:after="0" w:line="330" w:lineRule="atLeast"/>
              <w:jc w:val="center"/>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15分</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745" w:hRule="atLeast"/>
        </w:trPr>
        <w:tc>
          <w:tcPr>
            <w:tcW w:w="1430" w:type="dxa"/>
            <w:gridSpan w:val="2"/>
            <w:vMerge w:val="continue"/>
            <w:tcBorders>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adjustRightInd/>
              <w:snapToGrid/>
              <w:spacing w:after="0" w:line="360" w:lineRule="atLeast"/>
              <w:jc w:val="center"/>
              <w:rPr>
                <w:rFonts w:cs="仿宋" w:asciiTheme="minorEastAsia" w:hAnsiTheme="minorEastAsia" w:eastAsiaTheme="minorEastAsia"/>
                <w:color w:val="000000"/>
                <w:sz w:val="24"/>
                <w:szCs w:val="24"/>
              </w:rPr>
            </w:pPr>
          </w:p>
        </w:tc>
        <w:tc>
          <w:tcPr>
            <w:tcW w:w="5908" w:type="dxa"/>
            <w:gridSpan w:val="2"/>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adjustRightInd/>
              <w:snapToGrid/>
              <w:spacing w:after="0" w:line="360" w:lineRule="atLeast"/>
              <w:ind w:firstLine="480" w:firstLineChars="200"/>
              <w:rPr>
                <w:rFonts w:asciiTheme="minorEastAsia" w:hAnsiTheme="minorEastAsia" w:eastAsiaTheme="minorEastAsia"/>
                <w:sz w:val="24"/>
              </w:rPr>
            </w:pPr>
            <w:r>
              <w:rPr>
                <w:rFonts w:hint="eastAsia" w:asciiTheme="minorEastAsia" w:hAnsiTheme="minorEastAsia" w:eastAsiaTheme="minorEastAsia"/>
                <w:sz w:val="24"/>
              </w:rPr>
              <w:t>投标人取得</w:t>
            </w:r>
            <w:r>
              <w:rPr>
                <w:rFonts w:hint="eastAsia" w:asciiTheme="minorEastAsia" w:hAnsiTheme="minorEastAsia" w:eastAsiaTheme="minorEastAsia"/>
                <w:sz w:val="24"/>
                <w:lang w:val="en-US" w:eastAsia="zh-CN"/>
              </w:rPr>
              <w:t>认证</w:t>
            </w:r>
            <w:r>
              <w:rPr>
                <w:rFonts w:hint="eastAsia" w:asciiTheme="minorEastAsia" w:hAnsiTheme="minorEastAsia" w:eastAsiaTheme="minorEastAsia"/>
                <w:sz w:val="24"/>
              </w:rPr>
              <w:t>机构AAA级企业信用等级认证，得3分（以认证机构颁发的企业信用等级证书为准）。</w:t>
            </w:r>
          </w:p>
        </w:tc>
        <w:tc>
          <w:tcPr>
            <w:tcW w:w="137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adjustRightInd/>
              <w:snapToGrid/>
              <w:spacing w:after="0" w:line="330" w:lineRule="atLeast"/>
              <w:jc w:val="center"/>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3分</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Layout w:type="fixed"/>
          <w:tblCellMar>
            <w:top w:w="0" w:type="dxa"/>
            <w:left w:w="0" w:type="dxa"/>
            <w:bottom w:w="0" w:type="dxa"/>
            <w:right w:w="0" w:type="dxa"/>
          </w:tblCellMar>
        </w:tblPrEx>
        <w:trPr>
          <w:trHeight w:val="745" w:hRule="atLeast"/>
        </w:trPr>
        <w:tc>
          <w:tcPr>
            <w:tcW w:w="1430" w:type="dxa"/>
            <w:gridSpan w:val="2"/>
            <w:tcBorders>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adjustRightInd/>
              <w:snapToGrid/>
              <w:spacing w:after="0" w:line="360" w:lineRule="atLeast"/>
              <w:jc w:val="center"/>
              <w:rPr>
                <w:rFonts w:cs="仿宋" w:asciiTheme="minorEastAsia" w:hAnsiTheme="minorEastAsia" w:eastAsiaTheme="minorEastAsia"/>
                <w:color w:val="000000"/>
                <w:sz w:val="24"/>
                <w:szCs w:val="24"/>
              </w:rPr>
            </w:pPr>
            <w:r>
              <w:rPr>
                <w:rFonts w:hint="eastAsia" w:cs="仿宋" w:asciiTheme="minorEastAsia" w:hAnsiTheme="minorEastAsia" w:eastAsiaTheme="minorEastAsia"/>
                <w:color w:val="000000"/>
                <w:sz w:val="24"/>
                <w:szCs w:val="24"/>
              </w:rPr>
              <w:t>项目负责人</w:t>
            </w:r>
          </w:p>
        </w:tc>
        <w:tc>
          <w:tcPr>
            <w:tcW w:w="5908" w:type="dxa"/>
            <w:gridSpan w:val="2"/>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spacing w:after="0"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拟派驻项目负责人具有全日制物业管理类专业大专及以上文凭（提供投标截止日前六个月为其交纳社会保险的证明，并以当地社会养老保险中心出具的《企业职工基本养老保险个人账户查询单》为准）的，得6分，非全日制物业管理类专业大专及以上文凭（提供投标截止日前六个月为其交纳社会保险的证明，并以当地社会养老保险中心出具的《企业职工基本养老保险个人账户查询单》为准）的，得2分。</w:t>
            </w:r>
          </w:p>
        </w:tc>
        <w:tc>
          <w:tcPr>
            <w:tcW w:w="137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adjustRightInd/>
              <w:snapToGrid/>
              <w:spacing w:after="0" w:line="330" w:lineRule="atLeast"/>
              <w:jc w:val="center"/>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6分</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Layout w:type="fixed"/>
          <w:tblCellMar>
            <w:top w:w="0" w:type="dxa"/>
            <w:left w:w="0" w:type="dxa"/>
            <w:bottom w:w="0" w:type="dxa"/>
            <w:right w:w="0" w:type="dxa"/>
          </w:tblCellMar>
        </w:tblPrEx>
        <w:trPr>
          <w:trHeight w:val="591" w:hRule="atLeast"/>
        </w:trPr>
        <w:tc>
          <w:tcPr>
            <w:tcW w:w="1430" w:type="dxa"/>
            <w:gridSpan w:val="2"/>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adjustRightInd/>
              <w:snapToGrid/>
              <w:spacing w:after="0" w:line="400" w:lineRule="atLeast"/>
              <w:jc w:val="center"/>
              <w:rPr>
                <w:rFonts w:cs="仿宋" w:asciiTheme="minorEastAsia" w:hAnsiTheme="minorEastAsia" w:eastAsiaTheme="minorEastAsia"/>
                <w:color w:val="000000"/>
                <w:sz w:val="24"/>
                <w:szCs w:val="24"/>
              </w:rPr>
            </w:pPr>
            <w:r>
              <w:rPr>
                <w:rFonts w:hint="eastAsia" w:cs="仿宋" w:asciiTheme="minorEastAsia" w:hAnsiTheme="minorEastAsia" w:eastAsiaTheme="minorEastAsia"/>
                <w:color w:val="000000"/>
                <w:sz w:val="24"/>
                <w:szCs w:val="24"/>
              </w:rPr>
              <w:t>业绩</w:t>
            </w:r>
          </w:p>
        </w:tc>
        <w:tc>
          <w:tcPr>
            <w:tcW w:w="5908" w:type="dxa"/>
            <w:gridSpan w:val="2"/>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adjustRightInd/>
              <w:snapToGrid/>
              <w:spacing w:after="0" w:line="360" w:lineRule="atLeast"/>
              <w:ind w:firstLine="480" w:firstLineChars="200"/>
              <w:rPr>
                <w:rFonts w:cs="宋体" w:asciiTheme="minorEastAsia" w:hAnsiTheme="minorEastAsia" w:eastAsiaTheme="minorEastAsia"/>
                <w:color w:val="000000"/>
                <w:sz w:val="24"/>
                <w:szCs w:val="24"/>
              </w:rPr>
            </w:pPr>
            <w:r>
              <w:rPr>
                <w:rFonts w:hint="eastAsia" w:asciiTheme="minorEastAsia" w:hAnsiTheme="minorEastAsia" w:eastAsiaTheme="minorEastAsia"/>
                <w:sz w:val="24"/>
              </w:rPr>
              <w:t>2014年以来，具有类似物业管理项目且建筑面积在2万（不含）平方米以上的，每个6分。满分3</w:t>
            </w:r>
            <w:r>
              <w:rPr>
                <w:rFonts w:hint="eastAsia" w:asciiTheme="minorEastAsia" w:hAnsiTheme="minorEastAsia" w:eastAsiaTheme="minorEastAsia"/>
                <w:sz w:val="24"/>
                <w:lang w:val="en-US" w:eastAsia="zh-CN"/>
              </w:rPr>
              <w:t>0</w:t>
            </w:r>
            <w:r>
              <w:rPr>
                <w:rFonts w:hint="eastAsia" w:asciiTheme="minorEastAsia" w:hAnsiTheme="minorEastAsia" w:eastAsiaTheme="minorEastAsia"/>
                <w:sz w:val="24"/>
              </w:rPr>
              <w:t>分（以合同为准）。</w:t>
            </w:r>
          </w:p>
        </w:tc>
        <w:tc>
          <w:tcPr>
            <w:tcW w:w="137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adjustRightInd/>
              <w:snapToGrid/>
              <w:spacing w:after="0" w:line="330" w:lineRule="atLeast"/>
              <w:jc w:val="center"/>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3</w:t>
            </w:r>
            <w:r>
              <w:rPr>
                <w:rFonts w:hint="eastAsia" w:cs="宋体" w:asciiTheme="minorEastAsia" w:hAnsiTheme="minorEastAsia" w:eastAsiaTheme="minorEastAsia"/>
                <w:color w:val="000000"/>
                <w:sz w:val="24"/>
                <w:szCs w:val="24"/>
                <w:lang w:val="en-US" w:eastAsia="zh-CN"/>
              </w:rPr>
              <w:t>0</w:t>
            </w:r>
            <w:r>
              <w:rPr>
                <w:rFonts w:hint="eastAsia" w:cs="仿宋" w:asciiTheme="minorEastAsia" w:hAnsiTheme="minorEastAsia" w:eastAsiaTheme="minorEastAsia"/>
                <w:color w:val="000000"/>
                <w:sz w:val="24"/>
                <w:szCs w:val="24"/>
              </w:rPr>
              <w:t>分</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Layout w:type="fixed"/>
          <w:tblCellMar>
            <w:top w:w="0" w:type="dxa"/>
            <w:left w:w="0" w:type="dxa"/>
            <w:bottom w:w="0" w:type="dxa"/>
            <w:right w:w="0" w:type="dxa"/>
          </w:tblCellMar>
        </w:tblPrEx>
        <w:trPr>
          <w:trHeight w:val="623" w:hRule="atLeast"/>
        </w:trPr>
        <w:tc>
          <w:tcPr>
            <w:tcW w:w="8716" w:type="dxa"/>
            <w:gridSpan w:val="5"/>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adjustRightInd/>
              <w:snapToGrid/>
              <w:spacing w:after="0" w:line="330" w:lineRule="atLeast"/>
              <w:jc w:val="center"/>
              <w:rPr>
                <w:rFonts w:cs="宋体" w:asciiTheme="minorEastAsia" w:hAnsiTheme="minorEastAsia" w:eastAsiaTheme="minorEastAsia"/>
                <w:color w:val="000000"/>
                <w:sz w:val="24"/>
                <w:szCs w:val="24"/>
              </w:rPr>
            </w:pPr>
            <w:r>
              <w:rPr>
                <w:rFonts w:hint="eastAsia" w:cs="仿宋" w:asciiTheme="minorEastAsia" w:hAnsiTheme="minorEastAsia" w:eastAsiaTheme="minorEastAsia"/>
                <w:color w:val="000000"/>
                <w:sz w:val="24"/>
                <w:szCs w:val="24"/>
              </w:rPr>
              <w:t>三、技术部分（满分</w:t>
            </w:r>
            <w:r>
              <w:rPr>
                <w:rFonts w:hint="eastAsia" w:cs="宋体" w:asciiTheme="minorEastAsia" w:hAnsiTheme="minorEastAsia" w:eastAsiaTheme="minorEastAsia"/>
                <w:color w:val="000000"/>
                <w:sz w:val="24"/>
                <w:szCs w:val="24"/>
              </w:rPr>
              <w:t>24</w:t>
            </w:r>
            <w:r>
              <w:rPr>
                <w:rFonts w:hint="eastAsia" w:cs="仿宋" w:asciiTheme="minorEastAsia" w:hAnsiTheme="minorEastAsia" w:eastAsiaTheme="minorEastAsia"/>
                <w:color w:val="000000"/>
                <w:sz w:val="24"/>
                <w:szCs w:val="24"/>
              </w:rPr>
              <w:t>分）</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Layout w:type="fixed"/>
          <w:tblCellMar>
            <w:top w:w="0" w:type="dxa"/>
            <w:left w:w="0" w:type="dxa"/>
            <w:bottom w:w="0" w:type="dxa"/>
            <w:right w:w="0" w:type="dxa"/>
          </w:tblCellMar>
        </w:tblPrEx>
        <w:trPr>
          <w:trHeight w:val="591" w:hRule="atLeast"/>
        </w:trPr>
        <w:tc>
          <w:tcPr>
            <w:tcW w:w="1442" w:type="dxa"/>
            <w:gridSpan w:val="3"/>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adjustRightInd/>
              <w:snapToGrid/>
              <w:spacing w:after="0" w:line="330" w:lineRule="atLeast"/>
              <w:jc w:val="center"/>
              <w:rPr>
                <w:rFonts w:cs="宋体" w:asciiTheme="minorEastAsia" w:hAnsiTheme="minorEastAsia" w:eastAsiaTheme="minorEastAsia"/>
                <w:color w:val="000000"/>
                <w:sz w:val="24"/>
                <w:szCs w:val="24"/>
              </w:rPr>
            </w:pPr>
            <w:r>
              <w:rPr>
                <w:rFonts w:hint="eastAsia" w:cs="仿宋" w:asciiTheme="minorEastAsia" w:hAnsiTheme="minorEastAsia" w:eastAsiaTheme="minorEastAsia"/>
                <w:color w:val="000000"/>
                <w:sz w:val="24"/>
                <w:szCs w:val="24"/>
              </w:rPr>
              <w:t>评分因素</w:t>
            </w:r>
          </w:p>
        </w:tc>
        <w:tc>
          <w:tcPr>
            <w:tcW w:w="589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adjustRightInd/>
              <w:snapToGrid/>
              <w:spacing w:after="0" w:line="330" w:lineRule="atLeast"/>
              <w:jc w:val="center"/>
              <w:rPr>
                <w:rFonts w:cs="宋体" w:asciiTheme="minorEastAsia" w:hAnsiTheme="minorEastAsia" w:eastAsiaTheme="minorEastAsia"/>
                <w:color w:val="000000"/>
                <w:sz w:val="24"/>
                <w:szCs w:val="24"/>
              </w:rPr>
            </w:pPr>
            <w:r>
              <w:rPr>
                <w:rFonts w:hint="eastAsia" w:cs="仿宋" w:asciiTheme="minorEastAsia" w:hAnsiTheme="minorEastAsia" w:eastAsiaTheme="minorEastAsia"/>
                <w:color w:val="000000"/>
                <w:sz w:val="24"/>
                <w:szCs w:val="24"/>
              </w:rPr>
              <w:t>评分标准</w:t>
            </w:r>
          </w:p>
        </w:tc>
        <w:tc>
          <w:tcPr>
            <w:tcW w:w="137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adjustRightInd/>
              <w:snapToGrid/>
              <w:spacing w:after="0" w:line="330" w:lineRule="atLeast"/>
              <w:jc w:val="center"/>
              <w:rPr>
                <w:rFonts w:cs="宋体" w:asciiTheme="minorEastAsia" w:hAnsiTheme="minorEastAsia" w:eastAsiaTheme="minorEastAsia"/>
                <w:color w:val="000000"/>
                <w:sz w:val="24"/>
                <w:szCs w:val="24"/>
              </w:rPr>
            </w:pPr>
            <w:r>
              <w:rPr>
                <w:rFonts w:hint="eastAsia" w:cs="仿宋" w:asciiTheme="minorEastAsia" w:hAnsiTheme="minorEastAsia" w:eastAsiaTheme="minorEastAsia"/>
                <w:color w:val="000000"/>
                <w:sz w:val="24"/>
                <w:szCs w:val="24"/>
              </w:rPr>
              <w:t>分值</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Layout w:type="fixed"/>
          <w:tblCellMar>
            <w:top w:w="0" w:type="dxa"/>
            <w:left w:w="0" w:type="dxa"/>
            <w:bottom w:w="0" w:type="dxa"/>
            <w:right w:w="0" w:type="dxa"/>
          </w:tblCellMar>
        </w:tblPrEx>
        <w:trPr>
          <w:trHeight w:val="487" w:hRule="atLeast"/>
        </w:trPr>
        <w:tc>
          <w:tcPr>
            <w:tcW w:w="1442" w:type="dxa"/>
            <w:gridSpan w:val="3"/>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adjustRightInd/>
              <w:snapToGrid/>
              <w:spacing w:after="0" w:line="330" w:lineRule="atLeast"/>
              <w:jc w:val="center"/>
              <w:rPr>
                <w:rFonts w:cs="宋体" w:asciiTheme="minorEastAsia" w:hAnsiTheme="minorEastAsia" w:eastAsiaTheme="minorEastAsia"/>
                <w:color w:val="000000"/>
                <w:sz w:val="24"/>
                <w:szCs w:val="24"/>
              </w:rPr>
            </w:pPr>
            <w:r>
              <w:rPr>
                <w:rFonts w:hint="eastAsia" w:cs="仿宋" w:asciiTheme="minorEastAsia" w:hAnsiTheme="minorEastAsia" w:eastAsiaTheme="minorEastAsia"/>
                <w:color w:val="000000"/>
                <w:sz w:val="24"/>
                <w:szCs w:val="24"/>
              </w:rPr>
              <w:t>投标文件规范程度</w:t>
            </w:r>
          </w:p>
        </w:tc>
        <w:tc>
          <w:tcPr>
            <w:tcW w:w="589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spacing w:after="0" w:line="360"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1、装订规范、文字清晰、无差错得</w:t>
            </w: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rPr>
              <w:t>分。</w:t>
            </w:r>
          </w:p>
          <w:p>
            <w:pPr>
              <w:adjustRightInd/>
              <w:snapToGrid/>
              <w:spacing w:after="0" w:line="360" w:lineRule="atLeast"/>
              <w:rPr>
                <w:rFonts w:cs="宋体" w:asciiTheme="minorEastAsia" w:hAnsiTheme="minorEastAsia" w:eastAsiaTheme="minorEastAsia"/>
                <w:color w:val="000000"/>
                <w:sz w:val="24"/>
                <w:szCs w:val="24"/>
              </w:rPr>
            </w:pPr>
            <w:r>
              <w:rPr>
                <w:rFonts w:hint="eastAsia" w:asciiTheme="minorEastAsia" w:hAnsiTheme="minorEastAsia" w:eastAsiaTheme="minorEastAsia" w:cstheme="minorEastAsia"/>
                <w:sz w:val="24"/>
                <w:szCs w:val="24"/>
              </w:rPr>
              <w:t>2、所提供资料准确完整，无错字得</w:t>
            </w: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rPr>
              <w:t>分。</w:t>
            </w:r>
          </w:p>
        </w:tc>
        <w:tc>
          <w:tcPr>
            <w:tcW w:w="137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adjustRightInd/>
              <w:snapToGrid/>
              <w:spacing w:after="0" w:line="330" w:lineRule="atLeast"/>
              <w:jc w:val="center"/>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lang w:val="en-US" w:eastAsia="zh-CN"/>
              </w:rPr>
              <w:t>4</w:t>
            </w:r>
            <w:r>
              <w:rPr>
                <w:rFonts w:hint="eastAsia" w:cs="仿宋" w:asciiTheme="minorEastAsia" w:hAnsiTheme="minorEastAsia" w:eastAsiaTheme="minorEastAsia"/>
                <w:color w:val="000000"/>
                <w:sz w:val="24"/>
                <w:szCs w:val="24"/>
              </w:rPr>
              <w:t>分</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Layout w:type="fixed"/>
          <w:tblCellMar>
            <w:top w:w="0" w:type="dxa"/>
            <w:left w:w="0" w:type="dxa"/>
            <w:bottom w:w="0" w:type="dxa"/>
            <w:right w:w="0" w:type="dxa"/>
          </w:tblCellMar>
        </w:tblPrEx>
        <w:trPr>
          <w:trHeight w:val="745" w:hRule="atLeast"/>
        </w:trPr>
        <w:tc>
          <w:tcPr>
            <w:tcW w:w="1442" w:type="dxa"/>
            <w:gridSpan w:val="3"/>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adjustRightInd/>
              <w:snapToGrid/>
              <w:spacing w:after="0" w:line="360" w:lineRule="atLeast"/>
              <w:jc w:val="center"/>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物业管理实施方案</w:t>
            </w:r>
          </w:p>
        </w:tc>
        <w:tc>
          <w:tcPr>
            <w:tcW w:w="589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spacing w:after="0" w:line="360" w:lineRule="exact"/>
              <w:rPr>
                <w:rFonts w:asciiTheme="minorEastAsia" w:hAnsiTheme="minorEastAsia" w:eastAsiaTheme="minorEastAsia"/>
                <w:sz w:val="24"/>
              </w:rPr>
            </w:pPr>
            <w:r>
              <w:rPr>
                <w:rFonts w:hint="eastAsia" w:asciiTheme="minorEastAsia" w:hAnsiTheme="minorEastAsia" w:eastAsiaTheme="minorEastAsia"/>
                <w:sz w:val="24"/>
              </w:rPr>
              <w:t>1、工作流程、作业程序规范、无漏项的4分，仅有简单概况描述的1分，否则不得分。</w:t>
            </w:r>
          </w:p>
          <w:p>
            <w:pPr>
              <w:spacing w:after="0" w:line="360" w:lineRule="exact"/>
              <w:rPr>
                <w:rFonts w:asciiTheme="minorEastAsia" w:hAnsiTheme="minorEastAsia" w:eastAsiaTheme="minorEastAsia"/>
                <w:sz w:val="24"/>
              </w:rPr>
            </w:pPr>
            <w:r>
              <w:rPr>
                <w:rFonts w:hint="eastAsia" w:asciiTheme="minorEastAsia" w:hAnsiTheme="minorEastAsia" w:eastAsiaTheme="minorEastAsia"/>
                <w:sz w:val="24"/>
              </w:rPr>
              <w:t>2、员工培训计划方案全面、有效的</w:t>
            </w:r>
            <w:r>
              <w:rPr>
                <w:rFonts w:hint="eastAsia" w:asciiTheme="minorEastAsia" w:hAnsiTheme="minorEastAsia" w:eastAsiaTheme="minorEastAsia"/>
                <w:sz w:val="24"/>
                <w:lang w:val="en-US" w:eastAsia="zh-CN"/>
              </w:rPr>
              <w:t>4</w:t>
            </w:r>
            <w:r>
              <w:rPr>
                <w:rFonts w:hint="eastAsia" w:asciiTheme="minorEastAsia" w:hAnsiTheme="minorEastAsia" w:eastAsiaTheme="minorEastAsia"/>
                <w:sz w:val="24"/>
              </w:rPr>
              <w:t>分，仅有简单概况描述的1分，否则不得分。</w:t>
            </w:r>
          </w:p>
          <w:p>
            <w:pPr>
              <w:spacing w:after="0" w:line="360" w:lineRule="exact"/>
              <w:rPr>
                <w:rFonts w:asciiTheme="minorEastAsia" w:hAnsiTheme="minorEastAsia" w:eastAsiaTheme="minorEastAsia"/>
                <w:sz w:val="24"/>
              </w:rPr>
            </w:pPr>
            <w:r>
              <w:rPr>
                <w:rFonts w:hint="eastAsia" w:asciiTheme="minorEastAsia" w:hAnsiTheme="minorEastAsia" w:eastAsiaTheme="minorEastAsia"/>
                <w:sz w:val="24"/>
              </w:rPr>
              <w:t>3、绩效考核、管理全面、有效的</w:t>
            </w:r>
            <w:r>
              <w:rPr>
                <w:rFonts w:hint="eastAsia" w:asciiTheme="minorEastAsia" w:hAnsiTheme="minorEastAsia" w:eastAsiaTheme="minorEastAsia"/>
                <w:sz w:val="24"/>
                <w:lang w:val="en-US" w:eastAsia="zh-CN"/>
              </w:rPr>
              <w:t>4</w:t>
            </w:r>
            <w:r>
              <w:rPr>
                <w:rFonts w:hint="eastAsia" w:asciiTheme="minorEastAsia" w:hAnsiTheme="minorEastAsia" w:eastAsiaTheme="minorEastAsia"/>
                <w:sz w:val="24"/>
              </w:rPr>
              <w:t>分，仅有简单概况描述的1分，否则不得分。</w:t>
            </w:r>
          </w:p>
          <w:p>
            <w:pPr>
              <w:spacing w:after="0" w:line="360" w:lineRule="exact"/>
              <w:rPr>
                <w:rFonts w:hint="eastAsia" w:asciiTheme="minorEastAsia" w:hAnsiTheme="minorEastAsia" w:eastAsiaTheme="minorEastAsia"/>
                <w:sz w:val="24"/>
              </w:rPr>
            </w:pPr>
            <w:r>
              <w:rPr>
                <w:rFonts w:hint="eastAsia" w:asciiTheme="minorEastAsia" w:hAnsiTheme="minorEastAsia" w:eastAsiaTheme="minorEastAsia"/>
                <w:sz w:val="24"/>
              </w:rPr>
              <w:t>4、应急情况处理方案全面、有效的4分，仅有简单概况描述的1分，否则不得分。</w:t>
            </w:r>
          </w:p>
          <w:p>
            <w:pPr>
              <w:spacing w:after="0" w:line="360" w:lineRule="exact"/>
              <w:rPr>
                <w:rFonts w:asciiTheme="minorEastAsia" w:hAnsiTheme="minorEastAsia" w:eastAsiaTheme="minorEastAsia"/>
                <w:sz w:val="24"/>
              </w:rPr>
            </w:pPr>
            <w:r>
              <w:rPr>
                <w:rFonts w:hint="eastAsia" w:asciiTheme="minorEastAsia" w:hAnsiTheme="minorEastAsia" w:eastAsiaTheme="minorEastAsia"/>
                <w:sz w:val="24"/>
              </w:rPr>
              <w:t>5、</w:t>
            </w:r>
            <w:r>
              <w:rPr>
                <w:rFonts w:hint="eastAsia" w:asciiTheme="minorEastAsia" w:hAnsiTheme="minorEastAsia" w:eastAsiaTheme="minorEastAsia"/>
                <w:sz w:val="24"/>
                <w:szCs w:val="24"/>
              </w:rPr>
              <w:t>服从采购单位的管理、监督及考核要求，承诺定期收集采购单位意见和建议及时改进的4分。仅有</w:t>
            </w:r>
            <w:r>
              <w:rPr>
                <w:rFonts w:hint="eastAsia" w:asciiTheme="minorEastAsia" w:hAnsiTheme="minorEastAsia" w:eastAsiaTheme="minorEastAsia"/>
                <w:sz w:val="24"/>
              </w:rPr>
              <w:t>简单概况描述的1分，否则不得分。</w:t>
            </w:r>
          </w:p>
        </w:tc>
        <w:tc>
          <w:tcPr>
            <w:tcW w:w="137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adjustRightInd/>
              <w:snapToGrid/>
              <w:spacing w:after="0" w:line="330" w:lineRule="atLeast"/>
              <w:jc w:val="center"/>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20</w:t>
            </w:r>
            <w:r>
              <w:rPr>
                <w:rFonts w:hint="eastAsia" w:cs="仿宋" w:asciiTheme="minorEastAsia" w:hAnsiTheme="minorEastAsia" w:eastAsiaTheme="minorEastAsia"/>
                <w:color w:val="000000"/>
                <w:sz w:val="24"/>
                <w:szCs w:val="24"/>
              </w:rPr>
              <w:t>分</w:t>
            </w:r>
          </w:p>
        </w:tc>
      </w:tr>
    </w:tbl>
    <w:p>
      <w:pPr>
        <w:spacing w:after="0" w:line="360" w:lineRule="auto"/>
        <w:rPr>
          <w:rFonts w:cs="宋体" w:asciiTheme="minorEastAsia" w:hAnsiTheme="minorEastAsia" w:eastAsiaTheme="minorEastAsia"/>
          <w:sz w:val="30"/>
          <w:szCs w:val="30"/>
          <w:lang w:val="zh-CN"/>
        </w:rPr>
      </w:pPr>
      <w:r>
        <w:rPr>
          <w:rFonts w:hint="eastAsia" w:cs="宋体" w:asciiTheme="minorEastAsia" w:hAnsiTheme="minorEastAsia" w:eastAsiaTheme="minorEastAsia"/>
          <w:sz w:val="30"/>
          <w:szCs w:val="30"/>
          <w:lang w:val="zh-CN"/>
        </w:rPr>
        <w:t xml:space="preserve">    </w:t>
      </w:r>
    </w:p>
    <w:p>
      <w:pPr>
        <w:spacing w:after="0" w:line="360" w:lineRule="auto"/>
        <w:ind w:firstLine="600" w:firstLineChars="200"/>
        <w:rPr>
          <w:rFonts w:cs="宋体" w:asciiTheme="minorEastAsia" w:hAnsiTheme="minorEastAsia" w:eastAsiaTheme="minorEastAsia"/>
          <w:sz w:val="30"/>
          <w:szCs w:val="30"/>
          <w:lang w:val="zh-CN"/>
        </w:rPr>
      </w:pPr>
      <w:r>
        <w:rPr>
          <w:rFonts w:hint="eastAsia" w:cs="宋体" w:asciiTheme="minorEastAsia" w:hAnsiTheme="minorEastAsia" w:eastAsiaTheme="minorEastAsia"/>
          <w:sz w:val="30"/>
          <w:szCs w:val="30"/>
          <w:lang w:val="zh-CN"/>
        </w:rPr>
        <w:t>六、采购资金支付</w:t>
      </w:r>
      <w:bookmarkStart w:id="0" w:name="_GoBack"/>
      <w:bookmarkEnd w:id="0"/>
    </w:p>
    <w:p>
      <w:pPr>
        <w:ind w:firstLine="600" w:firstLineChars="200"/>
        <w:textAlignment w:val="center"/>
        <w:rPr>
          <w:rFonts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（一）支付方式：银行转账。</w:t>
      </w:r>
    </w:p>
    <w:p>
      <w:pPr>
        <w:spacing w:after="0" w:line="360" w:lineRule="auto"/>
        <w:ind w:firstLine="600" w:firstLineChars="200"/>
        <w:rPr>
          <w:rFonts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（二）支付时间及条件：按照中标价，分12个月平均支付物业服务费用，节假日等特殊时间顺延支付。</w:t>
      </w:r>
    </w:p>
    <w:p>
      <w:pPr>
        <w:spacing w:after="0" w:line="360" w:lineRule="auto"/>
        <w:ind w:firstLine="600" w:firstLineChars="200"/>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rPr>
        <w:t>七、联系方式</w:t>
      </w:r>
    </w:p>
    <w:p>
      <w:pPr>
        <w:spacing w:after="0" w:line="360" w:lineRule="auto"/>
        <w:ind w:firstLine="600" w:firstLineChars="200"/>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rPr>
        <w:t xml:space="preserve">联系人姓名： </w:t>
      </w:r>
      <w:r>
        <w:rPr>
          <w:rFonts w:hint="eastAsia" w:asciiTheme="minorEastAsia" w:hAnsiTheme="minorEastAsia" w:eastAsiaTheme="minorEastAsia" w:cstheme="minorEastAsia"/>
          <w:sz w:val="30"/>
          <w:szCs w:val="30"/>
          <w:lang w:val="en-US" w:eastAsia="zh-CN"/>
        </w:rPr>
        <w:t>周</w:t>
      </w:r>
      <w:r>
        <w:rPr>
          <w:rFonts w:hint="eastAsia" w:asciiTheme="minorEastAsia" w:hAnsiTheme="minorEastAsia" w:eastAsiaTheme="minorEastAsia" w:cstheme="minorEastAsia"/>
          <w:sz w:val="30"/>
          <w:szCs w:val="30"/>
        </w:rPr>
        <w:t>先生     联系电话：0374-296</w:t>
      </w:r>
      <w:r>
        <w:rPr>
          <w:rFonts w:hint="eastAsia" w:asciiTheme="minorEastAsia" w:hAnsiTheme="minorEastAsia" w:eastAsiaTheme="minorEastAsia" w:cstheme="minorEastAsia"/>
          <w:sz w:val="30"/>
          <w:szCs w:val="30"/>
          <w:lang w:val="en-US" w:eastAsia="zh-CN"/>
        </w:rPr>
        <w:t>1968</w:t>
      </w:r>
    </w:p>
    <w:p>
      <w:pPr>
        <w:spacing w:after="0" w:line="360" w:lineRule="auto"/>
        <w:ind w:firstLine="600" w:firstLineChars="200"/>
        <w:rPr>
          <w:rFonts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单位地址：</w:t>
      </w:r>
      <w:r>
        <w:rPr>
          <w:rFonts w:hint="eastAsia" w:asciiTheme="minorEastAsia" w:hAnsiTheme="minorEastAsia" w:eastAsiaTheme="minorEastAsia" w:cstheme="minorEastAsia"/>
          <w:sz w:val="30"/>
          <w:szCs w:val="30"/>
          <w:lang w:val="zh-CN"/>
        </w:rPr>
        <w:t>许昌市机关办公区3号楼</w:t>
      </w:r>
    </w:p>
    <w:sectPr>
      <w:footerReference r:id="rId3" w:type="default"/>
      <w:pgSz w:w="11906" w:h="16838"/>
      <w:pgMar w:top="1440" w:right="1274"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116101"/>
    </w:sdtPr>
    <w:sdtContent>
      <w:p>
        <w:pPr>
          <w:pStyle w:val="3"/>
          <w:jc w:val="center"/>
        </w:pPr>
        <w:r>
          <w:fldChar w:fldCharType="begin"/>
        </w:r>
        <w:r>
          <w:instrText xml:space="preserve"> PAGE   \* MERGEFORMAT </w:instrText>
        </w:r>
        <w:r>
          <w:fldChar w:fldCharType="separate"/>
        </w:r>
        <w:r>
          <w:rPr>
            <w:lang w:val="zh-CN"/>
          </w:rPr>
          <w:t>6</w:t>
        </w:r>
        <w:r>
          <w:rPr>
            <w:lang w:val="zh-CN"/>
          </w:rP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720"/>
  <w:characterSpacingControl w:val="doNotCompress"/>
  <w:compat>
    <w:useFELayout/>
    <w:compatSetting w:name="compatibilityMode" w:uri="http://schemas.microsoft.com/office/word" w:val="12"/>
  </w:compat>
  <w:rsids>
    <w:rsidRoot w:val="00D31D50"/>
    <w:rsid w:val="000240B0"/>
    <w:rsid w:val="0006476C"/>
    <w:rsid w:val="000708B6"/>
    <w:rsid w:val="00073668"/>
    <w:rsid w:val="00080EDA"/>
    <w:rsid w:val="000A7059"/>
    <w:rsid w:val="000B46F8"/>
    <w:rsid w:val="000E6A6F"/>
    <w:rsid w:val="0010761D"/>
    <w:rsid w:val="001308BE"/>
    <w:rsid w:val="00131E0F"/>
    <w:rsid w:val="0013721C"/>
    <w:rsid w:val="001646A1"/>
    <w:rsid w:val="00181000"/>
    <w:rsid w:val="001A4EFB"/>
    <w:rsid w:val="00201A6D"/>
    <w:rsid w:val="00217C6E"/>
    <w:rsid w:val="0022707C"/>
    <w:rsid w:val="00290345"/>
    <w:rsid w:val="002A3FDB"/>
    <w:rsid w:val="002B6DD1"/>
    <w:rsid w:val="002D4801"/>
    <w:rsid w:val="00323B43"/>
    <w:rsid w:val="00337F1E"/>
    <w:rsid w:val="003606B0"/>
    <w:rsid w:val="00367836"/>
    <w:rsid w:val="00382D82"/>
    <w:rsid w:val="003D37D8"/>
    <w:rsid w:val="00426133"/>
    <w:rsid w:val="004358AB"/>
    <w:rsid w:val="004A382D"/>
    <w:rsid w:val="004A7368"/>
    <w:rsid w:val="004D3E00"/>
    <w:rsid w:val="005875DB"/>
    <w:rsid w:val="00592D77"/>
    <w:rsid w:val="005977A5"/>
    <w:rsid w:val="005A574F"/>
    <w:rsid w:val="005B4771"/>
    <w:rsid w:val="005D1D5D"/>
    <w:rsid w:val="005D645A"/>
    <w:rsid w:val="005F2435"/>
    <w:rsid w:val="0062199B"/>
    <w:rsid w:val="00622966"/>
    <w:rsid w:val="006345D7"/>
    <w:rsid w:val="00635379"/>
    <w:rsid w:val="006C4F8C"/>
    <w:rsid w:val="006D7C68"/>
    <w:rsid w:val="00744234"/>
    <w:rsid w:val="007A531D"/>
    <w:rsid w:val="007D6E2C"/>
    <w:rsid w:val="008B7726"/>
    <w:rsid w:val="00901217"/>
    <w:rsid w:val="009150E7"/>
    <w:rsid w:val="009A731A"/>
    <w:rsid w:val="009B522C"/>
    <w:rsid w:val="009D693B"/>
    <w:rsid w:val="00A56862"/>
    <w:rsid w:val="00A6531A"/>
    <w:rsid w:val="00A83709"/>
    <w:rsid w:val="00A83B11"/>
    <w:rsid w:val="00B004B7"/>
    <w:rsid w:val="00B02506"/>
    <w:rsid w:val="00B24ED6"/>
    <w:rsid w:val="00B35D1B"/>
    <w:rsid w:val="00BA2374"/>
    <w:rsid w:val="00BD1446"/>
    <w:rsid w:val="00C03190"/>
    <w:rsid w:val="00C31F51"/>
    <w:rsid w:val="00C41254"/>
    <w:rsid w:val="00C55F08"/>
    <w:rsid w:val="00C9207D"/>
    <w:rsid w:val="00CA50BD"/>
    <w:rsid w:val="00CB3C76"/>
    <w:rsid w:val="00CD1996"/>
    <w:rsid w:val="00CE07F5"/>
    <w:rsid w:val="00CE7AA3"/>
    <w:rsid w:val="00D00D36"/>
    <w:rsid w:val="00D178B6"/>
    <w:rsid w:val="00D17CE8"/>
    <w:rsid w:val="00D31D50"/>
    <w:rsid w:val="00D65604"/>
    <w:rsid w:val="00DD4B18"/>
    <w:rsid w:val="00E376F7"/>
    <w:rsid w:val="00E40A72"/>
    <w:rsid w:val="00E75787"/>
    <w:rsid w:val="00EA37D4"/>
    <w:rsid w:val="00F40AC6"/>
    <w:rsid w:val="00F82782"/>
    <w:rsid w:val="00FA6A98"/>
    <w:rsid w:val="00FB0179"/>
    <w:rsid w:val="00FB7FD5"/>
    <w:rsid w:val="00FF14FF"/>
    <w:rsid w:val="00FF4B70"/>
    <w:rsid w:val="03323CD5"/>
    <w:rsid w:val="04264773"/>
    <w:rsid w:val="051B01A1"/>
    <w:rsid w:val="05A02BF2"/>
    <w:rsid w:val="06991326"/>
    <w:rsid w:val="07FF33DE"/>
    <w:rsid w:val="0FAD378F"/>
    <w:rsid w:val="12341E41"/>
    <w:rsid w:val="187F14A6"/>
    <w:rsid w:val="1B384A62"/>
    <w:rsid w:val="1E1D5F89"/>
    <w:rsid w:val="204113B8"/>
    <w:rsid w:val="22C7287E"/>
    <w:rsid w:val="232B6ECA"/>
    <w:rsid w:val="235C08A3"/>
    <w:rsid w:val="27502F51"/>
    <w:rsid w:val="27EE5554"/>
    <w:rsid w:val="29FB33FC"/>
    <w:rsid w:val="2A7B2772"/>
    <w:rsid w:val="2A93693F"/>
    <w:rsid w:val="2DD02B28"/>
    <w:rsid w:val="2EE47D15"/>
    <w:rsid w:val="31C862BF"/>
    <w:rsid w:val="321B0AAF"/>
    <w:rsid w:val="35F81094"/>
    <w:rsid w:val="36A3247B"/>
    <w:rsid w:val="3A7802B3"/>
    <w:rsid w:val="3BE625A1"/>
    <w:rsid w:val="3E8F15EC"/>
    <w:rsid w:val="3F466E1A"/>
    <w:rsid w:val="44A33720"/>
    <w:rsid w:val="450536EA"/>
    <w:rsid w:val="45120C70"/>
    <w:rsid w:val="46DA1A4E"/>
    <w:rsid w:val="483A4B48"/>
    <w:rsid w:val="49DF57A7"/>
    <w:rsid w:val="49FA0D18"/>
    <w:rsid w:val="4A2071BD"/>
    <w:rsid w:val="4B4C1DA6"/>
    <w:rsid w:val="4BB72B1A"/>
    <w:rsid w:val="4BE406FE"/>
    <w:rsid w:val="4C375FA3"/>
    <w:rsid w:val="4DE25BD4"/>
    <w:rsid w:val="4F57251F"/>
    <w:rsid w:val="4FF62E26"/>
    <w:rsid w:val="50CB3C5E"/>
    <w:rsid w:val="53AF72B7"/>
    <w:rsid w:val="546C18B0"/>
    <w:rsid w:val="54B973A8"/>
    <w:rsid w:val="559813D7"/>
    <w:rsid w:val="58710525"/>
    <w:rsid w:val="58913CBD"/>
    <w:rsid w:val="59CB2321"/>
    <w:rsid w:val="5A1002FD"/>
    <w:rsid w:val="5A1368B6"/>
    <w:rsid w:val="5C3B1E42"/>
    <w:rsid w:val="5D9333CB"/>
    <w:rsid w:val="63DC21BC"/>
    <w:rsid w:val="64E07514"/>
    <w:rsid w:val="6ADA3290"/>
    <w:rsid w:val="6B6935D4"/>
    <w:rsid w:val="6CD3110C"/>
    <w:rsid w:val="6EC07222"/>
    <w:rsid w:val="6F211531"/>
    <w:rsid w:val="6F8717D2"/>
    <w:rsid w:val="6FAC0FD6"/>
    <w:rsid w:val="70025986"/>
    <w:rsid w:val="702D28D8"/>
    <w:rsid w:val="7107223E"/>
    <w:rsid w:val="71E64401"/>
    <w:rsid w:val="73550E38"/>
    <w:rsid w:val="746855AE"/>
    <w:rsid w:val="785F4390"/>
    <w:rsid w:val="78FE2609"/>
    <w:rsid w:val="797B2758"/>
    <w:rsid w:val="7A88563A"/>
    <w:rsid w:val="7A9B40A7"/>
    <w:rsid w:val="7BE267ED"/>
    <w:rsid w:val="7C100E0B"/>
    <w:rsid w:val="7F9543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heme="minorBidi"/>
      <w:sz w:val="22"/>
      <w:szCs w:val="22"/>
      <w:lang w:val="en-US" w:eastAsia="zh-CN" w:bidi="ar-SA"/>
    </w:rPr>
  </w:style>
  <w:style w:type="character" w:default="1" w:styleId="5">
    <w:name w:val="Default Paragraph Font"/>
    <w:semiHidden/>
    <w:unhideWhenUsed/>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1"/>
    <w:semiHidden/>
    <w:unhideWhenUsed/>
    <w:qFormat/>
    <w:uiPriority w:val="99"/>
    <w:pPr>
      <w:spacing w:after="0"/>
    </w:pPr>
    <w:rPr>
      <w:sz w:val="18"/>
      <w:szCs w:val="18"/>
    </w:rPr>
  </w:style>
  <w:style w:type="paragraph" w:styleId="3">
    <w:name w:val="footer"/>
    <w:basedOn w:val="1"/>
    <w:link w:val="9"/>
    <w:unhideWhenUsed/>
    <w:qFormat/>
    <w:uiPriority w:val="99"/>
    <w:pPr>
      <w:tabs>
        <w:tab w:val="center" w:pos="4153"/>
        <w:tab w:val="right" w:pos="8306"/>
      </w:tabs>
    </w:pPr>
    <w:rPr>
      <w:sz w:val="18"/>
      <w:szCs w:val="18"/>
    </w:rPr>
  </w:style>
  <w:style w:type="paragraph" w:styleId="4">
    <w:name w:val="header"/>
    <w:basedOn w:val="1"/>
    <w:link w:val="8"/>
    <w:semiHidden/>
    <w:unhideWhenUsed/>
    <w:qFormat/>
    <w:uiPriority w:val="99"/>
    <w:pPr>
      <w:pBdr>
        <w:bottom w:val="single" w:color="auto" w:sz="6" w:space="1"/>
      </w:pBdr>
      <w:tabs>
        <w:tab w:val="center" w:pos="4153"/>
        <w:tab w:val="right" w:pos="8306"/>
      </w:tabs>
      <w:jc w:val="center"/>
    </w:pPr>
    <w:rPr>
      <w:sz w:val="18"/>
      <w:szCs w:val="18"/>
    </w:rPr>
  </w:style>
  <w:style w:type="character" w:styleId="6">
    <w:name w:val="Hyperlink"/>
    <w:basedOn w:val="5"/>
    <w:qFormat/>
    <w:uiPriority w:val="0"/>
    <w:rPr>
      <w:rFonts w:cs="Times New Roman"/>
      <w:color w:val="0000FF"/>
      <w:u w:val="single"/>
    </w:rPr>
  </w:style>
  <w:style w:type="character" w:customStyle="1" w:styleId="8">
    <w:name w:val="页眉 Char"/>
    <w:basedOn w:val="5"/>
    <w:link w:val="4"/>
    <w:semiHidden/>
    <w:qFormat/>
    <w:uiPriority w:val="99"/>
    <w:rPr>
      <w:rFonts w:ascii="Tahoma" w:hAnsi="Tahoma"/>
      <w:sz w:val="18"/>
      <w:szCs w:val="18"/>
    </w:rPr>
  </w:style>
  <w:style w:type="character" w:customStyle="1" w:styleId="9">
    <w:name w:val="页脚 Char"/>
    <w:basedOn w:val="5"/>
    <w:link w:val="3"/>
    <w:qFormat/>
    <w:uiPriority w:val="99"/>
    <w:rPr>
      <w:rFonts w:ascii="Tahoma" w:hAnsi="Tahoma"/>
      <w:sz w:val="18"/>
      <w:szCs w:val="18"/>
    </w:rPr>
  </w:style>
  <w:style w:type="paragraph" w:styleId="10">
    <w:name w:val="List Paragraph"/>
    <w:basedOn w:val="1"/>
    <w:unhideWhenUsed/>
    <w:qFormat/>
    <w:uiPriority w:val="99"/>
    <w:pPr>
      <w:widowControl w:val="0"/>
      <w:adjustRightInd/>
      <w:snapToGrid/>
      <w:spacing w:after="0"/>
      <w:ind w:firstLine="420" w:firstLineChars="200"/>
      <w:jc w:val="both"/>
    </w:pPr>
    <w:rPr>
      <w:rFonts w:ascii="Calibri" w:hAnsi="Calibri" w:eastAsia="宋体" w:cs="Times New Roman"/>
      <w:kern w:val="2"/>
      <w:sz w:val="21"/>
      <w:szCs w:val="24"/>
    </w:rPr>
  </w:style>
  <w:style w:type="character" w:customStyle="1" w:styleId="11">
    <w:name w:val="批注框文本 Char"/>
    <w:basedOn w:val="5"/>
    <w:link w:val="2"/>
    <w:semiHidden/>
    <w:qFormat/>
    <w:uiPriority w:val="99"/>
    <w:rPr>
      <w:rFonts w:ascii="Tahoma" w:hAnsi="Tahoma" w:eastAsia="微软雅黑" w:cstheme="minorBidi"/>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B3F9869-7059-412C-A45C-34FB79CA5B28}">
  <ds:schemaRefs/>
</ds:datastoreItem>
</file>

<file path=docProps/app.xml><?xml version="1.0" encoding="utf-8"?>
<Properties xmlns="http://schemas.openxmlformats.org/officeDocument/2006/extended-properties" xmlns:vt="http://schemas.openxmlformats.org/officeDocument/2006/docPropsVTypes">
  <Template>Normal</Template>
  <Pages>7</Pages>
  <Words>524</Words>
  <Characters>2989</Characters>
  <Lines>24</Lines>
  <Paragraphs>7</Paragraphs>
  <TotalTime>105</TotalTime>
  <ScaleCrop>false</ScaleCrop>
  <LinksUpToDate>false</LinksUpToDate>
  <CharactersWithSpaces>3506</CharactersWithSpaces>
  <Application>WPS Office_10.1.0.7469_F1E327BC-269C-435d-A152-05C5408002CA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sgj</dc:creator>
  <cp:lastModifiedBy>lenovo</cp:lastModifiedBy>
  <dcterms:modified xsi:type="dcterms:W3CDTF">2018-08-24T03:38:07Z</dcterms:modified>
  <cp:revision>106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