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960"/>
        <w:jc w:val="center"/>
        <w:rPr>
          <w:b w:val="0"/>
          <w:i w:val="0"/>
        </w:rPr>
      </w:pPr>
      <w:r>
        <w:rPr>
          <w:rFonts w:hint="eastAsia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《许昌市志》（上、下册）印刷项目</w:t>
      </w: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采购需求、评标标准等说明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 w:firstLineChars="2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（一）项目名称：</w:t>
      </w:r>
      <w:r>
        <w:rPr>
          <w:rFonts w:hint="eastAsia" w:ascii="仿宋_GB2312" w:hAnsi="微软雅黑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《许昌市志》（上、下册）印刷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（二）采购方式： 公开招标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（三）主要内容、数量及要求：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《许昌市志》上下册印刷，1000套。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（四）预算金额：26.2万 ；最高限价：26.2万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（五）交付（服务、完工）时间：2018年10月1日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（六）交付（服务、施工）地点：许昌市建安大道1516号9号楼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（七）进口产品：允许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sym w:font="Wingdings 2" w:char="00A3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不允许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sym w:font="Wingdings 2" w:char="0052"/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（八）分包：允许□不允许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sym w:font="Wingdings 2" w:char="0052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二、需要落实的政府采购政策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本项目落实节能环保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、中小微型企业扶持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、支持监狱企业发展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、残疾人福利性单位扶持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等相关政府采购政策。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三、投标人资格要求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（一）具备《政府采购法》第二十二条第一款规定条件并提供相关材料。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（二）本次招标接受□不接受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联合体投标。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（三）根据采购项目特殊要求，规定投标人的特定条件（</w:t>
      </w:r>
      <w:r>
        <w:rPr>
          <w:rFonts w:hint="eastAsia" w:ascii="仿宋" w:hAnsi="仿宋" w:eastAsia="仿宋" w:cs="仿宋"/>
          <w:b w:val="0"/>
          <w:i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视项目需要填写，没有请注明“无”。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四、采购需求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（一）本项目需实现的功能或者目标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本次采购的服务范围是许昌市地方史志办公室申请编纂印刷的《许昌市志》上、下册印刷服务，数量1000套；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采购清单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40" w:lineRule="auto"/>
        <w:ind w:left="0" w:leftChars="0" w:right="0" w:rightChars="0" w:firstLine="60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1.《许昌 市志》上下册印刷项目，成品为210mm*285mm,封面烫金压膜工艺，硬壳板为3.0毫米合资全灰板；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2.印刷1000套，不包含印刷前需制作精装终审稿100套，全彩精装样书5套。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3.全书随文插图若干幅，共180万字，约1790页（80克东方书纸）全彩印刷；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4.彩照35页（157克东方书纸）彩色印刷；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5.彩色地图8开2幅，需由地图院严格清绘制作后四色印刷（157克东方书纸）；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6.环衬为200克高端特种纸；圆脊锁线精装1000套（上、下册），内夹3mm宽红丝带，牛皮纸包装并订做专用纸箱包装。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（三）采购标的执行标准:无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 w:firstLineChars="200"/>
        <w:contextualSpacing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服务标准、期限、效率等要求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right="0" w:rightChars="0"/>
        <w:contextualSpacing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   中标单位需按照采购人需求,制定详细的服务方案，其中打印修改不少于20次，制作样书105套均为精装样书，打印样稿不少于25份，最后彩样不低于6份，出数码样。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right="0" w:rightChars="0" w:firstLine="600" w:firstLineChars="200"/>
        <w:contextualSpacing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合同签订生效后1个月内完成定稿，而后1个月内完成印刷及配送等项目全部工作。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right="0" w:rightChars="0" w:firstLine="600"/>
        <w:contextualSpacing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在书籍分发、赠送过程中，如发现错装、倒装、缺页等质量问题，中标单位应无条件及时调换。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（五）验收标准（</w:t>
      </w:r>
      <w:r>
        <w:rPr>
          <w:rFonts w:hint="eastAsia" w:ascii="仿宋" w:hAnsi="仿宋" w:eastAsia="仿宋" w:cs="仿宋"/>
          <w:b w:val="0"/>
          <w:i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必填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全书纸质色泽一致，硬壳平整不翘，页码装订无错漏、颠倒，印刷字迹清晰，全书无墨点，无指印。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按照国家相关标准、行业标准、地方标准或者其他标准、规范验收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600" w:leftChars="0" w:right="0" w:rightChars="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2、按照招标文件要求、投标文件响应和承诺验收；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五、评标方法和评标标准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（一）评标方法：综合评分法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（二）综合评分法评标标准：</w:t>
      </w:r>
    </w:p>
    <w:tbl>
      <w:tblPr>
        <w:tblStyle w:val="9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5729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分值构成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(总分100分)</w:t>
            </w:r>
          </w:p>
        </w:tc>
        <w:tc>
          <w:tcPr>
            <w:tcW w:w="6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价格分值：30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商务部分：40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业绩部分：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一、价格部分（满分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30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评标基准价：满足招标文件要求的有效投标报价中，最低的投标报价为评标基准价。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投标报价得分=（评标基准价/投标报价）×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二、商务部分（满分40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lang w:eastAsia="zh-CN"/>
              </w:rPr>
              <w:t>服务方案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1.根据对采购人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需求的响应程度，提供完善合理的服务实施方案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包括质量控制、保障措施、风险控制、以及后续服务等，制定的服务方案能保证项目顺利完成得10分，仅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进行简单概括描述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4分，未提供者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不得分；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2.完善的组织机构制定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包括专业团队负责该项目，联系排版、制作、印刷、运输、售后等环节，保证项目顺利实施得10分，仅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进行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简单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概括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描述得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，未提供者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不得分；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3.合理质量管控措施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包括根据本项目质量要求，制定出具体保证措施，并根据工作内容、重点合难点进行分析，并制定出相应的处理措施得10分，仅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进行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简单描述得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，未提供者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不得分；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4.保密和违约责任承诺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包括完善的档案收集、整理、保管、利用、鉴定、销毁等管理制度，保证涉密文件不外传，并采取安全防护技术措施保证项目内容不泄密，违约有相应惩罚措施得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分，仅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进行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简单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概括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描述得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，未提供者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不得分。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i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5.合风险控制：对项目风险的识别及应对有详细方案合措施得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分，仅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进行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简单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概括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描述得1分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，未提供者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不得分。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三、业绩部分（满分30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2015年1月1日以来类似项目的业绩：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全彩精装书等类似项目合同每份得5分，满分30分。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上述的分项目以合同复印件为准，不提供或无法识别复印件重要内容的不得分。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六、采购资金支付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（一）支付方式：银行转账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（二）支付时间及条件：满足验收标准，5个工作日内付款100%。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25" w:lineRule="atLeast"/>
        <w:ind w:left="0" w:right="0" w:firstLine="795"/>
        <w:jc w:val="left"/>
        <w:rPr>
          <w:b w:val="0"/>
          <w:i w:val="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联系人姓名： 尚猛  朱晓琳     联系电话：296502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25" w:lineRule="atLeast"/>
        <w:ind w:left="0" w:right="0" w:firstLine="795"/>
        <w:jc w:val="left"/>
        <w:rPr>
          <w:b w:val="0"/>
          <w:i w:val="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单位地址：许昌市建安大道1516号9141房间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00" w:firstLineChars="200"/>
        <w:jc w:val="righ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许昌市地方史志办公室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5700" w:firstLineChars="1900"/>
        <w:jc w:val="righ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2018年8 月24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5700" w:firstLineChars="1900"/>
        <w:jc w:val="both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2CCEA"/>
    <w:multiLevelType w:val="singleLevel"/>
    <w:tmpl w:val="8402CC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E456D4"/>
    <w:multiLevelType w:val="singleLevel"/>
    <w:tmpl w:val="ABE456D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46EAF55"/>
    <w:multiLevelType w:val="singleLevel"/>
    <w:tmpl w:val="646EAF5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505C"/>
    <w:rsid w:val="06176549"/>
    <w:rsid w:val="067A5006"/>
    <w:rsid w:val="0B8A79CF"/>
    <w:rsid w:val="1002505C"/>
    <w:rsid w:val="1B2031F7"/>
    <w:rsid w:val="2CB9286D"/>
    <w:rsid w:val="2F5A4050"/>
    <w:rsid w:val="456472C8"/>
    <w:rsid w:val="47DA29FC"/>
    <w:rsid w:val="48E9380C"/>
    <w:rsid w:val="4D933EFF"/>
    <w:rsid w:val="6063130E"/>
    <w:rsid w:val="61F242F3"/>
    <w:rsid w:val="62995E8F"/>
    <w:rsid w:val="6A0C68E1"/>
    <w:rsid w:val="6CAF1CBA"/>
    <w:rsid w:val="716C7CAF"/>
    <w:rsid w:val="741B6C51"/>
    <w:rsid w:val="79345558"/>
    <w:rsid w:val="7A3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auto"/>
      <w:kern w:val="0"/>
      <w:sz w:val="36"/>
      <w:szCs w:val="36"/>
      <w:u w:val="none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1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5"/>
    <w:qFormat/>
    <w:uiPriority w:val="0"/>
    <w:rPr>
      <w:color w:val="FF0000"/>
    </w:rPr>
  </w:style>
  <w:style w:type="character" w:customStyle="1" w:styleId="14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hover24"/>
    <w:basedOn w:val="5"/>
    <w:qFormat/>
    <w:uiPriority w:val="0"/>
  </w:style>
  <w:style w:type="character" w:customStyle="1" w:styleId="17">
    <w:name w:val="gb-jt"/>
    <w:basedOn w:val="5"/>
    <w:qFormat/>
    <w:uiPriority w:val="0"/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9">
    <w:name w:val="red3"/>
    <w:basedOn w:val="5"/>
    <w:qFormat/>
    <w:uiPriority w:val="0"/>
    <w:rPr>
      <w:color w:val="FF0000"/>
    </w:rPr>
  </w:style>
  <w:style w:type="character" w:customStyle="1" w:styleId="20">
    <w:name w:val="hover2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2018-07-09T08:50:00Z</dcterms:created>
  <dc:creator>Administrator</dc:creator>
  <cp:lastModifiedBy>Administrator</cp:lastModifiedBy>
  <cp:lastPrinted>2018-07-27T02:36:00Z</cp:lastPrinted>
  <dcterms:modified xsi:type="dcterms:W3CDTF">2018-08-24T01:19:54Z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