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Ansi="宋体"/>
          <w:b/>
          <w:snapToGrid w:val="0"/>
          <w:kern w:val="0"/>
          <w:sz w:val="32"/>
          <w:szCs w:val="32"/>
        </w:rPr>
      </w:pPr>
      <w:bookmarkStart w:id="3" w:name="_GoBack"/>
      <w:bookmarkEnd w:id="3"/>
      <w:bookmarkStart w:id="0" w:name="_Toc19068_WPSOffice_Level2"/>
      <w:bookmarkStart w:id="1" w:name="_Toc14461_WPSOffice_Level2"/>
      <w:bookmarkStart w:id="2" w:name="_Toc10333_WPSOffice_Level2"/>
      <w:r>
        <w:rPr>
          <w:rFonts w:hint="eastAsia" w:hAnsi="宋体"/>
          <w:b/>
          <w:snapToGrid w:val="0"/>
          <w:kern w:val="0"/>
          <w:sz w:val="32"/>
          <w:szCs w:val="32"/>
        </w:rPr>
        <w:t>投标分项报价表</w:t>
      </w:r>
      <w:bookmarkEnd w:id="0"/>
      <w:bookmarkEnd w:id="1"/>
      <w:bookmarkEnd w:id="2"/>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r>
        <w:rPr>
          <w:rFonts w:hint="eastAsia" w:ascii="仿宋" w:hAnsi="仿宋" w:eastAsia="仿宋" w:cs="宋体"/>
          <w:kern w:val="0"/>
          <w:sz w:val="30"/>
          <w:szCs w:val="30"/>
          <w:u w:val="none"/>
        </w:rPr>
        <w:t>Y2018HZ038</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Ansi="宋体"/>
          <w:b/>
          <w:snapToGrid w:val="0"/>
          <w:kern w:val="0"/>
          <w:sz w:val="36"/>
          <w:szCs w:val="36"/>
        </w:rPr>
      </w:pPr>
      <w:r>
        <w:rPr>
          <w:rFonts w:hint="eastAsia" w:ascii="宋体" w:hAnsi="宋体"/>
          <w:sz w:val="24"/>
          <w:szCs w:val="24"/>
        </w:rPr>
        <w:t>项目名称：</w:t>
      </w:r>
      <w:r>
        <w:rPr>
          <w:rFonts w:hint="eastAsia" w:ascii="宋体" w:hAnsi="宋体" w:eastAsia="宋体" w:cs="宋体"/>
          <w:bCs/>
          <w:sz w:val="24"/>
          <w:szCs w:val="24"/>
        </w:rPr>
        <w:t>鄢陵县北斗导航定位基准站</w:t>
      </w:r>
      <w:r>
        <w:rPr>
          <w:rFonts w:hint="eastAsia" w:ascii="宋体" w:hAnsi="宋体" w:cs="宋体"/>
          <w:bCs/>
          <w:sz w:val="24"/>
          <w:szCs w:val="24"/>
          <w:u w:val="none"/>
          <w:lang w:eastAsia="zh-CN"/>
        </w:rPr>
        <w:t>（四次）</w:t>
      </w:r>
    </w:p>
    <w:tbl>
      <w:tblPr>
        <w:tblStyle w:val="5"/>
        <w:tblW w:w="13785" w:type="dxa"/>
        <w:tblInd w:w="-954" w:type="dxa"/>
        <w:tblLayout w:type="fixed"/>
        <w:tblCellMar>
          <w:top w:w="0" w:type="dxa"/>
          <w:left w:w="108" w:type="dxa"/>
          <w:bottom w:w="0" w:type="dxa"/>
          <w:right w:w="108" w:type="dxa"/>
        </w:tblCellMar>
      </w:tblPr>
      <w:tblGrid>
        <w:gridCol w:w="540"/>
        <w:gridCol w:w="930"/>
        <w:gridCol w:w="840"/>
        <w:gridCol w:w="7170"/>
        <w:gridCol w:w="525"/>
        <w:gridCol w:w="570"/>
        <w:gridCol w:w="1200"/>
        <w:gridCol w:w="1155"/>
        <w:gridCol w:w="855"/>
      </w:tblGrid>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93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84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717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52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57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2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15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85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93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jc w:val="center"/>
              <w:rPr>
                <w:rFonts w:hint="eastAsia"/>
              </w:rPr>
            </w:pPr>
          </w:p>
          <w:p>
            <w:pPr>
              <w:autoSpaceDE w:val="0"/>
              <w:autoSpaceDN w:val="0"/>
              <w:adjustRightInd w:val="0"/>
              <w:spacing w:line="360" w:lineRule="auto"/>
              <w:jc w:val="center"/>
              <w:rPr>
                <w:rFonts w:ascii="宋体" w:hAnsi="宋体"/>
                <w:sz w:val="24"/>
                <w:szCs w:val="24"/>
              </w:rPr>
            </w:pPr>
            <w:r>
              <w:rPr>
                <w:rFonts w:hint="eastAsia" w:ascii="宋体" w:hAnsi="宋体"/>
                <w:sz w:val="24"/>
                <w:szCs w:val="24"/>
                <w:lang w:val="en-US" w:eastAsia="zh-CN"/>
              </w:rPr>
              <w:t>参考站接收机</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N72</w:t>
            </w:r>
          </w:p>
        </w:tc>
        <w:tc>
          <w:tcPr>
            <w:tcW w:w="7170" w:type="dxa"/>
            <w:tcBorders>
              <w:top w:val="single" w:color="auto" w:sz="6" w:space="0"/>
              <w:left w:val="single" w:color="auto" w:sz="6" w:space="0"/>
              <w:bottom w:val="single" w:color="auto" w:sz="6" w:space="0"/>
              <w:right w:val="single" w:color="auto" w:sz="6" w:space="0"/>
            </w:tcBorders>
            <w:vAlign w:val="top"/>
          </w:tcPr>
          <w:p>
            <w:pPr>
              <w:rPr>
                <w:rFonts w:hint="eastAsia"/>
                <w:sz w:val="21"/>
                <w:szCs w:val="21"/>
              </w:rPr>
            </w:pPr>
            <w:r>
              <w:rPr>
                <w:rFonts w:hint="eastAsia"/>
                <w:sz w:val="21"/>
                <w:szCs w:val="21"/>
              </w:rPr>
              <w:t>1）具</w:t>
            </w:r>
            <w:r>
              <w:rPr>
                <w:rFonts w:hint="eastAsia"/>
                <w:sz w:val="21"/>
                <w:szCs w:val="21"/>
                <w:lang w:eastAsia="zh-CN"/>
              </w:rPr>
              <w:t>有</w:t>
            </w:r>
            <w:r>
              <w:rPr>
                <w:rFonts w:hint="eastAsia"/>
                <w:sz w:val="21"/>
                <w:szCs w:val="21"/>
              </w:rPr>
              <w:t>196个通用通道，可全部接收GPS L1 C/A、L2E、L2C、L1/L2/L5全周载波，GLONASS L1 C/A、L1 P、L2 C/A、L2 P、L1/L2全周载波，北斗三频B1、B2、B3卫星信号。</w:t>
            </w:r>
          </w:p>
          <w:p>
            <w:pPr>
              <w:rPr>
                <w:sz w:val="21"/>
                <w:szCs w:val="21"/>
              </w:rPr>
            </w:pPr>
          </w:p>
          <w:p>
            <w:pPr>
              <w:rPr>
                <w:rFonts w:hint="eastAsia"/>
                <w:sz w:val="21"/>
                <w:szCs w:val="21"/>
              </w:rPr>
            </w:pPr>
            <w:r>
              <w:rPr>
                <w:rFonts w:hint="eastAsia"/>
                <w:sz w:val="21"/>
                <w:szCs w:val="21"/>
              </w:rPr>
              <w:t>2）具备3个RS232接口，1个GNSS天线接口：TNC接头；1个网口：RJ45接口，10/100Mbps；</w:t>
            </w:r>
          </w:p>
          <w:p>
            <w:pPr>
              <w:rPr>
                <w:rFonts w:hint="eastAsia"/>
                <w:sz w:val="21"/>
                <w:szCs w:val="21"/>
              </w:rPr>
            </w:pPr>
            <w:r>
              <w:rPr>
                <w:rFonts w:hint="eastAsia"/>
                <w:sz w:val="21"/>
                <w:szCs w:val="21"/>
              </w:rPr>
              <w:t>3）1个USB接口：支持1TB的外接USB设备；1个外部时钟输入接口：TNC接头，支持10MHz的外接频标输入；支持HTTP、 TCP、 UDP、 FTP、 NTRIP协议；内置32GB固态内存；内置10000mAh锂电池，可供电16小时以上；</w:t>
            </w:r>
          </w:p>
          <w:p>
            <w:pPr>
              <w:rPr>
                <w:rFonts w:hint="eastAsia"/>
                <w:sz w:val="21"/>
                <w:szCs w:val="21"/>
              </w:rPr>
            </w:pPr>
            <w:r>
              <w:rPr>
                <w:rFonts w:hint="eastAsia"/>
                <w:sz w:val="21"/>
                <w:szCs w:val="21"/>
              </w:rPr>
              <w:t>4）提供省部级系统出具的MTBF≥20000小时无故障认证报告；</w:t>
            </w:r>
          </w:p>
          <w:p>
            <w:pPr>
              <w:rPr>
                <w:rFonts w:ascii="宋体" w:hAnsi="宋体"/>
                <w:sz w:val="24"/>
                <w:szCs w:val="24"/>
              </w:rPr>
            </w:pPr>
            <w:r>
              <w:rPr>
                <w:rFonts w:hint="eastAsia"/>
                <w:sz w:val="21"/>
                <w:szCs w:val="21"/>
              </w:rPr>
              <w:t>5）终身质保；</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套</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62000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124000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上海</w:t>
            </w:r>
            <w:r>
              <w:rPr>
                <w:rFonts w:hint="eastAsia" w:ascii="宋体" w:hAnsi="宋体"/>
                <w:sz w:val="24"/>
                <w:szCs w:val="24"/>
                <w:lang w:val="en-US" w:eastAsia="zh-CN"/>
              </w:rPr>
              <w:t>/</w:t>
            </w:r>
            <w:r>
              <w:rPr>
                <w:rFonts w:hint="eastAsia" w:ascii="宋体" w:hAnsi="宋体"/>
                <w:sz w:val="24"/>
                <w:szCs w:val="24"/>
                <w:lang w:eastAsia="zh-CN"/>
              </w:rPr>
              <w:t>华测</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lang w:val="en-US" w:eastAsia="zh-CN"/>
              </w:rPr>
            </w:pPr>
            <w:r>
              <w:rPr>
                <w:rFonts w:hint="eastAsia"/>
                <w:lang w:val="en-US" w:eastAsia="zh-CN"/>
              </w:rPr>
              <w:t>2</w:t>
            </w:r>
          </w:p>
          <w:p>
            <w:pPr>
              <w:pStyle w:val="2"/>
              <w:ind w:left="0" w:leftChars="0" w:firstLine="0" w:firstLineChars="0"/>
              <w:rPr>
                <w:rFonts w:hint="eastAsia"/>
                <w:lang w:eastAsia="zh-CN"/>
              </w:rPr>
            </w:pPr>
          </w:p>
        </w:tc>
        <w:tc>
          <w:tcPr>
            <w:tcW w:w="93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sz w:val="24"/>
                <w:szCs w:val="24"/>
                <w:lang w:val="en-US" w:eastAsia="zh-CN"/>
              </w:rPr>
            </w:pPr>
          </w:p>
          <w:p>
            <w:pPr>
              <w:autoSpaceDE w:val="0"/>
              <w:autoSpaceDN w:val="0"/>
              <w:adjustRightInd w:val="0"/>
              <w:spacing w:line="360" w:lineRule="auto"/>
              <w:rPr>
                <w:rFonts w:ascii="宋体" w:hAnsi="宋体"/>
                <w:sz w:val="24"/>
                <w:szCs w:val="24"/>
              </w:rPr>
            </w:pPr>
            <w:r>
              <w:rPr>
                <w:rFonts w:hint="eastAsia" w:ascii="宋体" w:hAnsi="宋体"/>
                <w:sz w:val="24"/>
                <w:szCs w:val="24"/>
                <w:lang w:val="en-US" w:eastAsia="zh-CN"/>
              </w:rPr>
              <w:t>3D扼流圈天线</w:t>
            </w:r>
          </w:p>
        </w:tc>
        <w:tc>
          <w:tcPr>
            <w:tcW w:w="8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both"/>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HX-CGX601A</w:t>
            </w:r>
          </w:p>
        </w:tc>
        <w:tc>
          <w:tcPr>
            <w:tcW w:w="7170" w:type="dxa"/>
            <w:tcBorders>
              <w:top w:val="single" w:color="auto" w:sz="6" w:space="0"/>
              <w:left w:val="single" w:color="auto" w:sz="6" w:space="0"/>
              <w:bottom w:val="single" w:color="auto" w:sz="6" w:space="0"/>
              <w:right w:val="single" w:color="auto" w:sz="6" w:space="0"/>
            </w:tcBorders>
            <w:vAlign w:val="top"/>
          </w:tcPr>
          <w:p>
            <w:pPr>
              <w:rPr>
                <w:rFonts w:hint="eastAsia" w:ascii="宋体" w:hAnsi="宋体" w:cs="宋体"/>
                <w:szCs w:val="21"/>
              </w:rPr>
            </w:pPr>
            <w:r>
              <w:rPr>
                <w:rFonts w:hint="eastAsia" w:ascii="宋体" w:hAnsi="宋体" w:cs="宋体"/>
                <w:color w:val="000000"/>
                <w:kern w:val="0"/>
                <w:szCs w:val="21"/>
              </w:rPr>
              <w:t>3D扼流圈天线</w:t>
            </w:r>
            <w:r>
              <w:rPr>
                <w:rFonts w:hint="eastAsia" w:ascii="宋体" w:hAnsi="宋体" w:cs="宋体"/>
                <w:szCs w:val="21"/>
              </w:rPr>
              <w:tab/>
            </w:r>
          </w:p>
          <w:p>
            <w:pPr>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rPr>
              <w:t>同时接收GPS、GLONSS、GALILEO、北斗（BDS）的所有信号，以及WAAS、MSAS、QZSS等广域增强系统信号。</w:t>
            </w:r>
          </w:p>
          <w:p>
            <w:pPr>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具备强抗多路径效应能力的符合IGS标准的扼流圈或抑径板天线；</w:t>
            </w:r>
          </w:p>
          <w:p>
            <w:pPr>
              <w:rPr>
                <w:rFonts w:hint="eastAsia" w:ascii="宋体" w:hAnsi="宋体" w:cs="宋体"/>
                <w:color w:val="000000"/>
                <w:kern w:val="0"/>
                <w:szCs w:val="21"/>
              </w:rPr>
            </w:pPr>
            <w:r>
              <w:rPr>
                <w:rFonts w:hint="eastAsia" w:ascii="宋体" w:hAnsi="宋体" w:cs="宋体"/>
                <w:color w:val="000000"/>
                <w:kern w:val="0"/>
                <w:szCs w:val="21"/>
              </w:rPr>
              <w:t>须具有国际大地测量权威机构（NGS或Geo++）认证的天线绝对相位中心改正模型。</w:t>
            </w:r>
          </w:p>
          <w:p>
            <w:pPr>
              <w:rPr>
                <w:rFonts w:hint="eastAsia"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天线的相位中心稳定性优于1.0mm，并有定向标志以满足高精度测量的要求。</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极化方式：右旋圆极化；增益：50dB；输出驻波≤2.0；</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噪声系数≤2dB带内平坦度 ±1dB；工作电压3~18VDC；工作电流≤50mA；差分传输延迟＜5ns；</w:t>
            </w:r>
          </w:p>
          <w:p>
            <w:pPr>
              <w:autoSpaceDE w:val="0"/>
              <w:autoSpaceDN w:val="0"/>
              <w:adjustRightInd w:val="0"/>
              <w:spacing w:line="360" w:lineRule="auto"/>
              <w:rPr>
                <w:rFonts w:ascii="宋体" w:hAnsi="宋体"/>
                <w:sz w:val="24"/>
                <w:szCs w:val="24"/>
              </w:rPr>
            </w:pPr>
            <w:r>
              <w:rPr>
                <w:rFonts w:hint="eastAsia" w:ascii="宋体" w:hAnsi="宋体" w:cs="宋体"/>
                <w:color w:val="000000"/>
                <w:kern w:val="0"/>
                <w:szCs w:val="21"/>
              </w:rPr>
              <w:t>6)工作温度：-55℃～+85℃；防潮：在相对湿度≤95%的环境下能长期正常工作；防水：全密封，能够防水防潮，符合IP67标准；抗震性：为适应严酷的野外长途运输，设备具备较好的抗震能力</w:t>
            </w:r>
            <w:r>
              <w:rPr>
                <w:rFonts w:hint="eastAsia" w:ascii="仿宋" w:hAnsi="仿宋" w:eastAsia="仿宋" w:cs="宋体"/>
                <w:color w:val="000000"/>
                <w:sz w:val="28"/>
                <w:szCs w:val="28"/>
              </w:rPr>
              <w:t>。</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套</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21000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42000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深圳/华信</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3</w:t>
            </w: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宋体"/>
                <w:color w:val="000000"/>
                <w:sz w:val="28"/>
                <w:szCs w:val="28"/>
                <w:lang w:eastAsia="zh-CN"/>
              </w:rPr>
            </w:pPr>
          </w:p>
          <w:p>
            <w:pPr>
              <w:autoSpaceDE w:val="0"/>
              <w:autoSpaceDN w:val="0"/>
              <w:adjustRightInd w:val="0"/>
              <w:spacing w:line="360" w:lineRule="auto"/>
              <w:jc w:val="center"/>
              <w:rPr>
                <w:rFonts w:hint="eastAsia" w:ascii="仿宋" w:hAnsi="仿宋" w:eastAsia="仿宋" w:cs="宋体"/>
                <w:color w:val="000000"/>
                <w:sz w:val="28"/>
                <w:szCs w:val="28"/>
                <w:lang w:eastAsia="zh-CN"/>
              </w:rPr>
            </w:pPr>
            <w:r>
              <w:rPr>
                <w:rFonts w:hint="eastAsia" w:ascii="宋体" w:hAnsi="宋体"/>
                <w:sz w:val="24"/>
                <w:szCs w:val="24"/>
                <w:lang w:val="en-US" w:eastAsia="zh-CN"/>
              </w:rPr>
              <w:t>观测墩</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定制</w:t>
            </w:r>
          </w:p>
        </w:tc>
        <w:tc>
          <w:tcPr>
            <w:tcW w:w="717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1.观测墩建设基本尺寸与相关要求</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观测墩中心为上下一体的钢筋混凝土圆柱体，规格为：直径380mm，高度7.0米（从基坑底算起），其中，地上高度3.0米，地下高度4.0米（与基坑深度相同）。</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基坑位于正北正南方向，用指南针把位置放正；基坑规格：1.5米×1.5米×4.0米；基坑底部为厚度100mm的混凝土标号为C10的垫层。</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混凝土圆柱地上部分内设φ50㎜PVC穿线管，与地面结合部设出口或留在地沟内，以现场情况定。</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混凝土圆柱顶部浇注安装强制对中标志，并在其上标出正北方向，方向允许偏差±5°，并严格整平。</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观测墩与地面结合四周应做宽度为100㎜与基坑同深的隔震槽，内填粗沙。</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2.观测墩建设材料主要指标</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观测墩混凝土采用商混标号C25以上。</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基础钢筋网片四周设40mm×4mm镀锌扁铁从四周引出地面与上面主筋连接，基础网片钢筋全部采用焊接。钢筋网片上下两层为φ18螺纹钢@250双向，中间每500㎜高设一道φ12螺纹钢@250㎜双向，四周用钢管固定钢筋网片，确保施工位置稳定。</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3.观测墩建设其他要求</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观测墩基础部分应埋设4个水准标志，便于水准观测。</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天线电缆全程要套在50 mm PVC管内，对不能直接放置于已有地沟内的PVC管和天线电缆要重新开挖地沟放置；天线电缆布设前要认真核实电缆长度是否满足布设距离要求；天线电缆一直布设到安放基准站接收机的工作台边。</w:t>
            </w:r>
          </w:p>
          <w:p>
            <w:pPr>
              <w:autoSpaceDE w:val="0"/>
              <w:autoSpaceDN w:val="0"/>
              <w:adjustRightInd w:val="0"/>
              <w:spacing w:line="360" w:lineRule="auto"/>
              <w:rPr>
                <w:rFonts w:hint="eastAsia" w:ascii="宋体" w:hAnsi="宋体" w:cs="宋体"/>
                <w:color w:val="000000"/>
                <w:kern w:val="0"/>
                <w:szCs w:val="21"/>
              </w:rPr>
            </w:pPr>
            <w:r>
              <w:rPr>
                <w:rFonts w:hint="eastAsia" w:ascii="宋体" w:hAnsi="宋体" w:cs="宋体"/>
                <w:color w:val="000000"/>
                <w:kern w:val="0"/>
                <w:szCs w:val="21"/>
              </w:rPr>
              <w:t>铭牌规格及内容</w:t>
            </w:r>
          </w:p>
          <w:p>
            <w:pPr>
              <w:autoSpaceDE w:val="0"/>
              <w:autoSpaceDN w:val="0"/>
              <w:adjustRightInd w:val="0"/>
              <w:spacing w:line="360" w:lineRule="auto"/>
              <w:rPr>
                <w:rFonts w:ascii="宋体" w:hAnsi="宋体"/>
                <w:sz w:val="24"/>
                <w:szCs w:val="24"/>
              </w:rPr>
            </w:pPr>
            <w:r>
              <w:rPr>
                <w:rFonts w:hint="eastAsia" w:ascii="宋体" w:hAnsi="宋体" w:cs="宋体"/>
                <w:color w:val="000000"/>
                <w:kern w:val="0"/>
                <w:szCs w:val="21"/>
              </w:rPr>
              <w:t>采用铜质材料椭圆造型，规格高300mm，长480mm。铭牌安装在面向甬道一侧，距地面约两米高处</w:t>
            </w:r>
            <w:r>
              <w:rPr>
                <w:rFonts w:hint="eastAsia" w:ascii="仿宋" w:hAnsi="仿宋" w:eastAsia="仿宋" w:cs="宋体"/>
                <w:color w:val="000000"/>
                <w:sz w:val="28"/>
                <w:szCs w:val="28"/>
              </w:rPr>
              <w:t>。</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座</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48000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96000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许昌</w:t>
            </w:r>
          </w:p>
        </w:tc>
      </w:tr>
      <w:tr>
        <w:tblPrEx>
          <w:tblLayout w:type="fixed"/>
          <w:tblCellMar>
            <w:top w:w="0" w:type="dxa"/>
            <w:left w:w="108" w:type="dxa"/>
            <w:bottom w:w="0" w:type="dxa"/>
            <w:right w:w="108" w:type="dxa"/>
          </w:tblCellMar>
        </w:tblPrEx>
        <w:trPr>
          <w:trHeight w:val="3278"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4</w:t>
            </w:r>
          </w:p>
        </w:tc>
        <w:tc>
          <w:tcPr>
            <w:tcW w:w="930" w:type="dxa"/>
            <w:tcBorders>
              <w:top w:val="single" w:color="auto" w:sz="6" w:space="0"/>
              <w:left w:val="single" w:color="auto" w:sz="6" w:space="0"/>
              <w:bottom w:val="single" w:color="auto" w:sz="6" w:space="0"/>
              <w:right w:val="single" w:color="auto" w:sz="6" w:space="0"/>
            </w:tcBorders>
            <w:vAlign w:val="center"/>
          </w:tcPr>
          <w:p>
            <w:pPr>
              <w:spacing w:line="300" w:lineRule="exact"/>
              <w:contextualSpacing/>
              <w:jc w:val="center"/>
              <w:rPr>
                <w:rFonts w:hint="eastAsia" w:ascii="仿宋" w:hAnsi="仿宋" w:eastAsia="仿宋" w:cs="宋体"/>
                <w:color w:val="000000"/>
                <w:sz w:val="28"/>
                <w:szCs w:val="28"/>
              </w:rPr>
            </w:pPr>
          </w:p>
          <w:p>
            <w:pPr>
              <w:spacing w:line="300" w:lineRule="exact"/>
              <w:contextualSpacing/>
              <w:jc w:val="center"/>
              <w:rPr>
                <w:rFonts w:hint="eastAsia" w:ascii="仿宋" w:hAnsi="仿宋" w:eastAsia="仿宋" w:cs="宋体"/>
                <w:color w:val="000000"/>
                <w:sz w:val="28"/>
                <w:szCs w:val="28"/>
              </w:rPr>
            </w:pPr>
            <w:r>
              <w:rPr>
                <w:rFonts w:hint="eastAsia" w:ascii="宋体" w:hAnsi="宋体"/>
                <w:sz w:val="24"/>
                <w:szCs w:val="24"/>
                <w:lang w:eastAsia="zh-CN"/>
              </w:rPr>
              <w:t>防雷工程</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定制</w:t>
            </w:r>
          </w:p>
        </w:tc>
        <w:tc>
          <w:tcPr>
            <w:tcW w:w="7170" w:type="dxa"/>
            <w:tcBorders>
              <w:top w:val="single" w:color="auto" w:sz="6" w:space="0"/>
              <w:left w:val="single" w:color="auto" w:sz="6" w:space="0"/>
              <w:bottom w:val="single" w:color="auto" w:sz="6" w:space="0"/>
              <w:right w:val="single" w:color="auto" w:sz="6" w:space="0"/>
            </w:tcBorders>
            <w:vAlign w:val="top"/>
          </w:tcPr>
          <w:p>
            <w:r>
              <w:rPr>
                <w:rFonts w:hint="eastAsia"/>
              </w:rPr>
              <w:t>基准站防雷工程包括防雷地网、防雷带的铺设以及避雷针安装，应由具备专业资格的工程人员依据GB50057和GB50343标准设计和施工。</w:t>
            </w:r>
          </w:p>
          <w:p>
            <w:r>
              <w:rPr>
                <w:rFonts w:hint="eastAsia"/>
              </w:rPr>
              <w:t>避雷设备包含：电源浪涌保护器、单相电源防雷器、信号浪涌保护器、天馈浪涌保护器。</w:t>
            </w:r>
          </w:p>
          <w:p>
            <w:r>
              <w:rPr>
                <w:rFonts w:hint="eastAsia"/>
              </w:rPr>
              <w:t>负责安装接地，按GB 50343-2004标准中B级执行；</w:t>
            </w:r>
          </w:p>
          <w:p>
            <w:r>
              <w:rPr>
                <w:rFonts w:hint="eastAsia"/>
              </w:rPr>
              <w:t>避雷针设置方法</w:t>
            </w:r>
          </w:p>
          <w:p>
            <w:pPr>
              <w:jc w:val="left"/>
              <w:rPr>
                <w:rFonts w:hint="eastAsia"/>
              </w:rPr>
            </w:pPr>
            <w:r>
              <w:rPr>
                <w:rFonts w:hint="eastAsia"/>
              </w:rPr>
              <w:t>距圆柱顶</w:t>
            </w:r>
            <w:r>
              <w:t>500</w:t>
            </w:r>
            <w:r>
              <w:rPr>
                <w:rFonts w:hint="eastAsia"/>
              </w:rPr>
              <w:t>㎜处预埋钢筋头与主筋焊接，设在正北方向，拆模后与∠</w:t>
            </w:r>
            <w:r>
              <w:t>50</w:t>
            </w:r>
            <w:r>
              <w:rPr>
                <w:rFonts w:hint="eastAsia"/>
              </w:rPr>
              <w:t>mm×</w:t>
            </w:r>
            <w:r>
              <w:t>5</w:t>
            </w:r>
            <w:r>
              <w:rPr>
                <w:rFonts w:hint="eastAsia"/>
              </w:rPr>
              <w:t>mm镀锌角钢焊接，以便安装避雷针。</w:t>
            </w:r>
          </w:p>
          <w:p>
            <w:r>
              <w:rPr>
                <w:rFonts w:hint="eastAsia"/>
              </w:rPr>
              <w:t>避雷针及底座均采用不锈钢材料以免生锈。</w:t>
            </w:r>
          </w:p>
          <w:p>
            <w:pPr>
              <w:rPr>
                <w:rFonts w:ascii="宋体" w:hAnsi="宋体"/>
                <w:sz w:val="24"/>
                <w:szCs w:val="24"/>
              </w:rPr>
            </w:pPr>
            <w:r>
              <w:rPr>
                <w:rFonts w:hint="eastAsia"/>
              </w:rPr>
              <w:t>其他要求参照《技术规范》及防雷工程要求执行。</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hint="eastAsia" w:ascii="宋体" w:hAnsi="宋体" w:eastAsia="宋体"/>
                <w:sz w:val="24"/>
                <w:szCs w:val="24"/>
                <w:lang w:eastAsia="zh-CN"/>
              </w:rPr>
            </w:pPr>
            <w:r>
              <w:rPr>
                <w:rFonts w:hint="eastAsia" w:ascii="宋体" w:hAnsi="宋体"/>
                <w:sz w:val="24"/>
                <w:szCs w:val="24"/>
                <w:lang w:eastAsia="zh-CN"/>
              </w:rPr>
              <w:t>套</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ascii="宋体" w:hAnsi="宋体"/>
                <w:sz w:val="24"/>
                <w:szCs w:val="24"/>
                <w:lang w:val="en-US"/>
              </w:rPr>
            </w:pPr>
            <w:r>
              <w:rPr>
                <w:rFonts w:hint="eastAsia" w:ascii="宋体" w:hAnsi="宋体"/>
                <w:sz w:val="24"/>
                <w:szCs w:val="24"/>
                <w:lang w:val="en-US" w:eastAsia="zh-CN"/>
              </w:rPr>
              <w:t>14000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28000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hint="eastAsia" w:ascii="宋体" w:hAnsi="宋体" w:eastAsia="宋体"/>
                <w:sz w:val="24"/>
                <w:szCs w:val="24"/>
                <w:lang w:eastAsia="zh-CN"/>
              </w:rPr>
            </w:pPr>
            <w:r>
              <w:rPr>
                <w:rFonts w:hint="eastAsia" w:ascii="宋体" w:hAnsi="宋体"/>
                <w:sz w:val="24"/>
                <w:szCs w:val="24"/>
                <w:lang w:eastAsia="zh-CN"/>
              </w:rPr>
              <w:t>许昌</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5</w:t>
            </w:r>
          </w:p>
        </w:tc>
        <w:tc>
          <w:tcPr>
            <w:tcW w:w="93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jc w:val="center"/>
              <w:rPr>
                <w:rFonts w:hint="eastAsia"/>
              </w:rPr>
            </w:pPr>
          </w:p>
          <w:p>
            <w:pPr>
              <w:jc w:val="center"/>
              <w:rPr>
                <w:rFonts w:hint="eastAsia" w:ascii="仿宋" w:hAnsi="仿宋" w:eastAsia="仿宋" w:cs="宋体"/>
                <w:color w:val="000000"/>
                <w:sz w:val="28"/>
                <w:szCs w:val="28"/>
              </w:rPr>
            </w:pPr>
            <w:r>
              <w:rPr>
                <w:rFonts w:hint="eastAsia" w:ascii="宋体" w:hAnsi="宋体"/>
                <w:sz w:val="24"/>
                <w:szCs w:val="24"/>
                <w:lang w:eastAsia="zh-CN"/>
              </w:rPr>
              <w:t>通讯工程</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联通</w:t>
            </w:r>
          </w:p>
        </w:tc>
        <w:tc>
          <w:tcPr>
            <w:tcW w:w="7170" w:type="dxa"/>
            <w:tcBorders>
              <w:top w:val="single" w:color="auto" w:sz="6" w:space="0"/>
              <w:left w:val="single" w:color="auto" w:sz="6" w:space="0"/>
              <w:bottom w:val="single" w:color="auto" w:sz="6" w:space="0"/>
              <w:right w:val="single" w:color="auto" w:sz="6" w:space="0"/>
            </w:tcBorders>
            <w:vAlign w:val="top"/>
          </w:tcPr>
          <w:p>
            <w:r>
              <w:rPr>
                <w:rFonts w:hint="eastAsia"/>
              </w:rPr>
              <w:t>电力、通讯工程包括电力线、通信线等管线敷设工程，应由专业部门设计和施工。</w:t>
            </w:r>
          </w:p>
          <w:p>
            <w:r>
              <w:rPr>
                <w:rFonts w:hint="eastAsia"/>
              </w:rPr>
              <w:t>通信线路应采用</w:t>
            </w:r>
            <w:r>
              <w:rPr>
                <w:b/>
                <w:bCs/>
              </w:rPr>
              <w:t>MPLS VPN</w:t>
            </w:r>
            <w:r>
              <w:rPr>
                <w:rFonts w:hint="eastAsia"/>
              </w:rPr>
              <w:t>专网线路或采用商用密码手段加密保护后（需添加商用加密设备）进行数据传输，以单向直传方式将数据接入省级主中心。</w:t>
            </w:r>
          </w:p>
          <w:p>
            <w:r>
              <w:rPr>
                <w:rFonts w:hint="eastAsia"/>
              </w:rPr>
              <w:t>电力供应采用单相市电供电，并加装UPS。</w:t>
            </w:r>
          </w:p>
          <w:p>
            <w:pPr>
              <w:rPr>
                <w:rFonts w:ascii="宋体" w:hAnsi="宋体"/>
                <w:sz w:val="24"/>
                <w:szCs w:val="24"/>
              </w:rPr>
            </w:pPr>
            <w:r>
              <w:rPr>
                <w:rFonts w:hint="eastAsia"/>
              </w:rPr>
              <w:t>通信设备安装及调试由专业技术人员完成，安装、更新后需要详细填写《基准站通信设备登记表》</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条</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5000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10000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许昌</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6</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szCs w:val="24"/>
                <w:lang w:eastAsia="zh-CN"/>
              </w:rPr>
            </w:pPr>
          </w:p>
          <w:p>
            <w:pPr>
              <w:jc w:val="center"/>
              <w:rPr>
                <w:rFonts w:hint="eastAsia" w:ascii="仿宋" w:hAnsi="仿宋" w:eastAsia="仿宋" w:cs="宋体"/>
                <w:color w:val="000000"/>
                <w:sz w:val="28"/>
                <w:szCs w:val="28"/>
              </w:rPr>
            </w:pPr>
            <w:r>
              <w:rPr>
                <w:rFonts w:hint="eastAsia" w:ascii="宋体" w:hAnsi="宋体"/>
                <w:sz w:val="24"/>
                <w:szCs w:val="24"/>
                <w:lang w:eastAsia="zh-CN"/>
              </w:rPr>
              <w:t>UPS电源</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YK3000L</w:t>
            </w:r>
          </w:p>
        </w:tc>
        <w:tc>
          <w:tcPr>
            <w:tcW w:w="7170" w:type="dxa"/>
            <w:tcBorders>
              <w:top w:val="single" w:color="auto" w:sz="6" w:space="0"/>
              <w:left w:val="single" w:color="auto" w:sz="6" w:space="0"/>
              <w:bottom w:val="single" w:color="auto" w:sz="6" w:space="0"/>
              <w:right w:val="single" w:color="auto" w:sz="6" w:space="0"/>
            </w:tcBorders>
            <w:vAlign w:val="top"/>
          </w:tcPr>
          <w:p>
            <w:r>
              <w:t>采用在线式</w:t>
            </w:r>
            <w:r>
              <w:rPr>
                <w:rFonts w:hint="eastAsia"/>
              </w:rPr>
              <w:t>UPS电源，</w:t>
            </w:r>
            <w:r>
              <w:t>解决电网中经常发生并且对电脑和精密仪器产生干扰或破坏的九种电力问题：停电、电压下陷、突波、欠电压、过电压、切换瞬变、电子噪音、频率波动和谐波失真。</w:t>
            </w:r>
          </w:p>
          <w:p>
            <w:r>
              <w:t>额定容量</w:t>
            </w:r>
            <w:r>
              <w:rPr>
                <w:rFonts w:hint="eastAsia"/>
              </w:rPr>
              <w:t>：</w:t>
            </w:r>
            <w:r>
              <w:t>1kVA/0.8kW</w:t>
            </w:r>
          </w:p>
          <w:p>
            <w:r>
              <w:rPr>
                <w:rFonts w:hint="eastAsia"/>
              </w:rPr>
              <w:t>输入电压范围：115~300V</w:t>
            </w:r>
          </w:p>
          <w:p>
            <w:r>
              <w:rPr>
                <w:rFonts w:hint="eastAsia"/>
              </w:rPr>
              <w:t>输入频率范围：40~60Hz</w:t>
            </w:r>
          </w:p>
          <w:p>
            <w:r>
              <w:rPr>
                <w:rFonts w:hint="eastAsia"/>
              </w:rPr>
              <w:t>输出频率范围：</w:t>
            </w:r>
            <w:r>
              <w:t>与输入同步〔市电模式〕，当市电频率超出(46~54)Hz范围时，输出频率为50×(1±0.2%)Hz</w:t>
            </w:r>
          </w:p>
          <w:p>
            <w:r>
              <w:t>外接电池标称电压</w:t>
            </w:r>
            <w:r>
              <w:rPr>
                <w:rFonts w:hint="eastAsia"/>
              </w:rPr>
              <w:t>：36VDC</w:t>
            </w:r>
          </w:p>
          <w:p>
            <w:r>
              <w:t>操作环境</w:t>
            </w:r>
            <w:r>
              <w:rPr>
                <w:rFonts w:hint="eastAsia"/>
              </w:rPr>
              <w:t>：温度 0℃~40℃  湿度20%~90%</w:t>
            </w:r>
          </w:p>
          <w:p>
            <w:r>
              <w:rPr>
                <w:rFonts w:hint="eastAsia"/>
              </w:rPr>
              <w:t>抗</w:t>
            </w:r>
            <w:r>
              <w:t>低温及耐高温</w:t>
            </w:r>
            <w:r>
              <w:rPr>
                <w:rFonts w:hint="eastAsia"/>
              </w:rPr>
              <w:t>，连续</w:t>
            </w:r>
            <w:r>
              <w:t>供电</w:t>
            </w:r>
            <w:r>
              <w:rPr>
                <w:rFonts w:hint="eastAsia"/>
              </w:rPr>
              <w:t>48小时</w:t>
            </w:r>
          </w:p>
          <w:p>
            <w:pPr>
              <w:autoSpaceDE w:val="0"/>
              <w:autoSpaceDN w:val="0"/>
              <w:adjustRightInd w:val="0"/>
              <w:spacing w:line="360" w:lineRule="auto"/>
              <w:rPr>
                <w:rFonts w:ascii="宋体" w:hAnsi="宋体"/>
                <w:sz w:val="24"/>
                <w:szCs w:val="24"/>
              </w:rPr>
            </w:pPr>
            <w:r>
              <w:t>适用于服务器及外围设备、通讯、网络设备等其它精密电子设备</w:t>
            </w:r>
            <w:r>
              <w:rPr>
                <w:rFonts w:hint="eastAsia"/>
              </w:rPr>
              <w:t>。</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套</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ascii="宋体" w:hAnsi="宋体"/>
                <w:sz w:val="24"/>
                <w:szCs w:val="24"/>
                <w:lang w:val="en-US"/>
              </w:rPr>
            </w:pPr>
            <w:r>
              <w:rPr>
                <w:rFonts w:hint="eastAsia" w:ascii="宋体" w:hAnsi="宋体"/>
                <w:sz w:val="24"/>
                <w:szCs w:val="24"/>
                <w:lang w:val="en-US" w:eastAsia="zh-CN"/>
              </w:rPr>
              <w:t>4500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9000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厦门/</w:t>
            </w:r>
          </w:p>
          <w:p>
            <w:pPr>
              <w:autoSpaceDE w:val="0"/>
              <w:autoSpaceDN w:val="0"/>
              <w:adjustRightInd w:val="0"/>
              <w:spacing w:line="360" w:lineRule="auto"/>
              <w:jc w:val="center"/>
              <w:rPr>
                <w:rFonts w:ascii="宋体" w:hAnsi="宋体"/>
                <w:sz w:val="24"/>
                <w:szCs w:val="24"/>
              </w:rPr>
            </w:pPr>
            <w:r>
              <w:rPr>
                <w:rFonts w:hint="eastAsia" w:ascii="宋体" w:hAnsi="宋体"/>
                <w:sz w:val="24"/>
                <w:szCs w:val="24"/>
                <w:lang w:eastAsia="zh-CN"/>
              </w:rPr>
              <w:t>科华</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7</w:t>
            </w: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r>
              <w:rPr>
                <w:rFonts w:hint="eastAsia" w:ascii="宋体" w:hAnsi="宋体"/>
                <w:sz w:val="24"/>
                <w:szCs w:val="24"/>
                <w:lang w:eastAsia="zh-CN"/>
              </w:rPr>
              <w:t>机柜</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r>
              <w:rPr>
                <w:rFonts w:hint="eastAsia" w:ascii="宋体" w:hAnsi="宋体"/>
                <w:sz w:val="24"/>
                <w:szCs w:val="24"/>
                <w:lang w:eastAsia="zh-CN"/>
              </w:rPr>
              <w:t>G.6622.90</w:t>
            </w:r>
          </w:p>
        </w:tc>
        <w:tc>
          <w:tcPr>
            <w:tcW w:w="7170" w:type="dxa"/>
            <w:tcBorders>
              <w:top w:val="single" w:color="auto" w:sz="6" w:space="0"/>
              <w:left w:val="single" w:color="auto" w:sz="6" w:space="0"/>
              <w:bottom w:val="single" w:color="auto" w:sz="6" w:space="0"/>
              <w:right w:val="single" w:color="auto" w:sz="6" w:space="0"/>
            </w:tcBorders>
            <w:vAlign w:val="top"/>
          </w:tcPr>
          <w:p>
            <w:pPr>
              <w:rPr>
                <w:rFonts w:hint="eastAsia"/>
                <w:highlight w:val="none"/>
              </w:rPr>
            </w:pPr>
            <w:r>
              <w:rPr>
                <w:highlight w:val="none"/>
              </w:rPr>
              <w:t>室外机柜</w:t>
            </w:r>
            <w:r>
              <w:rPr>
                <w:rFonts w:hint="eastAsia"/>
                <w:highlight w:val="none"/>
              </w:rPr>
              <w:t>定制</w:t>
            </w:r>
            <w:r>
              <w:rPr>
                <w:highlight w:val="none"/>
              </w:rPr>
              <w:t>：</w:t>
            </w:r>
            <w:r>
              <w:rPr>
                <w:rFonts w:hint="eastAsia"/>
                <w:highlight w:val="none"/>
              </w:rPr>
              <w:t>600</w:t>
            </w:r>
            <w:r>
              <w:rPr>
                <w:highlight w:val="none"/>
              </w:rPr>
              <w:t>*600*1500</w:t>
            </w:r>
            <w:r>
              <w:rPr>
                <w:rFonts w:hint="eastAsia"/>
                <w:highlight w:val="none"/>
              </w:rPr>
              <w:t>（mm）</w:t>
            </w:r>
          </w:p>
          <w:p>
            <w:pPr>
              <w:autoSpaceDE w:val="0"/>
              <w:autoSpaceDN w:val="0"/>
              <w:adjustRightInd w:val="0"/>
              <w:spacing w:line="360" w:lineRule="auto"/>
              <w:rPr>
                <w:rFonts w:ascii="宋体" w:hAnsi="宋体"/>
                <w:sz w:val="24"/>
                <w:szCs w:val="24"/>
              </w:rPr>
            </w:pPr>
            <w:r>
              <w:rPr>
                <w:rFonts w:hint="eastAsia"/>
                <w:highlight w:val="none"/>
                <w:lang w:val="en-US" w:eastAsia="zh-CN"/>
              </w:rPr>
              <w:t>黑色，前门为玻璃材质。</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个</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1400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2800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深圳</w:t>
            </w:r>
            <w:r>
              <w:rPr>
                <w:rFonts w:hint="eastAsia" w:ascii="宋体" w:hAnsi="宋体"/>
                <w:sz w:val="24"/>
                <w:szCs w:val="24"/>
                <w:lang w:val="en-US" w:eastAsia="zh-CN"/>
              </w:rPr>
              <w:t>/</w:t>
            </w:r>
            <w:r>
              <w:rPr>
                <w:rFonts w:hint="eastAsia" w:ascii="宋体" w:hAnsi="宋体"/>
                <w:sz w:val="24"/>
                <w:szCs w:val="24"/>
                <w:lang w:eastAsia="zh-CN"/>
              </w:rPr>
              <w:t>图腾</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8</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szCs w:val="24"/>
                <w:lang w:eastAsia="zh-CN"/>
              </w:rPr>
            </w:pPr>
          </w:p>
          <w:p>
            <w:pPr>
              <w:jc w:val="center"/>
              <w:rPr>
                <w:rFonts w:hint="eastAsia" w:ascii="仿宋" w:hAnsi="仿宋" w:eastAsia="仿宋" w:cs="宋体"/>
                <w:color w:val="000000"/>
                <w:sz w:val="28"/>
                <w:szCs w:val="28"/>
              </w:rPr>
            </w:pPr>
            <w:r>
              <w:rPr>
                <w:rFonts w:hint="eastAsia" w:ascii="宋体" w:hAnsi="宋体"/>
                <w:sz w:val="24"/>
                <w:szCs w:val="24"/>
                <w:lang w:eastAsia="zh-CN"/>
              </w:rPr>
              <w:t>室外机房</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定制</w:t>
            </w:r>
          </w:p>
        </w:tc>
        <w:tc>
          <w:tcPr>
            <w:tcW w:w="7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rPr>
                <w:rFonts w:ascii="宋体" w:hAnsi="宋体"/>
                <w:sz w:val="24"/>
                <w:szCs w:val="24"/>
              </w:rPr>
            </w:pPr>
            <w:r>
              <w:rPr>
                <w:rFonts w:hint="eastAsia"/>
                <w:highlight w:val="none"/>
              </w:rPr>
              <w:t>建设</w:t>
            </w:r>
            <w:r>
              <w:rPr>
                <w:highlight w:val="none"/>
              </w:rPr>
              <w:t>两个</w:t>
            </w:r>
            <w:r>
              <w:rPr>
                <w:rFonts w:hint="eastAsia"/>
                <w:highlight w:val="none"/>
              </w:rPr>
              <w:t>站点</w:t>
            </w:r>
            <w:r>
              <w:rPr>
                <w:highlight w:val="none"/>
              </w:rPr>
              <w:t>的室外机房，采用砖混结构</w:t>
            </w:r>
            <w:r>
              <w:rPr>
                <w:rFonts w:hint="eastAsia"/>
                <w:highlight w:val="none"/>
              </w:rPr>
              <w:t>，</w:t>
            </w:r>
            <w:r>
              <w:rPr>
                <w:highlight w:val="none"/>
              </w:rPr>
              <w:t>面积不小于</w:t>
            </w:r>
            <w:r>
              <w:rPr>
                <w:rFonts w:hint="eastAsia"/>
                <w:highlight w:val="none"/>
              </w:rPr>
              <w:t>10㎡</w:t>
            </w:r>
            <w:r>
              <w:rPr>
                <w:highlight w:val="none"/>
              </w:rPr>
              <w:t>，配置一门一窗</w:t>
            </w:r>
            <w:r>
              <w:rPr>
                <w:rFonts w:hint="eastAsia"/>
                <w:highlight w:val="none"/>
              </w:rPr>
              <w:t>，通电通网，</w:t>
            </w:r>
            <w:r>
              <w:rPr>
                <w:highlight w:val="none"/>
              </w:rPr>
              <w:t>室外</w:t>
            </w:r>
            <w:r>
              <w:rPr>
                <w:rFonts w:hint="eastAsia"/>
                <w:highlight w:val="none"/>
              </w:rPr>
              <w:t>主体</w:t>
            </w:r>
            <w:r>
              <w:rPr>
                <w:highlight w:val="none"/>
              </w:rPr>
              <w:t>贴瓷砖装饰，室内水泥找平。屋顶</w:t>
            </w:r>
            <w:r>
              <w:rPr>
                <w:rFonts w:hint="eastAsia"/>
                <w:highlight w:val="none"/>
              </w:rPr>
              <w:t>防水</w:t>
            </w:r>
            <w:r>
              <w:rPr>
                <w:highlight w:val="none"/>
              </w:rPr>
              <w:t>等工作。</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座</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p>
          <w:p>
            <w:pPr>
              <w:pStyle w:val="2"/>
              <w:ind w:left="0" w:leftChars="0" w:firstLine="0" w:firstLineChars="0"/>
              <w:jc w:val="center"/>
              <w:rPr>
                <w:rFonts w:hint="eastAsia" w:eastAsia="宋体"/>
                <w:lang w:val="en-US" w:eastAsia="zh-CN"/>
              </w:rPr>
            </w:pPr>
            <w:r>
              <w:rPr>
                <w:rFonts w:hint="eastAsia" w:ascii="宋体" w:hAnsi="宋体"/>
                <w:sz w:val="24"/>
                <w:szCs w:val="24"/>
                <w:lang w:val="en-US" w:eastAsia="zh-CN"/>
              </w:rPr>
              <w:t>29000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p>
          <w:p>
            <w:pPr>
              <w:pStyle w:val="2"/>
              <w:jc w:val="both"/>
              <w:rPr>
                <w:rFonts w:hint="eastAsia" w:eastAsia="宋体"/>
                <w:lang w:val="en-US" w:eastAsia="zh-CN"/>
              </w:rPr>
            </w:pPr>
            <w:r>
              <w:rPr>
                <w:rFonts w:hint="eastAsia" w:ascii="宋体" w:hAnsi="宋体"/>
                <w:sz w:val="24"/>
                <w:szCs w:val="24"/>
                <w:lang w:val="en-US" w:eastAsia="zh-CN"/>
              </w:rPr>
              <w:t>58000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许昌</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9</w:t>
            </w: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仿宋" w:hAnsi="仿宋" w:eastAsia="仿宋" w:cs="宋体"/>
                <w:color w:val="000000"/>
                <w:sz w:val="28"/>
                <w:szCs w:val="28"/>
              </w:rPr>
            </w:pPr>
            <w:r>
              <w:rPr>
                <w:rFonts w:hint="eastAsia" w:ascii="宋体" w:hAnsi="宋体"/>
                <w:sz w:val="24"/>
                <w:szCs w:val="24"/>
                <w:lang w:eastAsia="zh-CN"/>
              </w:rPr>
              <w:t>台式电脑</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cs="Arial"/>
                <w:color w:val="auto"/>
                <w:sz w:val="21"/>
                <w:szCs w:val="21"/>
                <w:lang w:eastAsia="zh-CN"/>
              </w:rPr>
            </w:pPr>
          </w:p>
          <w:p>
            <w:pPr>
              <w:autoSpaceDE w:val="0"/>
              <w:autoSpaceDN w:val="0"/>
              <w:adjustRightInd w:val="0"/>
              <w:spacing w:line="360" w:lineRule="auto"/>
              <w:jc w:val="center"/>
              <w:rPr>
                <w:rFonts w:ascii="宋体" w:hAnsi="宋体"/>
                <w:sz w:val="24"/>
                <w:szCs w:val="24"/>
              </w:rPr>
            </w:pPr>
            <w:r>
              <w:rPr>
                <w:rFonts w:hint="eastAsia" w:ascii="宋体" w:hAnsi="宋体"/>
                <w:sz w:val="24"/>
                <w:szCs w:val="24"/>
                <w:lang w:eastAsia="zh-CN"/>
              </w:rPr>
              <w:t>联想</w:t>
            </w:r>
          </w:p>
        </w:tc>
        <w:tc>
          <w:tcPr>
            <w:tcW w:w="7170" w:type="dxa"/>
            <w:tcBorders>
              <w:top w:val="single" w:color="auto" w:sz="6" w:space="0"/>
              <w:left w:val="single" w:color="auto" w:sz="6" w:space="0"/>
              <w:bottom w:val="single" w:color="auto" w:sz="6" w:space="0"/>
              <w:right w:val="single" w:color="auto" w:sz="6" w:space="0"/>
            </w:tcBorders>
            <w:vAlign w:val="top"/>
          </w:tcPr>
          <w:p>
            <w:pPr>
              <w:rPr>
                <w:rFonts w:hint="eastAsia"/>
                <w:highlight w:val="none"/>
                <w:lang w:val="en-US" w:eastAsia="zh-CN"/>
              </w:rPr>
            </w:pPr>
            <w:r>
              <w:rPr>
                <w:rFonts w:hint="eastAsia"/>
                <w:highlight w:val="none"/>
                <w:lang w:eastAsia="zh-CN"/>
              </w:rPr>
              <w:t>处理器英特尔酷睿</w:t>
            </w:r>
            <w:r>
              <w:rPr>
                <w:rFonts w:hint="eastAsia"/>
                <w:highlight w:val="none"/>
                <w:lang w:val="en-US" w:eastAsia="zh-CN"/>
              </w:rPr>
              <w:t>i3-7100U</w:t>
            </w:r>
          </w:p>
          <w:p>
            <w:pPr>
              <w:rPr>
                <w:rFonts w:hint="eastAsia"/>
                <w:highlight w:val="none"/>
                <w:lang w:val="en-US" w:eastAsia="zh-CN"/>
              </w:rPr>
            </w:pPr>
            <w:r>
              <w:rPr>
                <w:rFonts w:hint="eastAsia"/>
                <w:highlight w:val="none"/>
                <w:lang w:val="en-US" w:eastAsia="zh-CN"/>
              </w:rPr>
              <w:t>内存8GB DDR42133MHZ</w:t>
            </w:r>
          </w:p>
          <w:p>
            <w:pPr>
              <w:rPr>
                <w:rFonts w:hint="eastAsia"/>
                <w:highlight w:val="none"/>
                <w:lang w:val="en-US" w:eastAsia="zh-CN"/>
              </w:rPr>
            </w:pPr>
            <w:r>
              <w:rPr>
                <w:rFonts w:hint="eastAsia"/>
                <w:highlight w:val="none"/>
                <w:lang w:val="en-US" w:eastAsia="zh-CN"/>
              </w:rPr>
              <w:t>显示器23.8英寸</w:t>
            </w:r>
          </w:p>
          <w:p>
            <w:pPr>
              <w:rPr>
                <w:rFonts w:hint="eastAsia"/>
                <w:highlight w:val="none"/>
                <w:lang w:val="en-US" w:eastAsia="zh-CN"/>
              </w:rPr>
            </w:pPr>
            <w:r>
              <w:rPr>
                <w:rFonts w:hint="eastAsia"/>
                <w:highlight w:val="none"/>
                <w:lang w:val="en-US" w:eastAsia="zh-CN"/>
              </w:rPr>
              <w:t>存储IT硬盘5400转</w:t>
            </w:r>
          </w:p>
          <w:p>
            <w:pPr>
              <w:rPr>
                <w:rFonts w:hint="eastAsia"/>
                <w:highlight w:val="none"/>
                <w:lang w:val="en-US" w:eastAsia="zh-CN"/>
              </w:rPr>
            </w:pPr>
            <w:r>
              <w:rPr>
                <w:rFonts w:hint="eastAsia"/>
                <w:highlight w:val="none"/>
                <w:lang w:val="en-US" w:eastAsia="zh-CN"/>
              </w:rPr>
              <w:t>系统Windows中文版</w:t>
            </w:r>
          </w:p>
          <w:p>
            <w:pPr>
              <w:autoSpaceDE w:val="0"/>
              <w:autoSpaceDN w:val="0"/>
              <w:adjustRightInd w:val="0"/>
              <w:spacing w:line="360" w:lineRule="auto"/>
              <w:rPr>
                <w:rFonts w:ascii="宋体" w:hAnsi="宋体"/>
                <w:sz w:val="24"/>
                <w:szCs w:val="24"/>
              </w:rPr>
            </w:pPr>
            <w:r>
              <w:rPr>
                <w:rFonts w:hint="eastAsia"/>
                <w:highlight w:val="none"/>
                <w:lang w:val="en-US" w:eastAsia="zh-CN"/>
              </w:rPr>
              <w:t>显卡GTX960M 4G独显</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台</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5500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11000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both"/>
              <w:rPr>
                <w:rFonts w:ascii="宋体" w:hAnsi="宋体"/>
                <w:sz w:val="24"/>
                <w:szCs w:val="24"/>
              </w:rPr>
            </w:pPr>
            <w:r>
              <w:rPr>
                <w:rFonts w:hint="eastAsia" w:ascii="宋体" w:hAnsi="宋体" w:cs="Arial"/>
                <w:color w:val="auto"/>
                <w:sz w:val="21"/>
                <w:szCs w:val="21"/>
                <w:lang w:eastAsia="zh-CN"/>
              </w:rPr>
              <w:t>北京</w:t>
            </w:r>
            <w:r>
              <w:rPr>
                <w:rFonts w:hint="eastAsia" w:ascii="宋体" w:hAnsi="宋体" w:cs="Arial"/>
                <w:color w:val="auto"/>
                <w:sz w:val="21"/>
                <w:szCs w:val="21"/>
                <w:lang w:val="en-US" w:eastAsia="zh-CN"/>
              </w:rPr>
              <w:t>/</w:t>
            </w:r>
            <w:r>
              <w:rPr>
                <w:rFonts w:hint="eastAsia" w:ascii="宋体" w:hAnsi="宋体" w:cs="Arial"/>
                <w:color w:val="auto"/>
                <w:sz w:val="21"/>
                <w:szCs w:val="21"/>
                <w:lang w:eastAsia="zh-CN"/>
              </w:rPr>
              <w:t>联想</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10</w:t>
            </w:r>
          </w:p>
        </w:tc>
        <w:tc>
          <w:tcPr>
            <w:tcW w:w="930" w:type="dxa"/>
            <w:tcBorders>
              <w:top w:val="single" w:color="auto" w:sz="6" w:space="0"/>
              <w:left w:val="single" w:color="auto" w:sz="6" w:space="0"/>
              <w:bottom w:val="single" w:color="auto" w:sz="6" w:space="0"/>
              <w:right w:val="single" w:color="auto" w:sz="6" w:space="0"/>
            </w:tcBorders>
            <w:vAlign w:val="top"/>
          </w:tcPr>
          <w:p>
            <w:pPr>
              <w:jc w:val="both"/>
              <w:rPr>
                <w:rFonts w:hint="eastAsia" w:ascii="宋体" w:hAnsi="宋体"/>
                <w:sz w:val="24"/>
                <w:szCs w:val="24"/>
                <w:lang w:eastAsia="zh-CN"/>
              </w:rPr>
            </w:pPr>
          </w:p>
          <w:p>
            <w:pPr>
              <w:jc w:val="center"/>
              <w:rPr>
                <w:rFonts w:hint="eastAsia" w:ascii="仿宋" w:hAnsi="仿宋" w:eastAsia="仿宋" w:cs="宋体"/>
                <w:color w:val="000000"/>
                <w:sz w:val="28"/>
                <w:szCs w:val="28"/>
              </w:rPr>
            </w:pPr>
            <w:r>
              <w:rPr>
                <w:rFonts w:hint="eastAsia" w:ascii="宋体" w:hAnsi="宋体"/>
                <w:sz w:val="24"/>
                <w:szCs w:val="24"/>
                <w:lang w:eastAsia="zh-CN"/>
              </w:rPr>
              <w:t>防盗门</w:t>
            </w:r>
          </w:p>
        </w:tc>
        <w:tc>
          <w:tcPr>
            <w:tcW w:w="8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sz w:val="24"/>
                <w:szCs w:val="24"/>
                <w:lang w:eastAsia="zh-CN"/>
              </w:rPr>
            </w:pPr>
          </w:p>
          <w:p>
            <w:pPr>
              <w:autoSpaceDE w:val="0"/>
              <w:autoSpaceDN w:val="0"/>
              <w:adjustRightInd w:val="0"/>
              <w:spacing w:line="360" w:lineRule="auto"/>
              <w:rPr>
                <w:rFonts w:hint="eastAsia" w:ascii="宋体" w:hAnsi="宋体" w:eastAsia="宋体"/>
                <w:sz w:val="24"/>
                <w:szCs w:val="24"/>
                <w:lang w:eastAsia="zh-CN"/>
              </w:rPr>
            </w:pPr>
            <w:r>
              <w:rPr>
                <w:rFonts w:hint="eastAsia" w:ascii="宋体" w:hAnsi="宋体"/>
                <w:sz w:val="24"/>
                <w:szCs w:val="24"/>
                <w:lang w:eastAsia="zh-CN"/>
              </w:rPr>
              <w:t>定制</w:t>
            </w:r>
          </w:p>
        </w:tc>
        <w:tc>
          <w:tcPr>
            <w:tcW w:w="7170" w:type="dxa"/>
            <w:tcBorders>
              <w:top w:val="single" w:color="auto" w:sz="6" w:space="0"/>
              <w:left w:val="single" w:color="auto" w:sz="6" w:space="0"/>
              <w:bottom w:val="single" w:color="auto" w:sz="6" w:space="0"/>
              <w:right w:val="single" w:color="auto" w:sz="6" w:space="0"/>
            </w:tcBorders>
            <w:vAlign w:val="top"/>
          </w:tcPr>
          <w:p>
            <w:pPr>
              <w:jc w:val="left"/>
              <w:rPr>
                <w:rFonts w:hint="eastAsia"/>
                <w:highlight w:val="none"/>
                <w:lang w:val="en-US" w:eastAsia="zh-CN"/>
              </w:rPr>
            </w:pPr>
            <w:r>
              <w:rPr>
                <w:rFonts w:hint="eastAsia"/>
                <w:highlight w:val="none"/>
                <w:lang w:val="en-US" w:eastAsia="zh-CN"/>
              </w:rPr>
              <w:t>甲级防盗进户门</w:t>
            </w:r>
          </w:p>
          <w:p>
            <w:pPr>
              <w:jc w:val="left"/>
              <w:rPr>
                <w:rFonts w:hint="eastAsia"/>
                <w:highlight w:val="none"/>
                <w:lang w:val="en-US" w:eastAsia="zh-CN"/>
              </w:rPr>
            </w:pPr>
            <w:r>
              <w:rPr>
                <w:rFonts w:hint="eastAsia"/>
                <w:highlight w:val="none"/>
                <w:lang w:val="en-US" w:eastAsia="zh-CN"/>
              </w:rPr>
              <w:t>锌铁合金禁盗锁芯</w:t>
            </w:r>
          </w:p>
          <w:p>
            <w:pPr>
              <w:autoSpaceDE w:val="0"/>
              <w:autoSpaceDN w:val="0"/>
              <w:adjustRightInd w:val="0"/>
              <w:spacing w:line="360" w:lineRule="auto"/>
              <w:rPr>
                <w:rFonts w:ascii="宋体" w:hAnsi="宋体"/>
                <w:sz w:val="24"/>
                <w:szCs w:val="24"/>
              </w:rPr>
            </w:pPr>
            <w:r>
              <w:rPr>
                <w:rFonts w:hint="eastAsia"/>
                <w:highlight w:val="none"/>
                <w:lang w:val="en-US" w:eastAsia="zh-CN"/>
              </w:rPr>
              <w:t>门厚1.0 门框2.0</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center"/>
              <w:rPr>
                <w:rFonts w:hint="eastAsia" w:ascii="宋体" w:hAnsi="宋体" w:eastAsia="宋体"/>
                <w:sz w:val="24"/>
                <w:szCs w:val="24"/>
                <w:lang w:eastAsia="zh-CN"/>
              </w:rPr>
            </w:pPr>
            <w:r>
              <w:rPr>
                <w:rFonts w:hint="eastAsia" w:ascii="宋体" w:hAnsi="宋体"/>
                <w:sz w:val="24"/>
                <w:szCs w:val="24"/>
                <w:lang w:eastAsia="zh-CN"/>
              </w:rPr>
              <w:t>扇</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val="en-US" w:eastAsia="zh-CN"/>
              </w:rPr>
            </w:pPr>
          </w:p>
          <w:p>
            <w:pPr>
              <w:autoSpaceDE w:val="0"/>
              <w:autoSpaceDN w:val="0"/>
              <w:adjustRightIn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p>
          <w:p>
            <w:pPr>
              <w:pStyle w:val="2"/>
              <w:ind w:left="0" w:leftChars="0" w:firstLine="0" w:firstLineChars="0"/>
              <w:jc w:val="center"/>
              <w:rPr>
                <w:rFonts w:hint="eastAsia" w:eastAsia="宋体"/>
                <w:lang w:val="en-US" w:eastAsia="zh-CN"/>
              </w:rPr>
            </w:pPr>
            <w:r>
              <w:rPr>
                <w:rFonts w:hint="eastAsia" w:ascii="宋体" w:hAnsi="宋体"/>
                <w:sz w:val="24"/>
                <w:szCs w:val="24"/>
                <w:lang w:val="en-US" w:eastAsia="zh-CN"/>
              </w:rPr>
              <w:t>2500</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p>
          <w:p>
            <w:pPr>
              <w:pStyle w:val="2"/>
              <w:ind w:left="0" w:leftChars="0" w:firstLine="0" w:firstLineChars="0"/>
              <w:jc w:val="center"/>
              <w:rPr>
                <w:rFonts w:hint="eastAsia" w:eastAsia="宋体"/>
                <w:lang w:val="en-US" w:eastAsia="zh-CN"/>
              </w:rPr>
            </w:pPr>
            <w:r>
              <w:rPr>
                <w:rFonts w:hint="eastAsia" w:ascii="宋体" w:hAnsi="宋体"/>
                <w:sz w:val="24"/>
                <w:szCs w:val="24"/>
                <w:lang w:val="en-US" w:eastAsia="zh-CN"/>
              </w:rPr>
              <w:t>5000</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sz w:val="24"/>
                <w:szCs w:val="24"/>
                <w:lang w:eastAsia="zh-CN"/>
              </w:rPr>
            </w:pPr>
          </w:p>
          <w:p>
            <w:pPr>
              <w:autoSpaceDE w:val="0"/>
              <w:autoSpaceDN w:val="0"/>
              <w:adjustRightInd w:val="0"/>
              <w:spacing w:line="360" w:lineRule="auto"/>
              <w:jc w:val="both"/>
              <w:rPr>
                <w:rFonts w:hint="eastAsia" w:ascii="宋体" w:hAnsi="宋体" w:eastAsia="宋体"/>
                <w:sz w:val="24"/>
                <w:szCs w:val="24"/>
                <w:lang w:eastAsia="zh-CN"/>
              </w:rPr>
            </w:pPr>
            <w:r>
              <w:rPr>
                <w:rFonts w:hint="eastAsia" w:ascii="宋体" w:hAnsi="宋体"/>
                <w:sz w:val="24"/>
                <w:szCs w:val="24"/>
                <w:lang w:eastAsia="zh-CN"/>
              </w:rPr>
              <w:t>许昌</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11</w:t>
            </w:r>
          </w:p>
        </w:tc>
        <w:tc>
          <w:tcPr>
            <w:tcW w:w="930" w:type="dxa"/>
            <w:tcBorders>
              <w:top w:val="single" w:color="auto" w:sz="6" w:space="0"/>
              <w:left w:val="single" w:color="auto" w:sz="6" w:space="0"/>
              <w:bottom w:val="single" w:color="auto" w:sz="6" w:space="0"/>
              <w:right w:val="single" w:color="auto" w:sz="6" w:space="0"/>
            </w:tcBorders>
            <w:vAlign w:val="top"/>
          </w:tcPr>
          <w:p>
            <w:pPr>
              <w:jc w:val="center"/>
              <w:rPr>
                <w:rFonts w:hint="eastAsia" w:ascii="宋体" w:hAnsi="宋体"/>
                <w:sz w:val="24"/>
                <w:szCs w:val="24"/>
                <w:lang w:eastAsia="zh-CN"/>
              </w:rPr>
            </w:pPr>
          </w:p>
          <w:p>
            <w:pPr>
              <w:jc w:val="center"/>
              <w:rPr>
                <w:rFonts w:hint="eastAsia" w:ascii="仿宋" w:hAnsi="仿宋" w:eastAsia="仿宋" w:cs="宋体"/>
                <w:color w:val="000000"/>
                <w:sz w:val="28"/>
                <w:szCs w:val="28"/>
              </w:rPr>
            </w:pPr>
            <w:r>
              <w:rPr>
                <w:rFonts w:hint="eastAsia" w:ascii="宋体" w:hAnsi="宋体"/>
                <w:sz w:val="24"/>
                <w:szCs w:val="24"/>
                <w:lang w:eastAsia="zh-CN"/>
              </w:rPr>
              <w:t>防盗窗</w:t>
            </w:r>
          </w:p>
        </w:tc>
        <w:tc>
          <w:tcPr>
            <w:tcW w:w="8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sz w:val="24"/>
                <w:szCs w:val="24"/>
                <w:lang w:eastAsia="zh-CN"/>
              </w:rPr>
            </w:pPr>
          </w:p>
          <w:p>
            <w:pPr>
              <w:autoSpaceDE w:val="0"/>
              <w:autoSpaceDN w:val="0"/>
              <w:adjustRightInd w:val="0"/>
              <w:spacing w:line="360" w:lineRule="auto"/>
              <w:rPr>
                <w:rFonts w:hint="eastAsia" w:ascii="宋体" w:hAnsi="宋体" w:eastAsia="宋体"/>
                <w:sz w:val="24"/>
                <w:szCs w:val="24"/>
                <w:lang w:eastAsia="zh-CN"/>
              </w:rPr>
            </w:pPr>
            <w:r>
              <w:rPr>
                <w:rFonts w:hint="eastAsia" w:ascii="宋体" w:hAnsi="宋体"/>
                <w:sz w:val="24"/>
                <w:szCs w:val="24"/>
                <w:lang w:eastAsia="zh-CN"/>
              </w:rPr>
              <w:t>定制</w:t>
            </w:r>
          </w:p>
        </w:tc>
        <w:tc>
          <w:tcPr>
            <w:tcW w:w="7170" w:type="dxa"/>
            <w:tcBorders>
              <w:top w:val="single" w:color="auto" w:sz="6" w:space="0"/>
              <w:left w:val="single" w:color="auto" w:sz="6" w:space="0"/>
              <w:bottom w:val="single" w:color="auto" w:sz="6" w:space="0"/>
              <w:right w:val="single" w:color="auto" w:sz="6" w:space="0"/>
            </w:tcBorders>
            <w:vAlign w:val="top"/>
          </w:tcPr>
          <w:p>
            <w:pPr>
              <w:rPr>
                <w:rFonts w:hint="eastAsia"/>
                <w:highlight w:val="none"/>
                <w:lang w:val="en-US" w:eastAsia="zh-CN"/>
              </w:rPr>
            </w:pPr>
            <w:r>
              <w:rPr>
                <w:rFonts w:hint="eastAsia"/>
                <w:highlight w:val="none"/>
                <w:lang w:val="en-US" w:eastAsia="zh-CN"/>
              </w:rPr>
              <w:t>材料：不锈钢</w:t>
            </w:r>
          </w:p>
          <w:p>
            <w:pPr>
              <w:rPr>
                <w:rFonts w:hint="eastAsia"/>
                <w:highlight w:val="none"/>
                <w:lang w:val="en-US" w:eastAsia="zh-CN"/>
              </w:rPr>
            </w:pPr>
            <w:r>
              <w:rPr>
                <w:rFonts w:hint="eastAsia"/>
                <w:highlight w:val="none"/>
                <w:lang w:val="en-US" w:eastAsia="zh-CN"/>
              </w:rPr>
              <w:t>窗户打开方式：外开下悬</w:t>
            </w:r>
          </w:p>
          <w:p>
            <w:pPr>
              <w:autoSpaceDE w:val="0"/>
              <w:autoSpaceDN w:val="0"/>
              <w:adjustRightInd w:val="0"/>
              <w:spacing w:line="360" w:lineRule="auto"/>
              <w:rPr>
                <w:rFonts w:ascii="宋体" w:hAnsi="宋体"/>
                <w:sz w:val="24"/>
                <w:szCs w:val="24"/>
              </w:rPr>
            </w:pPr>
            <w:r>
              <w:rPr>
                <w:rFonts w:hint="eastAsia"/>
                <w:highlight w:val="none"/>
                <w:lang w:val="en-US" w:eastAsia="zh-CN"/>
              </w:rPr>
              <w:t>国标204经济加厚型</w:t>
            </w:r>
          </w:p>
        </w:tc>
        <w:tc>
          <w:tcPr>
            <w:tcW w:w="52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sz w:val="24"/>
                <w:szCs w:val="24"/>
                <w:lang w:eastAsia="zh-CN"/>
              </w:rPr>
            </w:pPr>
          </w:p>
          <w:p>
            <w:pPr>
              <w:autoSpaceDE w:val="0"/>
              <w:autoSpaceDN w:val="0"/>
              <w:adjustRightInd w:val="0"/>
              <w:spacing w:line="360" w:lineRule="auto"/>
              <w:rPr>
                <w:rFonts w:hint="eastAsia" w:ascii="宋体" w:hAnsi="宋体" w:eastAsia="宋体"/>
                <w:sz w:val="24"/>
                <w:szCs w:val="24"/>
                <w:lang w:eastAsia="zh-CN"/>
              </w:rPr>
            </w:pPr>
            <w:r>
              <w:rPr>
                <w:rFonts w:hint="eastAsia" w:ascii="宋体" w:hAnsi="宋体"/>
                <w:sz w:val="24"/>
                <w:szCs w:val="24"/>
                <w:lang w:eastAsia="zh-CN"/>
              </w:rPr>
              <w:t>个</w:t>
            </w:r>
          </w:p>
        </w:tc>
        <w:tc>
          <w:tcPr>
            <w:tcW w:w="57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sz w:val="24"/>
                <w:szCs w:val="24"/>
                <w:lang w:val="en-US" w:eastAsia="zh-CN"/>
              </w:rPr>
            </w:pPr>
          </w:p>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pPr>
          </w:p>
          <w:p>
            <w:pPr>
              <w:pStyle w:val="2"/>
              <w:rPr>
                <w:rFonts w:hint="eastAsia" w:eastAsia="宋体"/>
                <w:lang w:val="en-US" w:eastAsia="zh-CN"/>
              </w:rPr>
            </w:pPr>
            <w:r>
              <w:rPr>
                <w:rFonts w:hint="eastAsia" w:ascii="宋体" w:hAnsi="宋体"/>
                <w:sz w:val="24"/>
                <w:szCs w:val="24"/>
                <w:lang w:val="en-US" w:eastAsia="zh-CN"/>
              </w:rPr>
              <w:t>2500</w:t>
            </w: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pPr>
          </w:p>
          <w:p>
            <w:pPr>
              <w:pStyle w:val="2"/>
              <w:rPr>
                <w:rFonts w:hint="eastAsia" w:eastAsia="宋体"/>
                <w:lang w:val="en-US" w:eastAsia="zh-CN"/>
              </w:rPr>
            </w:pPr>
            <w:r>
              <w:rPr>
                <w:rFonts w:hint="eastAsia" w:ascii="宋体" w:hAnsi="宋体"/>
                <w:sz w:val="24"/>
                <w:szCs w:val="24"/>
                <w:lang w:val="en-US" w:eastAsia="zh-CN"/>
              </w:rPr>
              <w:t>5000</w:t>
            </w:r>
          </w:p>
        </w:tc>
        <w:tc>
          <w:tcPr>
            <w:tcW w:w="85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sz w:val="24"/>
                <w:szCs w:val="24"/>
                <w:lang w:eastAsia="zh-CN"/>
              </w:rPr>
            </w:pPr>
          </w:p>
          <w:p>
            <w:pPr>
              <w:autoSpaceDE w:val="0"/>
              <w:autoSpaceDN w:val="0"/>
              <w:adjustRightInd w:val="0"/>
              <w:spacing w:line="360" w:lineRule="auto"/>
              <w:rPr>
                <w:rFonts w:hint="eastAsia" w:ascii="宋体" w:hAnsi="宋体" w:eastAsia="宋体"/>
                <w:sz w:val="24"/>
                <w:szCs w:val="24"/>
                <w:lang w:eastAsia="zh-CN"/>
              </w:rPr>
            </w:pPr>
            <w:r>
              <w:rPr>
                <w:rFonts w:hint="eastAsia" w:ascii="宋体" w:hAnsi="宋体"/>
                <w:sz w:val="24"/>
                <w:szCs w:val="24"/>
                <w:lang w:eastAsia="zh-CN"/>
              </w:rPr>
              <w:t>许昌</w:t>
            </w:r>
          </w:p>
        </w:tc>
      </w:tr>
      <w:tr>
        <w:tblPrEx>
          <w:tblLayout w:type="fixed"/>
          <w:tblCellMar>
            <w:top w:w="0" w:type="dxa"/>
            <w:left w:w="108" w:type="dxa"/>
            <w:bottom w:w="0" w:type="dxa"/>
            <w:right w:w="108" w:type="dxa"/>
          </w:tblCellMar>
        </w:tblPrEx>
        <w:trPr>
          <w:trHeight w:val="851"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lang w:val="en-US" w:eastAsia="zh-CN"/>
              </w:rPr>
            </w:pPr>
            <w:r>
              <w:rPr>
                <w:rFonts w:hint="eastAsia"/>
                <w:lang w:val="en-US" w:eastAsia="zh-CN"/>
              </w:rPr>
              <w:t>12</w:t>
            </w:r>
          </w:p>
        </w:tc>
        <w:tc>
          <w:tcPr>
            <w:tcW w:w="930" w:type="dxa"/>
            <w:tcBorders>
              <w:top w:val="single" w:color="auto" w:sz="6" w:space="0"/>
              <w:left w:val="single" w:color="auto" w:sz="6" w:space="0"/>
              <w:bottom w:val="single" w:color="auto" w:sz="6" w:space="0"/>
              <w:right w:val="single" w:color="auto" w:sz="6" w:space="0"/>
            </w:tcBorders>
            <w:vAlign w:val="top"/>
          </w:tcPr>
          <w:p>
            <w:pPr>
              <w:jc w:val="center"/>
              <w:rPr>
                <w:rFonts w:hint="eastAsia" w:ascii="宋体" w:hAnsi="宋体"/>
                <w:sz w:val="24"/>
                <w:szCs w:val="24"/>
                <w:lang w:eastAsia="zh-CN"/>
              </w:rPr>
            </w:pPr>
          </w:p>
          <w:p>
            <w:pPr>
              <w:jc w:val="center"/>
              <w:rPr>
                <w:rFonts w:hint="eastAsia" w:ascii="仿宋" w:hAnsi="仿宋" w:eastAsia="仿宋" w:cs="宋体"/>
                <w:color w:val="000000"/>
                <w:sz w:val="28"/>
                <w:szCs w:val="28"/>
              </w:rPr>
            </w:pPr>
            <w:r>
              <w:rPr>
                <w:rFonts w:hint="eastAsia" w:ascii="宋体" w:hAnsi="宋体"/>
                <w:sz w:val="24"/>
                <w:szCs w:val="24"/>
                <w:lang w:eastAsia="zh-CN"/>
              </w:rPr>
              <w:t>消</w:t>
            </w:r>
            <w:r>
              <w:rPr>
                <w:rFonts w:hint="eastAsia" w:ascii="宋体" w:hAnsi="宋体"/>
                <w:sz w:val="24"/>
                <w:szCs w:val="24"/>
                <w:lang w:val="en-US" w:eastAsia="zh-CN"/>
              </w:rPr>
              <w:t xml:space="preserve"> </w:t>
            </w:r>
            <w:r>
              <w:rPr>
                <w:rFonts w:hint="eastAsia" w:ascii="宋体" w:hAnsi="宋体"/>
                <w:sz w:val="24"/>
                <w:szCs w:val="24"/>
                <w:lang w:eastAsia="zh-CN"/>
              </w:rPr>
              <w:t>防器</w:t>
            </w:r>
            <w:r>
              <w:rPr>
                <w:rFonts w:hint="eastAsia" w:ascii="宋体" w:hAnsi="宋体"/>
                <w:sz w:val="24"/>
                <w:szCs w:val="24"/>
                <w:lang w:val="en-US" w:eastAsia="zh-CN"/>
              </w:rPr>
              <w:t xml:space="preserve"> </w:t>
            </w:r>
            <w:r>
              <w:rPr>
                <w:rFonts w:hint="eastAsia" w:ascii="宋体" w:hAnsi="宋体"/>
                <w:sz w:val="24"/>
                <w:szCs w:val="24"/>
                <w:lang w:eastAsia="zh-CN"/>
              </w:rPr>
              <w:t>材</w:t>
            </w:r>
          </w:p>
        </w:tc>
        <w:tc>
          <w:tcPr>
            <w:tcW w:w="8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sz w:val="24"/>
                <w:szCs w:val="24"/>
                <w:lang w:eastAsia="zh-CN"/>
              </w:rPr>
            </w:pPr>
            <w:r>
              <w:rPr>
                <w:rFonts w:hint="eastAsia" w:ascii="宋体" w:hAnsi="宋体"/>
                <w:sz w:val="24"/>
                <w:szCs w:val="24"/>
                <w:lang w:eastAsia="zh-CN"/>
              </w:rPr>
              <w:t>灭火器组合箱</w:t>
            </w:r>
          </w:p>
        </w:tc>
        <w:tc>
          <w:tcPr>
            <w:tcW w:w="7170" w:type="dxa"/>
            <w:tcBorders>
              <w:top w:val="single" w:color="auto" w:sz="6" w:space="0"/>
              <w:left w:val="single" w:color="auto" w:sz="6" w:space="0"/>
              <w:bottom w:val="single" w:color="auto" w:sz="6" w:space="0"/>
              <w:right w:val="single" w:color="auto" w:sz="6" w:space="0"/>
            </w:tcBorders>
            <w:vAlign w:val="top"/>
          </w:tcPr>
          <w:p>
            <w:pPr>
              <w:jc w:val="left"/>
              <w:rPr>
                <w:rFonts w:hint="eastAsia"/>
                <w:highlight w:val="none"/>
                <w:lang w:val="en-US" w:eastAsia="zh-CN"/>
              </w:rPr>
            </w:pPr>
            <w:r>
              <w:rPr>
                <w:rFonts w:hint="eastAsia"/>
                <w:highlight w:val="none"/>
                <w:lang w:val="en-US" w:eastAsia="zh-CN"/>
              </w:rPr>
              <w:t>灭火器箱一个内含有2个3公斤干粉灭火器</w:t>
            </w:r>
          </w:p>
          <w:p>
            <w:pPr>
              <w:autoSpaceDE w:val="0"/>
              <w:autoSpaceDN w:val="0"/>
              <w:adjustRightInd w:val="0"/>
              <w:spacing w:line="360" w:lineRule="auto"/>
              <w:rPr>
                <w:rFonts w:ascii="宋体" w:hAnsi="宋体"/>
                <w:sz w:val="24"/>
                <w:szCs w:val="24"/>
              </w:rPr>
            </w:pPr>
            <w:r>
              <w:rPr>
                <w:rFonts w:hint="eastAsia"/>
                <w:highlight w:val="none"/>
                <w:lang w:val="en-US" w:eastAsia="zh-CN"/>
              </w:rPr>
              <w:t>净重2KG高36cm直径11.2cm</w:t>
            </w:r>
          </w:p>
        </w:tc>
        <w:tc>
          <w:tcPr>
            <w:tcW w:w="52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sz w:val="24"/>
                <w:szCs w:val="24"/>
                <w:lang w:eastAsia="zh-CN"/>
              </w:rPr>
            </w:pPr>
          </w:p>
          <w:p>
            <w:pPr>
              <w:autoSpaceDE w:val="0"/>
              <w:autoSpaceDN w:val="0"/>
              <w:adjustRightInd w:val="0"/>
              <w:spacing w:line="360" w:lineRule="auto"/>
              <w:rPr>
                <w:rFonts w:hint="eastAsia" w:ascii="宋体" w:hAnsi="宋体" w:eastAsia="宋体"/>
                <w:sz w:val="24"/>
                <w:szCs w:val="24"/>
                <w:lang w:eastAsia="zh-CN"/>
              </w:rPr>
            </w:pPr>
            <w:r>
              <w:rPr>
                <w:rFonts w:hint="eastAsia" w:ascii="宋体" w:hAnsi="宋体"/>
                <w:sz w:val="24"/>
                <w:szCs w:val="24"/>
                <w:lang w:eastAsia="zh-CN"/>
              </w:rPr>
              <w:t>套</w:t>
            </w:r>
          </w:p>
        </w:tc>
        <w:tc>
          <w:tcPr>
            <w:tcW w:w="57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sz w:val="24"/>
                <w:szCs w:val="24"/>
                <w:lang w:val="en-US" w:eastAsia="zh-CN"/>
              </w:rPr>
            </w:pPr>
          </w:p>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pPr>
          </w:p>
          <w:p>
            <w:pPr>
              <w:pStyle w:val="2"/>
              <w:rPr>
                <w:rFonts w:hint="eastAsia" w:eastAsia="宋体"/>
                <w:lang w:val="en-US" w:eastAsia="zh-CN"/>
              </w:rPr>
            </w:pPr>
            <w:r>
              <w:rPr>
                <w:rFonts w:hint="eastAsia" w:ascii="宋体" w:hAnsi="宋体"/>
                <w:sz w:val="24"/>
                <w:szCs w:val="24"/>
                <w:lang w:val="en-US" w:eastAsia="zh-CN"/>
              </w:rPr>
              <w:t>500</w:t>
            </w: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lang w:val="en-US" w:eastAsia="zh-CN"/>
              </w:rPr>
            </w:pPr>
          </w:p>
          <w:p>
            <w:pPr>
              <w:pStyle w:val="2"/>
              <w:rPr>
                <w:rFonts w:hint="eastAsia"/>
                <w:lang w:val="en-US" w:eastAsia="zh-CN"/>
              </w:rPr>
            </w:pPr>
            <w:r>
              <w:rPr>
                <w:rFonts w:hint="eastAsia" w:ascii="宋体" w:hAnsi="宋体"/>
                <w:sz w:val="24"/>
                <w:szCs w:val="24"/>
                <w:lang w:val="en-US" w:eastAsia="zh-CN"/>
              </w:rPr>
              <w:t>1000</w:t>
            </w:r>
          </w:p>
        </w:tc>
        <w:tc>
          <w:tcPr>
            <w:tcW w:w="85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上海</w:t>
            </w:r>
            <w:r>
              <w:rPr>
                <w:rFonts w:hint="eastAsia" w:ascii="宋体" w:hAnsi="宋体"/>
                <w:sz w:val="24"/>
                <w:szCs w:val="24"/>
                <w:lang w:val="en-US" w:eastAsia="zh-CN"/>
              </w:rPr>
              <w:t>/</w:t>
            </w:r>
            <w:r>
              <w:rPr>
                <w:rFonts w:hint="eastAsia" w:ascii="宋体" w:hAnsi="宋体"/>
                <w:sz w:val="24"/>
                <w:szCs w:val="24"/>
                <w:lang w:eastAsia="zh-CN"/>
              </w:rPr>
              <w:t>雨之凰</w:t>
            </w:r>
          </w:p>
        </w:tc>
      </w:tr>
      <w:tr>
        <w:tblPrEx>
          <w:tblLayout w:type="fixed"/>
          <w:tblCellMar>
            <w:top w:w="0" w:type="dxa"/>
            <w:left w:w="108" w:type="dxa"/>
            <w:bottom w:w="0" w:type="dxa"/>
            <w:right w:w="108" w:type="dxa"/>
          </w:tblCellMar>
        </w:tblPrEx>
        <w:trPr>
          <w:trHeight w:val="851" w:hRule="atLeast"/>
        </w:trPr>
        <w:tc>
          <w:tcPr>
            <w:tcW w:w="147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12315"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hint="eastAsia" w:ascii="宋体" w:hAnsi="宋体" w:eastAsia="宋体" w:cs="宋体"/>
                <w:sz w:val="24"/>
                <w:szCs w:val="24"/>
                <w:lang w:val="en-US" w:eastAsia="zh-CN"/>
              </w:rPr>
            </w:pPr>
            <w:r>
              <w:rPr>
                <w:rFonts w:hint="eastAsia" w:ascii="宋体" w:hAnsi="宋体" w:cs="宋体"/>
                <w:sz w:val="24"/>
                <w:szCs w:val="24"/>
                <w:lang w:val="zh-CN"/>
              </w:rPr>
              <w:t>大写：叁拾玖万壹仟捌佰圆整</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r>
              <w:rPr>
                <w:rFonts w:hint="eastAsia" w:ascii="宋体" w:hAnsi="宋体"/>
                <w:color w:val="auto"/>
                <w:sz w:val="21"/>
                <w:szCs w:val="21"/>
                <w:lang w:val="en-US" w:eastAsia="zh-CN"/>
              </w:rPr>
              <w:t>391800.00元</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投标人（公章）：河南旭腾信息技术有限公司</w:t>
      </w:r>
    </w:p>
    <w:p>
      <w:r>
        <w:rPr>
          <w:rFonts w:hint="eastAsia" w:ascii="宋体" w:hAnsi="宋体" w:cs="宋体"/>
          <w:sz w:val="24"/>
          <w:szCs w:val="24"/>
          <w:lang w:val="zh-CN"/>
        </w:rPr>
        <w:t>投标人法定代表人（或授权代表）签字：</w:t>
      </w:r>
      <w:r>
        <w:rPr>
          <w:rFonts w:hint="eastAsia" w:ascii="宋体" w:hAnsi="宋体" w:cs="宋体"/>
          <w:sz w:val="24"/>
          <w:szCs w:val="24"/>
          <w:u w:val="single"/>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24FE2"/>
    <w:rsid w:val="06E240A7"/>
    <w:rsid w:val="2932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firstLineChars="10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2018-08-30T00:34:00Z</dcterms:created>
  <dc:creator>Administrator</dc:creator>
  <cp:lastModifiedBy>Administrator</cp:lastModifiedBy>
  <dcterms:modified xsi:type="dcterms:W3CDTF">2018-08-30T00:36:22Z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