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bookmarkStart w:id="11" w:name="_GoBack"/>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050</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rPr>
        <w:t>许昌市妇幼保健院所需“电动产床等医疗设备”采购项目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050</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代理机构：北京华采招标代理有限公司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二〇一八年八月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1"/>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（一）项目名称：许昌市妇幼保健院所需“电动产床等医疗设备”采购项目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（二）项目编号：YLZB-G2018</w:t>
      </w:r>
      <w:r>
        <w:rPr>
          <w:rFonts w:hint="eastAsia" w:cs="仿宋_GB2312" w:asciiTheme="minorEastAsia" w:hAnsiTheme="minorEastAsia" w:eastAsiaTheme="minorEastAsia"/>
          <w:color w:val="auto"/>
          <w:shd w:val="clear" w:color="auto" w:fill="FFFFFF"/>
          <w:lang w:val="en-US" w:eastAsia="zh-CN"/>
        </w:rPr>
        <w:t>050</w:t>
      </w:r>
      <w:r>
        <w:rPr>
          <w:rFonts w:hint="eastAsia" w:cs="仿宋_GB2312" w:asciiTheme="minorEastAsia" w:hAnsiTheme="minorEastAsia" w:eastAsiaTheme="minorEastAsia"/>
          <w:color w:val="auto"/>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（四）项目主要内容、数量及要求：A包：电动产床及配件</w:t>
      </w:r>
      <w:r>
        <w:rPr>
          <w:rFonts w:cs="仿宋_GB2312" w:asciiTheme="minorEastAsia" w:hAnsiTheme="minorEastAsia" w:eastAsiaTheme="minorEastAsia"/>
          <w:color w:val="auto"/>
          <w:shd w:val="clear" w:color="auto" w:fill="FFFFFF"/>
        </w:rPr>
        <w:t>7</w:t>
      </w:r>
      <w:r>
        <w:rPr>
          <w:rFonts w:hint="eastAsia" w:cs="仿宋_GB2312" w:asciiTheme="minorEastAsia" w:hAnsiTheme="minorEastAsia" w:eastAsiaTheme="minorEastAsia"/>
          <w:color w:val="auto"/>
          <w:shd w:val="clear" w:color="auto" w:fill="FFFFFF"/>
        </w:rPr>
        <w:t>套；B包：病床1</w:t>
      </w:r>
      <w:r>
        <w:rPr>
          <w:rFonts w:cs="仿宋_GB2312" w:asciiTheme="minorEastAsia" w:hAnsiTheme="minorEastAsia" w:eastAsiaTheme="minorEastAsia"/>
          <w:color w:val="auto"/>
          <w:shd w:val="clear" w:color="auto" w:fill="FFFFFF"/>
        </w:rPr>
        <w:t>58</w:t>
      </w:r>
      <w:r>
        <w:rPr>
          <w:rFonts w:hint="eastAsia" w:cs="仿宋_GB2312" w:asciiTheme="minorEastAsia" w:hAnsiTheme="minorEastAsia" w:eastAsiaTheme="minorEastAsia"/>
          <w:color w:val="auto"/>
          <w:shd w:val="clear" w:color="auto" w:fill="FFFFFF"/>
        </w:rPr>
        <w:t>张、病床5</w:t>
      </w:r>
      <w:r>
        <w:rPr>
          <w:rFonts w:cs="仿宋_GB2312" w:asciiTheme="minorEastAsia" w:hAnsiTheme="minorEastAsia" w:eastAsiaTheme="minorEastAsia"/>
          <w:color w:val="auto"/>
          <w:shd w:val="clear" w:color="auto" w:fill="FFFFFF"/>
        </w:rPr>
        <w:t>6</w:t>
      </w:r>
      <w:r>
        <w:rPr>
          <w:rFonts w:hint="eastAsia" w:cs="仿宋_GB2312" w:asciiTheme="minorEastAsia" w:hAnsiTheme="minorEastAsia" w:eastAsiaTheme="minorEastAsia"/>
          <w:color w:val="auto"/>
          <w:shd w:val="clear" w:color="auto" w:fill="FFFFFF"/>
        </w:rPr>
        <w:t>张、婴儿推车1</w:t>
      </w:r>
      <w:r>
        <w:rPr>
          <w:rFonts w:cs="仿宋_GB2312" w:asciiTheme="minorEastAsia" w:hAnsiTheme="minorEastAsia" w:eastAsiaTheme="minorEastAsia"/>
          <w:color w:val="auto"/>
          <w:shd w:val="clear" w:color="auto" w:fill="FFFFFF"/>
        </w:rPr>
        <w:t>01</w:t>
      </w:r>
      <w:r>
        <w:rPr>
          <w:rFonts w:hint="eastAsia" w:cs="仿宋_GB2312" w:asciiTheme="minorEastAsia" w:hAnsiTheme="minorEastAsia" w:eastAsiaTheme="minorEastAsia"/>
          <w:color w:val="auto"/>
          <w:shd w:val="clear" w:color="auto" w:fill="FFFFFF"/>
        </w:rPr>
        <w:t>辆、医用转移车2辆、移动餐桌1</w:t>
      </w:r>
      <w:r>
        <w:rPr>
          <w:rFonts w:cs="仿宋_GB2312" w:asciiTheme="minorEastAsia" w:hAnsiTheme="minorEastAsia" w:eastAsiaTheme="minorEastAsia"/>
          <w:color w:val="auto"/>
          <w:shd w:val="clear" w:color="auto" w:fill="FFFFFF"/>
        </w:rPr>
        <w:t>8</w:t>
      </w:r>
      <w:r>
        <w:rPr>
          <w:rFonts w:hint="eastAsia" w:cs="仿宋_GB2312" w:asciiTheme="minorEastAsia" w:hAnsiTheme="minorEastAsia" w:eastAsiaTheme="minorEastAsia"/>
          <w:color w:val="auto"/>
          <w:shd w:val="clear" w:color="auto" w:fill="FFFFFF"/>
        </w:rPr>
        <w:t>个（具体详见招标文件）。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（五）标包划分：共设两个包。</w:t>
      </w:r>
    </w:p>
    <w:p>
      <w:pPr>
        <w:pStyle w:val="21"/>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（六）预算金额：A包：8</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万元；最高限价：A包：8</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万元。</w:t>
      </w:r>
    </w:p>
    <w:p>
      <w:pPr>
        <w:pStyle w:val="21"/>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val="en-US" w:eastAsia="zh-CN"/>
        </w:rPr>
        <w:t xml:space="preserve">      </w:t>
      </w:r>
      <w:r>
        <w:rPr>
          <w:rFonts w:hint="eastAsia" w:cs="仿宋_GB2312" w:asciiTheme="minorEastAsia" w:hAnsiTheme="minorEastAsia" w:eastAsiaTheme="minorEastAsia"/>
          <w:color w:val="auto"/>
          <w:shd w:val="clear" w:color="auto" w:fill="FFFFFF"/>
        </w:rPr>
        <w:t>预算金额：B包：</w:t>
      </w:r>
      <w:r>
        <w:rPr>
          <w:rFonts w:cs="仿宋_GB2312" w:asciiTheme="minorEastAsia" w:hAnsiTheme="minorEastAsia" w:eastAsiaTheme="minorEastAsia"/>
          <w:color w:val="auto"/>
          <w:shd w:val="clear" w:color="auto" w:fill="FFFFFF"/>
        </w:rPr>
        <w:t>84.1</w:t>
      </w:r>
      <w:r>
        <w:rPr>
          <w:rFonts w:hint="eastAsia" w:cs="仿宋_GB2312" w:asciiTheme="minorEastAsia" w:hAnsiTheme="minorEastAsia" w:eastAsiaTheme="minorEastAsia"/>
          <w:color w:val="auto"/>
          <w:shd w:val="clear" w:color="auto" w:fill="FFFFFF"/>
        </w:rPr>
        <w:t>万元；最高限价：B包：</w:t>
      </w:r>
      <w:r>
        <w:rPr>
          <w:rFonts w:cs="仿宋_GB2312" w:asciiTheme="minorEastAsia" w:hAnsiTheme="minorEastAsia" w:eastAsiaTheme="minorEastAsia"/>
          <w:color w:val="auto"/>
          <w:shd w:val="clear" w:color="auto" w:fill="FFFFFF"/>
        </w:rPr>
        <w:t>84.1</w:t>
      </w:r>
      <w:r>
        <w:rPr>
          <w:rFonts w:hint="eastAsia" w:cs="仿宋_GB2312" w:asciiTheme="minorEastAsia" w:hAnsiTheme="minorEastAsia" w:eastAsiaTheme="minorEastAsia"/>
          <w:color w:val="auto"/>
          <w:shd w:val="clear" w:color="auto" w:fill="FFFFFF"/>
        </w:rPr>
        <w:t>万元</w:t>
      </w:r>
      <w:r>
        <w:rPr>
          <w:rFonts w:hint="eastAsia" w:cs="仿宋_GB2312" w:asciiTheme="minorEastAsia" w:hAnsiTheme="minorEastAsia" w:eastAsiaTheme="minorEastAsia"/>
          <w:color w:val="auto"/>
          <w:shd w:val="clear" w:color="auto" w:fill="FFFFFF"/>
          <w:lang w:eastAsia="zh-CN"/>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（八）交付地点：许昌市妇幼保健院新院区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具有相应范围的《医疗器械生产许可证》或《医疗器械经营许可证》经营范围涵盖所投包号产品，A包并具有投标产品的《中华人民共和国医疗器械注册证》、B包具有相关备案证明并加盖投标人公章的原件扫描件（或图片）（婴儿推车、医用转移车、移动餐桌除外）；</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20</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eastAsia="zh-CN"/>
        </w:rPr>
        <w:t>五</w:t>
      </w:r>
      <w:r>
        <w:rPr>
          <w:rFonts w:hint="eastAsia" w:cs="仿宋_GB2312" w:asciiTheme="minorEastAsia" w:hAnsiTheme="minorEastAsia" w:eastAsiaTheme="minorEastAsia"/>
          <w:color w:val="auto"/>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代理机构：北京华采招标代理有限公司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址：许昌市新许路建行三楼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联系人：周伟               联系电话：13903749798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二〇一八年八月</w:t>
      </w:r>
      <w:r>
        <w:rPr>
          <w:rFonts w:hint="eastAsia" w:cs="仿宋_GB2312" w:asciiTheme="minorEastAsia" w:hAnsiTheme="minorEastAsia"/>
          <w:color w:val="auto"/>
          <w:sz w:val="24"/>
          <w:szCs w:val="24"/>
          <w:lang w:eastAsia="zh-CN"/>
        </w:rPr>
        <w:t>二十八</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ascii="宋体" w:hAnsi="宋体" w:eastAsia="宋体" w:cs="宋体"/>
          <w:color w:val="auto"/>
          <w:sz w:val="24"/>
          <w:szCs w:val="24"/>
        </w:rPr>
        <w:t>A包：电动产床及配件7套；B包：病床158张、病床56张、婴儿推车101辆、医用转移车2辆、移动餐桌18个。</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p>
      <w:pPr>
        <w:widowControl/>
        <w:shd w:val="clear" w:color="auto" w:fill="FFFFFF"/>
        <w:spacing w:line="360" w:lineRule="auto"/>
        <w:ind w:left="482"/>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A包：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color w:val="auto"/>
                <w:sz w:val="22"/>
              </w:rPr>
            </w:pPr>
            <w:r>
              <w:rPr>
                <w:rFonts w:hint="eastAsia" w:ascii="宋体" w:hAnsi="宋体" w:cs="宋体"/>
                <w:b/>
                <w:bCs/>
                <w:color w:val="auto"/>
                <w:sz w:val="22"/>
              </w:rPr>
              <w:t>序号</w:t>
            </w:r>
          </w:p>
        </w:tc>
        <w:tc>
          <w:tcPr>
            <w:tcW w:w="827" w:type="dxa"/>
            <w:vAlign w:val="center"/>
          </w:tcPr>
          <w:p>
            <w:pPr>
              <w:jc w:val="center"/>
              <w:rPr>
                <w:rFonts w:ascii="宋体" w:cs="宋体"/>
                <w:b/>
                <w:bCs/>
                <w:color w:val="auto"/>
                <w:sz w:val="22"/>
              </w:rPr>
            </w:pPr>
            <w:r>
              <w:rPr>
                <w:rFonts w:hint="eastAsia" w:ascii="宋体" w:hAnsi="宋体" w:cs="宋体"/>
                <w:b/>
                <w:bCs/>
                <w:color w:val="auto"/>
                <w:sz w:val="22"/>
              </w:rPr>
              <w:t>名称</w:t>
            </w:r>
          </w:p>
        </w:tc>
        <w:tc>
          <w:tcPr>
            <w:tcW w:w="6737" w:type="dxa"/>
            <w:vAlign w:val="center"/>
          </w:tcPr>
          <w:p>
            <w:pPr>
              <w:tabs>
                <w:tab w:val="left" w:pos="1714"/>
                <w:tab w:val="center" w:pos="3321"/>
              </w:tabs>
              <w:jc w:val="left"/>
              <w:rPr>
                <w:rFonts w:ascii="宋体" w:cs="宋体"/>
                <w:b/>
                <w:bCs/>
                <w:color w:val="auto"/>
                <w:sz w:val="22"/>
              </w:rPr>
            </w:pPr>
            <w:r>
              <w:rPr>
                <w:rFonts w:hint="eastAsia" w:ascii="宋体" w:hAnsi="宋体" w:cs="宋体"/>
                <w:b/>
                <w:bCs/>
                <w:color w:val="auto"/>
                <w:sz w:val="22"/>
              </w:rPr>
              <w:tab/>
            </w:r>
            <w:r>
              <w:rPr>
                <w:rFonts w:hint="eastAsia" w:ascii="宋体" w:hAnsi="宋体" w:cs="宋体"/>
                <w:b/>
                <w:bCs/>
                <w:color w:val="auto"/>
                <w:sz w:val="22"/>
              </w:rPr>
              <w:t>技术规格</w:t>
            </w:r>
          </w:p>
        </w:tc>
        <w:tc>
          <w:tcPr>
            <w:tcW w:w="552" w:type="dxa"/>
            <w:vAlign w:val="center"/>
          </w:tcPr>
          <w:p>
            <w:pPr>
              <w:jc w:val="center"/>
              <w:rPr>
                <w:rFonts w:ascii="宋体" w:cs="宋体"/>
                <w:b/>
                <w:bCs/>
                <w:color w:val="auto"/>
                <w:sz w:val="22"/>
              </w:rPr>
            </w:pPr>
            <w:r>
              <w:rPr>
                <w:rFonts w:hint="eastAsia" w:ascii="宋体" w:hAnsi="宋体" w:cs="宋体"/>
                <w:b/>
                <w:bCs/>
                <w:color w:val="auto"/>
                <w:sz w:val="22"/>
              </w:rPr>
              <w:t>单位</w:t>
            </w:r>
          </w:p>
        </w:tc>
        <w:tc>
          <w:tcPr>
            <w:tcW w:w="663" w:type="dxa"/>
            <w:vAlign w:val="center"/>
          </w:tcPr>
          <w:p>
            <w:pPr>
              <w:jc w:val="center"/>
              <w:rPr>
                <w:rFonts w:ascii="宋体" w:cs="宋体"/>
                <w:b/>
                <w:bCs/>
                <w:color w:val="auto"/>
                <w:sz w:val="22"/>
              </w:rPr>
            </w:pPr>
            <w:r>
              <w:rPr>
                <w:rFonts w:hint="eastAsia" w:ascii="宋体" w:hAnsi="宋体" w:cs="宋体"/>
                <w:b/>
                <w:bCs/>
                <w:color w:val="auto"/>
                <w:sz w:val="22"/>
              </w:rPr>
              <w:t>数量</w:t>
            </w:r>
          </w:p>
        </w:tc>
        <w:tc>
          <w:tcPr>
            <w:tcW w:w="663" w:type="dxa"/>
          </w:tcPr>
          <w:p>
            <w:pPr>
              <w:jc w:val="center"/>
              <w:rPr>
                <w:rFonts w:ascii="宋体" w:hAnsi="宋体" w:cs="宋体"/>
                <w:b/>
                <w:bCs/>
                <w:color w:val="auto"/>
                <w:sz w:val="22"/>
              </w:rPr>
            </w:pPr>
            <w:r>
              <w:rPr>
                <w:rFonts w:hint="eastAsia" w:ascii="宋体" w:hAnsi="宋体" w:cs="宋体"/>
                <w:b/>
                <w:bCs/>
                <w:color w:val="auto"/>
                <w:sz w:val="22"/>
              </w:rPr>
              <w:t>是否为</w:t>
            </w:r>
          </w:p>
          <w:p>
            <w:pPr>
              <w:jc w:val="center"/>
              <w:rPr>
                <w:rFonts w:ascii="宋体" w:hAnsi="宋体" w:cs="宋体"/>
                <w:b/>
                <w:bCs/>
                <w:color w:val="auto"/>
                <w:sz w:val="22"/>
              </w:rPr>
            </w:pPr>
            <w:r>
              <w:rPr>
                <w:rFonts w:hint="eastAsia" w:ascii="宋体" w:hAnsi="宋体" w:cs="宋体"/>
                <w:b/>
                <w:bCs/>
                <w:color w:val="auto"/>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jc w:val="center"/>
        </w:trPr>
        <w:tc>
          <w:tcPr>
            <w:tcW w:w="550" w:type="dxa"/>
            <w:vMerge w:val="restart"/>
            <w:vAlign w:val="center"/>
          </w:tcPr>
          <w:p>
            <w:pPr>
              <w:jc w:val="center"/>
              <w:rPr>
                <w:rFonts w:ascii="宋体" w:cs="宋体"/>
                <w:color w:val="auto"/>
                <w:sz w:val="20"/>
                <w:szCs w:val="20"/>
              </w:rPr>
            </w:pPr>
            <w:r>
              <w:rPr>
                <w:rFonts w:ascii="宋体" w:hAnsi="宋体" w:cs="宋体"/>
                <w:color w:val="auto"/>
                <w:sz w:val="20"/>
                <w:szCs w:val="20"/>
              </w:rPr>
              <w:t>1</w:t>
            </w:r>
          </w:p>
          <w:p>
            <w:pPr>
              <w:rPr>
                <w:rFonts w:ascii="宋体" w:cs="宋体"/>
                <w:color w:val="auto"/>
                <w:sz w:val="20"/>
                <w:szCs w:val="20"/>
              </w:rPr>
            </w:pPr>
          </w:p>
        </w:tc>
        <w:tc>
          <w:tcPr>
            <w:tcW w:w="827" w:type="dxa"/>
            <w:vMerge w:val="restart"/>
            <w:vAlign w:val="center"/>
          </w:tcPr>
          <w:p>
            <w:pPr>
              <w:rPr>
                <w:rFonts w:ascii="宋体" w:hAnsi="宋体" w:cs="宋体"/>
                <w:color w:val="auto"/>
                <w:sz w:val="20"/>
                <w:szCs w:val="20"/>
              </w:rPr>
            </w:pPr>
            <w:r>
              <w:rPr>
                <w:rFonts w:hint="eastAsia" w:ascii="宋体" w:hAnsi="宋体" w:cs="宋体"/>
                <w:color w:val="auto"/>
                <w:sz w:val="20"/>
                <w:szCs w:val="20"/>
              </w:rPr>
              <w:t>电动产床</w:t>
            </w:r>
          </w:p>
          <w:p>
            <w:pPr>
              <w:rPr>
                <w:rFonts w:ascii="宋体" w:hAnsi="宋体" w:cs="宋体"/>
                <w:color w:val="auto"/>
                <w:sz w:val="20"/>
                <w:szCs w:val="20"/>
              </w:rPr>
            </w:pPr>
          </w:p>
        </w:tc>
        <w:tc>
          <w:tcPr>
            <w:tcW w:w="6737" w:type="dxa"/>
            <w:vMerge w:val="restart"/>
            <w:vAlign w:val="center"/>
          </w:tcPr>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1.1外形尺寸：长度≥2200mm，宽度≥1000mm</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1.2.脚轮尺寸≥150mm</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1.3最大载重≥240kg</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★1.4调节范围：升降高度：550mm-850mm，脚板升降高度：0-175mm，背部升降≥60°，膝部升降≥12°，垂头仰卧位（机械）≥7°，助产手柄滑动（机械）：≥300mm，腿托可外展85°。</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★2.1电机马达：采用进口医用马达，床面、背部、腿部升降电动马达共三组，通过国际医疗级安规认证。安全、恒速、静音、无静电，符合IP54防水防尘保护等级。 </w:t>
            </w:r>
          </w:p>
          <w:p>
            <w:pPr>
              <w:rPr>
                <w:rFonts w:ascii="宋体" w:hAnsi="宋体" w:eastAsia="宋体" w:cs="宋体"/>
                <w:color w:val="auto"/>
                <w:szCs w:val="21"/>
              </w:rPr>
            </w:pPr>
            <w:r>
              <w:rPr>
                <w:rFonts w:hint="eastAsia" w:ascii="宋体" w:hAnsi="宋体" w:eastAsia="宋体" w:cs="宋体"/>
                <w:color w:val="auto"/>
                <w:szCs w:val="21"/>
              </w:rPr>
              <w:t>★2.2马达控制器：采用进口马达控制器，具有电子超载保护装置，同时可控制三支马达的驱动。</w:t>
            </w:r>
          </w:p>
          <w:p>
            <w:pPr>
              <w:rPr>
                <w:rFonts w:ascii="宋体" w:hAnsi="宋体" w:eastAsia="宋体" w:cs="宋体"/>
                <w:color w:val="auto"/>
                <w:szCs w:val="21"/>
              </w:rPr>
            </w:pPr>
            <w:r>
              <w:rPr>
                <w:rFonts w:hint="eastAsia" w:ascii="宋体" w:hAnsi="宋体" w:eastAsia="宋体" w:cs="宋体"/>
                <w:color w:val="auto"/>
                <w:szCs w:val="21"/>
              </w:rPr>
              <w:t>2.3遥控式手控器：可分别放于左右护栏内外侧，配弹簧线方便移动存放。</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★2.4蓄电池组：采用进口蓄电池系统，设有不断电自动充电装置，提供推送及停电时紧急操作病床动力。</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★2.5机械式CPR（心肺复苏）功能：遇急救时，单手操作即可将背板快速放平。</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2.6护栏采用碳钢材质一体成型制作，承重性高，表面静电喷涂，耐腐蚀，抗酸碱。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2.7背部床板可徒手快速拆卸，容易清洗、消毒，且床板平整易擦拭。</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2.8床面具有透气孔，表面平整、无毛边不伤手。</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★2.9腿部隐藏式支架，采用滑道式结构，生产的时候污物盆可滑动到床底。配备升降式新生儿接生车，同时支持快捷拆卸式接生平台。（提供整体图片且加盖厂家公章）</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2.10多角度可调脚踏板（带腿托），适合各类产妇腿部的舒适位。</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2.11翻转式护栏，内外侧集成嵌入式按键，可通过外侧按键锁定病床功能，提升床的安全性及可操作性。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★2.12两侧有滑动助产手柄，可以前后调节距离，且≥300mm，更方便协助产妇分娩。</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2.13床头采用优质ABS原料一体吹塑成型。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2.14床头板遇紧急医疗作业时可快速拆卸，提高抢救速度，且病床推动时无晃动及震动异音。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 xml:space="preserve">2.15具备转运把手，把手采用碳钢包覆PVC把手设计，坚固耐用。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2.16具备快速拆卸功能,并无间隙晃动现象 。</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2.17床体两角具有防撞轮，外型圆滑平顺，减缓推动中与物体或者墙面的碰撞。</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2.18.采用6英寸（150mm）进口高性能医用双面脚轮，双轮设计避免毛发卷入，且易推、耐蚀、耐磨、静音。</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2.19采用中控刹车系统操作，床中部设有刹车踩踏板，方便医护人员灵活推送。</w:t>
            </w:r>
          </w:p>
          <w:p>
            <w:pPr>
              <w:pStyle w:val="54"/>
              <w:ind w:firstLine="0" w:firstLineChars="0"/>
              <w:rPr>
                <w:rFonts w:ascii="宋体" w:hAnsi="宋体" w:eastAsia="宋体" w:cs="宋体"/>
                <w:color w:val="auto"/>
                <w:szCs w:val="21"/>
              </w:rPr>
            </w:pPr>
            <w:r>
              <w:rPr>
                <w:rFonts w:hint="eastAsia" w:ascii="宋体" w:hAnsi="宋体" w:eastAsia="宋体" w:cs="宋体"/>
                <w:color w:val="auto"/>
                <w:szCs w:val="21"/>
              </w:rPr>
              <w:t>2.20整体床架采用钢骨结构设计，以优质钢材精密焊接，确保整个床体结实牢固、平稳。</w:t>
            </w:r>
          </w:p>
          <w:p>
            <w:pPr>
              <w:rPr>
                <w:rFonts w:ascii="宋体" w:hAnsi="宋体" w:eastAsia="宋体" w:cs="宋体"/>
                <w:color w:val="auto"/>
                <w:szCs w:val="21"/>
              </w:rPr>
            </w:pPr>
            <w:r>
              <w:rPr>
                <w:rFonts w:hint="eastAsia" w:ascii="宋体" w:hAnsi="宋体" w:eastAsia="宋体" w:cs="宋体"/>
                <w:color w:val="auto"/>
                <w:szCs w:val="21"/>
              </w:rPr>
              <w:t>2.20整体床架采用静电喷涂工艺，涂层厚、抗酸碱、耐腐蚀、耐褪色。</w:t>
            </w:r>
          </w:p>
          <w:p>
            <w:pPr>
              <w:rPr>
                <w:rFonts w:ascii="宋体" w:hAnsi="宋体" w:eastAsia="宋体" w:cs="宋体"/>
                <w:color w:val="auto"/>
                <w:szCs w:val="21"/>
              </w:rPr>
            </w:pPr>
            <w:r>
              <w:rPr>
                <w:rFonts w:hint="eastAsia" w:ascii="宋体" w:hAnsi="宋体" w:eastAsia="宋体" w:cs="宋体"/>
                <w:color w:val="auto"/>
                <w:szCs w:val="21"/>
              </w:rPr>
              <w:t>2.21床体两侧装设两个输液架插座。</w:t>
            </w:r>
          </w:p>
          <w:p>
            <w:pPr>
              <w:rPr>
                <w:rFonts w:ascii="宋体" w:hAnsi="宋体" w:eastAsia="宋体" w:cs="宋体"/>
                <w:color w:val="auto"/>
                <w:szCs w:val="21"/>
              </w:rPr>
            </w:pPr>
            <w:r>
              <w:rPr>
                <w:rFonts w:hint="eastAsia" w:ascii="宋体" w:hAnsi="宋体" w:eastAsia="宋体" w:cs="宋体"/>
                <w:color w:val="auto"/>
                <w:szCs w:val="21"/>
              </w:rPr>
              <w:t>2.22尺寸：配合床体尺寸，厚度80mm,床套材质：防水、阻燃（pu材质），泡棉材质：抗菌、阻燃高密度泡棉（聚氨酯pu材质）。</w:t>
            </w:r>
          </w:p>
          <w:p>
            <w:pPr>
              <w:rPr>
                <w:rFonts w:ascii="宋体" w:hAnsi="宋体" w:eastAsia="宋体" w:cs="宋体"/>
                <w:color w:val="auto"/>
                <w:szCs w:val="21"/>
              </w:rPr>
            </w:pPr>
          </w:p>
        </w:tc>
        <w:tc>
          <w:tcPr>
            <w:tcW w:w="552" w:type="dxa"/>
            <w:vMerge w:val="restart"/>
            <w:vAlign w:val="center"/>
          </w:tcPr>
          <w:p>
            <w:pPr>
              <w:jc w:val="center"/>
              <w:rPr>
                <w:rFonts w:ascii="宋体" w:cs="宋体"/>
                <w:color w:val="auto"/>
                <w:sz w:val="20"/>
                <w:szCs w:val="20"/>
              </w:rPr>
            </w:pPr>
            <w:r>
              <w:rPr>
                <w:rFonts w:hint="eastAsia" w:ascii="宋体" w:cs="宋体"/>
                <w:color w:val="auto"/>
                <w:sz w:val="20"/>
                <w:szCs w:val="20"/>
              </w:rPr>
              <w:t>套</w:t>
            </w:r>
          </w:p>
        </w:tc>
        <w:tc>
          <w:tcPr>
            <w:tcW w:w="663" w:type="dxa"/>
            <w:vMerge w:val="restart"/>
            <w:vAlign w:val="center"/>
          </w:tcPr>
          <w:p>
            <w:pPr>
              <w:jc w:val="center"/>
              <w:rPr>
                <w:rFonts w:ascii="宋体" w:cs="宋体"/>
                <w:color w:val="auto"/>
                <w:sz w:val="20"/>
                <w:szCs w:val="20"/>
              </w:rPr>
            </w:pPr>
            <w:r>
              <w:rPr>
                <w:rFonts w:ascii="宋体" w:cs="宋体"/>
                <w:color w:val="auto"/>
                <w:sz w:val="20"/>
                <w:szCs w:val="20"/>
              </w:rPr>
              <w:t>7</w:t>
            </w:r>
          </w:p>
          <w:p>
            <w:pPr>
              <w:ind w:firstLine="200" w:firstLineChars="100"/>
              <w:rPr>
                <w:rFonts w:ascii="宋体" w:cs="宋体"/>
                <w:color w:val="auto"/>
                <w:sz w:val="20"/>
                <w:szCs w:val="20"/>
              </w:rPr>
            </w:pPr>
          </w:p>
        </w:tc>
        <w:tc>
          <w:tcPr>
            <w:tcW w:w="663" w:type="dxa"/>
            <w:vAlign w:val="center"/>
          </w:tcPr>
          <w:p>
            <w:pP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Merge w:val="continue"/>
            <w:vAlign w:val="center"/>
          </w:tcPr>
          <w:p>
            <w:pPr>
              <w:rPr>
                <w:rFonts w:ascii="宋体" w:cs="宋体"/>
                <w:color w:val="auto"/>
                <w:sz w:val="20"/>
                <w:szCs w:val="20"/>
              </w:rPr>
            </w:pPr>
          </w:p>
        </w:tc>
        <w:tc>
          <w:tcPr>
            <w:tcW w:w="827" w:type="dxa"/>
            <w:vMerge w:val="continue"/>
            <w:vAlign w:val="center"/>
          </w:tcPr>
          <w:p>
            <w:pPr>
              <w:rPr>
                <w:rFonts w:ascii="宋体" w:cs="宋体"/>
                <w:color w:val="auto"/>
                <w:sz w:val="20"/>
                <w:szCs w:val="20"/>
              </w:rPr>
            </w:pPr>
          </w:p>
        </w:tc>
        <w:tc>
          <w:tcPr>
            <w:tcW w:w="6737" w:type="dxa"/>
            <w:vMerge w:val="continue"/>
            <w:vAlign w:val="center"/>
          </w:tcPr>
          <w:p>
            <w:pPr>
              <w:rPr>
                <w:rFonts w:ascii="宋体" w:hAnsi="宋体" w:cs="宋体"/>
                <w:color w:val="auto"/>
                <w:szCs w:val="21"/>
              </w:rPr>
            </w:pPr>
          </w:p>
        </w:tc>
        <w:tc>
          <w:tcPr>
            <w:tcW w:w="552" w:type="dxa"/>
            <w:vMerge w:val="continue"/>
            <w:vAlign w:val="center"/>
          </w:tcPr>
          <w:p>
            <w:pPr>
              <w:jc w:val="center"/>
              <w:rPr>
                <w:rFonts w:ascii="宋体" w:cs="宋体"/>
                <w:color w:val="auto"/>
                <w:sz w:val="20"/>
                <w:szCs w:val="20"/>
              </w:rPr>
            </w:pPr>
          </w:p>
        </w:tc>
        <w:tc>
          <w:tcPr>
            <w:tcW w:w="663" w:type="dxa"/>
            <w:vMerge w:val="continue"/>
            <w:vAlign w:val="center"/>
          </w:tcPr>
          <w:p>
            <w:pPr>
              <w:ind w:firstLine="200" w:firstLineChars="100"/>
              <w:rPr>
                <w:rFonts w:ascii="宋体" w:cs="宋体"/>
                <w:color w:val="auto"/>
                <w:sz w:val="20"/>
                <w:szCs w:val="20"/>
              </w:rPr>
            </w:pPr>
          </w:p>
        </w:tc>
        <w:tc>
          <w:tcPr>
            <w:tcW w:w="663" w:type="dxa"/>
          </w:tcPr>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p>
          <w:p>
            <w:pPr>
              <w:ind w:firstLine="200" w:firstLineChars="100"/>
              <w:rPr>
                <w:rFonts w:ascii="宋体" w:cs="宋体"/>
                <w:color w:val="auto"/>
                <w:sz w:val="20"/>
                <w:szCs w:val="20"/>
              </w:rPr>
            </w:pPr>
            <w:r>
              <w:rPr>
                <w:rFonts w:hint="eastAsia" w:ascii="宋体" w:cs="宋体"/>
                <w:color w:val="auto"/>
                <w:sz w:val="20"/>
                <w:szCs w:val="20"/>
              </w:rPr>
              <w:t>是</w:t>
            </w:r>
          </w:p>
        </w:tc>
      </w:tr>
    </w:tbl>
    <w:p>
      <w:pPr>
        <w:rPr>
          <w:rFonts w:ascii="宋体" w:hAnsi="宋体" w:eastAsia="宋体" w:cs="宋体"/>
          <w:color w:val="auto"/>
          <w:sz w:val="24"/>
          <w:szCs w:val="24"/>
        </w:rPr>
      </w:pPr>
    </w:p>
    <w:p>
      <w:pPr>
        <w:pStyle w:val="2"/>
        <w:ind w:firstLine="480"/>
        <w:rPr>
          <w:color w:val="auto"/>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B包</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color w:val="auto"/>
                <w:sz w:val="22"/>
              </w:rPr>
            </w:pPr>
            <w:r>
              <w:rPr>
                <w:rFonts w:hint="eastAsia" w:ascii="宋体" w:hAnsi="宋体" w:cs="宋体"/>
                <w:b/>
                <w:bCs/>
                <w:color w:val="auto"/>
                <w:sz w:val="22"/>
              </w:rPr>
              <w:t>序号</w:t>
            </w:r>
          </w:p>
        </w:tc>
        <w:tc>
          <w:tcPr>
            <w:tcW w:w="827" w:type="dxa"/>
            <w:vAlign w:val="center"/>
          </w:tcPr>
          <w:p>
            <w:pPr>
              <w:jc w:val="center"/>
              <w:rPr>
                <w:rFonts w:ascii="宋体" w:cs="宋体"/>
                <w:b/>
                <w:bCs/>
                <w:color w:val="auto"/>
                <w:sz w:val="22"/>
              </w:rPr>
            </w:pPr>
            <w:r>
              <w:rPr>
                <w:rFonts w:hint="eastAsia" w:ascii="宋体" w:hAnsi="宋体" w:cs="宋体"/>
                <w:b/>
                <w:bCs/>
                <w:color w:val="auto"/>
                <w:sz w:val="22"/>
              </w:rPr>
              <w:t>名称</w:t>
            </w:r>
          </w:p>
        </w:tc>
        <w:tc>
          <w:tcPr>
            <w:tcW w:w="6737" w:type="dxa"/>
            <w:vAlign w:val="center"/>
          </w:tcPr>
          <w:p>
            <w:pPr>
              <w:tabs>
                <w:tab w:val="left" w:pos="1714"/>
                <w:tab w:val="center" w:pos="3321"/>
              </w:tabs>
              <w:jc w:val="left"/>
              <w:rPr>
                <w:rFonts w:ascii="宋体" w:cs="宋体"/>
                <w:b/>
                <w:bCs/>
                <w:color w:val="auto"/>
                <w:sz w:val="22"/>
              </w:rPr>
            </w:pPr>
            <w:r>
              <w:rPr>
                <w:rFonts w:hint="eastAsia" w:ascii="宋体" w:hAnsi="宋体" w:cs="宋体"/>
                <w:b/>
                <w:bCs/>
                <w:color w:val="auto"/>
                <w:sz w:val="22"/>
              </w:rPr>
              <w:tab/>
            </w:r>
            <w:r>
              <w:rPr>
                <w:rFonts w:hint="eastAsia" w:ascii="宋体" w:hAnsi="宋体" w:cs="宋体"/>
                <w:b/>
                <w:bCs/>
                <w:color w:val="auto"/>
                <w:sz w:val="22"/>
              </w:rPr>
              <w:t>技术规格</w:t>
            </w:r>
          </w:p>
        </w:tc>
        <w:tc>
          <w:tcPr>
            <w:tcW w:w="552" w:type="dxa"/>
            <w:vAlign w:val="center"/>
          </w:tcPr>
          <w:p>
            <w:pPr>
              <w:jc w:val="center"/>
              <w:rPr>
                <w:rFonts w:ascii="宋体" w:cs="宋体"/>
                <w:b/>
                <w:bCs/>
                <w:color w:val="auto"/>
                <w:sz w:val="22"/>
              </w:rPr>
            </w:pPr>
            <w:r>
              <w:rPr>
                <w:rFonts w:hint="eastAsia" w:ascii="宋体" w:hAnsi="宋体" w:cs="宋体"/>
                <w:b/>
                <w:bCs/>
                <w:color w:val="auto"/>
                <w:sz w:val="22"/>
              </w:rPr>
              <w:t>单位</w:t>
            </w:r>
          </w:p>
        </w:tc>
        <w:tc>
          <w:tcPr>
            <w:tcW w:w="663" w:type="dxa"/>
            <w:vAlign w:val="center"/>
          </w:tcPr>
          <w:p>
            <w:pPr>
              <w:jc w:val="center"/>
              <w:rPr>
                <w:rFonts w:ascii="宋体" w:cs="宋体"/>
                <w:b/>
                <w:bCs/>
                <w:color w:val="auto"/>
                <w:sz w:val="22"/>
              </w:rPr>
            </w:pPr>
            <w:r>
              <w:rPr>
                <w:rFonts w:hint="eastAsia" w:ascii="宋体" w:hAnsi="宋体" w:cs="宋体"/>
                <w:b/>
                <w:bCs/>
                <w:color w:val="auto"/>
                <w:sz w:val="22"/>
              </w:rPr>
              <w:t>数量</w:t>
            </w:r>
          </w:p>
        </w:tc>
        <w:tc>
          <w:tcPr>
            <w:tcW w:w="663" w:type="dxa"/>
          </w:tcPr>
          <w:p>
            <w:pPr>
              <w:jc w:val="center"/>
              <w:rPr>
                <w:rFonts w:ascii="宋体" w:hAnsi="宋体" w:cs="宋体"/>
                <w:b/>
                <w:bCs/>
                <w:color w:val="auto"/>
                <w:sz w:val="22"/>
              </w:rPr>
            </w:pPr>
            <w:r>
              <w:rPr>
                <w:rFonts w:hint="eastAsia" w:ascii="宋体" w:hAnsi="宋体" w:cs="宋体"/>
                <w:b/>
                <w:bCs/>
                <w:color w:val="auto"/>
                <w:sz w:val="22"/>
              </w:rPr>
              <w:t>是否为</w:t>
            </w:r>
          </w:p>
          <w:p>
            <w:pPr>
              <w:jc w:val="center"/>
              <w:rPr>
                <w:rFonts w:ascii="宋体" w:hAnsi="宋体" w:cs="宋体"/>
                <w:b/>
                <w:bCs/>
                <w:color w:val="auto"/>
                <w:sz w:val="22"/>
              </w:rPr>
            </w:pPr>
            <w:r>
              <w:rPr>
                <w:rFonts w:hint="eastAsia" w:ascii="宋体" w:hAnsi="宋体" w:cs="宋体"/>
                <w:b/>
                <w:bCs/>
                <w:color w:val="auto"/>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jc w:val="center"/>
              <w:rPr>
                <w:rFonts w:ascii="宋体" w:cs="宋体"/>
                <w:color w:val="auto"/>
                <w:sz w:val="20"/>
                <w:szCs w:val="20"/>
              </w:rPr>
            </w:pPr>
            <w:r>
              <w:rPr>
                <w:rFonts w:ascii="宋体" w:hAnsi="宋体" w:cs="宋体"/>
                <w:color w:val="auto"/>
                <w:sz w:val="20"/>
                <w:szCs w:val="20"/>
              </w:rPr>
              <w:t>1</w:t>
            </w:r>
          </w:p>
        </w:tc>
        <w:tc>
          <w:tcPr>
            <w:tcW w:w="827" w:type="dxa"/>
            <w:vAlign w:val="center"/>
          </w:tcPr>
          <w:p>
            <w:pPr>
              <w:rPr>
                <w:rFonts w:ascii="宋体" w:hAnsi="宋体" w:cs="宋体"/>
                <w:color w:val="auto"/>
                <w:sz w:val="20"/>
                <w:szCs w:val="20"/>
              </w:rPr>
            </w:pPr>
            <w:r>
              <w:rPr>
                <w:rFonts w:hint="eastAsia" w:ascii="宋体" w:hAnsi="宋体" w:cs="宋体"/>
                <w:color w:val="auto"/>
                <w:sz w:val="20"/>
                <w:szCs w:val="20"/>
              </w:rPr>
              <w:t>病床</w:t>
            </w:r>
          </w:p>
        </w:tc>
        <w:tc>
          <w:tcPr>
            <w:tcW w:w="6737" w:type="dxa"/>
            <w:vAlign w:val="center"/>
          </w:tcPr>
          <w:p>
            <w:pPr>
              <w:spacing w:line="540" w:lineRule="exact"/>
              <w:rPr>
                <w:rFonts w:ascii="宋体" w:hAnsi="宋体" w:eastAsia="宋体" w:cs="宋体"/>
                <w:color w:val="auto"/>
                <w:szCs w:val="21"/>
              </w:rPr>
            </w:pPr>
            <w:r>
              <w:rPr>
                <w:rFonts w:hint="eastAsia" w:ascii="宋体" w:hAnsi="宋体" w:eastAsia="宋体" w:cs="宋体"/>
                <w:color w:val="auto"/>
                <w:szCs w:val="21"/>
              </w:rPr>
              <w:t>1、规格尺寸：</w:t>
            </w:r>
          </w:p>
          <w:p>
            <w:pPr>
              <w:spacing w:line="540" w:lineRule="exact"/>
              <w:rPr>
                <w:rFonts w:ascii="宋体" w:hAnsi="宋体" w:eastAsia="宋体" w:cs="宋体"/>
                <w:color w:val="auto"/>
                <w:szCs w:val="21"/>
              </w:rPr>
            </w:pPr>
            <w:r>
              <w:rPr>
                <w:rFonts w:hint="eastAsia" w:ascii="宋体" w:hAnsi="宋体" w:eastAsia="宋体" w:cs="宋体"/>
                <w:color w:val="auto"/>
                <w:szCs w:val="21"/>
              </w:rPr>
              <w:t>长度2000（mm），宽度900 （mm），高度500（mm）。</w:t>
            </w:r>
          </w:p>
          <w:p>
            <w:pPr>
              <w:spacing w:line="540" w:lineRule="exact"/>
              <w:rPr>
                <w:rFonts w:ascii="宋体" w:hAnsi="宋体" w:eastAsia="宋体" w:cs="宋体"/>
                <w:color w:val="auto"/>
                <w:szCs w:val="21"/>
              </w:rPr>
            </w:pPr>
            <w:r>
              <w:rPr>
                <w:rFonts w:hint="eastAsia" w:ascii="宋体" w:hAnsi="宋体" w:eastAsia="宋体" w:cs="宋体"/>
                <w:color w:val="auto"/>
                <w:szCs w:val="21"/>
              </w:rPr>
              <w:t>2、功能：</w:t>
            </w:r>
          </w:p>
          <w:p>
            <w:pPr>
              <w:spacing w:line="540" w:lineRule="exact"/>
              <w:rPr>
                <w:rFonts w:ascii="宋体" w:hAnsi="宋体" w:eastAsia="宋体" w:cs="宋体"/>
                <w:color w:val="auto"/>
                <w:szCs w:val="21"/>
              </w:rPr>
            </w:pPr>
            <w:r>
              <w:rPr>
                <w:rFonts w:hint="eastAsia" w:ascii="宋体" w:hAnsi="宋体" w:eastAsia="宋体" w:cs="宋体"/>
                <w:color w:val="auto"/>
                <w:szCs w:val="21"/>
              </w:rPr>
              <w:t>病床背部倾斜度：0-70º±5º，病床腿部倾斜度：0-45º±5º。</w:t>
            </w:r>
          </w:p>
          <w:p>
            <w:pPr>
              <w:spacing w:line="540" w:lineRule="exact"/>
              <w:rPr>
                <w:rFonts w:ascii="宋体" w:hAnsi="宋体" w:eastAsia="宋体" w:cs="宋体"/>
                <w:color w:val="auto"/>
                <w:szCs w:val="21"/>
              </w:rPr>
            </w:pPr>
            <w:r>
              <w:rPr>
                <w:rFonts w:hint="eastAsia" w:ascii="宋体" w:hAnsi="宋体" w:eastAsia="宋体" w:cs="宋体"/>
                <w:color w:val="auto"/>
                <w:szCs w:val="21"/>
              </w:rPr>
              <w:t>3、承载力</w:t>
            </w:r>
          </w:p>
          <w:p>
            <w:pPr>
              <w:spacing w:line="540" w:lineRule="exact"/>
              <w:rPr>
                <w:rFonts w:ascii="宋体" w:hAnsi="宋体" w:eastAsia="宋体" w:cs="宋体"/>
                <w:color w:val="auto"/>
                <w:szCs w:val="21"/>
              </w:rPr>
            </w:pPr>
            <w:r>
              <w:rPr>
                <w:rFonts w:hint="eastAsia" w:ascii="宋体" w:hAnsi="宋体" w:eastAsia="宋体" w:cs="宋体"/>
                <w:color w:val="auto"/>
                <w:szCs w:val="21"/>
              </w:rPr>
              <w:t>病床整体床体承载重量：300kg。</w:t>
            </w:r>
          </w:p>
          <w:p>
            <w:pPr>
              <w:spacing w:line="540" w:lineRule="exact"/>
              <w:rPr>
                <w:rFonts w:ascii="宋体" w:hAnsi="宋体" w:eastAsia="宋体" w:cs="宋体"/>
                <w:color w:val="auto"/>
                <w:szCs w:val="21"/>
              </w:rPr>
            </w:pPr>
            <w:r>
              <w:rPr>
                <w:rFonts w:hint="eastAsia" w:ascii="宋体" w:hAnsi="宋体" w:eastAsia="宋体" w:cs="宋体"/>
                <w:color w:val="auto"/>
                <w:szCs w:val="21"/>
              </w:rPr>
              <w:t>4、床头、床尾</w:t>
            </w:r>
          </w:p>
          <w:p>
            <w:pPr>
              <w:spacing w:line="540" w:lineRule="exact"/>
              <w:rPr>
                <w:rFonts w:ascii="宋体" w:hAnsi="宋体" w:eastAsia="宋体" w:cs="宋体"/>
                <w:color w:val="auto"/>
                <w:szCs w:val="21"/>
              </w:rPr>
            </w:pPr>
            <w:r>
              <w:rPr>
                <w:rFonts w:hint="eastAsia" w:ascii="宋体" w:hAnsi="宋体" w:eastAsia="宋体" w:cs="宋体"/>
                <w:color w:val="auto"/>
                <w:szCs w:val="21"/>
              </w:rPr>
              <w:t>①流线型床头床尾板，采用不锈钢与ABS结合而成</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②外部月牙形ABS护罩，用ABS工程塑料一次性注塑成型，表面光滑易清洁；床头内部框架采用304不锈钢管焊接而成，不锈钢管材尺寸直径32*1.1mm；中部采用高级压缩板做为装饰。</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③床头床尾板两侧带有ABS防撞轮（直径50mm，厚22mm），固定轴安装在床头床尾板里面。</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④床头尾板上宽937mm、高500mm；上端边缘厚45mm，两侧设计有便于扶握的椭形孔；</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⑤床头与床架结合处于床边外部并设有锁定开关，开关板手采用金属挂钩，安装、拆卸简便。</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⑥床尾外侧配有病历卡。</w:t>
            </w:r>
          </w:p>
          <w:p>
            <w:pPr>
              <w:spacing w:line="540" w:lineRule="exact"/>
              <w:rPr>
                <w:rFonts w:ascii="宋体" w:hAnsi="宋体" w:eastAsia="宋体" w:cs="宋体"/>
                <w:color w:val="auto"/>
                <w:szCs w:val="21"/>
              </w:rPr>
            </w:pPr>
            <w:r>
              <w:rPr>
                <w:rFonts w:hint="eastAsia" w:ascii="宋体" w:hAnsi="宋体" w:eastAsia="宋体" w:cs="宋体"/>
                <w:color w:val="auto"/>
                <w:szCs w:val="21"/>
              </w:rPr>
              <w:t>★5、材质</w:t>
            </w:r>
          </w:p>
          <w:p>
            <w:pPr>
              <w:spacing w:line="540" w:lineRule="exact"/>
              <w:rPr>
                <w:rFonts w:ascii="宋体" w:hAnsi="宋体" w:eastAsia="宋体" w:cs="宋体"/>
                <w:color w:val="auto"/>
                <w:szCs w:val="21"/>
              </w:rPr>
            </w:pPr>
            <w:r>
              <w:rPr>
                <w:rFonts w:hint="eastAsia" w:ascii="宋体" w:hAnsi="宋体" w:eastAsia="宋体" w:cs="宋体"/>
                <w:color w:val="auto"/>
                <w:szCs w:val="21"/>
              </w:rPr>
              <w:t>①床框钢管壁厚度1.2mm，尺寸为40*60（mm）床腿钢管壁厚度2.0mm,直径33mm。床面下部底框管为30*60mm，厚度1.5mm。</w:t>
            </w:r>
          </w:p>
          <w:p>
            <w:pPr>
              <w:spacing w:line="540" w:lineRule="exact"/>
              <w:rPr>
                <w:rFonts w:ascii="宋体" w:hAnsi="宋体" w:eastAsia="宋体" w:cs="宋体"/>
                <w:color w:val="auto"/>
                <w:szCs w:val="21"/>
              </w:rPr>
            </w:pPr>
            <w:r>
              <w:rPr>
                <w:rFonts w:hint="eastAsia" w:ascii="宋体" w:hAnsi="宋体" w:eastAsia="宋体" w:cs="宋体"/>
                <w:color w:val="auto"/>
                <w:szCs w:val="21"/>
              </w:rPr>
              <w:t>②床板使用冷轧钢板冲压成型制造，钢板厚度：1.2mm。</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③床面背部尺寸为900*740mm，采用“目”字形支撑，分别为35*27mm、35*32mm、25*25mm、30*20mm，厚度为1.2mm，增大承载力，延长使用寿命。</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④床面小腿部尺寸为900*500mm，采用“口”字形支撑，分别为35*27mm、35*32mm、25*25mm、30*20mm，厚度为1.2mm，增大承载力，延长使用寿命。</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⑤床面坐部尺寸为900*220mm，采用“口”字形支撑，分别为35*27mm、35*32mm、25*25mm、30*20mm，厚度为1.2mm，增大承载力，延长使用寿命。</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⑥床面大腿部尺寸为900*330mm，采用“口”字形支撑，分别为35*27mm、35*32mm、25*25mm、30*20mm，厚度为1.2mm，增大承载力，延长使用寿命。</w:t>
            </w:r>
          </w:p>
          <w:p>
            <w:pPr>
              <w:tabs>
                <w:tab w:val="left" w:pos="945"/>
                <w:tab w:val="left" w:pos="1155"/>
              </w:tabs>
              <w:spacing w:after="120"/>
              <w:rPr>
                <w:rFonts w:ascii="宋体" w:hAnsi="宋体" w:eastAsia="宋体" w:cs="宋体"/>
                <w:color w:val="auto"/>
                <w:szCs w:val="21"/>
              </w:rPr>
            </w:pPr>
            <w:r>
              <w:rPr>
                <w:rFonts w:hint="eastAsia" w:ascii="宋体" w:hAnsi="宋体" w:eastAsia="宋体" w:cs="宋体"/>
                <w:color w:val="auto"/>
                <w:szCs w:val="21"/>
              </w:rPr>
              <w:t>⑦床板之间采用厚度2.5mm的连接片连接，连接片之间使用螺栓坚固。</w:t>
            </w:r>
          </w:p>
          <w:p>
            <w:pPr>
              <w:spacing w:line="540" w:lineRule="exact"/>
              <w:rPr>
                <w:rFonts w:ascii="宋体" w:hAnsi="宋体" w:eastAsia="宋体" w:cs="宋体"/>
                <w:color w:val="auto"/>
                <w:szCs w:val="21"/>
              </w:rPr>
            </w:pPr>
            <w:r>
              <w:rPr>
                <w:rFonts w:hint="eastAsia" w:ascii="宋体" w:hAnsi="宋体" w:eastAsia="宋体" w:cs="宋体"/>
                <w:color w:val="auto"/>
                <w:szCs w:val="21"/>
              </w:rPr>
              <w:t>6、双向保护摇杆</w:t>
            </w:r>
          </w:p>
          <w:p>
            <w:pPr>
              <w:spacing w:line="540" w:lineRule="exact"/>
              <w:rPr>
                <w:rFonts w:ascii="宋体" w:hAnsi="宋体" w:eastAsia="宋体" w:cs="宋体"/>
                <w:color w:val="auto"/>
                <w:szCs w:val="21"/>
              </w:rPr>
            </w:pPr>
            <w:r>
              <w:rPr>
                <w:rFonts w:hint="eastAsia" w:ascii="宋体" w:hAnsi="宋体" w:eastAsia="宋体" w:cs="宋体"/>
                <w:color w:val="auto"/>
                <w:szCs w:val="21"/>
              </w:rPr>
              <w:t>双向保护摇杆：折叠式手摇把，具有极限保护装置，可保护摇杆之上限及下限，即背部及腿部升至最高点及降至最低点时，摇杆处于空摇状态。克服了无此极限保护装置医疗床摇把容易卡死和塑料摇把容易断裂的现象（整个摇杆所有部件均为专用金属制造，保证了摇杆系统的最安全性）。</w:t>
            </w:r>
          </w:p>
          <w:p>
            <w:pPr>
              <w:spacing w:line="540" w:lineRule="exact"/>
              <w:rPr>
                <w:rFonts w:ascii="宋体" w:hAnsi="宋体" w:eastAsia="宋体" w:cs="宋体"/>
                <w:color w:val="auto"/>
                <w:szCs w:val="21"/>
              </w:rPr>
            </w:pPr>
            <w:r>
              <w:rPr>
                <w:rFonts w:hint="eastAsia" w:ascii="宋体" w:hAnsi="宋体" w:eastAsia="宋体" w:cs="宋体"/>
                <w:color w:val="auto"/>
                <w:szCs w:val="21"/>
              </w:rPr>
              <w:t>7、焊接、喷涂</w:t>
            </w:r>
          </w:p>
          <w:p>
            <w:pPr>
              <w:spacing w:line="540" w:lineRule="exact"/>
              <w:rPr>
                <w:rFonts w:ascii="宋体" w:hAnsi="宋体" w:eastAsia="宋体" w:cs="宋体"/>
                <w:color w:val="auto"/>
                <w:szCs w:val="21"/>
              </w:rPr>
            </w:pPr>
            <w:r>
              <w:rPr>
                <w:rFonts w:hint="eastAsia" w:ascii="宋体" w:hAnsi="宋体" w:eastAsia="宋体" w:cs="宋体"/>
                <w:color w:val="auto"/>
                <w:szCs w:val="21"/>
              </w:rPr>
              <w:t>病床床架及床部件焊接工艺为直流氩弧焊焊接。床体经过十几道工序的“双重抗锈表面处理”，增加磷化处理，防锈效果是普通工艺的2倍以上，表面为自动设备静电粉末喷涂，病床表面细滑如丝、美观防锈。</w:t>
            </w:r>
          </w:p>
          <w:p>
            <w:pPr>
              <w:spacing w:line="540" w:lineRule="exact"/>
              <w:rPr>
                <w:rFonts w:ascii="宋体" w:hAnsi="宋体" w:eastAsia="宋体" w:cs="宋体"/>
                <w:color w:val="auto"/>
                <w:szCs w:val="21"/>
              </w:rPr>
            </w:pPr>
            <w:r>
              <w:rPr>
                <w:rFonts w:hint="eastAsia" w:ascii="宋体" w:hAnsi="宋体" w:eastAsia="宋体" w:cs="宋体"/>
                <w:color w:val="auto"/>
                <w:szCs w:val="21"/>
              </w:rPr>
              <w:t>8、结构</w:t>
            </w:r>
          </w:p>
          <w:p>
            <w:pPr>
              <w:spacing w:line="540" w:lineRule="exact"/>
              <w:rPr>
                <w:rFonts w:ascii="宋体" w:hAnsi="宋体" w:eastAsia="宋体" w:cs="宋体"/>
                <w:color w:val="auto"/>
                <w:szCs w:val="21"/>
              </w:rPr>
            </w:pPr>
            <w:r>
              <w:rPr>
                <w:rFonts w:hint="eastAsia" w:ascii="宋体" w:hAnsi="宋体" w:eastAsia="宋体" w:cs="宋体"/>
                <w:color w:val="auto"/>
                <w:szCs w:val="21"/>
              </w:rPr>
              <w:t>a、床板背部、腿部均为支撑结构，极大的增强了床板的承受力，摇杆连接床板部分采用冷板冲压成型，机器人焊接而成，从而使病床最主要摇杆系统更耐用，安全。</w:t>
            </w:r>
          </w:p>
          <w:p>
            <w:pPr>
              <w:spacing w:line="540" w:lineRule="exact"/>
              <w:rPr>
                <w:rFonts w:ascii="宋体" w:hAnsi="宋体" w:eastAsia="宋体" w:cs="宋体"/>
                <w:color w:val="auto"/>
                <w:szCs w:val="21"/>
              </w:rPr>
            </w:pPr>
            <w:r>
              <w:rPr>
                <w:rFonts w:hint="eastAsia" w:ascii="宋体" w:hAnsi="宋体" w:eastAsia="宋体" w:cs="宋体"/>
                <w:color w:val="auto"/>
                <w:szCs w:val="21"/>
              </w:rPr>
              <w:t>b、床头、床尾，连接处使用金属不锈钢挂钩，终身使用不会出现生锈、磨损、断裂等现象，安全可靠使用方便。</w:t>
            </w:r>
          </w:p>
          <w:p>
            <w:pPr>
              <w:spacing w:line="540" w:lineRule="exact"/>
              <w:rPr>
                <w:rFonts w:ascii="宋体" w:hAnsi="宋体" w:eastAsia="宋体" w:cs="宋体"/>
                <w:color w:val="auto"/>
                <w:szCs w:val="21"/>
              </w:rPr>
            </w:pPr>
            <w:r>
              <w:rPr>
                <w:rFonts w:hint="eastAsia" w:ascii="宋体" w:hAnsi="宋体" w:eastAsia="宋体" w:cs="宋体"/>
                <w:color w:val="auto"/>
                <w:szCs w:val="21"/>
              </w:rPr>
              <w:t>c、床底中部具备左、右四个不锈钢双向引流袋挂钩。</w:t>
            </w:r>
          </w:p>
          <w:p>
            <w:pPr>
              <w:spacing w:line="540" w:lineRule="exact"/>
              <w:rPr>
                <w:rFonts w:ascii="宋体" w:hAnsi="宋体" w:eastAsia="宋体" w:cs="宋体"/>
                <w:color w:val="auto"/>
                <w:szCs w:val="21"/>
              </w:rPr>
            </w:pPr>
            <w:r>
              <w:rPr>
                <w:rFonts w:hint="eastAsia" w:ascii="宋体" w:hAnsi="宋体" w:eastAsia="宋体" w:cs="宋体"/>
                <w:color w:val="auto"/>
                <w:szCs w:val="21"/>
              </w:rPr>
              <w:t>d、床尾板带插入组合式病历卡装置。</w:t>
            </w:r>
          </w:p>
          <w:p>
            <w:pPr>
              <w:spacing w:line="540" w:lineRule="exact"/>
              <w:rPr>
                <w:rFonts w:ascii="宋体" w:hAnsi="宋体" w:eastAsia="宋体" w:cs="宋体"/>
                <w:color w:val="auto"/>
                <w:szCs w:val="21"/>
              </w:rPr>
            </w:pPr>
            <w:r>
              <w:rPr>
                <w:rFonts w:hint="eastAsia" w:ascii="宋体" w:hAnsi="宋体" w:eastAsia="宋体" w:cs="宋体"/>
                <w:color w:val="auto"/>
                <w:szCs w:val="21"/>
              </w:rPr>
              <w:t>e、床体设置四个不锈钢永不损坏输液架插孔。</w:t>
            </w:r>
          </w:p>
          <w:p>
            <w:pPr>
              <w:spacing w:line="540" w:lineRule="exact"/>
              <w:rPr>
                <w:rFonts w:ascii="宋体" w:hAnsi="宋体" w:eastAsia="宋体" w:cs="宋体"/>
                <w:color w:val="auto"/>
                <w:szCs w:val="21"/>
              </w:rPr>
            </w:pPr>
            <w:r>
              <w:rPr>
                <w:rFonts w:hint="eastAsia" w:ascii="宋体" w:hAnsi="宋体" w:eastAsia="宋体" w:cs="宋体"/>
                <w:color w:val="auto"/>
                <w:szCs w:val="21"/>
              </w:rPr>
              <w:t>g、床边角安装有防撞塑料包角。</w:t>
            </w:r>
          </w:p>
          <w:p>
            <w:pPr>
              <w:spacing w:line="540" w:lineRule="exact"/>
              <w:rPr>
                <w:rFonts w:ascii="宋体" w:hAnsi="宋体" w:eastAsia="宋体" w:cs="宋体"/>
                <w:color w:val="auto"/>
                <w:szCs w:val="21"/>
              </w:rPr>
            </w:pPr>
            <w:r>
              <w:rPr>
                <w:rFonts w:hint="eastAsia" w:ascii="宋体" w:hAnsi="宋体" w:eastAsia="宋体" w:cs="宋体"/>
                <w:color w:val="auto"/>
                <w:szCs w:val="21"/>
              </w:rPr>
              <w:t>9、护栏</w:t>
            </w:r>
          </w:p>
          <w:p>
            <w:pPr>
              <w:spacing w:line="540" w:lineRule="exact"/>
              <w:rPr>
                <w:rFonts w:ascii="宋体" w:hAnsi="宋体" w:eastAsia="宋体" w:cs="宋体"/>
                <w:color w:val="auto"/>
                <w:szCs w:val="21"/>
              </w:rPr>
            </w:pPr>
            <w:r>
              <w:rPr>
                <w:rFonts w:hint="eastAsia" w:ascii="宋体" w:hAnsi="宋体" w:eastAsia="宋体" w:cs="宋体"/>
                <w:color w:val="auto"/>
                <w:szCs w:val="21"/>
              </w:rPr>
              <w:t>1.两片分体式护栏，主体采用ABS工程塑料一次成型，表面光滑无缝隙，升降结构采用铸铝工艺，强度高，操作灵活。</w:t>
            </w:r>
          </w:p>
          <w:p>
            <w:pPr>
              <w:spacing w:line="540" w:lineRule="exact"/>
              <w:rPr>
                <w:rFonts w:ascii="宋体" w:hAnsi="宋体" w:eastAsia="宋体" w:cs="宋体"/>
                <w:color w:val="auto"/>
                <w:szCs w:val="21"/>
              </w:rPr>
            </w:pPr>
            <w:r>
              <w:rPr>
                <w:rFonts w:hint="eastAsia" w:ascii="宋体" w:hAnsi="宋体" w:eastAsia="宋体" w:cs="宋体"/>
                <w:color w:val="auto"/>
                <w:szCs w:val="21"/>
              </w:rPr>
              <w:t>2.装有液压助力缓冲护栏提升与下降的速度，延长护栏使用寿命，通过提手开关实现上下提升功能；</w:t>
            </w:r>
          </w:p>
          <w:p>
            <w:pPr>
              <w:spacing w:line="540" w:lineRule="exact"/>
              <w:rPr>
                <w:rFonts w:ascii="宋体" w:hAnsi="宋体" w:eastAsia="宋体" w:cs="宋体"/>
                <w:color w:val="auto"/>
                <w:szCs w:val="21"/>
              </w:rPr>
            </w:pPr>
            <w:r>
              <w:rPr>
                <w:rFonts w:hint="eastAsia" w:ascii="宋体" w:hAnsi="宋体" w:eastAsia="宋体" w:cs="宋体"/>
                <w:color w:val="auto"/>
                <w:szCs w:val="21"/>
              </w:rPr>
              <w:t>3.护栏放下时收于床面下方，病患转床时实现具备零间隙转运，有效避免跌落风险。</w:t>
            </w:r>
          </w:p>
          <w:p>
            <w:pPr>
              <w:spacing w:line="540" w:lineRule="exact"/>
              <w:rPr>
                <w:rFonts w:ascii="宋体" w:hAnsi="宋体" w:eastAsia="宋体" w:cs="宋体"/>
                <w:color w:val="auto"/>
                <w:szCs w:val="21"/>
              </w:rPr>
            </w:pPr>
            <w:r>
              <w:rPr>
                <w:rFonts w:hint="eastAsia" w:ascii="宋体" w:hAnsi="宋体" w:eastAsia="宋体" w:cs="宋体"/>
                <w:color w:val="auto"/>
                <w:szCs w:val="21"/>
              </w:rPr>
              <w:t>4.护栏升起后，护栏上缘距床面≥250MM，有效避免患者坠床风险</w:t>
            </w:r>
          </w:p>
          <w:p>
            <w:pPr>
              <w:spacing w:line="540" w:lineRule="exact"/>
              <w:rPr>
                <w:rFonts w:ascii="宋体" w:hAnsi="宋体" w:eastAsia="宋体" w:cs="宋体"/>
                <w:color w:val="auto"/>
                <w:szCs w:val="21"/>
              </w:rPr>
            </w:pPr>
            <w:r>
              <w:rPr>
                <w:rFonts w:hint="eastAsia" w:ascii="宋体" w:hAnsi="宋体" w:eastAsia="宋体" w:cs="宋体"/>
                <w:color w:val="auto"/>
                <w:szCs w:val="21"/>
              </w:rPr>
              <w:t>★10、脚轮</w:t>
            </w:r>
          </w:p>
          <w:p>
            <w:pPr>
              <w:spacing w:line="540" w:lineRule="exact"/>
              <w:rPr>
                <w:rFonts w:ascii="宋体" w:hAnsi="宋体" w:eastAsia="宋体" w:cs="宋体"/>
                <w:color w:val="auto"/>
                <w:szCs w:val="21"/>
              </w:rPr>
            </w:pPr>
            <w:r>
              <w:rPr>
                <w:rFonts w:hint="eastAsia" w:ascii="宋体" w:hAnsi="宋体" w:eastAsia="宋体" w:cs="宋体"/>
                <w:color w:val="auto"/>
                <w:szCs w:val="21"/>
              </w:rPr>
              <w:t>配备台湾进口医用中控静音脚轮、防缠绕。安全耐磨，推动方便灵活。   </w:t>
            </w:r>
          </w:p>
          <w:p>
            <w:pPr>
              <w:spacing w:line="540" w:lineRule="exact"/>
              <w:rPr>
                <w:rFonts w:ascii="宋体" w:hAnsi="宋体" w:eastAsia="宋体" w:cs="宋体"/>
                <w:color w:val="auto"/>
                <w:szCs w:val="21"/>
              </w:rPr>
            </w:pPr>
            <w:r>
              <w:rPr>
                <w:rFonts w:hint="eastAsia" w:ascii="宋体" w:hAnsi="宋体" w:eastAsia="宋体" w:cs="宋体"/>
                <w:color w:val="auto"/>
                <w:szCs w:val="21"/>
              </w:rPr>
              <w:t>★11、生产工艺</w:t>
            </w:r>
          </w:p>
          <w:p>
            <w:pPr>
              <w:spacing w:after="120"/>
              <w:rPr>
                <w:rFonts w:ascii="宋体" w:hAnsi="宋体" w:eastAsia="宋体" w:cs="宋体"/>
                <w:color w:val="auto"/>
                <w:szCs w:val="21"/>
              </w:rPr>
            </w:pPr>
            <w:r>
              <w:rPr>
                <w:rFonts w:hint="eastAsia" w:ascii="宋体" w:hAnsi="宋体" w:eastAsia="宋体" w:cs="宋体"/>
                <w:color w:val="auto"/>
                <w:szCs w:val="21"/>
              </w:rPr>
              <w:t>①管材下料：产品所用的钢管，采用激光切割机下料，钣金件采用激光切割机下料，有效保证工件的精准度；</w:t>
            </w:r>
          </w:p>
          <w:p>
            <w:pPr>
              <w:spacing w:after="120"/>
              <w:rPr>
                <w:rFonts w:ascii="宋体" w:hAnsi="宋体" w:eastAsia="宋体" w:cs="宋体"/>
                <w:color w:val="auto"/>
                <w:szCs w:val="21"/>
              </w:rPr>
            </w:pPr>
            <w:r>
              <w:rPr>
                <w:rFonts w:hint="eastAsia" w:ascii="宋体" w:hAnsi="宋体" w:eastAsia="宋体" w:cs="宋体"/>
                <w:color w:val="auto"/>
                <w:szCs w:val="21"/>
              </w:rPr>
              <w:t>②床面用液压机模具一次冲压成型，四角平滑完整，带模压凹槽和透气孔；</w:t>
            </w:r>
          </w:p>
          <w:p>
            <w:pPr>
              <w:spacing w:after="120"/>
              <w:rPr>
                <w:rFonts w:ascii="宋体" w:hAnsi="宋体" w:eastAsia="宋体" w:cs="宋体"/>
                <w:color w:val="auto"/>
                <w:szCs w:val="21"/>
              </w:rPr>
            </w:pPr>
            <w:r>
              <w:rPr>
                <w:rFonts w:hint="eastAsia" w:ascii="宋体" w:hAnsi="宋体" w:eastAsia="宋体" w:cs="宋体"/>
                <w:color w:val="auto"/>
                <w:szCs w:val="21"/>
              </w:rPr>
              <w:t>③采用机器人焊接，焊接过程采用二氧化碳保护焊，焊口光滑、美观、无氧化膜，提高了焊缝的强度及准确度，延长使用寿命。</w:t>
            </w:r>
          </w:p>
          <w:p>
            <w:pPr>
              <w:spacing w:after="120"/>
              <w:rPr>
                <w:rFonts w:ascii="宋体" w:hAnsi="宋体" w:eastAsia="宋体" w:cs="宋体"/>
                <w:color w:val="auto"/>
                <w:szCs w:val="21"/>
              </w:rPr>
            </w:pPr>
            <w:r>
              <w:rPr>
                <w:rFonts w:hint="eastAsia" w:ascii="宋体" w:hAnsi="宋体" w:eastAsia="宋体" w:cs="宋体"/>
                <w:color w:val="auto"/>
                <w:szCs w:val="21"/>
              </w:rPr>
              <w:t>12、床垫</w:t>
            </w:r>
          </w:p>
          <w:p>
            <w:pPr>
              <w:rPr>
                <w:rFonts w:ascii="宋体" w:hAnsi="宋体" w:eastAsia="宋体" w:cs="宋体"/>
                <w:color w:val="auto"/>
                <w:szCs w:val="21"/>
              </w:rPr>
            </w:pPr>
            <w:r>
              <w:rPr>
                <w:rFonts w:hint="eastAsia" w:ascii="宋体" w:hAnsi="宋体" w:eastAsia="宋体" w:cs="宋体"/>
                <w:color w:val="auto"/>
                <w:szCs w:val="21"/>
              </w:rPr>
              <w:t>外罩采用新型防水帆布料面，不渗透；质地密实、结实耐用，防滑、耐脏，有拉链，便于清洗。内有新棕，棕片采用天然椰棕，海绵采用高弹海绵，半棕半绵，厚度8公分。</w:t>
            </w:r>
          </w:p>
        </w:tc>
        <w:tc>
          <w:tcPr>
            <w:tcW w:w="552" w:type="dxa"/>
            <w:vAlign w:val="center"/>
          </w:tcPr>
          <w:p>
            <w:pPr>
              <w:jc w:val="center"/>
              <w:rPr>
                <w:rFonts w:ascii="宋体" w:cs="宋体"/>
                <w:color w:val="auto"/>
                <w:sz w:val="20"/>
                <w:szCs w:val="20"/>
              </w:rPr>
            </w:pPr>
            <w:r>
              <w:rPr>
                <w:rFonts w:hint="eastAsia" w:ascii="宋体" w:cs="宋体"/>
                <w:color w:val="auto"/>
                <w:sz w:val="20"/>
                <w:szCs w:val="20"/>
              </w:rPr>
              <w:t>张</w:t>
            </w:r>
          </w:p>
        </w:tc>
        <w:tc>
          <w:tcPr>
            <w:tcW w:w="663" w:type="dxa"/>
            <w:vAlign w:val="center"/>
          </w:tcPr>
          <w:p>
            <w:pPr>
              <w:jc w:val="center"/>
              <w:rPr>
                <w:rFonts w:ascii="宋体" w:cs="宋体"/>
                <w:color w:val="auto"/>
                <w:sz w:val="20"/>
                <w:szCs w:val="20"/>
              </w:rPr>
            </w:pPr>
            <w:r>
              <w:rPr>
                <w:rFonts w:hint="eastAsia" w:ascii="宋体" w:cs="宋体"/>
                <w:color w:val="auto"/>
                <w:sz w:val="20"/>
                <w:szCs w:val="20"/>
              </w:rPr>
              <w:t>158</w:t>
            </w:r>
          </w:p>
        </w:tc>
        <w:tc>
          <w:tcPr>
            <w:tcW w:w="663" w:type="dxa"/>
            <w:vAlign w:val="center"/>
          </w:tcPr>
          <w:p>
            <w:pP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auto"/>
                <w:sz w:val="20"/>
                <w:szCs w:val="20"/>
              </w:rPr>
            </w:pPr>
            <w:r>
              <w:rPr>
                <w:rFonts w:ascii="宋体" w:cs="宋体"/>
                <w:color w:val="auto"/>
                <w:sz w:val="20"/>
                <w:szCs w:val="20"/>
              </w:rPr>
              <w:t>2</w:t>
            </w:r>
          </w:p>
        </w:tc>
        <w:tc>
          <w:tcPr>
            <w:tcW w:w="827" w:type="dxa"/>
            <w:vAlign w:val="center"/>
          </w:tcPr>
          <w:p>
            <w:pPr>
              <w:rPr>
                <w:rFonts w:ascii="宋体" w:cs="宋体"/>
                <w:color w:val="auto"/>
                <w:sz w:val="20"/>
                <w:szCs w:val="20"/>
              </w:rPr>
            </w:pPr>
            <w:r>
              <w:rPr>
                <w:rFonts w:hint="eastAsia" w:ascii="宋体" w:cs="宋体"/>
                <w:color w:val="auto"/>
                <w:sz w:val="20"/>
                <w:szCs w:val="20"/>
              </w:rPr>
              <w:t>病床</w:t>
            </w:r>
          </w:p>
        </w:tc>
        <w:tc>
          <w:tcPr>
            <w:tcW w:w="6737" w:type="dxa"/>
            <w:vAlign w:val="center"/>
          </w:tcPr>
          <w:p>
            <w:pPr>
              <w:numPr>
                <w:ilvl w:val="0"/>
                <w:numId w:val="6"/>
              </w:numPr>
              <w:rPr>
                <w:rFonts w:ascii="宋体" w:hAnsi="宋体" w:eastAsia="宋体" w:cs="宋体"/>
                <w:color w:val="auto"/>
                <w:szCs w:val="21"/>
              </w:rPr>
            </w:pPr>
            <w:r>
              <w:rPr>
                <w:rFonts w:hint="eastAsia" w:ascii="宋体" w:hAnsi="宋体" w:eastAsia="宋体" w:cs="宋体"/>
                <w:color w:val="auto"/>
                <w:szCs w:val="21"/>
              </w:rPr>
              <w:t>规格尺寸：1880*900*600（mm），</w:t>
            </w:r>
          </w:p>
          <w:p>
            <w:pPr>
              <w:rPr>
                <w:rFonts w:ascii="宋体" w:hAnsi="宋体" w:eastAsia="宋体" w:cs="宋体"/>
                <w:color w:val="auto"/>
                <w:szCs w:val="21"/>
              </w:rPr>
            </w:pPr>
            <w:r>
              <w:rPr>
                <w:rFonts w:hint="eastAsia" w:ascii="宋体" w:hAnsi="宋体" w:eastAsia="宋体" w:cs="宋体"/>
                <w:color w:val="auto"/>
                <w:szCs w:val="21"/>
              </w:rPr>
              <w:t>2、承载力：病床整体床体承载重量：240kg。</w:t>
            </w:r>
          </w:p>
          <w:p>
            <w:pPr>
              <w:rPr>
                <w:rFonts w:ascii="宋体" w:hAnsi="宋体" w:eastAsia="宋体" w:cs="宋体"/>
                <w:color w:val="auto"/>
                <w:szCs w:val="21"/>
              </w:rPr>
            </w:pPr>
            <w:r>
              <w:rPr>
                <w:rFonts w:hint="eastAsia" w:ascii="宋体" w:hAnsi="宋体" w:eastAsia="宋体" w:cs="宋体"/>
                <w:color w:val="auto"/>
                <w:szCs w:val="21"/>
              </w:rPr>
              <w:t>3、床头、床尾</w:t>
            </w:r>
          </w:p>
          <w:p>
            <w:pPr>
              <w:rPr>
                <w:rFonts w:ascii="宋体" w:hAnsi="宋体" w:eastAsia="宋体" w:cs="宋体"/>
                <w:color w:val="auto"/>
                <w:szCs w:val="21"/>
              </w:rPr>
            </w:pPr>
            <w:r>
              <w:rPr>
                <w:rFonts w:hint="eastAsia" w:ascii="宋体" w:hAnsi="宋体" w:eastAsia="宋体" w:cs="宋体"/>
                <w:color w:val="auto"/>
                <w:szCs w:val="21"/>
              </w:rPr>
              <w:t>①高强度ABS工程塑料吹塑成型，表面光洁，便于清洁；</w:t>
            </w:r>
          </w:p>
          <w:p>
            <w:pPr>
              <w:rPr>
                <w:rFonts w:ascii="宋体" w:hAnsi="宋体" w:eastAsia="宋体" w:cs="宋体"/>
                <w:color w:val="auto"/>
                <w:szCs w:val="21"/>
              </w:rPr>
            </w:pPr>
            <w:r>
              <w:rPr>
                <w:rFonts w:hint="eastAsia" w:ascii="宋体" w:hAnsi="宋体" w:eastAsia="宋体" w:cs="宋体"/>
                <w:color w:val="auto"/>
                <w:szCs w:val="21"/>
              </w:rPr>
              <w:t>②采用紧固件锁定，防止儿童误操作拆掉，有效防止摔伤，安全可靠；</w:t>
            </w:r>
          </w:p>
          <w:p>
            <w:pPr>
              <w:rPr>
                <w:rFonts w:ascii="宋体" w:hAnsi="宋体" w:eastAsia="宋体" w:cs="宋体"/>
                <w:color w:val="auto"/>
                <w:szCs w:val="21"/>
              </w:rPr>
            </w:pPr>
            <w:r>
              <w:rPr>
                <w:rFonts w:hint="eastAsia" w:ascii="宋体" w:hAnsi="宋体" w:eastAsia="宋体" w:cs="宋体"/>
                <w:color w:val="auto"/>
                <w:szCs w:val="21"/>
              </w:rPr>
              <w:t>③非中空设计,强度高，稳定性强，印有卡通图像</w:t>
            </w:r>
          </w:p>
          <w:p>
            <w:pPr>
              <w:rPr>
                <w:rFonts w:ascii="宋体" w:hAnsi="宋体" w:eastAsia="宋体" w:cs="宋体"/>
                <w:color w:val="auto"/>
                <w:szCs w:val="21"/>
              </w:rPr>
            </w:pPr>
            <w:r>
              <w:rPr>
                <w:rFonts w:hint="eastAsia" w:ascii="宋体" w:hAnsi="宋体" w:eastAsia="宋体" w:cs="宋体"/>
                <w:color w:val="auto"/>
                <w:szCs w:val="21"/>
              </w:rPr>
              <w:t>4、材质</w:t>
            </w:r>
          </w:p>
          <w:p>
            <w:pPr>
              <w:rPr>
                <w:rFonts w:ascii="宋体" w:hAnsi="宋体" w:eastAsia="宋体" w:cs="宋体"/>
                <w:color w:val="auto"/>
                <w:szCs w:val="21"/>
              </w:rPr>
            </w:pPr>
            <w:r>
              <w:rPr>
                <w:rFonts w:hint="eastAsia" w:ascii="宋体" w:hAnsi="宋体" w:eastAsia="宋体" w:cs="宋体"/>
                <w:color w:val="auto"/>
                <w:szCs w:val="21"/>
              </w:rPr>
              <w:t>①采用优质冷轧板材，厚度≥1.5mm，一次性冲压拉伸成型，断面采用滚圆工艺，表面光滑无毛刺；</w:t>
            </w:r>
          </w:p>
          <w:p>
            <w:pPr>
              <w:rPr>
                <w:rFonts w:ascii="宋体" w:hAnsi="宋体" w:eastAsia="宋体" w:cs="宋体"/>
                <w:color w:val="auto"/>
                <w:szCs w:val="21"/>
              </w:rPr>
            </w:pPr>
            <w:r>
              <w:rPr>
                <w:rFonts w:hint="eastAsia" w:ascii="宋体" w:hAnsi="宋体" w:eastAsia="宋体" w:cs="宋体"/>
                <w:color w:val="auto"/>
                <w:szCs w:val="21"/>
              </w:rPr>
              <w:t>②凹型面板结构，有透气孔；床板四周焊接加强筋，增加承载力；</w:t>
            </w:r>
          </w:p>
          <w:p>
            <w:pPr>
              <w:rPr>
                <w:rFonts w:ascii="宋体" w:hAnsi="宋体" w:eastAsia="宋体" w:cs="宋体"/>
                <w:color w:val="auto"/>
                <w:szCs w:val="21"/>
              </w:rPr>
            </w:pPr>
            <w:r>
              <w:rPr>
                <w:rFonts w:hint="eastAsia" w:ascii="宋体" w:hAnsi="宋体" w:eastAsia="宋体" w:cs="宋体"/>
                <w:color w:val="auto"/>
                <w:szCs w:val="21"/>
              </w:rPr>
              <w:t>③床框、床腿使用国家大型钢铁公司出品国标钢管。床框钢管壁厚度2.0mm，床腿钢管壁厚度1.8mm。</w:t>
            </w:r>
          </w:p>
          <w:p>
            <w:pPr>
              <w:rPr>
                <w:rFonts w:ascii="宋体" w:hAnsi="宋体" w:eastAsia="宋体" w:cs="宋体"/>
                <w:color w:val="auto"/>
                <w:szCs w:val="21"/>
              </w:rPr>
            </w:pPr>
            <w:r>
              <w:rPr>
                <w:rFonts w:hint="eastAsia" w:ascii="宋体" w:hAnsi="宋体" w:eastAsia="宋体" w:cs="宋体"/>
                <w:color w:val="auto"/>
                <w:szCs w:val="21"/>
              </w:rPr>
              <w:t>5、焊接、喷涂</w:t>
            </w:r>
          </w:p>
          <w:p>
            <w:pPr>
              <w:ind w:firstLine="420" w:firstLineChars="200"/>
              <w:rPr>
                <w:rFonts w:ascii="宋体" w:hAnsi="宋体" w:eastAsia="宋体" w:cs="宋体"/>
                <w:color w:val="auto"/>
                <w:szCs w:val="21"/>
              </w:rPr>
            </w:pPr>
            <w:r>
              <w:rPr>
                <w:rFonts w:hint="eastAsia" w:ascii="宋体" w:hAnsi="宋体" w:eastAsia="宋体" w:cs="宋体"/>
                <w:color w:val="auto"/>
                <w:szCs w:val="21"/>
              </w:rPr>
              <w:t>病床床架及床部件焊接工艺为直流氩弧焊焊接。床体经过十几道工序的“双重抗锈表面处理”，增加磷化处理，防锈效果是普通工艺的2倍以上，表面为自动设备静电粉末喷涂，病床表面细滑如丝、美观防锈。</w:t>
            </w:r>
          </w:p>
          <w:p>
            <w:pPr>
              <w:rPr>
                <w:rFonts w:ascii="宋体" w:hAnsi="宋体" w:eastAsia="宋体" w:cs="宋体"/>
                <w:color w:val="auto"/>
                <w:szCs w:val="21"/>
              </w:rPr>
            </w:pPr>
            <w:r>
              <w:rPr>
                <w:rFonts w:hint="eastAsia" w:ascii="宋体" w:hAnsi="宋体" w:eastAsia="宋体" w:cs="宋体"/>
                <w:color w:val="auto"/>
                <w:szCs w:val="21"/>
              </w:rPr>
              <w:t>6、结构</w:t>
            </w:r>
          </w:p>
          <w:p>
            <w:pPr>
              <w:ind w:firstLine="420" w:firstLineChars="200"/>
              <w:rPr>
                <w:rFonts w:ascii="宋体" w:hAnsi="宋体" w:eastAsia="宋体" w:cs="宋体"/>
                <w:color w:val="auto"/>
                <w:szCs w:val="21"/>
              </w:rPr>
            </w:pPr>
            <w:r>
              <w:rPr>
                <w:rFonts w:hint="eastAsia" w:ascii="宋体" w:hAnsi="宋体" w:eastAsia="宋体" w:cs="宋体"/>
                <w:color w:val="auto"/>
                <w:szCs w:val="21"/>
              </w:rPr>
              <w:t>a、床头、床尾，连接处使用紧固件固定，安全可靠使用方便。</w:t>
            </w:r>
          </w:p>
          <w:p>
            <w:pPr>
              <w:ind w:firstLine="420" w:firstLineChars="200"/>
              <w:rPr>
                <w:rFonts w:ascii="宋体" w:hAnsi="宋体" w:eastAsia="宋体" w:cs="宋体"/>
                <w:color w:val="auto"/>
                <w:szCs w:val="21"/>
              </w:rPr>
            </w:pPr>
            <w:r>
              <w:rPr>
                <w:rFonts w:hint="eastAsia" w:ascii="宋体" w:hAnsi="宋体" w:eastAsia="宋体" w:cs="宋体"/>
                <w:color w:val="auto"/>
                <w:szCs w:val="21"/>
              </w:rPr>
              <w:t>b、、床尾板带插入组合式病历卡装置。</w:t>
            </w:r>
          </w:p>
          <w:p>
            <w:pPr>
              <w:ind w:firstLine="420" w:firstLineChars="200"/>
              <w:rPr>
                <w:rFonts w:ascii="宋体" w:hAnsi="宋体" w:eastAsia="宋体" w:cs="宋体"/>
                <w:color w:val="auto"/>
                <w:szCs w:val="21"/>
              </w:rPr>
            </w:pPr>
            <w:r>
              <w:rPr>
                <w:rFonts w:hint="eastAsia" w:ascii="宋体" w:hAnsi="宋体" w:eastAsia="宋体" w:cs="宋体"/>
                <w:color w:val="auto"/>
                <w:szCs w:val="21"/>
              </w:rPr>
              <w:t>c、床体设置四个输液架插孔。</w:t>
            </w:r>
          </w:p>
          <w:p>
            <w:pPr>
              <w:ind w:firstLine="420" w:firstLineChars="200"/>
              <w:rPr>
                <w:rFonts w:ascii="宋体" w:hAnsi="宋体" w:eastAsia="宋体" w:cs="宋体"/>
                <w:color w:val="auto"/>
                <w:szCs w:val="21"/>
              </w:rPr>
            </w:pPr>
            <w:r>
              <w:rPr>
                <w:rFonts w:hint="eastAsia" w:ascii="宋体" w:hAnsi="宋体" w:eastAsia="宋体" w:cs="宋体"/>
                <w:color w:val="auto"/>
                <w:szCs w:val="21"/>
              </w:rPr>
              <w:t>d、床体下部配备置物架，可放置一些日常用品。</w:t>
            </w:r>
          </w:p>
          <w:p>
            <w:pPr>
              <w:ind w:firstLine="420" w:firstLineChars="200"/>
              <w:rPr>
                <w:rFonts w:ascii="宋体" w:hAnsi="宋体" w:eastAsia="宋体" w:cs="宋体"/>
                <w:color w:val="auto"/>
                <w:szCs w:val="21"/>
              </w:rPr>
            </w:pPr>
            <w:r>
              <w:rPr>
                <w:rFonts w:hint="eastAsia" w:ascii="宋体" w:hAnsi="宋体" w:eastAsia="宋体" w:cs="宋体"/>
                <w:color w:val="auto"/>
                <w:szCs w:val="21"/>
              </w:rPr>
              <w:t>e、配备伸缩式不锈钢输液架，调节高度1000-1600mm。</w:t>
            </w:r>
          </w:p>
          <w:p>
            <w:pPr>
              <w:ind w:firstLine="420" w:firstLineChars="200"/>
              <w:rPr>
                <w:rFonts w:ascii="宋体" w:hAnsi="宋体" w:eastAsia="宋体" w:cs="宋体"/>
                <w:color w:val="auto"/>
                <w:szCs w:val="21"/>
              </w:rPr>
            </w:pPr>
            <w:r>
              <w:rPr>
                <w:rFonts w:hint="eastAsia" w:ascii="宋体" w:hAnsi="宋体" w:eastAsia="宋体" w:cs="宋体"/>
                <w:color w:val="auto"/>
                <w:szCs w:val="21"/>
              </w:rPr>
              <w:t>f、配有4个引流挂钩</w:t>
            </w:r>
          </w:p>
          <w:p>
            <w:pPr>
              <w:ind w:firstLine="420" w:firstLineChars="200"/>
              <w:rPr>
                <w:rFonts w:ascii="宋体" w:hAnsi="宋体" w:eastAsia="宋体" w:cs="宋体"/>
                <w:color w:val="auto"/>
                <w:szCs w:val="21"/>
              </w:rPr>
            </w:pPr>
            <w:r>
              <w:rPr>
                <w:rFonts w:hint="eastAsia" w:ascii="宋体" w:hAnsi="宋体" w:eastAsia="宋体" w:cs="宋体"/>
                <w:color w:val="auto"/>
                <w:szCs w:val="21"/>
              </w:rPr>
              <w:t>j、整床采用机器人焊接，整体美观大方。</w:t>
            </w:r>
          </w:p>
          <w:p>
            <w:pPr>
              <w:rPr>
                <w:rFonts w:ascii="宋体" w:hAnsi="宋体" w:eastAsia="宋体" w:cs="宋体"/>
                <w:color w:val="auto"/>
                <w:szCs w:val="21"/>
              </w:rPr>
            </w:pPr>
            <w:r>
              <w:rPr>
                <w:rFonts w:hint="eastAsia" w:ascii="宋体" w:hAnsi="宋体" w:eastAsia="宋体" w:cs="宋体"/>
                <w:color w:val="auto"/>
                <w:szCs w:val="21"/>
              </w:rPr>
              <w:t>9、护栏</w:t>
            </w:r>
          </w:p>
          <w:p>
            <w:pPr>
              <w:ind w:firstLine="420" w:firstLineChars="200"/>
              <w:rPr>
                <w:rFonts w:ascii="宋体" w:hAnsi="宋体" w:eastAsia="宋体" w:cs="宋体"/>
                <w:color w:val="auto"/>
                <w:szCs w:val="21"/>
              </w:rPr>
            </w:pPr>
            <w:r>
              <w:rPr>
                <w:rFonts w:hint="eastAsia" w:ascii="宋体" w:hAnsi="宋体" w:eastAsia="宋体" w:cs="宋体"/>
                <w:color w:val="auto"/>
                <w:szCs w:val="21"/>
              </w:rPr>
              <w:t>新型儿童专业护栏，安全、豪华、方便使用。采用加高型，设有两个档位可调，做到全方位防止病人掉床的作用。提放处如，下放时低于床面高度，便于卧床者上下床。护栏开关采用两个开关同时按压，有效防止儿童误操作引起的安全隐患。护栏的开关和每一个连接部件全部经专业权威部门万次以上开关试验。证明产品安全可靠，稳定性高。</w:t>
            </w:r>
          </w:p>
          <w:p>
            <w:pPr>
              <w:rPr>
                <w:rFonts w:ascii="宋体" w:hAnsi="宋体" w:eastAsia="宋体" w:cs="宋体"/>
                <w:color w:val="auto"/>
                <w:szCs w:val="21"/>
              </w:rPr>
            </w:pPr>
            <w:r>
              <w:rPr>
                <w:rFonts w:hint="eastAsia" w:ascii="宋体" w:hAnsi="宋体" w:eastAsia="宋体" w:cs="宋体"/>
                <w:color w:val="auto"/>
                <w:szCs w:val="21"/>
              </w:rPr>
              <w:t>10、颜色</w:t>
            </w:r>
          </w:p>
          <w:p>
            <w:pPr>
              <w:ind w:firstLine="420" w:firstLineChars="200"/>
              <w:rPr>
                <w:rFonts w:ascii="宋体" w:hAnsi="宋体" w:eastAsia="宋体" w:cs="宋体"/>
                <w:color w:val="auto"/>
                <w:szCs w:val="21"/>
              </w:rPr>
            </w:pPr>
            <w:r>
              <w:rPr>
                <w:rFonts w:hint="eastAsia" w:ascii="宋体" w:hAnsi="宋体" w:eastAsia="宋体" w:cs="宋体"/>
                <w:color w:val="auto"/>
                <w:szCs w:val="21"/>
              </w:rPr>
              <w:t>有多种颜色搭配的方案供院方选择。</w:t>
            </w:r>
          </w:p>
        </w:tc>
        <w:tc>
          <w:tcPr>
            <w:tcW w:w="552" w:type="dxa"/>
            <w:vAlign w:val="center"/>
          </w:tcPr>
          <w:p>
            <w:pPr>
              <w:jc w:val="center"/>
              <w:rPr>
                <w:rFonts w:ascii="宋体" w:cs="宋体"/>
                <w:color w:val="auto"/>
                <w:sz w:val="20"/>
                <w:szCs w:val="20"/>
              </w:rPr>
            </w:pPr>
            <w:r>
              <w:rPr>
                <w:rFonts w:hint="eastAsia" w:ascii="宋体" w:cs="宋体"/>
                <w:color w:val="auto"/>
                <w:sz w:val="20"/>
                <w:szCs w:val="20"/>
              </w:rPr>
              <w:t>张</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56</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3</w:t>
            </w:r>
          </w:p>
        </w:tc>
        <w:tc>
          <w:tcPr>
            <w:tcW w:w="827" w:type="dxa"/>
            <w:vAlign w:val="center"/>
          </w:tcPr>
          <w:p>
            <w:pPr>
              <w:rPr>
                <w:rFonts w:ascii="宋体" w:cs="宋体"/>
                <w:color w:val="auto"/>
                <w:sz w:val="20"/>
                <w:szCs w:val="20"/>
              </w:rPr>
            </w:pPr>
            <w:r>
              <w:rPr>
                <w:rFonts w:hint="eastAsia" w:ascii="宋体" w:cs="宋体"/>
                <w:color w:val="auto"/>
                <w:sz w:val="20"/>
                <w:szCs w:val="20"/>
              </w:rPr>
              <w:t>婴儿推车A</w:t>
            </w:r>
          </w:p>
        </w:tc>
        <w:tc>
          <w:tcPr>
            <w:tcW w:w="6737" w:type="dxa"/>
            <w:vAlign w:val="center"/>
          </w:tcPr>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规格：尺寸760×450×800mm  </w:t>
            </w:r>
          </w:p>
          <w:p>
            <w:pPr>
              <w:numPr>
                <w:ilvl w:val="0"/>
                <w:numId w:val="7"/>
              </w:num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适用于出生婴儿护理，婴儿盆采用透明ABS材料，设有导流槽和透气孔，易于观察，美观大方。</w:t>
            </w:r>
          </w:p>
          <w:p>
            <w:pPr>
              <w:numPr>
                <w:ilvl w:val="0"/>
                <w:numId w:val="7"/>
              </w:num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床架采用优质钢管焊接制成，静电喷涂；钢管直径≥19mm，壁厚≥1.2mm，抗老化，不生锈，坚固耐用。</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2.盆内配有婴儿专用垫，透气性好，柔软舒服，适合婴儿适用。</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3.婴儿室可应不同需求上下倾斜，角度范围0-12度。下面设有篮框可以存放婴儿用品。</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4.四轮采用制动脚轮，稳定性强，无噪音。</w:t>
            </w:r>
          </w:p>
          <w:p>
            <w:pPr>
              <w:spacing w:after="120"/>
              <w:rPr>
                <w:rFonts w:ascii="宋体" w:hAnsi="宋体" w:eastAsia="宋体" w:cs="宋体"/>
                <w:color w:val="auto"/>
                <w:szCs w:val="21"/>
              </w:rPr>
            </w:pPr>
            <w:r>
              <w:rPr>
                <w:rFonts w:hint="eastAsia" w:ascii="宋体" w:hAnsi="宋体" w:eastAsia="宋体" w:cs="宋体"/>
                <w:color w:val="auto"/>
                <w:szCs w:val="21"/>
              </w:rPr>
              <w:t>标准配置：透明塑料盆一个，双面单制轮四个。</w:t>
            </w:r>
          </w:p>
        </w:tc>
        <w:tc>
          <w:tcPr>
            <w:tcW w:w="552" w:type="dxa"/>
            <w:vAlign w:val="center"/>
          </w:tcPr>
          <w:p>
            <w:pPr>
              <w:rPr>
                <w:rFonts w:ascii="宋体" w:cs="宋体"/>
                <w:color w:val="auto"/>
                <w:sz w:val="20"/>
                <w:szCs w:val="20"/>
              </w:rPr>
            </w:pPr>
            <w:r>
              <w:rPr>
                <w:rFonts w:hint="eastAsia" w:ascii="宋体" w:cs="宋体"/>
                <w:color w:val="auto"/>
                <w:sz w:val="20"/>
                <w:szCs w:val="20"/>
              </w:rPr>
              <w:t>辆</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10</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4</w:t>
            </w:r>
          </w:p>
        </w:tc>
        <w:tc>
          <w:tcPr>
            <w:tcW w:w="827" w:type="dxa"/>
            <w:vAlign w:val="center"/>
          </w:tcPr>
          <w:p>
            <w:pPr>
              <w:rPr>
                <w:rFonts w:ascii="宋体" w:cs="宋体"/>
                <w:color w:val="auto"/>
                <w:sz w:val="20"/>
                <w:szCs w:val="20"/>
              </w:rPr>
            </w:pPr>
            <w:r>
              <w:rPr>
                <w:rFonts w:hint="eastAsia" w:ascii="宋体" w:cs="宋体"/>
                <w:color w:val="auto"/>
                <w:sz w:val="20"/>
                <w:szCs w:val="20"/>
              </w:rPr>
              <w:t>婴儿推车B</w:t>
            </w:r>
          </w:p>
        </w:tc>
        <w:tc>
          <w:tcPr>
            <w:tcW w:w="6737" w:type="dxa"/>
            <w:vAlign w:val="center"/>
          </w:tcPr>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规格：尺寸760×450×（500-700）mm  </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1.适用于出生婴儿护理，婴儿盆采用透明ABS材料，设有导流槽和透气孔，易于观察，美观大方。</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2.整体采用优质ABS原生料制成，抗老化，不生锈，坚固耐用。</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3.盆内配有婴儿专用垫，透气性好，柔软舒服，适合婴儿适用。</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4.婴儿室可应不同需求上下倾斜，角度范围0-12度。下面设有可以存放婴儿用品的孔。</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5.四轮采用制动脚轮，稳定性强，无噪音。</w:t>
            </w:r>
          </w:p>
          <w:p>
            <w:pPr>
              <w:rPr>
                <w:rFonts w:ascii="宋体" w:hAnsi="宋体" w:eastAsia="宋体" w:cs="宋体"/>
                <w:color w:val="auto"/>
                <w:szCs w:val="21"/>
              </w:rPr>
            </w:pPr>
            <w:r>
              <w:rPr>
                <w:rFonts w:hint="eastAsia" w:ascii="宋体" w:hAnsi="宋体" w:eastAsia="宋体" w:cs="宋体"/>
                <w:color w:val="auto"/>
                <w:szCs w:val="21"/>
              </w:rPr>
              <w:t>标准配置：透明塑料盆一个，双面单制轮四个。</w:t>
            </w:r>
          </w:p>
        </w:tc>
        <w:tc>
          <w:tcPr>
            <w:tcW w:w="552" w:type="dxa"/>
            <w:vAlign w:val="center"/>
          </w:tcPr>
          <w:p>
            <w:pPr>
              <w:rPr>
                <w:rFonts w:ascii="宋体" w:cs="宋体"/>
                <w:color w:val="auto"/>
                <w:sz w:val="20"/>
                <w:szCs w:val="20"/>
              </w:rPr>
            </w:pPr>
            <w:r>
              <w:rPr>
                <w:rFonts w:hint="eastAsia" w:ascii="宋体" w:cs="宋体"/>
                <w:color w:val="auto"/>
                <w:sz w:val="20"/>
                <w:szCs w:val="20"/>
              </w:rPr>
              <w:t>辆</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91</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5</w:t>
            </w:r>
          </w:p>
        </w:tc>
        <w:tc>
          <w:tcPr>
            <w:tcW w:w="827" w:type="dxa"/>
            <w:vAlign w:val="center"/>
          </w:tcPr>
          <w:p>
            <w:pPr>
              <w:rPr>
                <w:rFonts w:ascii="宋体" w:cs="宋体"/>
                <w:color w:val="auto"/>
                <w:sz w:val="20"/>
                <w:szCs w:val="20"/>
              </w:rPr>
            </w:pPr>
            <w:r>
              <w:rPr>
                <w:rFonts w:hint="eastAsia" w:ascii="宋体" w:cs="宋体"/>
                <w:color w:val="auto"/>
                <w:sz w:val="20"/>
                <w:szCs w:val="20"/>
              </w:rPr>
              <w:t>医用转移车</w:t>
            </w:r>
          </w:p>
        </w:tc>
        <w:tc>
          <w:tcPr>
            <w:tcW w:w="6737" w:type="dxa"/>
            <w:vAlign w:val="center"/>
          </w:tcPr>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规格：尺寸2000×650×（500-700）mm</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1、床头、床尾，板面为pp材料，无毒、无味，密度小，强度、刚度、硬度耐热性、耐化学药品性及电气性能优良。</w:t>
            </w:r>
            <w:r>
              <w:rPr>
                <w:rFonts w:hint="eastAsia" w:ascii="宋体" w:hAnsi="宋体" w:eastAsia="宋体" w:cs="宋体"/>
                <w:color w:val="auto"/>
                <w:szCs w:val="21"/>
              </w:rPr>
              <w:br w:type="textWrapping"/>
            </w:r>
            <w:r>
              <w:rPr>
                <w:rFonts w:hint="eastAsia" w:ascii="宋体" w:hAnsi="宋体" w:eastAsia="宋体" w:cs="宋体"/>
                <w:color w:val="auto"/>
                <w:szCs w:val="21"/>
              </w:rPr>
              <w:t>2、床架采用优质碳钢焊接而成，牢固可靠，表面经静电喷涂，美观大方，抗老化，不生锈，坚固耐用。</w:t>
            </w:r>
            <w:r>
              <w:rPr>
                <w:rFonts w:hint="eastAsia" w:ascii="宋体" w:hAnsi="宋体" w:eastAsia="宋体" w:cs="宋体"/>
                <w:color w:val="auto"/>
                <w:szCs w:val="21"/>
              </w:rPr>
              <w:br w:type="textWrapping"/>
            </w:r>
            <w:r>
              <w:rPr>
                <w:rFonts w:hint="eastAsia" w:ascii="宋体" w:hAnsi="宋体" w:eastAsia="宋体" w:cs="宋体"/>
                <w:color w:val="auto"/>
                <w:szCs w:val="21"/>
              </w:rPr>
              <w:t>3、大副ABS阻尼升降式护栏，方便实用,护栏防夹手设计。</w:t>
            </w:r>
            <w:r>
              <w:rPr>
                <w:rFonts w:hint="eastAsia" w:ascii="宋体" w:hAnsi="宋体" w:eastAsia="宋体" w:cs="宋体"/>
                <w:color w:val="auto"/>
                <w:szCs w:val="21"/>
              </w:rPr>
              <w:br w:type="textWrapping"/>
            </w:r>
            <w:r>
              <w:rPr>
                <w:rFonts w:hint="eastAsia" w:ascii="宋体" w:hAnsi="宋体" w:eastAsia="宋体" w:cs="宋体"/>
                <w:color w:val="auto"/>
                <w:szCs w:val="21"/>
              </w:rPr>
              <w:t>4、四轮采用豪华125mm大脚轮，侧面中控刹车控制系统，配有定向轮，稳定性强，无噪音。</w:t>
            </w:r>
            <w:r>
              <w:rPr>
                <w:rFonts w:hint="eastAsia" w:ascii="宋体" w:hAnsi="宋体" w:eastAsia="宋体" w:cs="宋体"/>
                <w:color w:val="auto"/>
                <w:szCs w:val="21"/>
              </w:rPr>
              <w:br w:type="textWrapping"/>
            </w:r>
            <w:r>
              <w:rPr>
                <w:rFonts w:hint="eastAsia" w:ascii="宋体" w:hAnsi="宋体" w:eastAsia="宋体" w:cs="宋体"/>
                <w:color w:val="auto"/>
                <w:szCs w:val="21"/>
              </w:rPr>
              <w:t>5、本产品配有不锈钢手摇柄，丝杆配有离合装置，可调整车面高度。</w:t>
            </w:r>
          </w:p>
        </w:tc>
        <w:tc>
          <w:tcPr>
            <w:tcW w:w="552" w:type="dxa"/>
            <w:vAlign w:val="center"/>
          </w:tcPr>
          <w:p>
            <w:pPr>
              <w:rPr>
                <w:rFonts w:ascii="宋体" w:cs="宋体"/>
                <w:color w:val="auto"/>
                <w:sz w:val="20"/>
                <w:szCs w:val="20"/>
              </w:rPr>
            </w:pPr>
            <w:r>
              <w:rPr>
                <w:rFonts w:hint="eastAsia" w:ascii="宋体" w:cs="宋体"/>
                <w:color w:val="auto"/>
                <w:sz w:val="20"/>
                <w:szCs w:val="20"/>
              </w:rPr>
              <w:t>辆</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2</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550" w:type="dxa"/>
            <w:vAlign w:val="center"/>
          </w:tcPr>
          <w:p>
            <w:pPr>
              <w:rPr>
                <w:rFonts w:ascii="宋体" w:cs="宋体"/>
                <w:color w:val="auto"/>
                <w:sz w:val="20"/>
                <w:szCs w:val="20"/>
              </w:rPr>
            </w:pPr>
            <w:r>
              <w:rPr>
                <w:rFonts w:hint="eastAsia" w:ascii="宋体" w:cs="宋体"/>
                <w:color w:val="auto"/>
                <w:sz w:val="20"/>
                <w:szCs w:val="20"/>
              </w:rPr>
              <w:t>6</w:t>
            </w:r>
          </w:p>
        </w:tc>
        <w:tc>
          <w:tcPr>
            <w:tcW w:w="827" w:type="dxa"/>
            <w:vAlign w:val="center"/>
          </w:tcPr>
          <w:p>
            <w:pPr>
              <w:rPr>
                <w:rFonts w:ascii="宋体" w:cs="宋体"/>
                <w:color w:val="auto"/>
                <w:sz w:val="20"/>
                <w:szCs w:val="20"/>
              </w:rPr>
            </w:pPr>
            <w:r>
              <w:rPr>
                <w:rFonts w:hint="eastAsia" w:ascii="宋体" w:cs="宋体"/>
                <w:color w:val="auto"/>
                <w:sz w:val="20"/>
                <w:szCs w:val="20"/>
              </w:rPr>
              <w:t>移动餐桌</w:t>
            </w:r>
          </w:p>
        </w:tc>
        <w:tc>
          <w:tcPr>
            <w:tcW w:w="6737" w:type="dxa"/>
            <w:vAlign w:val="center"/>
          </w:tcPr>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规格：790×400×（750~1030）mm </w:t>
            </w:r>
          </w:p>
          <w:p>
            <w:pPr>
              <w:shd w:val="clear" w:color="auto" w:fill="FFFFFF"/>
              <w:spacing w:line="424" w:lineRule="atLeast"/>
              <w:rPr>
                <w:rFonts w:ascii="宋体" w:hAnsi="宋体" w:eastAsia="宋体" w:cs="宋体"/>
                <w:color w:val="auto"/>
                <w:szCs w:val="21"/>
              </w:rPr>
            </w:pPr>
            <w:r>
              <w:rPr>
                <w:rFonts w:hint="eastAsia" w:ascii="宋体" w:hAnsi="宋体" w:eastAsia="宋体" w:cs="宋体"/>
                <w:color w:val="auto"/>
                <w:szCs w:val="21"/>
              </w:rPr>
              <w:t>1、主体为优质碳钢制成，外形美观，抗冲击性、耐热性、耐低温性。</w:t>
            </w:r>
            <w:r>
              <w:rPr>
                <w:rFonts w:hint="eastAsia" w:ascii="宋体" w:hAnsi="宋体" w:eastAsia="宋体" w:cs="宋体"/>
                <w:color w:val="auto"/>
                <w:szCs w:val="21"/>
              </w:rPr>
              <w:br w:type="textWrapping"/>
            </w:r>
            <w:r>
              <w:rPr>
                <w:rFonts w:hint="eastAsia" w:ascii="宋体" w:hAnsi="宋体" w:eastAsia="宋体" w:cs="宋体"/>
                <w:color w:val="auto"/>
                <w:szCs w:val="21"/>
              </w:rPr>
              <w:t>2、桌面采用优质木质板材，牢固可靠，可升降，可任意调节高度，可满足患者读书、写字、吃饭等需求。</w:t>
            </w:r>
            <w:r>
              <w:rPr>
                <w:rFonts w:hint="eastAsia" w:ascii="宋体" w:hAnsi="宋体" w:eastAsia="宋体" w:cs="宋体"/>
                <w:color w:val="auto"/>
                <w:szCs w:val="21"/>
              </w:rPr>
              <w:br w:type="textWrapping"/>
            </w:r>
            <w:r>
              <w:rPr>
                <w:rFonts w:hint="eastAsia" w:ascii="宋体" w:hAnsi="宋体" w:eastAsia="宋体" w:cs="宋体"/>
                <w:color w:val="auto"/>
                <w:szCs w:val="21"/>
              </w:rPr>
              <w:t>3、四轮采用全制动医用静音脚轮，移动灵活，稳定性强，无噪音。</w:t>
            </w:r>
          </w:p>
        </w:tc>
        <w:tc>
          <w:tcPr>
            <w:tcW w:w="552" w:type="dxa"/>
            <w:vAlign w:val="center"/>
          </w:tcPr>
          <w:p>
            <w:pPr>
              <w:rPr>
                <w:rFonts w:ascii="宋体" w:cs="宋体"/>
                <w:color w:val="auto"/>
                <w:sz w:val="20"/>
                <w:szCs w:val="20"/>
              </w:rPr>
            </w:pPr>
            <w:r>
              <w:rPr>
                <w:rFonts w:hint="eastAsia" w:ascii="宋体" w:cs="宋体"/>
                <w:color w:val="auto"/>
                <w:sz w:val="20"/>
                <w:szCs w:val="20"/>
              </w:rPr>
              <w:t>个</w:t>
            </w:r>
          </w:p>
        </w:tc>
        <w:tc>
          <w:tcPr>
            <w:tcW w:w="663" w:type="dxa"/>
            <w:vAlign w:val="center"/>
          </w:tcPr>
          <w:p>
            <w:pPr>
              <w:ind w:firstLine="200" w:firstLineChars="100"/>
              <w:jc w:val="center"/>
              <w:rPr>
                <w:rFonts w:ascii="宋体" w:cs="宋体"/>
                <w:color w:val="auto"/>
                <w:sz w:val="20"/>
                <w:szCs w:val="20"/>
              </w:rPr>
            </w:pPr>
            <w:r>
              <w:rPr>
                <w:rFonts w:hint="eastAsia" w:ascii="宋体" w:cs="宋体"/>
                <w:color w:val="auto"/>
                <w:sz w:val="20"/>
                <w:szCs w:val="20"/>
              </w:rPr>
              <w:t>18</w:t>
            </w:r>
          </w:p>
        </w:tc>
        <w:tc>
          <w:tcPr>
            <w:tcW w:w="663" w:type="dxa"/>
            <w:vAlign w:val="center"/>
          </w:tcPr>
          <w:p>
            <w:pPr>
              <w:jc w:val="center"/>
              <w:rPr>
                <w:rFonts w:ascii="宋体" w:cs="宋体"/>
                <w:color w:val="auto"/>
                <w:sz w:val="20"/>
                <w:szCs w:val="20"/>
              </w:rPr>
            </w:pPr>
            <w:r>
              <w:rPr>
                <w:rFonts w:hint="eastAsia" w:ascii="宋体" w:cs="宋体"/>
                <w:color w:val="auto"/>
                <w:sz w:val="20"/>
                <w:szCs w:val="20"/>
              </w:rPr>
              <w:t>是</w:t>
            </w:r>
          </w:p>
        </w:tc>
      </w:tr>
    </w:tbl>
    <w:p>
      <w:pPr>
        <w:spacing w:line="360" w:lineRule="auto"/>
        <w:ind w:firstLine="482" w:firstLineChars="200"/>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w:t>
      </w:r>
      <w:r>
        <w:rPr>
          <w:rFonts w:hint="eastAsia" w:cs="宋体" w:asciiTheme="minorEastAsia" w:hAnsiTheme="minorEastAsia"/>
          <w:bCs/>
          <w:color w:val="auto"/>
          <w:kern w:val="0"/>
          <w:sz w:val="24"/>
          <w:szCs w:val="24"/>
          <w:lang w:val="en-US" w:eastAsia="zh-CN"/>
        </w:rPr>
        <w:t>A包</w:t>
      </w:r>
      <w:r>
        <w:rPr>
          <w:rFonts w:hint="eastAsia" w:cs="宋体" w:asciiTheme="minorEastAsia" w:hAnsiTheme="minorEastAsia"/>
          <w:bCs/>
          <w:color w:val="auto"/>
          <w:kern w:val="0"/>
          <w:sz w:val="24"/>
          <w:szCs w:val="24"/>
        </w:rPr>
        <w:t>免费质保期三年，</w:t>
      </w:r>
      <w:r>
        <w:rPr>
          <w:rFonts w:hint="eastAsia" w:cs="宋体" w:asciiTheme="minorEastAsia" w:hAnsiTheme="minorEastAsia"/>
          <w:bCs/>
          <w:color w:val="auto"/>
          <w:kern w:val="0"/>
          <w:sz w:val="24"/>
          <w:szCs w:val="24"/>
          <w:lang w:val="en-US" w:eastAsia="zh-CN"/>
        </w:rPr>
        <w:t>B包免费质保期十年，</w:t>
      </w:r>
      <w:r>
        <w:rPr>
          <w:rFonts w:hint="eastAsia" w:cs="宋体" w:asciiTheme="minorEastAsia" w:hAnsiTheme="minorEastAsia"/>
          <w:bCs/>
          <w:color w:val="auto"/>
          <w:kern w:val="0"/>
          <w:sz w:val="24"/>
          <w:szCs w:val="24"/>
        </w:rPr>
        <w:t>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21"/>
        <w:widowControl/>
        <w:shd w:val="clear" w:color="auto" w:fill="FFFFFF"/>
        <w:spacing w:line="360" w:lineRule="auto"/>
        <w:ind w:firstLine="1200" w:firstLineChars="500"/>
        <w:contextualSpacing/>
        <w:jc w:val="left"/>
        <w:rPr>
          <w:rFonts w:hint="eastAsia" w:cs="仿宋_GB2312" w:asciiTheme="minorEastAsia" w:hAnsiTheme="minorEastAsia" w:eastAsiaTheme="minorEastAsia"/>
          <w:color w:val="auto"/>
          <w:shd w:val="clear" w:color="auto" w:fill="FFFFFF"/>
        </w:rPr>
      </w:pPr>
      <w:bookmarkStart w:id="1" w:name="_Hlk517922146"/>
      <w:r>
        <w:rPr>
          <w:rFonts w:hint="eastAsia" w:cs="仿宋_GB2312" w:asciiTheme="minorEastAsia" w:hAnsiTheme="minorEastAsia" w:eastAsiaTheme="minorEastAsia"/>
          <w:color w:val="auto"/>
          <w:shd w:val="clear" w:color="auto" w:fill="FFFFFF"/>
        </w:rPr>
        <w:t>预算金额：A包：8</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万元；最高限价：A包：8</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万元。</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lang w:val="en-US" w:eastAsia="zh-CN"/>
        </w:rPr>
        <w:t xml:space="preserve">      </w:t>
      </w:r>
      <w:r>
        <w:rPr>
          <w:rFonts w:hint="eastAsia" w:cs="仿宋_GB2312" w:asciiTheme="minorEastAsia" w:hAnsiTheme="minorEastAsia" w:eastAsiaTheme="minorEastAsia"/>
          <w:color w:val="auto"/>
          <w:shd w:val="clear" w:color="auto" w:fill="FFFFFF"/>
        </w:rPr>
        <w:t>预算金额：B包：</w:t>
      </w:r>
      <w:r>
        <w:rPr>
          <w:rFonts w:cs="仿宋_GB2312" w:asciiTheme="minorEastAsia" w:hAnsiTheme="minorEastAsia" w:eastAsiaTheme="minorEastAsia"/>
          <w:color w:val="auto"/>
          <w:shd w:val="clear" w:color="auto" w:fill="FFFFFF"/>
        </w:rPr>
        <w:t>84.1</w:t>
      </w:r>
      <w:r>
        <w:rPr>
          <w:rFonts w:hint="eastAsia" w:cs="仿宋_GB2312" w:asciiTheme="minorEastAsia" w:hAnsiTheme="minorEastAsia" w:eastAsiaTheme="minorEastAsia"/>
          <w:color w:val="auto"/>
          <w:shd w:val="clear" w:color="auto" w:fill="FFFFFF"/>
        </w:rPr>
        <w:t>万元；最高限价：B包：</w:t>
      </w:r>
      <w:r>
        <w:rPr>
          <w:rFonts w:cs="仿宋_GB2312" w:asciiTheme="minorEastAsia" w:hAnsiTheme="minorEastAsia" w:eastAsiaTheme="minorEastAsia"/>
          <w:color w:val="auto"/>
          <w:shd w:val="clear" w:color="auto" w:fill="FFFFFF"/>
        </w:rPr>
        <w:t>84.1</w:t>
      </w:r>
      <w:r>
        <w:rPr>
          <w:rFonts w:hint="eastAsia" w:cs="仿宋_GB2312" w:asciiTheme="minorEastAsia" w:hAnsiTheme="minorEastAsia" w:eastAsiaTheme="minorEastAsia"/>
          <w:color w:val="auto"/>
          <w:shd w:val="clear" w:color="auto" w:fill="FFFFFF"/>
        </w:rPr>
        <w:t>万元。</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项目名称：许昌市妇幼保健院所需“电动产床等医疗设备”采购项目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项目编号：YLZB-G20180</w:t>
            </w:r>
            <w:r>
              <w:rPr>
                <w:rFonts w:hint="eastAsia" w:cs="仿宋_GB2312" w:asciiTheme="minorEastAsia" w:hAnsiTheme="minorEastAsia"/>
                <w:color w:val="auto"/>
                <w:sz w:val="24"/>
                <w:szCs w:val="24"/>
                <w:lang w:val="en-US" w:eastAsia="zh-CN"/>
              </w:rPr>
              <w:t>50</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项目内容：A包：电动产床及配件7套；B包：病床158张、病床56张、婴儿推车101辆、医用转移车2辆、移动餐桌18个（具体详见招标文件）。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名称：北京华采招标代理有限公司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基本开户银行出具的资信证明；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rPr>
              <w:t>具有相应范围的《医疗器械生产许可证》或《医疗器械经营许可证》经营范围涵盖所投包号产品，A包并具有投标产品的《中华人民共和国医疗器械注册证》、B包具有相关备案证明并加盖投标人公章的原件扫描件（或图片）（婴儿推车、医用转移车、移动餐桌除外）；</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A包：80万元；B包：84.1万元。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20</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w:t>
            </w:r>
            <w:r>
              <w:rPr>
                <w:rFonts w:hint="eastAsia" w:cs="宋体" w:asciiTheme="minorEastAsia" w:hAnsiTheme="minorEastAsia"/>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w:t>
            </w:r>
            <w:r>
              <w:rPr>
                <w:rFonts w:hint="eastAsia" w:cs="宋体" w:asciiTheme="minorEastAsia" w:hAnsiTheme="minorEastAsia"/>
                <w:bCs/>
                <w:color w:val="auto"/>
                <w:sz w:val="24"/>
                <w:szCs w:val="24"/>
                <w:lang w:val="zh-CN"/>
              </w:rPr>
              <w:t>开标</w:t>
            </w:r>
            <w:r>
              <w:rPr>
                <w:rFonts w:hint="eastAsia" w:cs="宋体" w:asciiTheme="minorEastAsia" w:hAnsiTheme="minorEastAsia"/>
                <w:bCs/>
                <w:color w:val="auto"/>
                <w:sz w:val="24"/>
                <w:szCs w:val="24"/>
                <w:u w:val="single"/>
                <w:lang w:val="zh-CN"/>
              </w:rPr>
              <w:t>五</w:t>
            </w:r>
            <w:r>
              <w:rPr>
                <w:rFonts w:hint="eastAsia" w:cs="宋体" w:asciiTheme="minorEastAsia" w:hAnsiTheme="minorEastAsia"/>
                <w:bCs/>
                <w:color w:val="auto"/>
                <w:sz w:val="24"/>
                <w:szCs w:val="24"/>
                <w:lang w:val="zh-CN"/>
              </w:rPr>
              <w:t>室</w:t>
            </w:r>
            <w:r>
              <w:rPr>
                <w:rFonts w:hint="eastAsia" w:cs="宋体" w:asciiTheme="minorEastAsia" w:hAnsiTheme="minorEastAsia"/>
                <w:bCs/>
                <w:color w:val="auto"/>
                <w:sz w:val="24"/>
                <w:szCs w:val="24"/>
                <w:lang w:val="zh-CN"/>
              </w:rPr>
              <w:t>（</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A包金额：壹万陆仟元整（¥</w:t>
            </w:r>
            <w:r>
              <w:rPr>
                <w:rFonts w:hint="eastAsia" w:cs="仿宋_GB2312" w:asciiTheme="minorEastAsia" w:hAnsiTheme="minorEastAsia"/>
                <w:color w:val="auto"/>
                <w:sz w:val="24"/>
                <w:szCs w:val="24"/>
              </w:rPr>
              <w:t>1</w:t>
            </w:r>
            <w:r>
              <w:rPr>
                <w:rFonts w:cs="仿宋_GB2312" w:asciiTheme="minorEastAsia" w:hAnsiTheme="minorEastAsia"/>
                <w:color w:val="auto"/>
                <w:sz w:val="24"/>
                <w:szCs w:val="24"/>
              </w:rPr>
              <w:t>6</w:t>
            </w:r>
            <w:r>
              <w:rPr>
                <w:rFonts w:hint="eastAsia" w:cs="仿宋_GB2312" w:asciiTheme="minorEastAsia" w:hAnsiTheme="minorEastAsia"/>
                <w:color w:val="auto"/>
                <w:sz w:val="24"/>
                <w:szCs w:val="24"/>
              </w:rPr>
              <w:t>000元</w:t>
            </w:r>
            <w:r>
              <w:rPr>
                <w:rFonts w:hint="eastAsia" w:cs="仿宋_GB2312" w:asciiTheme="minorEastAsia" w:hAnsiTheme="minorEastAsia"/>
                <w:color w:val="auto"/>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B包金额：壹万陆仟捌佰元整（¥</w:t>
            </w:r>
            <w:r>
              <w:rPr>
                <w:rFonts w:hint="eastAsia" w:cs="仿宋_GB2312" w:asciiTheme="minorEastAsia" w:hAnsiTheme="minorEastAsia"/>
                <w:color w:val="auto"/>
                <w:sz w:val="24"/>
                <w:szCs w:val="24"/>
              </w:rPr>
              <w:t>1</w:t>
            </w:r>
            <w:r>
              <w:rPr>
                <w:rFonts w:cs="仿宋_GB2312" w:asciiTheme="minorEastAsia" w:hAnsiTheme="minorEastAsia"/>
                <w:color w:val="auto"/>
                <w:sz w:val="24"/>
                <w:szCs w:val="24"/>
              </w:rPr>
              <w:t>68</w:t>
            </w:r>
            <w:r>
              <w:rPr>
                <w:rFonts w:hint="eastAsia" w:cs="仿宋_GB2312" w:asciiTheme="minorEastAsia" w:hAnsiTheme="minorEastAsia"/>
                <w:color w:val="auto"/>
                <w:sz w:val="24"/>
                <w:szCs w:val="24"/>
              </w:rPr>
              <w:t>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8"/>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8"/>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8"/>
        <w:numPr>
          <w:ilvl w:val="1"/>
          <w:numId w:val="10"/>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8"/>
        <w:numPr>
          <w:ilvl w:val="1"/>
          <w:numId w:val="11"/>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8"/>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8"/>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8"/>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8"/>
        <w:numPr>
          <w:ilvl w:val="1"/>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8"/>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8"/>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8"/>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8"/>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8"/>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8"/>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8"/>
        <w:numPr>
          <w:ilvl w:val="1"/>
          <w:numId w:val="8"/>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w:t>
            </w:r>
            <w:r>
              <w:rPr>
                <w:rFonts w:hint="eastAsia" w:asciiTheme="minorEastAsia" w:hAnsiTheme="minorEastAsia"/>
                <w:bCs/>
                <w:color w:val="auto"/>
                <w:sz w:val="24"/>
                <w:szCs w:val="24"/>
              </w:rPr>
              <w:t>或</w:t>
            </w:r>
            <w:r>
              <w:rPr>
                <w:rFonts w:hint="eastAsia" w:asciiTheme="minorEastAsia" w:hAnsiTheme="minorEastAsia"/>
                <w:bCs/>
                <w:color w:val="auto"/>
                <w:sz w:val="24"/>
                <w:szCs w:val="24"/>
              </w:rPr>
              <w:t>基本开户银行出具的资信证明；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w:t>
            </w:r>
            <w:r>
              <w:rPr>
                <w:rFonts w:hint="eastAsia" w:asciiTheme="minorEastAsia" w:hAnsiTheme="minorEastAsia"/>
                <w:bCs/>
                <w:color w:val="auto"/>
                <w:sz w:val="24"/>
                <w:szCs w:val="24"/>
              </w:rPr>
              <w:t>或者</w:t>
            </w:r>
            <w:r>
              <w:rPr>
                <w:rFonts w:hint="eastAsia" w:asciiTheme="minorEastAsia" w:hAnsiTheme="minorEastAsia"/>
                <w:bCs/>
                <w:color w:val="auto"/>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具有相应范围的《医疗器械生产许可证》或《医疗器械经营许可证》经营范围涵盖所投包号产品，A包并具有投标产品的《中华人民共和国医疗器械注册证》、B包具有相关备案证明并加盖投标人公章的原件扫描件（或图片）（婴儿推车、医用转移车、移动餐桌除外）；</w:t>
            </w:r>
          </w:p>
        </w:tc>
      </w:tr>
    </w:tbl>
    <w:p>
      <w:pPr>
        <w:pStyle w:val="15"/>
        <w:spacing w:line="360" w:lineRule="auto"/>
        <w:ind w:firstLine="482" w:firstLineChars="200"/>
        <w:contextualSpacing/>
        <w:rPr>
          <w:rFonts w:cs="仿宋_GB2312" w:asciiTheme="minorEastAsia" w:hAnsiTheme="minorEastAsia" w:eastAsiaTheme="minorEastAsia"/>
          <w:b/>
          <w:color w:val="auto"/>
          <w:szCs w:val="24"/>
          <w:lang w:val="zh-CN"/>
        </w:rPr>
      </w:pPr>
    </w:p>
    <w:p>
      <w:pPr>
        <w:pStyle w:val="15"/>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5"/>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投标人自2015年1月1日以来每提供一份合同金额在</w:t>
            </w:r>
            <w:r>
              <w:rPr>
                <w:rFonts w:ascii="宋体" w:hAnsi="宋体" w:cs="宋体"/>
                <w:color w:val="auto"/>
                <w:sz w:val="24"/>
                <w:szCs w:val="24"/>
              </w:rPr>
              <w:t>80</w:t>
            </w:r>
            <w:r>
              <w:rPr>
                <w:rFonts w:hint="eastAsia" w:ascii="宋体" w:hAnsi="宋体" w:cs="宋体"/>
                <w:color w:val="auto"/>
                <w:sz w:val="24"/>
                <w:szCs w:val="24"/>
              </w:rPr>
              <w:t>万元以上类似业绩（合同内容包含本次招标货物种类），每提供一份得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5"/>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5"/>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w:t>
      </w:r>
      <w:r>
        <w:rPr>
          <w:rFonts w:hint="eastAsia" w:ascii="宋体" w:hAnsi="宋体"/>
          <w:color w:val="auto"/>
          <w:sz w:val="24"/>
          <w:szCs w:val="24"/>
        </w:rPr>
        <w:t>设备安装完成</w:t>
      </w:r>
      <w:r>
        <w:rPr>
          <w:rFonts w:hint="eastAsia" w:ascii="宋体" w:hAnsi="宋体"/>
          <w:color w:val="auto"/>
          <w:sz w:val="24"/>
          <w:szCs w:val="24"/>
        </w:rPr>
        <w:t>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5"/>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5"/>
        <w:spacing w:line="360" w:lineRule="auto"/>
        <w:contextualSpacing/>
        <w:jc w:val="center"/>
        <w:rPr>
          <w:rFonts w:cs="宋体" w:asciiTheme="majorEastAsia" w:hAnsiTheme="majorEastAsia" w:eastAsiaTheme="majorEastAsia"/>
          <w:b/>
          <w:color w:val="auto"/>
          <w:kern w:val="0"/>
          <w:sz w:val="36"/>
          <w:szCs w:val="36"/>
        </w:rPr>
      </w:pPr>
    </w:p>
    <w:p>
      <w:pPr>
        <w:pStyle w:val="15"/>
        <w:spacing w:line="360" w:lineRule="auto"/>
        <w:contextualSpacing/>
        <w:jc w:val="center"/>
        <w:rPr>
          <w:rFonts w:cs="宋体" w:asciiTheme="majorEastAsia" w:hAnsiTheme="majorEastAsia" w:eastAsiaTheme="majorEastAsia"/>
          <w:b/>
          <w:color w:val="auto"/>
          <w:kern w:val="0"/>
          <w:sz w:val="36"/>
          <w:szCs w:val="36"/>
        </w:rPr>
      </w:pPr>
    </w:p>
    <w:p>
      <w:pPr>
        <w:pStyle w:val="15"/>
        <w:spacing w:line="360" w:lineRule="auto"/>
        <w:contextualSpacing/>
        <w:jc w:val="center"/>
        <w:rPr>
          <w:rFonts w:cs="宋体" w:asciiTheme="majorEastAsia" w:hAnsiTheme="majorEastAsia" w:eastAsiaTheme="majorEastAsia"/>
          <w:b/>
          <w:color w:val="auto"/>
          <w:kern w:val="0"/>
          <w:sz w:val="36"/>
          <w:szCs w:val="36"/>
        </w:rPr>
      </w:pPr>
    </w:p>
    <w:p>
      <w:pPr>
        <w:pStyle w:val="15"/>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5"/>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5"/>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5"/>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5"/>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5"/>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5"/>
        <w:spacing w:line="360" w:lineRule="auto"/>
        <w:jc w:val="center"/>
        <w:rPr>
          <w:rFonts w:asciiTheme="majorEastAsia" w:hAnsiTheme="majorEastAsia" w:eastAsiaTheme="majorEastAsia"/>
          <w:b/>
          <w:snapToGrid w:val="0"/>
          <w:color w:val="auto"/>
          <w:kern w:val="0"/>
          <w:sz w:val="36"/>
          <w:szCs w:val="36"/>
        </w:rPr>
      </w:pPr>
    </w:p>
    <w:p>
      <w:pPr>
        <w:pStyle w:val="15"/>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5"/>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color w:val="auto"/>
          <w:szCs w:val="24"/>
        </w:rPr>
      </w:pPr>
    </w:p>
    <w:p>
      <w:pPr>
        <w:pStyle w:val="15"/>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6" w:name="_资格证明文件"/>
            <w:bookmarkEnd w:id="6"/>
            <w:bookmarkStart w:id="7" w:name="_Toc364329026"/>
            <w:r>
              <w:rPr>
                <w:rFonts w:hint="eastAsia" w:asciiTheme="minorEastAsia" w:hAnsiTheme="minorEastAsia"/>
                <w:color w:val="auto"/>
                <w:sz w:val="24"/>
                <w:szCs w:val="24"/>
              </w:rPr>
              <w:t>法定代表人授权代表身份证（正面）</w:t>
            </w:r>
            <w:bookmarkEnd w:id="7"/>
          </w:p>
        </w:tc>
        <w:tc>
          <w:tcPr>
            <w:tcW w:w="4492" w:type="dxa"/>
            <w:gridSpan w:val="2"/>
            <w:vAlign w:val="center"/>
          </w:tcPr>
          <w:p>
            <w:pPr>
              <w:jc w:val="center"/>
              <w:rPr>
                <w:rFonts w:asciiTheme="minorEastAsia" w:hAnsiTheme="minorEastAsia"/>
                <w:color w:val="auto"/>
                <w:sz w:val="24"/>
                <w:szCs w:val="24"/>
              </w:rPr>
            </w:pPr>
            <w:bookmarkStart w:id="8" w:name="_Toc364329027"/>
            <w:r>
              <w:rPr>
                <w:rFonts w:hint="eastAsia" w:asciiTheme="minorEastAsia" w:hAnsiTheme="minorEastAsia"/>
                <w:color w:val="auto"/>
                <w:sz w:val="24"/>
                <w:szCs w:val="24"/>
              </w:rPr>
              <w:t>法定代表人授权代表身份证（反面）</w:t>
            </w:r>
            <w:bookmarkEnd w:id="8"/>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1"/>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1"/>
              <w:spacing w:line="360" w:lineRule="auto"/>
              <w:rPr>
                <w:rFonts w:ascii="宋体" w:hAnsi="宋体" w:eastAsia="宋体" w:cs="Times New Roman"/>
                <w:color w:val="auto"/>
                <w:sz w:val="24"/>
                <w:szCs w:val="24"/>
              </w:rPr>
            </w:pPr>
          </w:p>
        </w:tc>
        <w:tc>
          <w:tcPr>
            <w:tcW w:w="3579" w:type="dxa"/>
            <w:vAlign w:val="center"/>
          </w:tcPr>
          <w:p>
            <w:pPr>
              <w:pStyle w:val="11"/>
              <w:spacing w:line="360" w:lineRule="auto"/>
              <w:rPr>
                <w:rFonts w:ascii="宋体" w:hAnsi="宋体" w:eastAsia="宋体" w:cs="Times New Roman"/>
                <w:color w:val="auto"/>
                <w:sz w:val="24"/>
                <w:szCs w:val="24"/>
              </w:rPr>
            </w:pPr>
          </w:p>
        </w:tc>
        <w:tc>
          <w:tcPr>
            <w:tcW w:w="1440" w:type="dxa"/>
            <w:vAlign w:val="center"/>
          </w:tcPr>
          <w:p>
            <w:pPr>
              <w:pStyle w:val="11"/>
              <w:spacing w:line="360" w:lineRule="auto"/>
              <w:rPr>
                <w:rFonts w:ascii="宋体" w:hAnsi="宋体" w:eastAsia="宋体" w:cs="Times New Roman"/>
                <w:color w:val="auto"/>
                <w:sz w:val="24"/>
                <w:szCs w:val="24"/>
              </w:rPr>
            </w:pPr>
          </w:p>
        </w:tc>
        <w:tc>
          <w:tcPr>
            <w:tcW w:w="1706" w:type="dxa"/>
            <w:vAlign w:val="center"/>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1"/>
              <w:spacing w:line="360" w:lineRule="auto"/>
              <w:rPr>
                <w:rFonts w:ascii="宋体" w:hAnsi="宋体" w:eastAsia="宋体" w:cs="Times New Roman"/>
                <w:color w:val="auto"/>
                <w:sz w:val="24"/>
                <w:szCs w:val="24"/>
              </w:rPr>
            </w:pPr>
          </w:p>
        </w:tc>
        <w:tc>
          <w:tcPr>
            <w:tcW w:w="3579" w:type="dxa"/>
            <w:vAlign w:val="center"/>
          </w:tcPr>
          <w:p>
            <w:pPr>
              <w:pStyle w:val="11"/>
              <w:spacing w:line="360" w:lineRule="auto"/>
              <w:rPr>
                <w:rFonts w:ascii="宋体" w:hAnsi="宋体" w:eastAsia="宋体" w:cs="Times New Roman"/>
                <w:color w:val="auto"/>
                <w:sz w:val="24"/>
                <w:szCs w:val="24"/>
              </w:rPr>
            </w:pPr>
          </w:p>
        </w:tc>
        <w:tc>
          <w:tcPr>
            <w:tcW w:w="1440" w:type="dxa"/>
            <w:vAlign w:val="center"/>
          </w:tcPr>
          <w:p>
            <w:pPr>
              <w:pStyle w:val="11"/>
              <w:spacing w:line="360" w:lineRule="auto"/>
              <w:rPr>
                <w:rFonts w:ascii="宋体" w:hAnsi="宋体" w:eastAsia="宋体" w:cs="Times New Roman"/>
                <w:color w:val="auto"/>
                <w:sz w:val="24"/>
                <w:szCs w:val="24"/>
              </w:rPr>
            </w:pPr>
          </w:p>
        </w:tc>
        <w:tc>
          <w:tcPr>
            <w:tcW w:w="1706" w:type="dxa"/>
            <w:vAlign w:val="center"/>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1"/>
              <w:spacing w:line="360" w:lineRule="auto"/>
              <w:rPr>
                <w:rFonts w:ascii="宋体" w:hAnsi="宋体" w:eastAsia="宋体" w:cs="Times New Roman"/>
                <w:color w:val="auto"/>
                <w:sz w:val="24"/>
                <w:szCs w:val="24"/>
              </w:rPr>
            </w:pPr>
          </w:p>
        </w:tc>
        <w:tc>
          <w:tcPr>
            <w:tcW w:w="3579" w:type="dxa"/>
            <w:vAlign w:val="center"/>
          </w:tcPr>
          <w:p>
            <w:pPr>
              <w:pStyle w:val="11"/>
              <w:spacing w:line="360" w:lineRule="auto"/>
              <w:rPr>
                <w:rFonts w:ascii="宋体" w:hAnsi="宋体" w:eastAsia="宋体" w:cs="Times New Roman"/>
                <w:color w:val="auto"/>
                <w:sz w:val="24"/>
                <w:szCs w:val="24"/>
              </w:rPr>
            </w:pPr>
          </w:p>
        </w:tc>
        <w:tc>
          <w:tcPr>
            <w:tcW w:w="1440" w:type="dxa"/>
            <w:vAlign w:val="center"/>
          </w:tcPr>
          <w:p>
            <w:pPr>
              <w:pStyle w:val="11"/>
              <w:spacing w:line="360" w:lineRule="auto"/>
              <w:rPr>
                <w:rFonts w:ascii="宋体" w:hAnsi="宋体" w:eastAsia="宋体" w:cs="Times New Roman"/>
                <w:color w:val="auto"/>
                <w:sz w:val="24"/>
                <w:szCs w:val="24"/>
              </w:rPr>
            </w:pPr>
          </w:p>
        </w:tc>
        <w:tc>
          <w:tcPr>
            <w:tcW w:w="1706" w:type="dxa"/>
            <w:vAlign w:val="center"/>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11"/>
              <w:spacing w:line="360" w:lineRule="auto"/>
              <w:rPr>
                <w:rFonts w:ascii="宋体" w:hAnsi="宋体" w:eastAsia="宋体" w:cs="Times New Roman"/>
                <w:color w:val="auto"/>
                <w:sz w:val="24"/>
                <w:szCs w:val="24"/>
              </w:rPr>
            </w:pPr>
          </w:p>
        </w:tc>
        <w:tc>
          <w:tcPr>
            <w:tcW w:w="991" w:type="dxa"/>
            <w:vAlign w:val="center"/>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135" w:type="dxa"/>
          </w:tcPr>
          <w:p>
            <w:pPr>
              <w:pStyle w:val="11"/>
              <w:spacing w:line="360" w:lineRule="auto"/>
              <w:rPr>
                <w:rFonts w:ascii="宋体" w:hAnsi="宋体" w:eastAsia="宋体" w:cs="Times New Roman"/>
                <w:color w:val="auto"/>
                <w:sz w:val="24"/>
                <w:szCs w:val="24"/>
              </w:rPr>
            </w:pPr>
          </w:p>
        </w:tc>
        <w:tc>
          <w:tcPr>
            <w:tcW w:w="1276" w:type="dxa"/>
          </w:tcPr>
          <w:p>
            <w:pPr>
              <w:pStyle w:val="11"/>
              <w:spacing w:line="360" w:lineRule="auto"/>
              <w:rPr>
                <w:rFonts w:ascii="宋体" w:hAnsi="宋体" w:eastAsia="宋体" w:cs="Times New Roman"/>
                <w:color w:val="auto"/>
                <w:sz w:val="24"/>
                <w:szCs w:val="24"/>
              </w:rPr>
            </w:pPr>
          </w:p>
        </w:tc>
        <w:tc>
          <w:tcPr>
            <w:tcW w:w="1439" w:type="dxa"/>
          </w:tcPr>
          <w:p>
            <w:pPr>
              <w:pStyle w:val="11"/>
              <w:spacing w:line="360" w:lineRule="auto"/>
              <w:rPr>
                <w:rFonts w:ascii="宋体" w:hAnsi="宋体" w:eastAsia="宋体" w:cs="Times New Roman"/>
                <w:color w:val="auto"/>
                <w:sz w:val="24"/>
                <w:szCs w:val="24"/>
              </w:rPr>
            </w:pPr>
          </w:p>
        </w:tc>
        <w:tc>
          <w:tcPr>
            <w:tcW w:w="1252" w:type="dxa"/>
          </w:tcPr>
          <w:p>
            <w:pPr>
              <w:pStyle w:val="11"/>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9" w:name="OLE_LINK13"/>
      <w:bookmarkStart w:id="10" w:name="OLE_LINK14"/>
      <w:r>
        <w:rPr>
          <w:rFonts w:hint="eastAsia" w:ascii="宋体" w:hAnsi="宋体"/>
          <w:b/>
          <w:bCs/>
          <w:color w:val="auto"/>
          <w:sz w:val="36"/>
          <w:szCs w:val="36"/>
        </w:rPr>
        <w:t>4.10 残疾人福利性单位声明函</w:t>
      </w:r>
    </w:p>
    <w:bookmarkEnd w:id="9"/>
    <w:bookmarkEnd w:id="10"/>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1"/>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E9EAAC53"/>
    <w:multiLevelType w:val="singleLevel"/>
    <w:tmpl w:val="E9EAAC53"/>
    <w:lvl w:ilvl="0" w:tentative="0">
      <w:start w:val="1"/>
      <w:numFmt w:val="decimal"/>
      <w:suff w:val="nothing"/>
      <w:lvlText w:val="%1、"/>
      <w:lvlJc w:val="left"/>
    </w:lvl>
  </w:abstractNum>
  <w:abstractNum w:abstractNumId="2">
    <w:nsid w:val="F3B3EE45"/>
    <w:multiLevelType w:val="singleLevel"/>
    <w:tmpl w:val="F3B3EE45"/>
    <w:lvl w:ilvl="0" w:tentative="0">
      <w:start w:val="1"/>
      <w:numFmt w:val="decimal"/>
      <w:lvlText w:val="%1."/>
      <w:lvlJc w:val="left"/>
      <w:pPr>
        <w:tabs>
          <w:tab w:val="left" w:pos="312"/>
        </w:tabs>
      </w:p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49"/>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16"/>
  </w:num>
  <w:num w:numId="5">
    <w:abstractNumId w:val="0"/>
  </w:num>
  <w:num w:numId="6">
    <w:abstractNumId w:val="1"/>
  </w:num>
  <w:num w:numId="7">
    <w:abstractNumId w:val="2"/>
  </w:num>
  <w:num w:numId="8">
    <w:abstractNumId w:val="10"/>
  </w:num>
  <w:num w:numId="9">
    <w:abstractNumId w:val="18"/>
  </w:num>
  <w:num w:numId="10">
    <w:abstractNumId w:val="19"/>
  </w:num>
  <w:num w:numId="11">
    <w:abstractNumId w:val="14"/>
  </w:num>
  <w:num w:numId="12">
    <w:abstractNumId w:val="11"/>
  </w:num>
  <w:num w:numId="13">
    <w:abstractNumId w:val="7"/>
  </w:num>
  <w:num w:numId="14">
    <w:abstractNumId w:val="8"/>
  </w:num>
  <w:num w:numId="15">
    <w:abstractNumId w:val="21"/>
  </w:num>
  <w:num w:numId="16">
    <w:abstractNumId w:val="13"/>
  </w:num>
  <w:num w:numId="17">
    <w:abstractNumId w:val="20"/>
  </w:num>
  <w:num w:numId="18">
    <w:abstractNumId w:val="6"/>
  </w:num>
  <w:num w:numId="19">
    <w:abstractNumId w:val="9"/>
  </w:num>
  <w:num w:numId="20">
    <w:abstractNumId w:val="15"/>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4764B88"/>
    <w:rsid w:val="05A66782"/>
    <w:rsid w:val="06032CF4"/>
    <w:rsid w:val="06904873"/>
    <w:rsid w:val="1007750D"/>
    <w:rsid w:val="101F07CA"/>
    <w:rsid w:val="12633776"/>
    <w:rsid w:val="14BF58CA"/>
    <w:rsid w:val="16120009"/>
    <w:rsid w:val="181929D7"/>
    <w:rsid w:val="18274E5F"/>
    <w:rsid w:val="197E7B14"/>
    <w:rsid w:val="19AE47E0"/>
    <w:rsid w:val="19D73C2E"/>
    <w:rsid w:val="1AEC0950"/>
    <w:rsid w:val="1B5C7908"/>
    <w:rsid w:val="21014C5D"/>
    <w:rsid w:val="23C04A76"/>
    <w:rsid w:val="25B142AB"/>
    <w:rsid w:val="28F025A3"/>
    <w:rsid w:val="29827945"/>
    <w:rsid w:val="2A1D6C96"/>
    <w:rsid w:val="2B955B97"/>
    <w:rsid w:val="2F1B757B"/>
    <w:rsid w:val="2F652AF5"/>
    <w:rsid w:val="303456C6"/>
    <w:rsid w:val="304460C7"/>
    <w:rsid w:val="31001BFC"/>
    <w:rsid w:val="312C3F38"/>
    <w:rsid w:val="32C361F8"/>
    <w:rsid w:val="33C24A64"/>
    <w:rsid w:val="34501561"/>
    <w:rsid w:val="36977DC0"/>
    <w:rsid w:val="39CA7A84"/>
    <w:rsid w:val="3A567318"/>
    <w:rsid w:val="40D520C7"/>
    <w:rsid w:val="436D082F"/>
    <w:rsid w:val="442C5709"/>
    <w:rsid w:val="44484B3D"/>
    <w:rsid w:val="44813CAF"/>
    <w:rsid w:val="44D06250"/>
    <w:rsid w:val="450B2124"/>
    <w:rsid w:val="46CC5B0B"/>
    <w:rsid w:val="47535AF9"/>
    <w:rsid w:val="479F493E"/>
    <w:rsid w:val="49810E90"/>
    <w:rsid w:val="4ADE353A"/>
    <w:rsid w:val="4B570E56"/>
    <w:rsid w:val="4F152AD5"/>
    <w:rsid w:val="4F3B1AD7"/>
    <w:rsid w:val="505D42CC"/>
    <w:rsid w:val="516C62DE"/>
    <w:rsid w:val="52B3711D"/>
    <w:rsid w:val="52B473A8"/>
    <w:rsid w:val="54E4407B"/>
    <w:rsid w:val="54F32CB4"/>
    <w:rsid w:val="54F42526"/>
    <w:rsid w:val="555A4F1D"/>
    <w:rsid w:val="556632E1"/>
    <w:rsid w:val="56AD14CC"/>
    <w:rsid w:val="56D57114"/>
    <w:rsid w:val="57204064"/>
    <w:rsid w:val="57F57718"/>
    <w:rsid w:val="58AC67C2"/>
    <w:rsid w:val="5BD21553"/>
    <w:rsid w:val="5D287C15"/>
    <w:rsid w:val="5DA440F6"/>
    <w:rsid w:val="5E633E31"/>
    <w:rsid w:val="5E9E5CBE"/>
    <w:rsid w:val="608355DF"/>
    <w:rsid w:val="60BB5B26"/>
    <w:rsid w:val="60ED2F3A"/>
    <w:rsid w:val="622F1798"/>
    <w:rsid w:val="6331309E"/>
    <w:rsid w:val="6428471C"/>
    <w:rsid w:val="6504685B"/>
    <w:rsid w:val="659F02C0"/>
    <w:rsid w:val="67740EFF"/>
    <w:rsid w:val="67AE01B7"/>
    <w:rsid w:val="67EF097B"/>
    <w:rsid w:val="681B1C02"/>
    <w:rsid w:val="6A692423"/>
    <w:rsid w:val="6BD579B3"/>
    <w:rsid w:val="6ECB2D14"/>
    <w:rsid w:val="6FDC4587"/>
    <w:rsid w:val="717F55BF"/>
    <w:rsid w:val="719E0453"/>
    <w:rsid w:val="728D5BBC"/>
    <w:rsid w:val="73D63E07"/>
    <w:rsid w:val="73FA0EDC"/>
    <w:rsid w:val="748E2E4F"/>
    <w:rsid w:val="749003E7"/>
    <w:rsid w:val="75323C2B"/>
    <w:rsid w:val="77437BD7"/>
    <w:rsid w:val="7ACE383C"/>
    <w:rsid w:val="7C493A6A"/>
    <w:rsid w:val="7C4B5BB7"/>
    <w:rsid w:val="7F36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945"/>
        <w:tab w:val="left" w:pos="1155"/>
      </w:tabs>
      <w:spacing w:after="120"/>
      <w:ind w:left="420" w:leftChars="200" w:firstLine="420" w:firstLineChars="200"/>
    </w:pPr>
    <w:rPr>
      <w:rFonts w:ascii="Times New Roman" w:hAnsi="Times New Roman" w:eastAsia="宋体" w:cs="Times New Roman"/>
    </w:rPr>
  </w:style>
  <w:style w:type="paragraph" w:styleId="3">
    <w:name w:val="Body Text Indent"/>
    <w:basedOn w:val="1"/>
    <w:qFormat/>
    <w:uiPriority w:val="0"/>
    <w:pPr>
      <w:tabs>
        <w:tab w:val="left" w:pos="945"/>
        <w:tab w:val="left" w:pos="1155"/>
      </w:tabs>
      <w:ind w:firstLine="435"/>
    </w:pPr>
    <w:rPr>
      <w:rFonts w:ascii="Ari"/>
      <w:sz w:val="24"/>
      <w:szCs w:val="20"/>
    </w:rPr>
  </w:style>
  <w:style w:type="paragraph" w:styleId="8">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0"/>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6"/>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1"/>
    <w:qFormat/>
    <w:uiPriority w:val="0"/>
    <w:rPr>
      <w:rFonts w:eastAsia="宋体"/>
      <w:sz w:val="24"/>
    </w:rPr>
  </w:style>
  <w:style w:type="paragraph" w:styleId="16">
    <w:name w:val="Date"/>
    <w:basedOn w:val="1"/>
    <w:next w:val="1"/>
    <w:link w:val="32"/>
    <w:unhideWhenUsed/>
    <w:qFormat/>
    <w:uiPriority w:val="99"/>
    <w:pPr>
      <w:ind w:left="100" w:leftChars="2500"/>
    </w:p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2"/>
    <w:unhideWhenUsed/>
    <w:qFormat/>
    <w:uiPriority w:val="99"/>
    <w:rPr>
      <w:color w:val="0000FF"/>
      <w:u w:val="single"/>
    </w:rPr>
  </w:style>
  <w:style w:type="character" w:customStyle="1" w:styleId="27">
    <w:name w:val="标题 1 字符"/>
    <w:basedOn w:val="22"/>
    <w:link w:val="4"/>
    <w:qFormat/>
    <w:uiPriority w:val="0"/>
    <w:rPr>
      <w:rFonts w:ascii="Calibri" w:hAnsi="Calibri" w:eastAsia="宋体" w:cs="Times New Roman"/>
      <w:b/>
      <w:bCs/>
      <w:kern w:val="44"/>
      <w:sz w:val="44"/>
      <w:szCs w:val="44"/>
    </w:rPr>
  </w:style>
  <w:style w:type="character" w:customStyle="1" w:styleId="28">
    <w:name w:val="标题 2 字符"/>
    <w:basedOn w:val="22"/>
    <w:link w:val="5"/>
    <w:qFormat/>
    <w:uiPriority w:val="0"/>
    <w:rPr>
      <w:rFonts w:ascii="Arial" w:hAnsi="Arial" w:eastAsia="黑体" w:cs="Times New Roman"/>
      <w:b/>
      <w:bCs/>
      <w:kern w:val="0"/>
      <w:sz w:val="32"/>
      <w:szCs w:val="32"/>
    </w:rPr>
  </w:style>
  <w:style w:type="character" w:customStyle="1" w:styleId="29">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2"/>
    <w:link w:val="7"/>
    <w:qFormat/>
    <w:uiPriority w:val="0"/>
    <w:rPr>
      <w:rFonts w:ascii="Arial" w:hAnsi="Arial" w:eastAsia="黑体" w:cs="Times New Roman"/>
      <w:b/>
      <w:bCs/>
      <w:kern w:val="0"/>
      <w:sz w:val="28"/>
      <w:szCs w:val="28"/>
    </w:rPr>
  </w:style>
  <w:style w:type="character" w:customStyle="1" w:styleId="31">
    <w:name w:val="纯文本 字符"/>
    <w:basedOn w:val="22"/>
    <w:link w:val="15"/>
    <w:qFormat/>
    <w:uiPriority w:val="0"/>
    <w:rPr>
      <w:rFonts w:eastAsia="宋体"/>
      <w:sz w:val="24"/>
    </w:rPr>
  </w:style>
  <w:style w:type="character" w:customStyle="1" w:styleId="32">
    <w:name w:val="日期 字符"/>
    <w:basedOn w:val="22"/>
    <w:link w:val="16"/>
    <w:qFormat/>
    <w:uiPriority w:val="99"/>
  </w:style>
  <w:style w:type="character" w:customStyle="1" w:styleId="33">
    <w:name w:val="页脚 字符"/>
    <w:basedOn w:val="22"/>
    <w:link w:val="17"/>
    <w:qFormat/>
    <w:uiPriority w:val="99"/>
    <w:rPr>
      <w:sz w:val="18"/>
      <w:szCs w:val="18"/>
    </w:rPr>
  </w:style>
  <w:style w:type="character" w:customStyle="1" w:styleId="34">
    <w:name w:val="页眉 字符"/>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2"/>
    <w:link w:val="12"/>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2"/>
    <w:link w:val="9"/>
    <w:semiHidden/>
    <w:qFormat/>
    <w:uiPriority w:val="99"/>
  </w:style>
  <w:style w:type="character" w:customStyle="1" w:styleId="51">
    <w:name w:val="正文文本首行缩进 字符"/>
    <w:basedOn w:val="50"/>
    <w:link w:val="8"/>
    <w:qFormat/>
    <w:uiPriority w:val="0"/>
    <w:rPr>
      <w:rFonts w:ascii="宋体" w:hAnsi="Times New Roman" w:eastAsia="宋体" w:cs="Times New Roman"/>
      <w:kern w:val="0"/>
      <w:sz w:val="34"/>
      <w:szCs w:val="20"/>
    </w:rPr>
  </w:style>
  <w:style w:type="character" w:customStyle="1" w:styleId="52">
    <w:name w:val="HTML 预设格式 字符"/>
    <w:basedOn w:val="22"/>
    <w:link w:val="20"/>
    <w:semiHidden/>
    <w:qFormat/>
    <w:uiPriority w:val="99"/>
    <w:rPr>
      <w:rFonts w:ascii="宋体" w:hAnsi="宋体" w:eastAsia="宋体" w:cs="宋体"/>
      <w:kern w:val="0"/>
      <w:sz w:val="24"/>
      <w:szCs w:val="24"/>
    </w:rPr>
  </w:style>
  <w:style w:type="paragraph" w:customStyle="1" w:styleId="53">
    <w:name w:val="列出段落11"/>
    <w:basedOn w:val="1"/>
    <w:qFormat/>
    <w:uiPriority w:val="0"/>
    <w:pPr>
      <w:ind w:firstLine="420" w:firstLineChars="200"/>
    </w:pPr>
    <w:rPr>
      <w:rFonts w:ascii="Times New Roman" w:hAnsi="Times New Roman" w:eastAsia="宋体" w:cs="Times New Roman"/>
      <w:szCs w:val="24"/>
    </w:rPr>
  </w:style>
  <w:style w:type="paragraph" w:customStyle="1" w:styleId="5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4</TotalTime>
  <ScaleCrop>false</ScaleCrop>
  <LinksUpToDate>false</LinksUpToDate>
  <CharactersWithSpaces>43211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2018-06-11T02:51:00Z</cp:lastPrinted>
  <dcterms:modified xsi:type="dcterms:W3CDTF">2018-08-28T03:15:56Z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