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000000"/>
          <w:sz w:val="24"/>
          <w:szCs w:val="24"/>
          <w:shd w:val="clear" w:color="auto" w:fill="FFFFFF"/>
        </w:rPr>
      </w:pPr>
      <w:r>
        <w:rPr>
          <w:rFonts w:hint="eastAsia" w:ascii="仿宋_GB2312" w:hAnsi="微软雅黑" w:eastAsia="仿宋_GB2312" w:cs="仿宋_GB2312"/>
          <w:b/>
          <w:color w:val="000000"/>
          <w:kern w:val="0"/>
          <w:sz w:val="36"/>
          <w:szCs w:val="36"/>
          <w:shd w:val="clear" w:color="auto" w:fill="FFFFFF"/>
        </w:rPr>
        <w:t>JZFCG-</w:t>
      </w:r>
      <w:r>
        <w:rPr>
          <w:rFonts w:hint="eastAsia" w:ascii="仿宋_GB2312" w:hAnsi="微软雅黑" w:eastAsia="仿宋_GB2312" w:cs="仿宋_GB2312"/>
          <w:b/>
          <w:color w:val="000000"/>
          <w:kern w:val="0"/>
          <w:sz w:val="36"/>
          <w:szCs w:val="36"/>
          <w:shd w:val="clear" w:color="auto" w:fill="FFFFFF"/>
          <w:lang w:val="en-US" w:eastAsia="zh-CN"/>
        </w:rPr>
        <w:t>X</w:t>
      </w:r>
      <w:r>
        <w:rPr>
          <w:rFonts w:hint="eastAsia" w:ascii="仿宋_GB2312" w:hAnsi="微软雅黑" w:eastAsia="仿宋_GB2312" w:cs="仿宋_GB2312"/>
          <w:b/>
          <w:color w:val="000000"/>
          <w:kern w:val="0"/>
          <w:sz w:val="36"/>
          <w:szCs w:val="36"/>
          <w:shd w:val="clear" w:color="auto" w:fill="FFFFFF"/>
        </w:rPr>
        <w:t>2018</w:t>
      </w:r>
      <w:r>
        <w:rPr>
          <w:rFonts w:hint="eastAsia" w:ascii="仿宋_GB2312" w:hAnsi="微软雅黑" w:eastAsia="仿宋_GB2312" w:cs="仿宋_GB2312"/>
          <w:b/>
          <w:color w:val="000000"/>
          <w:kern w:val="0"/>
          <w:sz w:val="36"/>
          <w:szCs w:val="36"/>
          <w:shd w:val="clear" w:color="auto" w:fill="FFFFFF"/>
          <w:lang w:val="en-US" w:eastAsia="zh-CN"/>
        </w:rPr>
        <w:t>004</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val="zh-CN"/>
        </w:rPr>
        <w:t>许昌市公安局示范区分局</w:t>
      </w:r>
      <w:r>
        <w:rPr>
          <w:rFonts w:hint="eastAsia" w:ascii="仿宋_GB2312" w:hAnsi="微软雅黑" w:eastAsia="仿宋_GB2312" w:cs="仿宋_GB2312"/>
          <w:b/>
          <w:color w:val="000000"/>
          <w:kern w:val="0"/>
          <w:sz w:val="36"/>
          <w:szCs w:val="36"/>
          <w:shd w:val="clear" w:color="auto" w:fill="FFFFFF"/>
        </w:rPr>
        <w:t>“</w:t>
      </w:r>
      <w:r>
        <w:rPr>
          <w:rFonts w:hint="eastAsia" w:ascii="仿宋_GB2312" w:hAnsi="微软雅黑" w:eastAsia="仿宋_GB2312" w:cs="仿宋_GB2312"/>
          <w:b/>
          <w:color w:val="000000"/>
          <w:kern w:val="0"/>
          <w:sz w:val="36"/>
          <w:szCs w:val="36"/>
          <w:shd w:val="clear" w:color="auto" w:fill="FFFFFF"/>
          <w:lang w:val="zh-CN"/>
        </w:rPr>
        <w:t>示范区技防线路租赁项目</w:t>
      </w:r>
      <w:r>
        <w:rPr>
          <w:rFonts w:hint="eastAsia" w:ascii="仿宋_GB2312" w:hAnsi="微软雅黑" w:eastAsia="仿宋_GB2312" w:cs="仿宋_GB2312"/>
          <w:b/>
          <w:color w:val="000000"/>
          <w:kern w:val="0"/>
          <w:sz w:val="36"/>
          <w:szCs w:val="36"/>
          <w:shd w:val="clear" w:color="auto" w:fill="FFFFFF"/>
        </w:rPr>
        <w:t>”采购需求、评标标准等说明</w:t>
      </w:r>
    </w:p>
    <w:p>
      <w:pPr>
        <w:pStyle w:val="12"/>
        <w:widowControl/>
        <w:shd w:val="clear" w:color="auto" w:fill="FFFFFF"/>
        <w:spacing w:line="408" w:lineRule="auto"/>
        <w:contextualSpacing/>
        <w:jc w:val="left"/>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shd w:val="clear" w:color="auto" w:fill="FFFFFF"/>
        </w:rPr>
        <w:t>一、项目</w:t>
      </w:r>
      <w:r>
        <w:rPr>
          <w:rFonts w:hint="eastAsia" w:asciiTheme="minorEastAsia" w:hAnsiTheme="minorEastAsia" w:eastAsiaTheme="minorEastAsia" w:cstheme="minorEastAsia"/>
          <w:b/>
          <w:bCs/>
          <w:color w:val="000000"/>
          <w:sz w:val="24"/>
          <w:szCs w:val="24"/>
          <w:shd w:val="clear" w:color="auto" w:fill="FFFFFF"/>
          <w:lang w:eastAsia="zh-CN"/>
        </w:rPr>
        <w:t>概况</w:t>
      </w:r>
    </w:p>
    <w:p>
      <w:pPr>
        <w:widowControl/>
        <w:shd w:val="clear" w:color="auto" w:fill="FFFFFF"/>
        <w:spacing w:before="226"/>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（一）项目名称：</w:t>
      </w:r>
      <w:r>
        <w:rPr>
          <w:rFonts w:hint="eastAsia" w:ascii="宋体" w:hAnsi="宋体" w:cs="宋体"/>
          <w:kern w:val="0"/>
          <w:sz w:val="24"/>
          <w:szCs w:val="24"/>
          <w:shd w:val="clear" w:color="auto" w:fill="FFFFFF"/>
          <w:lang w:val="zh-CN"/>
        </w:rPr>
        <w:t>示范区技防线路租赁项目</w:t>
      </w:r>
    </w:p>
    <w:p>
      <w:pPr>
        <w:pStyle w:val="12"/>
        <w:widowControl/>
        <w:shd w:val="clear" w:color="auto" w:fill="FFFFFF"/>
        <w:spacing w:line="408" w:lineRule="auto"/>
        <w:ind w:firstLine="420"/>
        <w:contextualSpacing/>
        <w:jc w:val="left"/>
        <w:rPr>
          <w:rFonts w:ascii="宋体" w:hAnsi="宋体" w:cs="宋体" w:eastAsiaTheme="minorEastAsia"/>
          <w:kern w:val="0"/>
          <w:sz w:val="24"/>
          <w:szCs w:val="24"/>
          <w:shd w:val="clear" w:color="auto" w:fill="FFFFFF"/>
        </w:rPr>
      </w:pPr>
      <w:r>
        <w:rPr>
          <w:rFonts w:hint="eastAsia" w:ascii="宋体" w:hAnsi="宋体" w:cs="宋体" w:eastAsiaTheme="minorEastAsia"/>
          <w:kern w:val="0"/>
          <w:sz w:val="24"/>
          <w:szCs w:val="24"/>
          <w:shd w:val="clear" w:color="auto" w:fill="FFFFFF"/>
        </w:rPr>
        <w:t>（二）项目编号：JZFCG-</w:t>
      </w:r>
      <w:r>
        <w:rPr>
          <w:rFonts w:hint="eastAsia" w:ascii="宋体" w:hAnsi="宋体" w:cs="宋体" w:eastAsiaTheme="minorEastAsia"/>
          <w:kern w:val="0"/>
          <w:sz w:val="24"/>
          <w:szCs w:val="24"/>
          <w:shd w:val="clear" w:color="auto" w:fill="FFFFFF"/>
          <w:lang w:val="en-US" w:eastAsia="zh-CN"/>
        </w:rPr>
        <w:t>X</w:t>
      </w:r>
      <w:r>
        <w:rPr>
          <w:rFonts w:hint="eastAsia" w:ascii="宋体" w:hAnsi="宋体" w:cs="宋体" w:eastAsiaTheme="minorEastAsia"/>
          <w:kern w:val="0"/>
          <w:sz w:val="24"/>
          <w:szCs w:val="24"/>
          <w:shd w:val="clear" w:color="auto" w:fill="FFFFFF"/>
        </w:rPr>
        <w:t>2018</w:t>
      </w:r>
      <w:r>
        <w:rPr>
          <w:rFonts w:hint="eastAsia" w:ascii="宋体" w:hAnsi="宋体" w:cs="宋体" w:eastAsiaTheme="minorEastAsia"/>
          <w:kern w:val="0"/>
          <w:sz w:val="24"/>
          <w:szCs w:val="24"/>
          <w:shd w:val="clear" w:color="auto" w:fill="FFFFFF"/>
          <w:lang w:val="en-US" w:eastAsia="zh-CN"/>
        </w:rPr>
        <w:t>004</w:t>
      </w:r>
      <w:bookmarkStart w:id="0" w:name="_GoBack"/>
      <w:bookmarkEnd w:id="0"/>
      <w:r>
        <w:rPr>
          <w:rFonts w:hint="eastAsia" w:ascii="宋体" w:hAnsi="宋体" w:cs="宋体" w:eastAsiaTheme="minorEastAsia"/>
          <w:kern w:val="0"/>
          <w:sz w:val="24"/>
          <w:szCs w:val="24"/>
          <w:shd w:val="clear" w:color="auto" w:fill="FFFFFF"/>
        </w:rPr>
        <w:t xml:space="preserve">号    </w:t>
      </w:r>
    </w:p>
    <w:p>
      <w:pPr>
        <w:pStyle w:val="12"/>
        <w:widowControl/>
        <w:shd w:val="clear" w:color="auto" w:fill="FFFFFF"/>
        <w:spacing w:line="408" w:lineRule="auto"/>
        <w:ind w:firstLine="420"/>
        <w:contextualSpacing/>
        <w:jc w:val="left"/>
        <w:rPr>
          <w:rFonts w:hint="eastAsia" w:ascii="宋体" w:hAnsi="宋体" w:cs="宋体" w:eastAsiaTheme="minorEastAsia"/>
          <w:kern w:val="0"/>
          <w:sz w:val="24"/>
          <w:szCs w:val="24"/>
          <w:shd w:val="clear" w:color="auto" w:fill="FFFFFF"/>
          <w:lang w:eastAsia="zh-CN"/>
        </w:rPr>
      </w:pPr>
      <w:r>
        <w:rPr>
          <w:rFonts w:hint="eastAsia" w:ascii="宋体" w:hAnsi="宋体" w:cs="宋体" w:eastAsiaTheme="minorEastAsia"/>
          <w:kern w:val="0"/>
          <w:sz w:val="24"/>
          <w:szCs w:val="24"/>
          <w:shd w:val="clear" w:color="auto" w:fill="FFFFFF"/>
        </w:rPr>
        <w:t>（三）采购方式：</w:t>
      </w:r>
      <w:r>
        <w:rPr>
          <w:rFonts w:hint="eastAsia" w:ascii="宋体" w:hAnsi="宋体" w:cs="宋体" w:eastAsiaTheme="minorEastAsia"/>
          <w:kern w:val="0"/>
          <w:sz w:val="24"/>
          <w:szCs w:val="24"/>
          <w:shd w:val="clear" w:color="auto" w:fill="FFFFFF"/>
          <w:lang w:eastAsia="zh-CN"/>
        </w:rPr>
        <w:t>询价</w:t>
      </w:r>
    </w:p>
    <w:p>
      <w:pPr>
        <w:pStyle w:val="12"/>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（四）项目主要内容、数量及要求：</w:t>
      </w:r>
      <w:r>
        <w:rPr>
          <w:rFonts w:hint="eastAsia" w:ascii="宋体" w:hAnsi="宋体" w:cs="仿宋_GB2312"/>
          <w:color w:val="000000"/>
          <w:sz w:val="24"/>
          <w:szCs w:val="24"/>
          <w:shd w:val="clear" w:color="auto" w:fill="FFFFFF"/>
          <w:lang w:eastAsia="zh-CN"/>
        </w:rPr>
        <w:t>线路租赁费</w:t>
      </w:r>
      <w:r>
        <w:rPr>
          <w:rFonts w:hint="eastAsia" w:ascii="宋体" w:hAnsi="宋体" w:cs="仿宋_GB2312"/>
          <w:color w:val="000000"/>
          <w:sz w:val="24"/>
          <w:szCs w:val="24"/>
          <w:shd w:val="clear" w:color="auto" w:fill="FFFFFF"/>
        </w:rPr>
        <w:t>。</w:t>
      </w:r>
    </w:p>
    <w:p>
      <w:pPr>
        <w:pStyle w:val="12"/>
        <w:widowControl/>
        <w:shd w:val="clear" w:color="auto" w:fill="FFFFFF"/>
        <w:spacing w:line="360" w:lineRule="auto"/>
        <w:ind w:firstLine="480" w:firstLineChars="200"/>
        <w:contextualSpacing/>
        <w:jc w:val="left"/>
        <w:rPr>
          <w:rFonts w:ascii="宋体" w:hAnsi="宋体" w:cs="仿宋_GB2312"/>
          <w:color w:val="000000"/>
          <w:sz w:val="24"/>
          <w:szCs w:val="24"/>
          <w:shd w:val="clear" w:color="auto" w:fill="FFFFFF"/>
        </w:rPr>
      </w:pPr>
      <w:r>
        <w:rPr>
          <w:rFonts w:hint="eastAsia" w:cs="仿宋_GB2312" w:asciiTheme="minorEastAsia" w:hAnsiTheme="minorEastAsia"/>
          <w:sz w:val="24"/>
          <w:szCs w:val="24"/>
          <w:shd w:val="clear" w:color="auto" w:fill="FFFFFF"/>
        </w:rPr>
        <w:t>（五）预算金额：</w:t>
      </w:r>
      <w:r>
        <w:rPr>
          <w:rFonts w:hint="eastAsia" w:cs="仿宋_GB2312" w:asciiTheme="minorEastAsia" w:hAnsiTheme="minorEastAsia"/>
          <w:sz w:val="24"/>
          <w:szCs w:val="24"/>
          <w:shd w:val="clear" w:color="auto" w:fill="FFFFFF"/>
          <w:lang w:val="en-US" w:eastAsia="zh-CN"/>
        </w:rPr>
        <w:t>3360元（单价：路/年）</w:t>
      </w:r>
      <w:r>
        <w:rPr>
          <w:rFonts w:hint="eastAsia" w:cs="仿宋_GB2312" w:asciiTheme="minorEastAsia" w:hAnsiTheme="minorEastAsia"/>
          <w:sz w:val="24"/>
          <w:szCs w:val="24"/>
          <w:shd w:val="clear" w:color="auto" w:fill="FFFFFF"/>
        </w:rPr>
        <w:t>；最高限价：</w:t>
      </w:r>
      <w:r>
        <w:rPr>
          <w:rFonts w:hint="eastAsia" w:cs="仿宋_GB2312" w:asciiTheme="minorEastAsia" w:hAnsiTheme="minorEastAsia"/>
          <w:sz w:val="24"/>
          <w:szCs w:val="24"/>
          <w:shd w:val="clear" w:color="auto" w:fill="FFFFFF"/>
          <w:lang w:val="en-US" w:eastAsia="zh-CN"/>
        </w:rPr>
        <w:t>3360元（单价：路/年）。</w:t>
      </w:r>
    </w:p>
    <w:p>
      <w:pPr>
        <w:pStyle w:val="12"/>
        <w:widowControl/>
        <w:numPr>
          <w:ilvl w:val="0"/>
          <w:numId w:val="2"/>
        </w:numPr>
        <w:shd w:val="clear" w:color="auto" w:fill="FFFFFF"/>
        <w:spacing w:line="408"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lang w:eastAsia="zh-CN"/>
        </w:rPr>
        <w:t>交付（服务、完工）时间：五年</w:t>
      </w:r>
    </w:p>
    <w:p>
      <w:pPr>
        <w:pStyle w:val="12"/>
        <w:widowControl/>
        <w:numPr>
          <w:ilvl w:val="0"/>
          <w:numId w:val="2"/>
        </w:numPr>
        <w:shd w:val="clear" w:color="auto" w:fill="FFFFFF"/>
        <w:spacing w:line="408"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lang w:val="zh-CN"/>
        </w:rPr>
        <w:t>交付（服务、施工）地点：许昌市公安局示范区分局</w:t>
      </w:r>
    </w:p>
    <w:p>
      <w:pPr>
        <w:pStyle w:val="12"/>
        <w:widowControl/>
        <w:numPr>
          <w:ilvl w:val="0"/>
          <w:numId w:val="2"/>
        </w:numPr>
        <w:shd w:val="clear" w:color="auto" w:fill="FFFFFF"/>
        <w:spacing w:line="408" w:lineRule="auto"/>
        <w:ind w:firstLine="420"/>
        <w:contextualSpacing/>
        <w:jc w:val="left"/>
        <w:rPr>
          <w:rFonts w:hint="eastAsia" w:ascii="宋体" w:hAnsi="宋体" w:cs="仿宋_GB2312"/>
          <w:color w:val="000000"/>
          <w:sz w:val="24"/>
          <w:szCs w:val="24"/>
          <w:shd w:val="clear" w:color="auto" w:fill="FFFFFF"/>
          <w:lang w:val="zh-CN"/>
        </w:rPr>
      </w:pPr>
      <w:r>
        <w:rPr>
          <w:rFonts w:hint="eastAsia" w:ascii="宋体" w:hAnsi="宋体" w:cs="仿宋_GB2312"/>
          <w:color w:val="000000"/>
          <w:sz w:val="24"/>
          <w:szCs w:val="24"/>
          <w:shd w:val="clear" w:color="auto" w:fill="FFFFFF"/>
          <w:lang w:val="zh-CN"/>
        </w:rPr>
        <w:t>分包：不允许</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z w:val="24"/>
          <w:szCs w:val="24"/>
          <w:shd w:val="clear" w:color="auto" w:fill="FFFFFF"/>
        </w:rPr>
      </w:pPr>
      <w:r>
        <w:rPr>
          <w:rFonts w:hint="eastAsia" w:asciiTheme="minorEastAsia" w:hAnsiTheme="minorEastAsia" w:eastAsiaTheme="minorEastAsia" w:cstheme="minorEastAsia"/>
          <w:b/>
          <w:color w:val="000000"/>
          <w:sz w:val="24"/>
          <w:szCs w:val="24"/>
          <w:shd w:val="clear" w:color="auto" w:fill="FFFFFF"/>
        </w:rPr>
        <w:t>二、需要落实的政府采购政策</w:t>
      </w:r>
    </w:p>
    <w:p>
      <w:pPr>
        <w:pStyle w:val="12"/>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lang w:val="zh-CN"/>
        </w:rPr>
        <w:t>本项目落实节能环保</w:t>
      </w:r>
      <w:r>
        <w:rPr>
          <w:rFonts w:hint="eastAsia" w:ascii="宋体" w:hAnsi="宋体" w:cs="仿宋_GB2312"/>
          <w:color w:val="000000"/>
          <w:sz w:val="24"/>
          <w:szCs w:val="24"/>
          <w:shd w:val="clear" w:color="auto" w:fill="FFFFFF"/>
          <w:lang w:val="zh-CN"/>
        </w:rPr>
        <w:fldChar w:fldCharType="begin"/>
      </w:r>
      <w:r>
        <w:rPr>
          <w:rFonts w:hint="eastAsia" w:ascii="宋体" w:hAnsi="宋体" w:cs="仿宋_GB2312"/>
          <w:color w:val="000000"/>
          <w:sz w:val="24"/>
          <w:szCs w:val="24"/>
          <w:shd w:val="clear" w:color="auto" w:fill="FFFFFF"/>
          <w:lang w:val="zh-CN"/>
        </w:rPr>
        <w:instrText xml:space="preserve">eq \o\ac(</w:instrText>
      </w:r>
      <w:r>
        <w:rPr>
          <w:rFonts w:hint="eastAsia" w:ascii="宋体" w:hAnsi="宋体" w:cs="仿宋_GB2312"/>
          <w:color w:val="000000"/>
          <w:position w:val="-4"/>
          <w:sz w:val="36"/>
          <w:szCs w:val="24"/>
          <w:shd w:val="clear" w:color="auto" w:fill="FFFFFF"/>
          <w:lang w:val="zh-CN"/>
        </w:rPr>
        <w:instrText xml:space="preserve">□</w:instrText>
      </w:r>
      <w:r>
        <w:rPr>
          <w:rFonts w:hint="eastAsia" w:ascii="宋体" w:hAnsi="宋体" w:cs="仿宋_GB2312"/>
          <w:color w:val="000000"/>
          <w:position w:val="0"/>
          <w:sz w:val="24"/>
          <w:szCs w:val="24"/>
          <w:shd w:val="clear" w:color="auto" w:fill="FFFFFF"/>
          <w:lang w:val="zh-CN"/>
        </w:rPr>
        <w:instrText xml:space="preserve">,√)</w:instrText>
      </w:r>
      <w:r>
        <w:rPr>
          <w:rFonts w:hint="eastAsia" w:ascii="宋体" w:hAnsi="宋体" w:cs="仿宋_GB2312"/>
          <w:color w:val="000000"/>
          <w:sz w:val="24"/>
          <w:szCs w:val="24"/>
          <w:shd w:val="clear" w:color="auto" w:fill="FFFFFF"/>
          <w:lang w:val="zh-CN"/>
        </w:rPr>
        <w:fldChar w:fldCharType="end"/>
      </w:r>
      <w:r>
        <w:rPr>
          <w:rFonts w:hint="eastAsia" w:ascii="宋体" w:hAnsi="宋体" w:cs="仿宋_GB2312"/>
          <w:color w:val="000000"/>
          <w:sz w:val="24"/>
          <w:szCs w:val="24"/>
          <w:shd w:val="clear" w:color="auto" w:fill="FFFFFF"/>
          <w:lang w:val="zh-CN"/>
        </w:rPr>
        <w:t>、中小微型企业扶持</w:t>
      </w:r>
      <w:r>
        <w:rPr>
          <w:rFonts w:hint="eastAsia" w:ascii="宋体" w:hAnsi="宋体" w:cs="仿宋_GB2312"/>
          <w:color w:val="000000"/>
          <w:sz w:val="24"/>
          <w:szCs w:val="24"/>
          <w:shd w:val="clear" w:color="auto" w:fill="FFFFFF"/>
          <w:lang w:val="zh-CN"/>
        </w:rPr>
        <w:fldChar w:fldCharType="begin"/>
      </w:r>
      <w:r>
        <w:rPr>
          <w:rFonts w:hint="eastAsia" w:ascii="宋体" w:hAnsi="宋体" w:cs="仿宋_GB2312"/>
          <w:color w:val="000000"/>
          <w:sz w:val="24"/>
          <w:szCs w:val="24"/>
          <w:shd w:val="clear" w:color="auto" w:fill="FFFFFF"/>
          <w:lang w:val="zh-CN"/>
        </w:rPr>
        <w:instrText xml:space="preserve">eq \o\ac(</w:instrText>
      </w:r>
      <w:r>
        <w:rPr>
          <w:rFonts w:hint="eastAsia" w:ascii="宋体" w:hAnsi="宋体" w:cs="仿宋_GB2312"/>
          <w:color w:val="000000"/>
          <w:position w:val="-4"/>
          <w:sz w:val="36"/>
          <w:szCs w:val="24"/>
          <w:shd w:val="clear" w:color="auto" w:fill="FFFFFF"/>
          <w:lang w:val="zh-CN"/>
        </w:rPr>
        <w:instrText xml:space="preserve">□</w:instrText>
      </w:r>
      <w:r>
        <w:rPr>
          <w:rFonts w:hint="eastAsia" w:ascii="宋体" w:hAnsi="宋体" w:cs="仿宋_GB2312"/>
          <w:color w:val="000000"/>
          <w:position w:val="0"/>
          <w:sz w:val="24"/>
          <w:szCs w:val="24"/>
          <w:shd w:val="clear" w:color="auto" w:fill="FFFFFF"/>
          <w:lang w:val="zh-CN"/>
        </w:rPr>
        <w:instrText xml:space="preserve">,√)</w:instrText>
      </w:r>
      <w:r>
        <w:rPr>
          <w:rFonts w:hint="eastAsia" w:ascii="宋体" w:hAnsi="宋体" w:cs="仿宋_GB2312"/>
          <w:color w:val="000000"/>
          <w:sz w:val="24"/>
          <w:szCs w:val="24"/>
          <w:shd w:val="clear" w:color="auto" w:fill="FFFFFF"/>
          <w:lang w:val="zh-CN"/>
        </w:rPr>
        <w:fldChar w:fldCharType="end"/>
      </w:r>
      <w:r>
        <w:rPr>
          <w:rFonts w:hint="eastAsia" w:ascii="宋体" w:hAnsi="宋体" w:cs="仿宋_GB2312"/>
          <w:color w:val="000000"/>
          <w:sz w:val="24"/>
          <w:szCs w:val="24"/>
          <w:shd w:val="clear" w:color="auto" w:fill="FFFFFF"/>
          <w:lang w:val="zh-CN"/>
        </w:rPr>
        <w:t>、支持监狱企业发展</w:t>
      </w:r>
      <w:r>
        <w:rPr>
          <w:rFonts w:hint="eastAsia" w:ascii="宋体" w:hAnsi="宋体" w:cs="仿宋_GB2312"/>
          <w:color w:val="000000"/>
          <w:sz w:val="24"/>
          <w:szCs w:val="24"/>
          <w:shd w:val="clear" w:color="auto" w:fill="FFFFFF"/>
          <w:lang w:val="zh-CN"/>
        </w:rPr>
        <w:fldChar w:fldCharType="begin"/>
      </w:r>
      <w:r>
        <w:rPr>
          <w:rFonts w:hint="eastAsia" w:ascii="宋体" w:hAnsi="宋体" w:cs="仿宋_GB2312"/>
          <w:color w:val="000000"/>
          <w:sz w:val="24"/>
          <w:szCs w:val="24"/>
          <w:shd w:val="clear" w:color="auto" w:fill="FFFFFF"/>
          <w:lang w:val="zh-CN"/>
        </w:rPr>
        <w:instrText xml:space="preserve">eq \o\ac(</w:instrText>
      </w:r>
      <w:r>
        <w:rPr>
          <w:rFonts w:hint="eastAsia" w:ascii="宋体" w:hAnsi="宋体" w:cs="仿宋_GB2312"/>
          <w:color w:val="000000"/>
          <w:position w:val="-4"/>
          <w:sz w:val="36"/>
          <w:szCs w:val="24"/>
          <w:shd w:val="clear" w:color="auto" w:fill="FFFFFF"/>
          <w:lang w:val="zh-CN"/>
        </w:rPr>
        <w:instrText xml:space="preserve">□</w:instrText>
      </w:r>
      <w:r>
        <w:rPr>
          <w:rFonts w:hint="eastAsia" w:ascii="宋体" w:hAnsi="宋体" w:cs="仿宋_GB2312"/>
          <w:color w:val="000000"/>
          <w:position w:val="0"/>
          <w:sz w:val="24"/>
          <w:szCs w:val="24"/>
          <w:shd w:val="clear" w:color="auto" w:fill="FFFFFF"/>
          <w:lang w:val="zh-CN"/>
        </w:rPr>
        <w:instrText xml:space="preserve">,√)</w:instrText>
      </w:r>
      <w:r>
        <w:rPr>
          <w:rFonts w:hint="eastAsia" w:ascii="宋体" w:hAnsi="宋体" w:cs="仿宋_GB2312"/>
          <w:color w:val="000000"/>
          <w:sz w:val="24"/>
          <w:szCs w:val="24"/>
          <w:shd w:val="clear" w:color="auto" w:fill="FFFFFF"/>
          <w:lang w:val="zh-CN"/>
        </w:rPr>
        <w:fldChar w:fldCharType="end"/>
      </w:r>
      <w:r>
        <w:rPr>
          <w:rFonts w:hint="eastAsia" w:ascii="宋体" w:hAnsi="宋体" w:cs="仿宋_GB2312"/>
          <w:color w:val="000000"/>
          <w:sz w:val="24"/>
          <w:szCs w:val="24"/>
          <w:shd w:val="clear" w:color="auto" w:fill="FFFFFF"/>
          <w:lang w:val="zh-CN"/>
        </w:rPr>
        <w:t>、残疾人福利性单位扶持</w:t>
      </w:r>
      <w:r>
        <w:rPr>
          <w:rFonts w:hint="eastAsia" w:ascii="宋体" w:hAnsi="宋体" w:cs="仿宋_GB2312"/>
          <w:color w:val="000000"/>
          <w:sz w:val="24"/>
          <w:szCs w:val="24"/>
          <w:shd w:val="clear" w:color="auto" w:fill="FFFFFF"/>
          <w:lang w:val="zh-CN"/>
        </w:rPr>
        <w:fldChar w:fldCharType="begin"/>
      </w:r>
      <w:r>
        <w:rPr>
          <w:rFonts w:hint="eastAsia" w:ascii="宋体" w:hAnsi="宋体" w:cs="仿宋_GB2312"/>
          <w:color w:val="000000"/>
          <w:sz w:val="24"/>
          <w:szCs w:val="24"/>
          <w:shd w:val="clear" w:color="auto" w:fill="FFFFFF"/>
          <w:lang w:val="zh-CN"/>
        </w:rPr>
        <w:instrText xml:space="preserve">eq \o\ac(</w:instrText>
      </w:r>
      <w:r>
        <w:rPr>
          <w:rFonts w:hint="eastAsia" w:ascii="宋体" w:hAnsi="宋体" w:cs="仿宋_GB2312"/>
          <w:color w:val="000000"/>
          <w:position w:val="-4"/>
          <w:sz w:val="36"/>
          <w:szCs w:val="24"/>
          <w:shd w:val="clear" w:color="auto" w:fill="FFFFFF"/>
          <w:lang w:val="zh-CN"/>
        </w:rPr>
        <w:instrText xml:space="preserve">□</w:instrText>
      </w:r>
      <w:r>
        <w:rPr>
          <w:rFonts w:hint="eastAsia" w:ascii="宋体" w:hAnsi="宋体" w:cs="仿宋_GB2312"/>
          <w:color w:val="000000"/>
          <w:position w:val="0"/>
          <w:sz w:val="24"/>
          <w:szCs w:val="24"/>
          <w:shd w:val="clear" w:color="auto" w:fill="FFFFFF"/>
          <w:lang w:val="zh-CN"/>
        </w:rPr>
        <w:instrText xml:space="preserve">,√)</w:instrText>
      </w:r>
      <w:r>
        <w:rPr>
          <w:rFonts w:hint="eastAsia" w:ascii="宋体" w:hAnsi="宋体" w:cs="仿宋_GB2312"/>
          <w:color w:val="000000"/>
          <w:sz w:val="24"/>
          <w:szCs w:val="24"/>
          <w:shd w:val="clear" w:color="auto" w:fill="FFFFFF"/>
          <w:lang w:val="zh-CN"/>
        </w:rPr>
        <w:fldChar w:fldCharType="end"/>
      </w:r>
      <w:r>
        <w:rPr>
          <w:rFonts w:hint="eastAsia" w:ascii="宋体" w:hAnsi="宋体" w:cs="仿宋_GB2312"/>
          <w:color w:val="000000"/>
          <w:sz w:val="24"/>
          <w:szCs w:val="24"/>
          <w:shd w:val="clear" w:color="auto" w:fill="FFFFFF"/>
          <w:lang w:val="zh-CN"/>
        </w:rPr>
        <w:t>等相关政府采购政策</w:t>
      </w:r>
      <w:r>
        <w:rPr>
          <w:rFonts w:hint="eastAsia" w:ascii="宋体" w:hAnsi="宋体" w:cs="仿宋_GB2312"/>
          <w:color w:val="000000"/>
          <w:sz w:val="24"/>
          <w:szCs w:val="24"/>
          <w:shd w:val="clear" w:color="auto" w:fill="FFFFFF"/>
        </w:rPr>
        <w:t>。</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z w:val="24"/>
          <w:szCs w:val="24"/>
          <w:shd w:val="clear" w:color="auto" w:fill="FFFFFF"/>
        </w:rPr>
      </w:pPr>
      <w:r>
        <w:rPr>
          <w:rFonts w:hint="eastAsia" w:asciiTheme="minorEastAsia" w:hAnsiTheme="minorEastAsia" w:eastAsiaTheme="minorEastAsia" w:cstheme="minorEastAsia"/>
          <w:b/>
          <w:color w:val="000000"/>
          <w:sz w:val="24"/>
          <w:szCs w:val="24"/>
          <w:shd w:val="clear" w:color="auto" w:fill="FFFFFF"/>
        </w:rPr>
        <w:t>三、</w:t>
      </w:r>
      <w:r>
        <w:rPr>
          <w:rFonts w:hint="eastAsia" w:asciiTheme="minorEastAsia" w:hAnsiTheme="minorEastAsia" w:eastAsiaTheme="minorEastAsia" w:cstheme="minorEastAsia"/>
          <w:b/>
          <w:color w:val="000000"/>
          <w:sz w:val="24"/>
          <w:szCs w:val="24"/>
          <w:shd w:val="clear" w:color="auto" w:fill="FFFFFF"/>
          <w:lang w:val="zh-CN"/>
        </w:rPr>
        <w:t>供应商资格要求</w:t>
      </w:r>
    </w:p>
    <w:p>
      <w:pPr>
        <w:pStyle w:val="12"/>
        <w:widowControl/>
        <w:shd w:val="clear" w:color="auto" w:fill="FFFFFF"/>
        <w:spacing w:line="360" w:lineRule="auto"/>
        <w:ind w:firstLine="420"/>
        <w:contextualSpacing/>
        <w:jc w:val="left"/>
        <w:rPr>
          <w:rFonts w:hint="eastAsia" w:ascii="宋体" w:hAnsi="宋体" w:cs="仿宋_GB2312"/>
          <w:color w:val="000000"/>
          <w:sz w:val="24"/>
          <w:szCs w:val="24"/>
          <w:shd w:val="clear" w:color="auto" w:fill="FFFFFF"/>
          <w:lang w:val="zh-CN"/>
        </w:rPr>
      </w:pPr>
      <w:r>
        <w:rPr>
          <w:rFonts w:hint="eastAsia" w:ascii="宋体" w:hAnsi="宋体" w:cs="仿宋_GB2312"/>
          <w:color w:val="000000"/>
          <w:sz w:val="24"/>
          <w:szCs w:val="24"/>
          <w:shd w:val="clear" w:color="auto" w:fill="FFFFFF"/>
          <w:lang w:val="zh-CN"/>
        </w:rPr>
        <w:t>（1）具备《政府采购法》第二十二条第一款规定条件并提供相关材料。同时供应商须具备线路经营范围或具有通信运营商线路保障能力的证明材料。（以针对本项目授权文件或合同为准）</w:t>
      </w:r>
    </w:p>
    <w:p>
      <w:pPr>
        <w:pStyle w:val="12"/>
        <w:widowControl/>
        <w:shd w:val="clear" w:color="auto" w:fill="FFFFFF"/>
        <w:spacing w:line="360" w:lineRule="auto"/>
        <w:ind w:firstLine="420"/>
        <w:contextualSpacing/>
        <w:jc w:val="left"/>
        <w:rPr>
          <w:rFonts w:hint="eastAsia" w:ascii="宋体" w:hAnsi="宋体" w:cs="仿宋_GB2312"/>
          <w:color w:val="000000"/>
          <w:sz w:val="24"/>
          <w:szCs w:val="24"/>
          <w:shd w:val="clear" w:color="auto" w:fill="FFFFFF"/>
          <w:lang w:val="zh-CN"/>
        </w:rPr>
      </w:pPr>
      <w:r>
        <w:rPr>
          <w:rFonts w:hint="eastAsia" w:ascii="宋体" w:hAnsi="宋体" w:cs="仿宋_GB2312"/>
          <w:color w:val="000000"/>
          <w:sz w:val="24"/>
          <w:szCs w:val="24"/>
          <w:shd w:val="clear" w:color="auto" w:fill="FFFFFF"/>
          <w:lang w:val="zh-CN"/>
        </w:rPr>
        <w:t>（2）本次招标不接受联合体投标。</w:t>
      </w:r>
    </w:p>
    <w:p>
      <w:pPr>
        <w:pStyle w:val="12"/>
        <w:widowControl/>
        <w:shd w:val="clear" w:color="auto" w:fill="FFFFFF"/>
        <w:spacing w:line="408" w:lineRule="auto"/>
        <w:contextualSpacing/>
        <w:jc w:val="left"/>
        <w:rPr>
          <w:rFonts w:hint="eastAsia" w:asciiTheme="minorEastAsia" w:hAnsiTheme="minorEastAsia" w:eastAsiaTheme="minorEastAsia" w:cstheme="minorEastAsia"/>
          <w:b/>
          <w:color w:val="000000"/>
          <w:sz w:val="24"/>
          <w:szCs w:val="24"/>
          <w:shd w:val="clear" w:color="auto" w:fill="FFFFFF"/>
        </w:rPr>
      </w:pPr>
      <w:r>
        <w:rPr>
          <w:rFonts w:hint="eastAsia" w:asciiTheme="minorEastAsia" w:hAnsiTheme="minorEastAsia" w:eastAsiaTheme="minorEastAsia" w:cstheme="minorEastAsia"/>
          <w:b/>
          <w:color w:val="000000"/>
          <w:sz w:val="24"/>
          <w:szCs w:val="24"/>
          <w:shd w:val="clear" w:color="auto" w:fill="FFFFFF"/>
        </w:rPr>
        <w:t>四、</w:t>
      </w:r>
      <w:r>
        <w:rPr>
          <w:rFonts w:hint="eastAsia" w:asciiTheme="minorEastAsia" w:hAnsiTheme="minorEastAsia" w:eastAsiaTheme="minorEastAsia" w:cstheme="minorEastAsia"/>
          <w:b/>
          <w:color w:val="000000"/>
          <w:sz w:val="24"/>
          <w:szCs w:val="24"/>
          <w:shd w:val="clear" w:color="auto" w:fill="FFFFFF"/>
          <w:lang w:eastAsia="zh-CN"/>
        </w:rPr>
        <w:t>服务</w:t>
      </w:r>
      <w:r>
        <w:rPr>
          <w:rFonts w:hint="eastAsia" w:asciiTheme="minorEastAsia" w:hAnsiTheme="minorEastAsia" w:eastAsiaTheme="minorEastAsia" w:cstheme="minorEastAsia"/>
          <w:b/>
          <w:color w:val="000000"/>
          <w:sz w:val="24"/>
          <w:szCs w:val="24"/>
          <w:shd w:val="clear" w:color="auto" w:fill="FFFFFF"/>
        </w:rPr>
        <w:t>需求及其它要求</w:t>
      </w:r>
    </w:p>
    <w:p>
      <w:pPr>
        <w:pStyle w:val="12"/>
        <w:widowControl/>
        <w:shd w:val="clear" w:color="auto" w:fill="FFFFFF"/>
        <w:spacing w:line="408" w:lineRule="auto"/>
        <w:ind w:firstLine="241" w:firstLineChars="100"/>
        <w:contextualSpacing/>
        <w:jc w:val="left"/>
        <w:rPr>
          <w:rFonts w:hint="eastAsia" w:ascii="宋体" w:cs="宋体" w:hAnsiTheme="minorHAnsi" w:eastAsiaTheme="minorEastAsia"/>
          <w:b/>
          <w:bCs/>
          <w:sz w:val="24"/>
          <w:szCs w:val="24"/>
          <w:lang w:val="zh-CN" w:eastAsia="zh-CN"/>
        </w:rPr>
      </w:pPr>
      <w:r>
        <w:rPr>
          <w:rFonts w:hint="eastAsia" w:ascii="宋体" w:cs="宋体" w:hAnsiTheme="minorHAnsi" w:eastAsiaTheme="minorEastAsia"/>
          <w:b/>
          <w:bCs/>
          <w:sz w:val="24"/>
          <w:szCs w:val="24"/>
          <w:lang w:val="zh-CN" w:eastAsia="zh-CN"/>
        </w:rPr>
        <w:t>（一）、服务</w:t>
      </w:r>
      <w:r>
        <w:rPr>
          <w:rFonts w:hint="eastAsia" w:ascii="宋体" w:cs="宋体" w:hAnsiTheme="minorHAnsi" w:eastAsiaTheme="minorEastAsia"/>
          <w:b/>
          <w:bCs/>
          <w:sz w:val="24"/>
          <w:szCs w:val="24"/>
          <w:lang w:val="zh-CN"/>
        </w:rPr>
        <w:t>需求</w:t>
      </w:r>
    </w:p>
    <w:tbl>
      <w:tblPr>
        <w:tblStyle w:val="17"/>
        <w:tblpPr w:leftFromText="180" w:rightFromText="180" w:vertAnchor="text" w:horzAnchor="page" w:tblpX="1719" w:tblpY="604"/>
        <w:tblOverlap w:val="never"/>
        <w:tblW w:w="87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1"/>
        <w:gridCol w:w="1808"/>
        <w:gridCol w:w="4170"/>
        <w:gridCol w:w="988"/>
        <w:gridCol w:w="9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15" w:hRule="atLeast"/>
        </w:trPr>
        <w:tc>
          <w:tcPr>
            <w:tcW w:w="811"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序号</w:t>
            </w:r>
          </w:p>
        </w:tc>
        <w:tc>
          <w:tcPr>
            <w:tcW w:w="180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项目内容</w:t>
            </w:r>
          </w:p>
        </w:tc>
        <w:tc>
          <w:tcPr>
            <w:tcW w:w="417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计量单位</w:t>
            </w:r>
          </w:p>
        </w:tc>
        <w:tc>
          <w:tcPr>
            <w:tcW w:w="98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单价</w:t>
            </w:r>
          </w:p>
        </w:tc>
        <w:tc>
          <w:tcPr>
            <w:tcW w:w="92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4" w:hRule="atLeast"/>
        </w:trPr>
        <w:tc>
          <w:tcPr>
            <w:tcW w:w="811"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pacing w:line="420" w:lineRule="exac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w:t>
            </w:r>
          </w:p>
        </w:tc>
        <w:tc>
          <w:tcPr>
            <w:tcW w:w="180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420" w:lineRule="exac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线路租赁费</w:t>
            </w:r>
          </w:p>
        </w:tc>
        <w:tc>
          <w:tcPr>
            <w:tcW w:w="417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420" w:lineRule="exac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路</w:t>
            </w:r>
            <w:r>
              <w:rPr>
                <w:rFonts w:hint="eastAsia" w:ascii="新宋体" w:hAnsi="新宋体" w:eastAsia="新宋体" w:cs="新宋体"/>
                <w:sz w:val="24"/>
                <w:szCs w:val="24"/>
                <w:lang w:val="en-US" w:eastAsia="zh-CN"/>
              </w:rPr>
              <w:t>/年</w:t>
            </w:r>
          </w:p>
        </w:tc>
        <w:tc>
          <w:tcPr>
            <w:tcW w:w="98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420" w:lineRule="exac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3360</w:t>
            </w:r>
          </w:p>
        </w:tc>
        <w:tc>
          <w:tcPr>
            <w:tcW w:w="92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420" w:lineRule="exac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1</w:t>
            </w:r>
          </w:p>
        </w:tc>
      </w:tr>
    </w:tbl>
    <w:p>
      <w:pPr>
        <w:pStyle w:val="12"/>
        <w:widowControl/>
        <w:shd w:val="clear" w:color="auto" w:fill="FFFFFF"/>
        <w:spacing w:line="408" w:lineRule="auto"/>
        <w:ind w:firstLine="240" w:firstLineChars="100"/>
        <w:contextualSpacing/>
        <w:jc w:val="left"/>
        <w:rPr>
          <w:rFonts w:hint="eastAsia" w:ascii="宋体" w:cs="宋体" w:hAnsiTheme="minorHAnsi" w:eastAsiaTheme="minorEastAsia"/>
          <w:sz w:val="24"/>
          <w:szCs w:val="24"/>
          <w:lang w:val="zh-CN"/>
        </w:rPr>
      </w:pPr>
    </w:p>
    <w:p>
      <w:pPr>
        <w:snapToGrid w:val="0"/>
        <w:spacing w:line="360" w:lineRule="auto"/>
        <w:rPr>
          <w:rFonts w:hint="eastAsia" w:hAnsi="宋体"/>
          <w:b/>
          <w:bCs/>
          <w:sz w:val="24"/>
          <w:szCs w:val="24"/>
          <w:lang w:eastAsia="zh-CN"/>
        </w:rPr>
      </w:pPr>
      <w:r>
        <w:rPr>
          <w:rFonts w:hint="eastAsia" w:ascii="宋体" w:hAnsi="宋体"/>
          <w:b/>
          <w:bCs/>
          <w:kern w:val="0"/>
          <w:sz w:val="24"/>
          <w:szCs w:val="24"/>
        </w:rPr>
        <w:t>注：本采购清单中所列技术规格或主要参数为最低要求，不允许负偏离，否则将承担其投标被视为非实质性响应投标的风险。</w:t>
      </w:r>
    </w:p>
    <w:p>
      <w:pPr>
        <w:widowControl/>
        <w:rPr>
          <w:rFonts w:hint="eastAsia" w:ascii="宋体" w:hAnsi="宋体" w:cs="宋体"/>
          <w:b/>
          <w:bCs/>
          <w:color w:val="0000FF"/>
          <w:sz w:val="24"/>
          <w:szCs w:val="24"/>
        </w:rPr>
      </w:pPr>
      <w:r>
        <w:rPr>
          <w:rFonts w:hint="eastAsia" w:hAnsi="宋体"/>
          <w:b/>
          <w:bCs/>
          <w:sz w:val="24"/>
          <w:szCs w:val="24"/>
          <w:lang w:eastAsia="zh-CN"/>
        </w:rPr>
        <w:t>（</w:t>
      </w:r>
      <w:r>
        <w:rPr>
          <w:rFonts w:hint="eastAsia" w:hAnsi="宋体"/>
          <w:b/>
          <w:bCs/>
          <w:sz w:val="24"/>
          <w:szCs w:val="24"/>
        </w:rPr>
        <w:t>二</w:t>
      </w:r>
      <w:r>
        <w:rPr>
          <w:rFonts w:hint="eastAsia" w:hAnsi="宋体"/>
          <w:b/>
          <w:bCs/>
          <w:sz w:val="24"/>
          <w:szCs w:val="24"/>
          <w:lang w:eastAsia="zh-CN"/>
        </w:rPr>
        <w:t>）</w:t>
      </w:r>
      <w:r>
        <w:rPr>
          <w:rFonts w:hint="eastAsia" w:hAnsi="宋体"/>
          <w:b/>
          <w:bCs/>
          <w:sz w:val="24"/>
          <w:szCs w:val="24"/>
        </w:rPr>
        <w:t>、</w:t>
      </w:r>
      <w:r>
        <w:rPr>
          <w:rFonts w:hAnsi="宋体"/>
          <w:b/>
          <w:bCs/>
          <w:sz w:val="24"/>
          <w:szCs w:val="24"/>
        </w:rPr>
        <w:t>其他要求</w:t>
      </w:r>
    </w:p>
    <w:p>
      <w:pPr>
        <w:spacing w:line="420" w:lineRule="exact"/>
        <w:ind w:firstLine="480" w:firstLineChars="200"/>
        <w:rPr>
          <w:rFonts w:hint="eastAsia"/>
          <w:sz w:val="24"/>
          <w:szCs w:val="24"/>
        </w:rPr>
      </w:pPr>
      <w:r>
        <w:rPr>
          <w:rFonts w:hint="eastAsia"/>
          <w:sz w:val="24"/>
          <w:szCs w:val="24"/>
          <w:lang w:val="en-US" w:eastAsia="zh-CN"/>
        </w:rPr>
        <w:t>1</w:t>
      </w:r>
      <w:r>
        <w:rPr>
          <w:rFonts w:hint="eastAsia"/>
          <w:sz w:val="24"/>
          <w:szCs w:val="24"/>
        </w:rPr>
        <w:t>、专利权：供应商应保证用户在使用该货物或其任何一部分时不受第三方提出侵犯其专利权、商标权和工业设计权等的起诉。</w:t>
      </w:r>
    </w:p>
    <w:p>
      <w:pPr>
        <w:spacing w:line="420" w:lineRule="exact"/>
        <w:ind w:firstLine="480" w:firstLineChars="200"/>
        <w:rPr>
          <w:rFonts w:hint="eastAsia"/>
          <w:sz w:val="24"/>
          <w:szCs w:val="24"/>
        </w:rPr>
      </w:pPr>
      <w:r>
        <w:rPr>
          <w:rFonts w:hint="eastAsia"/>
          <w:sz w:val="24"/>
          <w:szCs w:val="24"/>
          <w:lang w:val="en-US" w:eastAsia="zh-CN"/>
        </w:rPr>
        <w:t>2</w:t>
      </w:r>
      <w:r>
        <w:rPr>
          <w:rFonts w:hint="eastAsia"/>
          <w:sz w:val="24"/>
          <w:szCs w:val="24"/>
        </w:rPr>
        <w:t>、</w:t>
      </w:r>
      <w:r>
        <w:rPr>
          <w:sz w:val="24"/>
          <w:szCs w:val="24"/>
        </w:rPr>
        <w:t>本项目报价为总</w:t>
      </w:r>
      <w:r>
        <w:rPr>
          <w:rFonts w:hint="eastAsia"/>
          <w:sz w:val="24"/>
          <w:szCs w:val="24"/>
        </w:rPr>
        <w:t>报</w:t>
      </w:r>
      <w:r>
        <w:rPr>
          <w:sz w:val="24"/>
          <w:szCs w:val="24"/>
        </w:rPr>
        <w:t>价，综合单价包含货物的制造、包装、运输、装卸、备品、备件、专用工具、特殊工具、保险、安装调试、验收、税金、服务费等一切费用</w:t>
      </w:r>
      <w:r>
        <w:rPr>
          <w:rFonts w:hint="eastAsia"/>
          <w:sz w:val="24"/>
          <w:szCs w:val="24"/>
        </w:rPr>
        <w:t>。</w:t>
      </w:r>
    </w:p>
    <w:p>
      <w:pPr>
        <w:spacing w:line="420" w:lineRule="exact"/>
        <w:ind w:firstLine="480" w:firstLineChars="200"/>
        <w:rPr>
          <w:rFonts w:hint="eastAsia"/>
          <w:sz w:val="24"/>
          <w:szCs w:val="24"/>
        </w:rPr>
      </w:pPr>
      <w:r>
        <w:rPr>
          <w:rFonts w:hint="eastAsia"/>
          <w:sz w:val="24"/>
          <w:szCs w:val="24"/>
          <w:lang w:val="en-US" w:eastAsia="zh-CN"/>
        </w:rPr>
        <w:t>3</w:t>
      </w:r>
      <w:r>
        <w:rPr>
          <w:rFonts w:hint="eastAsia"/>
          <w:sz w:val="24"/>
          <w:szCs w:val="24"/>
        </w:rPr>
        <w:t>、验收标准：</w:t>
      </w:r>
    </w:p>
    <w:p>
      <w:pPr>
        <w:spacing w:line="42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2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、按照招标文件要求、投标文件响应和承诺验收。</w:t>
      </w:r>
    </w:p>
    <w:p>
      <w:pPr>
        <w:spacing w:line="360" w:lineRule="auto"/>
        <w:ind w:firstLine="426" w:firstLineChars="177"/>
        <w:rPr>
          <w:rFonts w:hint="eastAsia" w:cs="宋体" w:asciiTheme="minorEastAsia" w:hAnsiTheme="minorEastAsia"/>
          <w:b/>
          <w:color w:val="000000"/>
          <w:kern w:val="0"/>
          <w:sz w:val="24"/>
          <w:szCs w:val="24"/>
          <w:lang w:val="zh-CN"/>
        </w:rPr>
      </w:pPr>
      <w:r>
        <w:rPr>
          <w:rFonts w:hint="eastAsia" w:ascii="宋体" w:hAnsi="宋体" w:cs="宋体"/>
          <w:b/>
          <w:bCs/>
          <w:sz w:val="24"/>
          <w:szCs w:val="24"/>
          <w:lang w:val="en-US" w:eastAsia="zh-CN"/>
        </w:rPr>
        <w:t>4、服务要求：中标人须（服务期内）保证技防线路的畅通可用，在甲方提出问题故障1小时内针对故障予以排除解决；超过1小时或未及时排除故障的，根据情况对供应商进行处罚，具体处罚措施以合同签订为准，并于第二年支付服务费用前进行扣除。（</w:t>
      </w:r>
      <w:r>
        <w:rPr>
          <w:rFonts w:hint="eastAsia" w:hAnsi="宋体"/>
          <w:b/>
          <w:bCs/>
          <w:sz w:val="24"/>
          <w:szCs w:val="24"/>
        </w:rPr>
        <w:t>不响应者为无效标）</w:t>
      </w:r>
      <w:r>
        <w:rPr>
          <w:rFonts w:hint="eastAsia" w:ascii="宋体" w:hAnsi="宋体" w:cs="宋体"/>
          <w:b/>
          <w:bCs/>
          <w:sz w:val="24"/>
          <w:szCs w:val="24"/>
          <w:lang w:val="en-US" w:eastAsia="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（三）、资金支付</w:t>
      </w:r>
    </w:p>
    <w:p>
      <w:pPr>
        <w:widowControl/>
        <w:shd w:val="clear" w:color="auto" w:fill="FFFFFF"/>
        <w:spacing w:line="360" w:lineRule="auto"/>
        <w:ind w:firstLine="480" w:firstLineChars="200"/>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zh-CN"/>
        </w:rPr>
        <w:t>、支付方式：银行转账。</w:t>
      </w:r>
    </w:p>
    <w:p>
      <w:pPr>
        <w:widowControl/>
        <w:shd w:val="clear" w:color="auto" w:fill="FFFFFF"/>
        <w:spacing w:line="360" w:lineRule="auto"/>
        <w:ind w:firstLine="480" w:firstLineChars="200"/>
        <w:jc w:val="left"/>
        <w:rPr>
          <w:rFonts w:ascii="宋体" w:hAnsi="宋体" w:cs="宋体"/>
          <w:spacing w:val="6"/>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、支付时间及条件：</w:t>
      </w:r>
      <w:r>
        <w:rPr>
          <w:rFonts w:hint="eastAsia" w:cs="宋体" w:asciiTheme="minorEastAsia" w:hAnsiTheme="minorEastAsia"/>
          <w:kern w:val="0"/>
          <w:sz w:val="24"/>
          <w:szCs w:val="24"/>
          <w:lang w:val="zh-CN" w:eastAsia="zh-CN"/>
        </w:rPr>
        <w:t>以中标价为基础，乘以所需线路数，得年度服务费总价，于每年年初一次性支付。</w:t>
      </w:r>
      <w:r>
        <w:rPr>
          <w:rFonts w:hint="eastAsia" w:cs="宋体" w:asciiTheme="minorEastAsia" w:hAnsiTheme="minorEastAsia"/>
          <w:kern w:val="0"/>
          <w:sz w:val="24"/>
          <w:szCs w:val="24"/>
          <w:lang w:val="zh-CN"/>
        </w:rPr>
        <w:t>（不响应者为无效标）</w:t>
      </w:r>
      <w:r>
        <w:rPr>
          <w:rFonts w:hint="eastAsia" w:ascii="宋体" w:hAnsi="宋体" w:cs="宋体"/>
          <w:spacing w:val="6"/>
          <w:sz w:val="24"/>
          <w:szCs w:val="24"/>
        </w:rPr>
        <w:t>。</w:t>
      </w:r>
    </w:p>
    <w:p>
      <w:pPr>
        <w:pStyle w:val="12"/>
        <w:widowControl/>
        <w:shd w:val="clear" w:color="auto" w:fill="FFFFFF"/>
        <w:spacing w:line="408" w:lineRule="auto"/>
        <w:ind w:firstLine="482" w:firstLineChars="200"/>
        <w:contextualSpacing/>
        <w:jc w:val="left"/>
        <w:rPr>
          <w:rFonts w:asciiTheme="minorEastAsia" w:hAnsiTheme="minorEastAsia" w:eastAsiaTheme="minorEastAsia" w:cstheme="minorEastAsia"/>
          <w:b/>
          <w:color w:val="000000"/>
          <w:sz w:val="24"/>
          <w:szCs w:val="24"/>
          <w:shd w:val="clear" w:color="auto" w:fill="FFFFFF"/>
        </w:rPr>
      </w:pPr>
      <w:r>
        <w:rPr>
          <w:rFonts w:hint="eastAsia" w:asciiTheme="minorEastAsia" w:hAnsiTheme="minorEastAsia" w:eastAsiaTheme="minorEastAsia" w:cstheme="minorEastAsia"/>
          <w:b/>
          <w:color w:val="000000"/>
          <w:sz w:val="24"/>
          <w:szCs w:val="24"/>
          <w:shd w:val="clear" w:color="auto" w:fill="FFFFFF"/>
          <w:lang w:eastAsia="zh-CN"/>
        </w:rPr>
        <w:t>（四）</w:t>
      </w:r>
      <w:r>
        <w:rPr>
          <w:rFonts w:hint="eastAsia" w:asciiTheme="minorEastAsia" w:hAnsiTheme="minorEastAsia" w:eastAsiaTheme="minorEastAsia" w:cstheme="minorEastAsia"/>
          <w:b/>
          <w:color w:val="000000"/>
          <w:sz w:val="24"/>
          <w:szCs w:val="24"/>
          <w:shd w:val="clear" w:color="auto" w:fill="FFFFFF"/>
        </w:rPr>
        <w:t>、评标方法和评标标准</w:t>
      </w:r>
    </w:p>
    <w:p>
      <w:pPr>
        <w:pStyle w:val="12"/>
        <w:widowControl/>
        <w:shd w:val="clear" w:color="auto" w:fill="FFFFFF"/>
        <w:spacing w:line="408" w:lineRule="auto"/>
        <w:ind w:firstLine="480" w:firstLineChars="200"/>
        <w:contextualSpacing/>
        <w:jc w:val="left"/>
        <w:rPr>
          <w:rFonts w:asciiTheme="minorEastAsia" w:hAnsiTheme="minorEastAsia" w:eastAsiaTheme="minorEastAsia" w:cstheme="minorEastAsia"/>
          <w:b/>
          <w:color w:val="000000"/>
          <w:sz w:val="24"/>
          <w:szCs w:val="24"/>
          <w:shd w:val="clear" w:color="auto" w:fill="FFFFFF"/>
        </w:rPr>
      </w:pPr>
      <w:r>
        <w:rPr>
          <w:rFonts w:hint="eastAsia" w:ascii="宋体" w:hAnsi="宋体" w:cs="宋体"/>
          <w:color w:val="000000"/>
          <w:kern w:val="0"/>
          <w:sz w:val="24"/>
          <w:szCs w:val="24"/>
          <w:lang w:val="zh-CN"/>
        </w:rPr>
        <w:t>（一）评标方法：最低评标价法</w:t>
      </w:r>
    </w:p>
    <w:p>
      <w:pPr>
        <w:pStyle w:val="12"/>
        <w:widowControl/>
        <w:shd w:val="clear" w:color="auto" w:fill="FFFFFF"/>
        <w:spacing w:line="408" w:lineRule="auto"/>
        <w:ind w:firstLine="482" w:firstLineChars="200"/>
        <w:contextualSpacing/>
        <w:jc w:val="left"/>
        <w:rPr>
          <w:rFonts w:cs="仿宋_GB2312" w:asciiTheme="minorEastAsia" w:hAnsiTheme="minorEastAsia" w:eastAsiaTheme="minorEastAsia"/>
          <w:color w:val="000000"/>
          <w:sz w:val="24"/>
          <w:szCs w:val="24"/>
        </w:rPr>
      </w:pPr>
      <w:r>
        <w:rPr>
          <w:rFonts w:hint="eastAsia" w:asciiTheme="minorEastAsia" w:hAnsiTheme="minorEastAsia" w:eastAsiaTheme="minorEastAsia" w:cstheme="minorEastAsia"/>
          <w:b/>
          <w:color w:val="000000"/>
          <w:sz w:val="24"/>
          <w:szCs w:val="24"/>
          <w:shd w:val="clear" w:color="auto" w:fill="FFFFFF"/>
          <w:lang w:eastAsia="zh-CN"/>
        </w:rPr>
        <w:t>（五）</w:t>
      </w:r>
      <w:r>
        <w:rPr>
          <w:rFonts w:hint="eastAsia" w:asciiTheme="minorEastAsia" w:hAnsiTheme="minorEastAsia" w:eastAsiaTheme="minorEastAsia" w:cstheme="minorEastAsia"/>
          <w:b/>
          <w:color w:val="000000"/>
          <w:sz w:val="24"/>
          <w:szCs w:val="24"/>
          <w:shd w:val="clear" w:color="auto" w:fill="FFFFFF"/>
        </w:rPr>
        <w:t>、联系方式</w:t>
      </w:r>
    </w:p>
    <w:p>
      <w:pPr>
        <w:pStyle w:val="12"/>
        <w:widowControl/>
        <w:shd w:val="clear" w:color="auto" w:fill="FFFFFF"/>
        <w:spacing w:line="408" w:lineRule="auto"/>
        <w:ind w:firstLine="480" w:firstLineChars="200"/>
        <w:contextualSpacing/>
        <w:jc w:val="left"/>
        <w:rPr>
          <w:rFonts w:ascii="宋体" w:hAnsi="宋体" w:cs="宋体"/>
          <w:color w:val="000000"/>
          <w:kern w:val="0"/>
          <w:sz w:val="24"/>
          <w:szCs w:val="24"/>
          <w:lang w:val="zh-CN"/>
        </w:rPr>
      </w:pPr>
      <w:r>
        <w:rPr>
          <w:rFonts w:hint="eastAsia" w:cs="仿宋_GB2312" w:asciiTheme="minorEastAsia" w:hAnsiTheme="minorEastAsia" w:eastAsiaTheme="minorEastAsia"/>
          <w:color w:val="000000"/>
          <w:sz w:val="24"/>
          <w:szCs w:val="24"/>
        </w:rPr>
        <w:t>联 系 人：</w:t>
      </w:r>
      <w:r>
        <w:rPr>
          <w:rFonts w:hint="eastAsia" w:cs="仿宋_GB2312" w:asciiTheme="minorEastAsia" w:hAnsiTheme="minorEastAsia" w:eastAsiaTheme="minorEastAsia"/>
          <w:color w:val="000000"/>
          <w:sz w:val="24"/>
          <w:szCs w:val="24"/>
          <w:lang w:val="zh-CN"/>
        </w:rPr>
        <w:t>王女士</w:t>
      </w:r>
      <w:r>
        <w:rPr>
          <w:rFonts w:hint="eastAsia" w:ascii="宋体" w:hAnsi="宋体" w:cs="宋体"/>
          <w:color w:val="000000"/>
          <w:kern w:val="0"/>
          <w:sz w:val="24"/>
          <w:szCs w:val="24"/>
          <w:lang w:val="zh-CN"/>
        </w:rPr>
        <w:t xml:space="preserve">           联系电话：</w:t>
      </w:r>
      <w:r>
        <w:rPr>
          <w:rFonts w:hint="eastAsia" w:ascii="宋体" w:hAnsi="宋体" w:cs="宋体"/>
          <w:color w:val="000000"/>
          <w:kern w:val="0"/>
          <w:sz w:val="24"/>
          <w:szCs w:val="24"/>
          <w:lang w:val="zh-CN" w:eastAsia="zh-CN"/>
        </w:rPr>
        <w:t>18637462015</w:t>
      </w:r>
    </w:p>
    <w:p>
      <w:pPr>
        <w:pStyle w:val="12"/>
        <w:widowControl/>
        <w:shd w:val="clear" w:color="auto" w:fill="FFFFFF"/>
        <w:spacing w:line="408"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地    址：</w:t>
      </w:r>
      <w:r>
        <w:rPr>
          <w:rFonts w:hint="eastAsia" w:ascii="宋体" w:hAnsi="宋体" w:cs="宋体"/>
          <w:color w:val="000000"/>
          <w:kern w:val="0"/>
          <w:sz w:val="24"/>
          <w:szCs w:val="24"/>
          <w:lang w:val="zh-CN" w:eastAsia="zh-CN"/>
        </w:rPr>
        <w:t>许昌市魏武大道</w:t>
      </w:r>
    </w:p>
    <w:p>
      <w:pPr>
        <w:pStyle w:val="12"/>
        <w:widowControl/>
        <w:shd w:val="clear" w:color="auto" w:fill="FFFFFF"/>
        <w:spacing w:line="408" w:lineRule="auto"/>
        <w:contextualSpacing/>
        <w:jc w:val="left"/>
        <w:rPr>
          <w:rFonts w:ascii="宋体" w:hAnsi="宋体" w:cs="宋体"/>
          <w:color w:val="000000"/>
          <w:kern w:val="0"/>
          <w:sz w:val="24"/>
          <w:szCs w:val="24"/>
          <w:lang w:val="zh-CN"/>
        </w:rPr>
      </w:pPr>
    </w:p>
    <w:p>
      <w:pPr>
        <w:pStyle w:val="12"/>
        <w:widowControl/>
        <w:shd w:val="clear" w:color="auto" w:fill="FFFFFF"/>
        <w:spacing w:line="408" w:lineRule="auto"/>
        <w:contextualSpacing/>
        <w:jc w:val="righ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许昌市公安局示范区分局</w:t>
      </w:r>
    </w:p>
    <w:p>
      <w:pPr>
        <w:pStyle w:val="12"/>
        <w:widowControl/>
        <w:shd w:val="clear" w:color="auto" w:fill="FFFFFF"/>
        <w:spacing w:line="408" w:lineRule="auto"/>
        <w:contextualSpacing/>
        <w:jc w:val="right"/>
        <w:rPr>
          <w:rFonts w:ascii="宋体" w:hAnsi="宋体" w:cs="宋体"/>
          <w:color w:val="000000"/>
          <w:kern w:val="0"/>
          <w:sz w:val="24"/>
          <w:szCs w:val="24"/>
          <w:lang w:val="zh-CN"/>
        </w:rPr>
      </w:pPr>
      <w:r>
        <w:rPr>
          <w:rFonts w:hint="eastAsia" w:ascii="宋体" w:hAnsi="宋体" w:cs="宋体"/>
          <w:color w:val="000000"/>
          <w:kern w:val="0"/>
          <w:sz w:val="24"/>
          <w:szCs w:val="24"/>
          <w:lang w:val="zh-CN"/>
        </w:rPr>
        <w:t>2018年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lang w:val="zh-CN"/>
        </w:rPr>
        <w:t>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C54B3"/>
    <w:multiLevelType w:val="singleLevel"/>
    <w:tmpl w:val="C4FC54B3"/>
    <w:lvl w:ilvl="0" w:tentative="0">
      <w:start w:val="6"/>
      <w:numFmt w:val="chineseCounting"/>
      <w:suff w:val="nothing"/>
      <w:lvlText w:val="（%1）"/>
      <w:lvlJc w:val="left"/>
      <w:rPr>
        <w:rFonts w:hint="eastAsia"/>
      </w:rPr>
    </w:lvl>
  </w:abstractNum>
  <w:abstractNum w:abstractNumId="1">
    <w:nsid w:val="36A449BD"/>
    <w:multiLevelType w:val="singleLevel"/>
    <w:tmpl w:val="36A449BD"/>
    <w:lvl w:ilvl="0" w:tentative="0">
      <w:start w:val="1"/>
      <w:numFmt w:val="decimal"/>
      <w:pStyle w:val="38"/>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89B"/>
    <w:rsid w:val="00064708"/>
    <w:rsid w:val="000B0267"/>
    <w:rsid w:val="001F4722"/>
    <w:rsid w:val="0031589B"/>
    <w:rsid w:val="003A4176"/>
    <w:rsid w:val="005A31D0"/>
    <w:rsid w:val="00707A5D"/>
    <w:rsid w:val="0071671A"/>
    <w:rsid w:val="007D59AD"/>
    <w:rsid w:val="00815E83"/>
    <w:rsid w:val="008E7709"/>
    <w:rsid w:val="009C71A6"/>
    <w:rsid w:val="00BD3B33"/>
    <w:rsid w:val="00C7321A"/>
    <w:rsid w:val="00CF767A"/>
    <w:rsid w:val="00D4791D"/>
    <w:rsid w:val="00D81068"/>
    <w:rsid w:val="00E91F40"/>
    <w:rsid w:val="024F39C1"/>
    <w:rsid w:val="025D7C79"/>
    <w:rsid w:val="026B68A0"/>
    <w:rsid w:val="026C1664"/>
    <w:rsid w:val="03F833E8"/>
    <w:rsid w:val="040620D4"/>
    <w:rsid w:val="048117A4"/>
    <w:rsid w:val="04A5352B"/>
    <w:rsid w:val="055A7E21"/>
    <w:rsid w:val="06075EA4"/>
    <w:rsid w:val="065B0C90"/>
    <w:rsid w:val="06BB297D"/>
    <w:rsid w:val="07936E85"/>
    <w:rsid w:val="07F37182"/>
    <w:rsid w:val="08285F79"/>
    <w:rsid w:val="08E82470"/>
    <w:rsid w:val="09A83C51"/>
    <w:rsid w:val="09E63249"/>
    <w:rsid w:val="0A334E2A"/>
    <w:rsid w:val="0A4C0997"/>
    <w:rsid w:val="0AC6300A"/>
    <w:rsid w:val="0C7E16B6"/>
    <w:rsid w:val="0CA95EFA"/>
    <w:rsid w:val="0DB94F7D"/>
    <w:rsid w:val="0DBC7BF4"/>
    <w:rsid w:val="0F3948A6"/>
    <w:rsid w:val="0F88404C"/>
    <w:rsid w:val="0FB80CFD"/>
    <w:rsid w:val="0FE6774A"/>
    <w:rsid w:val="10157F33"/>
    <w:rsid w:val="11EA0A0E"/>
    <w:rsid w:val="12043DBA"/>
    <w:rsid w:val="1218543E"/>
    <w:rsid w:val="12CE3C65"/>
    <w:rsid w:val="130B2734"/>
    <w:rsid w:val="13AC3957"/>
    <w:rsid w:val="14243908"/>
    <w:rsid w:val="14B1433F"/>
    <w:rsid w:val="1644679C"/>
    <w:rsid w:val="16BF6834"/>
    <w:rsid w:val="16C83F34"/>
    <w:rsid w:val="182C4EF8"/>
    <w:rsid w:val="18430A6F"/>
    <w:rsid w:val="1859623B"/>
    <w:rsid w:val="18B46488"/>
    <w:rsid w:val="18B602DE"/>
    <w:rsid w:val="18EC1744"/>
    <w:rsid w:val="1A482E67"/>
    <w:rsid w:val="1A8812EB"/>
    <w:rsid w:val="1B3B5293"/>
    <w:rsid w:val="1B63597A"/>
    <w:rsid w:val="1C1156C0"/>
    <w:rsid w:val="1C367CC6"/>
    <w:rsid w:val="1CEA1815"/>
    <w:rsid w:val="1D774418"/>
    <w:rsid w:val="1E250C9C"/>
    <w:rsid w:val="1E622716"/>
    <w:rsid w:val="1EF376B0"/>
    <w:rsid w:val="20A15E7D"/>
    <w:rsid w:val="22382FBD"/>
    <w:rsid w:val="226B4F98"/>
    <w:rsid w:val="23472A4C"/>
    <w:rsid w:val="23587561"/>
    <w:rsid w:val="23651302"/>
    <w:rsid w:val="241C5219"/>
    <w:rsid w:val="2581023D"/>
    <w:rsid w:val="25D54218"/>
    <w:rsid w:val="271F43EB"/>
    <w:rsid w:val="27291D3C"/>
    <w:rsid w:val="278F12D5"/>
    <w:rsid w:val="28015CBF"/>
    <w:rsid w:val="28AB6C93"/>
    <w:rsid w:val="28C80332"/>
    <w:rsid w:val="293831D9"/>
    <w:rsid w:val="29870A7B"/>
    <w:rsid w:val="2A723D57"/>
    <w:rsid w:val="2CB35BFD"/>
    <w:rsid w:val="2E15761A"/>
    <w:rsid w:val="2E415028"/>
    <w:rsid w:val="2E6320CF"/>
    <w:rsid w:val="2F0F7CE0"/>
    <w:rsid w:val="2F3D7337"/>
    <w:rsid w:val="2F42453F"/>
    <w:rsid w:val="2F981608"/>
    <w:rsid w:val="30E75980"/>
    <w:rsid w:val="30EF0B2B"/>
    <w:rsid w:val="31932231"/>
    <w:rsid w:val="328A602D"/>
    <w:rsid w:val="32ED35B5"/>
    <w:rsid w:val="34C80084"/>
    <w:rsid w:val="34CC16A6"/>
    <w:rsid w:val="34F52DDD"/>
    <w:rsid w:val="36623F88"/>
    <w:rsid w:val="36922DEE"/>
    <w:rsid w:val="37D401E6"/>
    <w:rsid w:val="37F71CB4"/>
    <w:rsid w:val="38AF27AC"/>
    <w:rsid w:val="398D3261"/>
    <w:rsid w:val="399E1563"/>
    <w:rsid w:val="3A972170"/>
    <w:rsid w:val="3AFF4DB3"/>
    <w:rsid w:val="3C9B725E"/>
    <w:rsid w:val="3F8B1AB8"/>
    <w:rsid w:val="3F8E0F64"/>
    <w:rsid w:val="40345499"/>
    <w:rsid w:val="404D2E6A"/>
    <w:rsid w:val="41A4409D"/>
    <w:rsid w:val="41C81CA4"/>
    <w:rsid w:val="42045DA7"/>
    <w:rsid w:val="433D58D4"/>
    <w:rsid w:val="43D34043"/>
    <w:rsid w:val="4570001D"/>
    <w:rsid w:val="45AC7090"/>
    <w:rsid w:val="45F2047A"/>
    <w:rsid w:val="46844435"/>
    <w:rsid w:val="46A366C4"/>
    <w:rsid w:val="46D819D8"/>
    <w:rsid w:val="47590512"/>
    <w:rsid w:val="4780414A"/>
    <w:rsid w:val="48800FDF"/>
    <w:rsid w:val="49DA5DBD"/>
    <w:rsid w:val="4A1F3ACB"/>
    <w:rsid w:val="4A3202F8"/>
    <w:rsid w:val="4A944917"/>
    <w:rsid w:val="4AA44E50"/>
    <w:rsid w:val="4D34628B"/>
    <w:rsid w:val="4E763E03"/>
    <w:rsid w:val="4F2E7DA3"/>
    <w:rsid w:val="4FDF2830"/>
    <w:rsid w:val="4FEF0214"/>
    <w:rsid w:val="507806B4"/>
    <w:rsid w:val="50DD0CA4"/>
    <w:rsid w:val="51BE6B01"/>
    <w:rsid w:val="51DF4ECA"/>
    <w:rsid w:val="535E2CD2"/>
    <w:rsid w:val="53850C5C"/>
    <w:rsid w:val="541451B1"/>
    <w:rsid w:val="543C6D9A"/>
    <w:rsid w:val="545D10BF"/>
    <w:rsid w:val="547C5053"/>
    <w:rsid w:val="54EC5566"/>
    <w:rsid w:val="54FE47BE"/>
    <w:rsid w:val="553602B6"/>
    <w:rsid w:val="557A4E03"/>
    <w:rsid w:val="55C670E4"/>
    <w:rsid w:val="5639083A"/>
    <w:rsid w:val="57A93998"/>
    <w:rsid w:val="590B03B2"/>
    <w:rsid w:val="5A391F3A"/>
    <w:rsid w:val="5A3F1349"/>
    <w:rsid w:val="5A95678F"/>
    <w:rsid w:val="5AD41E9A"/>
    <w:rsid w:val="5B1F30C6"/>
    <w:rsid w:val="5C4A055F"/>
    <w:rsid w:val="5CB81822"/>
    <w:rsid w:val="5CDE04A3"/>
    <w:rsid w:val="5CDF6C4E"/>
    <w:rsid w:val="5D4D5E25"/>
    <w:rsid w:val="5D864B01"/>
    <w:rsid w:val="5D9E2459"/>
    <w:rsid w:val="5DC34B65"/>
    <w:rsid w:val="60495EFF"/>
    <w:rsid w:val="6071652F"/>
    <w:rsid w:val="607B3C22"/>
    <w:rsid w:val="60F95299"/>
    <w:rsid w:val="610D6C6A"/>
    <w:rsid w:val="61B6776D"/>
    <w:rsid w:val="62524C81"/>
    <w:rsid w:val="627D0BF8"/>
    <w:rsid w:val="636C1FDE"/>
    <w:rsid w:val="64B220D3"/>
    <w:rsid w:val="64B37A57"/>
    <w:rsid w:val="65CD3CC4"/>
    <w:rsid w:val="660151D4"/>
    <w:rsid w:val="683729EF"/>
    <w:rsid w:val="69A3078B"/>
    <w:rsid w:val="69D86A98"/>
    <w:rsid w:val="69FB4E19"/>
    <w:rsid w:val="6C4F675C"/>
    <w:rsid w:val="6C614625"/>
    <w:rsid w:val="6D6C1BA6"/>
    <w:rsid w:val="6EF46FD0"/>
    <w:rsid w:val="701F2A4A"/>
    <w:rsid w:val="707663F2"/>
    <w:rsid w:val="71645AD6"/>
    <w:rsid w:val="72BB532C"/>
    <w:rsid w:val="739F2496"/>
    <w:rsid w:val="749B5614"/>
    <w:rsid w:val="74C17679"/>
    <w:rsid w:val="752C7F2E"/>
    <w:rsid w:val="78106800"/>
    <w:rsid w:val="7864312B"/>
    <w:rsid w:val="792974B9"/>
    <w:rsid w:val="7935303A"/>
    <w:rsid w:val="79357018"/>
    <w:rsid w:val="7C2E6C9F"/>
    <w:rsid w:val="7CE46880"/>
    <w:rsid w:val="7DF80203"/>
    <w:rsid w:val="7E9A1812"/>
    <w:rsid w:val="7F162E8D"/>
    <w:rsid w:val="7F36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qFormat/>
    <w:uiPriority w:val="0"/>
    <w:pPr>
      <w:ind w:firstLine="420" w:firstLineChars="100"/>
    </w:pPr>
    <w:rPr>
      <w:rFonts w:ascii="宋体" w:hAnsi="Times New Roman" w:eastAsia="宋体" w:cs="Times New Roman"/>
      <w:kern w:val="0"/>
      <w:sz w:val="34"/>
      <w:szCs w:val="20"/>
    </w:rPr>
  </w:style>
  <w:style w:type="paragraph" w:styleId="5">
    <w:name w:val="Body Text"/>
    <w:basedOn w:val="1"/>
    <w:qFormat/>
    <w:uiPriority w:val="0"/>
    <w:pPr>
      <w:spacing w:after="120"/>
    </w:pPr>
  </w:style>
  <w:style w:type="paragraph" w:styleId="6">
    <w:name w:val="caption"/>
    <w:basedOn w:val="1"/>
    <w:next w:val="1"/>
    <w:qFormat/>
    <w:uiPriority w:val="0"/>
    <w:rPr>
      <w:rFonts w:ascii="Arial" w:hAnsi="Arial" w:eastAsia="黑体" w:cs="Arial"/>
      <w:sz w:val="20"/>
      <w:szCs w:val="20"/>
    </w:rPr>
  </w:style>
  <w:style w:type="paragraph" w:styleId="7">
    <w:name w:val="Block Text"/>
    <w:basedOn w:val="1"/>
    <w:qFormat/>
    <w:uiPriority w:val="0"/>
    <w:pPr>
      <w:ind w:left="1440" w:leftChars="700" w:right="700" w:rightChars="700"/>
    </w:pPr>
  </w:style>
  <w:style w:type="paragraph" w:styleId="8">
    <w:name w:val="Plain Text"/>
    <w:basedOn w:val="1"/>
    <w:qFormat/>
    <w:uiPriority w:val="0"/>
    <w:rPr>
      <w:rFonts w:eastAsia="宋体"/>
      <w:sz w:val="24"/>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rPr>
      <w:rFonts w:ascii="Calibri" w:hAnsi="Calibri" w:eastAsia="宋体" w:cs="Times New Roman"/>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10"/>
    <w:qFormat/>
    <w:uiPriority w:val="0"/>
    <w:rPr>
      <w:kern w:val="2"/>
      <w:sz w:val="18"/>
      <w:szCs w:val="18"/>
    </w:rPr>
  </w:style>
  <w:style w:type="character" w:customStyle="1" w:styleId="20">
    <w:name w:val="页脚 Char"/>
    <w:basedOn w:val="13"/>
    <w:link w:val="9"/>
    <w:qFormat/>
    <w:uiPriority w:val="0"/>
    <w:rPr>
      <w:kern w:val="2"/>
      <w:sz w:val="18"/>
      <w:szCs w:val="18"/>
    </w:rPr>
  </w:style>
  <w:style w:type="paragraph" w:customStyle="1" w:styleId="21">
    <w:name w:val="普通(网站)1"/>
    <w:basedOn w:val="1"/>
    <w:qFormat/>
    <w:uiPriority w:val="0"/>
    <w:rPr>
      <w:rFonts w:ascii="Calibri" w:hAnsi="Calibri" w:eastAsia="宋体" w:cs="Times New Roman"/>
      <w:sz w:val="24"/>
    </w:rPr>
  </w:style>
  <w:style w:type="paragraph" w:styleId="22">
    <w:name w:val="List Paragraph"/>
    <w:basedOn w:val="1"/>
    <w:unhideWhenUsed/>
    <w:qFormat/>
    <w:uiPriority w:val="99"/>
    <w:pPr>
      <w:ind w:firstLine="420" w:firstLineChars="200"/>
    </w:pPr>
  </w:style>
  <w:style w:type="character" w:customStyle="1" w:styleId="23">
    <w:name w:val="red2"/>
    <w:basedOn w:val="13"/>
    <w:qFormat/>
    <w:uiPriority w:val="0"/>
    <w:rPr>
      <w:color w:val="FF0000"/>
    </w:rPr>
  </w:style>
  <w:style w:type="character" w:customStyle="1" w:styleId="24">
    <w:name w:val="blue"/>
    <w:basedOn w:val="13"/>
    <w:qFormat/>
    <w:uiPriority w:val="0"/>
    <w:rPr>
      <w:color w:val="0371C6"/>
      <w:sz w:val="16"/>
      <w:szCs w:val="16"/>
    </w:rPr>
  </w:style>
  <w:style w:type="character" w:customStyle="1" w:styleId="25">
    <w:name w:val="font01"/>
    <w:basedOn w:val="13"/>
    <w:qFormat/>
    <w:uiPriority w:val="0"/>
    <w:rPr>
      <w:rFonts w:hint="eastAsia" w:ascii="宋体" w:hAnsi="宋体" w:eastAsia="宋体" w:cs="宋体"/>
      <w:color w:val="000000"/>
      <w:sz w:val="21"/>
      <w:szCs w:val="21"/>
      <w:u w:val="none"/>
    </w:rPr>
  </w:style>
  <w:style w:type="character" w:customStyle="1" w:styleId="26">
    <w:name w:val="hover"/>
    <w:basedOn w:val="13"/>
    <w:qFormat/>
    <w:uiPriority w:val="0"/>
  </w:style>
  <w:style w:type="character" w:customStyle="1" w:styleId="27">
    <w:name w:val="right"/>
    <w:basedOn w:val="13"/>
    <w:qFormat/>
    <w:uiPriority w:val="0"/>
    <w:rPr>
      <w:color w:val="999999"/>
      <w:sz w:val="14"/>
      <w:szCs w:val="14"/>
    </w:rPr>
  </w:style>
  <w:style w:type="character" w:customStyle="1" w:styleId="28">
    <w:name w:val="red"/>
    <w:basedOn w:val="13"/>
    <w:qFormat/>
    <w:uiPriority w:val="0"/>
    <w:rPr>
      <w:color w:val="FF0000"/>
      <w:sz w:val="14"/>
      <w:szCs w:val="14"/>
    </w:rPr>
  </w:style>
  <w:style w:type="character" w:customStyle="1" w:styleId="29">
    <w:name w:val="gb-jt"/>
    <w:basedOn w:val="13"/>
    <w:qFormat/>
    <w:uiPriority w:val="0"/>
  </w:style>
  <w:style w:type="character" w:customStyle="1" w:styleId="30">
    <w:name w:val="green"/>
    <w:basedOn w:val="13"/>
    <w:qFormat/>
    <w:uiPriority w:val="0"/>
    <w:rPr>
      <w:color w:val="66AE00"/>
      <w:sz w:val="14"/>
      <w:szCs w:val="14"/>
    </w:rPr>
  </w:style>
  <w:style w:type="character" w:customStyle="1" w:styleId="31">
    <w:name w:val="green1"/>
    <w:basedOn w:val="13"/>
    <w:qFormat/>
    <w:uiPriority w:val="0"/>
    <w:rPr>
      <w:color w:val="66AE00"/>
      <w:sz w:val="14"/>
      <w:szCs w:val="14"/>
    </w:rPr>
  </w:style>
  <w:style w:type="character" w:customStyle="1" w:styleId="32">
    <w:name w:val="red1"/>
    <w:basedOn w:val="13"/>
    <w:qFormat/>
    <w:uiPriority w:val="0"/>
    <w:rPr>
      <w:color w:val="FF0000"/>
      <w:sz w:val="14"/>
      <w:szCs w:val="14"/>
    </w:rPr>
  </w:style>
  <w:style w:type="character" w:customStyle="1" w:styleId="33">
    <w:name w:val="font21"/>
    <w:basedOn w:val="13"/>
    <w:qFormat/>
    <w:uiPriority w:val="0"/>
    <w:rPr>
      <w:rFonts w:hint="eastAsia" w:ascii="仿宋" w:hAnsi="仿宋" w:eastAsia="仿宋" w:cs="仿宋"/>
      <w:color w:val="000000"/>
      <w:sz w:val="21"/>
      <w:szCs w:val="21"/>
      <w:u w:val="none"/>
    </w:rPr>
  </w:style>
  <w:style w:type="paragraph" w:customStyle="1" w:styleId="34">
    <w:name w:val="正文文本缩进1"/>
    <w:basedOn w:val="1"/>
    <w:qFormat/>
    <w:uiPriority w:val="0"/>
    <w:pPr>
      <w:spacing w:line="360" w:lineRule="auto"/>
      <w:ind w:firstLine="480" w:firstLineChars="200"/>
    </w:pPr>
    <w:rPr>
      <w:rFonts w:ascii="宋体" w:hAnsi="Calibri" w:eastAsia="宋体" w:cs="Times New Roman"/>
      <w:sz w:val="24"/>
      <w:szCs w:val="22"/>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纯文本1"/>
    <w:basedOn w:val="1"/>
    <w:qFormat/>
    <w:uiPriority w:val="0"/>
    <w:rPr>
      <w:rFonts w:ascii="Calibri" w:hAnsi="Calibri" w:eastAsia="宋体" w:cs="Times New Roman"/>
      <w:sz w:val="24"/>
      <w:szCs w:val="22"/>
    </w:rPr>
  </w:style>
  <w:style w:type="paragraph" w:customStyle="1" w:styleId="37">
    <w:name w:val="日期1"/>
    <w:basedOn w:val="1"/>
    <w:next w:val="1"/>
    <w:qFormat/>
    <w:uiPriority w:val="0"/>
    <w:rPr>
      <w:rFonts w:ascii="Calibri" w:hAnsi="Calibri" w:eastAsia="宋体" w:cs="Times New Roman"/>
      <w:sz w:val="24"/>
      <w:szCs w:val="22"/>
    </w:rPr>
  </w:style>
  <w:style w:type="paragraph" w:customStyle="1" w:styleId="38">
    <w:name w:val="样式1"/>
    <w:basedOn w:val="1"/>
    <w:qFormat/>
    <w:uiPriority w:val="0"/>
    <w:pPr>
      <w:numPr>
        <w:ilvl w:val="0"/>
        <w:numId w:val="1"/>
      </w:numPr>
      <w:tabs>
        <w:tab w:val="left" w:pos="709"/>
      </w:tabs>
      <w:adjustRightInd w:val="0"/>
      <w:textAlignment w:val="baseline"/>
    </w:pPr>
    <w:rPr>
      <w:rFonts w:ascii="宋体" w:hAnsi="宋体" w:eastAsia="宋体" w:cs="Times New Roman"/>
      <w:kern w:val="0"/>
      <w:szCs w:val="21"/>
    </w:rPr>
  </w:style>
  <w:style w:type="paragraph" w:customStyle="1" w:styleId="39">
    <w:name w:val="二级条标题"/>
    <w:basedOn w:val="40"/>
    <w:next w:val="41"/>
    <w:qFormat/>
    <w:uiPriority w:val="0"/>
    <w:pPr>
      <w:outlineLvl w:val="3"/>
    </w:pPr>
  </w:style>
  <w:style w:type="paragraph" w:customStyle="1" w:styleId="40">
    <w:name w:val="一级条标题"/>
    <w:next w:val="41"/>
    <w:qFormat/>
    <w:uiPriority w:val="0"/>
    <w:pPr>
      <w:spacing w:beforeLines="50" w:afterLines="50"/>
      <w:ind w:left="2552"/>
      <w:outlineLvl w:val="2"/>
    </w:pPr>
    <w:rPr>
      <w:rFonts w:ascii="黑体" w:eastAsia="黑体" w:cs="黑体" w:hAnsiTheme="minorHAnsi"/>
      <w:kern w:val="2"/>
      <w:sz w:val="21"/>
      <w:szCs w:val="21"/>
      <w:lang w:val="en-US" w:eastAsia="zh-CN" w:bidi="ar-SA"/>
    </w:rPr>
  </w:style>
  <w:style w:type="paragraph" w:customStyle="1" w:styleId="41">
    <w:name w:val="段"/>
    <w:qFormat/>
    <w:uiPriority w:val="0"/>
    <w:pPr>
      <w:tabs>
        <w:tab w:val="center" w:pos="4201"/>
        <w:tab w:val="right" w:leader="dot" w:pos="9298"/>
      </w:tabs>
      <w:autoSpaceDE w:val="0"/>
      <w:autoSpaceDN w:val="0"/>
      <w:spacing w:beforeLines="50" w:afterLines="50"/>
      <w:ind w:firstLine="420" w:firstLineChars="200"/>
      <w:jc w:val="both"/>
    </w:pPr>
    <w:rPr>
      <w:rFonts w:ascii="宋体" w:hAnsi="Times New Roman" w:eastAsia="宋体" w:cs="宋体"/>
      <w:sz w:val="21"/>
      <w:szCs w:val="21"/>
      <w:lang w:val="en-US" w:eastAsia="zh-CN" w:bidi="ar-SA"/>
    </w:rPr>
  </w:style>
  <w:style w:type="paragraph" w:customStyle="1" w:styleId="42">
    <w:name w:val="三级条标题"/>
    <w:basedOn w:val="39"/>
    <w:next w:val="1"/>
    <w:qFormat/>
    <w:uiPriority w:val="0"/>
    <w:pPr>
      <w:outlineLvl w:val="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许昌市公共资源</Company>
  <Pages>20</Pages>
  <Words>11858</Words>
  <Characters>1226</Characters>
  <Lines>10</Lines>
  <Paragraphs>26</Paragraphs>
  <TotalTime>11</TotalTime>
  <ScaleCrop>false</ScaleCrop>
  <LinksUpToDate>false</LinksUpToDate>
  <CharactersWithSpaces>13058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2018-04-20T07:58:00Z</dcterms:created>
  <dc:creator>Administrator</dc:creator>
  <cp:lastModifiedBy>来自北方的狼</cp:lastModifiedBy>
  <cp:lastPrinted>2018-07-23T10:01:00Z</cp:lastPrinted>
  <dcterms:modified xsi:type="dcterms:W3CDTF">2018-08-27T07:13:30Z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