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52"/>
          <w:szCs w:val="52"/>
          <w:lang w:eastAsia="zh-CN"/>
        </w:rPr>
        <w:t>禹州市人民医院“新生儿呼吸机（进口）及CPAP（进口）医疗设备”采购项目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039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（一）项目名称：禹州市人民医院“新生儿呼吸机（进口）及CPAP（进口）医疗设备”采购项目</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（二）项目编号：YLZB-G2018039号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（四）项目主要内容、数量及要求：新生儿呼吸机（进口）2台，CPAP（进口）2台。</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（五）预算金额：85万元；最高限价：85万元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（七）交付地点：禹州市人民医院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呼吸机，CPAP）；</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四</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址：禹州市健康路</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联系人：席朝岭               联系电话：13937476967</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北京华采招标代理有限公司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许昌市新许路中段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周伟</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13903749798</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eastAsia="zh-CN"/>
        </w:rPr>
        <w:t>禹州市人民医院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Cs w:val="21"/>
        </w:rPr>
        <w:t xml:space="preserve">                              二〇一八年</w:t>
      </w:r>
      <w:r>
        <w:rPr>
          <w:rFonts w:hint="eastAsia" w:cs="仿宋_GB2312" w:asciiTheme="minorEastAsia" w:hAnsiTheme="minorEastAsia"/>
          <w:color w:val="000000"/>
          <w:szCs w:val="21"/>
          <w:lang w:eastAsia="zh-CN"/>
        </w:rPr>
        <w:t>七</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十七</w:t>
      </w:r>
      <w:r>
        <w:rPr>
          <w:rFonts w:hint="eastAsia" w:cs="仿宋_GB2312" w:asciiTheme="minorEastAsia" w:hAnsiTheme="minorEastAsia"/>
          <w:color w:val="000000"/>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黑体" w:asciiTheme="minorEastAsia" w:hAnsiTheme="minorEastAsia"/>
          <w:b/>
          <w:bCs/>
          <w:color w:val="000000"/>
          <w:szCs w:val="21"/>
          <w:shd w:val="clear" w:color="auto" w:fill="FFFFFF"/>
        </w:rPr>
        <w:t>采购清单</w:t>
      </w:r>
      <w:r>
        <w:rPr>
          <w:rFonts w:hint="eastAsia" w:cs="黑体" w:asciiTheme="minorEastAsia" w:hAnsiTheme="minorEastAsia"/>
          <w:b/>
          <w:bCs/>
          <w:color w:val="000000"/>
          <w:szCs w:val="21"/>
          <w:shd w:val="clear" w:color="auto" w:fill="FFFFFF"/>
          <w:lang w:eastAsia="zh-CN"/>
        </w:rPr>
        <w:t>：</w:t>
      </w:r>
      <w:r>
        <w:rPr>
          <w:rFonts w:hint="eastAsia" w:cs="仿宋_GB2312" w:asciiTheme="minorEastAsia" w:hAnsiTheme="minorEastAsia"/>
          <w:color w:val="000000"/>
          <w:sz w:val="21"/>
          <w:szCs w:val="21"/>
          <w:shd w:val="clear" w:color="auto" w:fill="FFFFFF"/>
          <w:lang w:eastAsia="zh-CN"/>
        </w:rPr>
        <w:t>新生儿呼吸机（进口）2台，CPAP（进口）2台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呼吸机</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1、治疗模式：压力控制（PC）、容量控制（VC）、压力支持（PS）、持续性正压通气（CPAP）、同步间歇指令通气（容量控制）＋压力支持和窒息后备通气等模式。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2、触发方式：双触发方式，流量触发和压力触发等。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3、具备开机自检功能,自动完成硬件检查和传感器定标等工作。</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4、具有自动系统顺应性补偿功能。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5、内置式非消耗品流量传感器,永久性使用。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6、内、外呼吸管路可彻底消毒，操作简便。</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7、外接气体：空气及氧气。</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8、通气频率：5－150次/分。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9、潮气量：2－350毫升。</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10、压力控制水平：0—(115-PEEP)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11、压力支持水平：0—(115-PEEP)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12、呼气末正压（PEEP/CPAP）：0—45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13、触发灵敏度：流量触发，触发流量： 0.18--2.0升/分钟；压力触发，触发压力：－20--0 cmH2O 。</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14、内置电子空气—氧气混合器，输出氧浓度范围21—100%，精度误差≤±2%。</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15、氧传感器校准：氧浓度可在21%和100%两点进行自动和手动两种方式校准。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16、配备分体式自动控制加温湿化装置，易于消毒，无湿化纸等耗材。</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17、报警功能：声光报警、全中文提示及报警历史回顾。窒息报警，设置时间15－45秒可调；自主呼吸频率过高报警，设置频率1－160次/分；在单一的气体供应失灵情况下，设备报警并可应急工作(有报警)；电池报警。</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18、监测波形：波形显示(同屏显示):气道压力/时间曲线、流速/时间曲线、容量/时间曲线、压力－容量环、流量－容量环；不同颜色分别显示压力、流量、潮气量。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19、24小时彩色趋势图，包括气道峰压，平均压，平台压，呼气末正压，呼吸频率，吸入分钟通气量，呼出分钟通气量，吸入潮气量，呼出潮气量，浅快呼吸指数等。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20、≥12英寸彩色触摸操作屏，中文操作界面。</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21、具备选配纯进口外置空气压缩机功能。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22、电源：AC 220V，50Hz，内置备用电池，持续时间≥1.5小时（电池剩余时间显示）。</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CPAP</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1、氧气流量：（恒定可调）0-15L/min。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2、空气流量：（恒定可调）0-15L/min。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3、氧浓度（可调）：21-99%。</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4、流量调节范围：0-30L/min。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5、呼气末正压（PEEP）：0-10cmH2O。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6、吸气平台压（PLATEAU）：15-60cmH2O。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7、压力限制（可调）：15-60cmH2O。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8、无管路连接的与主机一体化的加温湿化器。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9、加温湿化器上可直接进行呼气末正压、吸气平台压及手动通气功能的设定和调节。</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10、显示呼吸压力（压力表显示）（-10）-60mbar。</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11、与主机一体化的双管路设计：吸气通过主机的吸气阀由吸气管路连接鼻塞，呼气通过鼻塞经呼气管路由主机的呼气阀排出。</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12、呼吸管路要求必须外圈可以加热无冷凝水、无积水杯并可以高温高压消毒。</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13、主机具有临床通气急救所需的手动通气功能（MCV）（抢救、心肺复苏时一键操作无需更换管路，保证输出压力的准确性）。</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14、主机具有药物雾化吸入功能。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15、配置与CPAP相配套的医用空压机1台。</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8、中标人提供现场技术培训，保证使用人员能够正确操作、使用设备的各种功能，提供设备使用说明书和维修指导说明书。</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9、免费质保期三年，不响应的为无效投标。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85万元</w:t>
      </w: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val="en-US" w:eastAsia="zh-CN"/>
        </w:rPr>
        <w:t>85万元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2、支付时间及条件：设备安装调试合格使用后付合同总价款的70%，剩余30%满一年无质量问题一次性付清。</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禹州市人民医院“新生儿呼吸机（进口）及CPAP（进口）医疗设备”采购项目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039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新生儿呼吸机（进口）2台，CPAP（进口）2台</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禹州市健康路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联系人：席朝岭                    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北京华采招标代理有限公司</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许昌市新许路中段</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周伟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产品，并具有投标产品的《中华人民共和国医疗器械注册证》并加盖投标人公章的原件扫描件（或图片）（呼吸机，CPAP）；</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85万元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A3"/>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四</w:t>
            </w:r>
            <w:bookmarkStart w:id="13" w:name="_GoBack"/>
            <w:bookmarkEnd w:id="13"/>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金额：壹万柒仟元（¥ </w:t>
            </w:r>
            <w:r>
              <w:rPr>
                <w:rFonts w:hint="eastAsia" w:cs="仿宋_GB2312" w:asciiTheme="minorEastAsia" w:hAnsiTheme="minorEastAsia"/>
                <w:szCs w:val="21"/>
                <w:lang w:val="en-US" w:eastAsia="zh-CN"/>
              </w:rPr>
              <w:t>17000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产品，并具有投标产品的《中华人民共和国医疗器械注册证》并加盖投标人公章的原件扫描件（或图片）（呼吸机，CPAP）；</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投标人2015年1月1日以来，具有类似项目业绩单次合同金额在：80万元以上（含80万元）。合同及验收报告齐全，每提供一份得3分，最多得6分，不提供者为0分。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投标文件的规范程度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color w:val="000000"/>
                <w:sz w:val="21"/>
                <w:szCs w:val="21"/>
                <w:lang w:val="en-US"/>
              </w:rPr>
            </w:pPr>
            <w:r>
              <w:rPr>
                <w:rFonts w:hint="eastAsia" w:ascii="宋体" w:hAnsi="宋体" w:eastAsia="宋体" w:cs="宋体"/>
                <w:b/>
                <w:color w:val="000000"/>
                <w:kern w:val="2"/>
                <w:sz w:val="21"/>
                <w:szCs w:val="21"/>
                <w:lang w:val="en-US" w:eastAsia="zh-CN" w:bidi="ar"/>
              </w:rPr>
              <w:t>对招标文件的响应程度</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sz w:val="21"/>
                <w:szCs w:val="21"/>
                <w:lang w:val="en-US"/>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
                <w:color w:val="000000"/>
                <w:kern w:val="2"/>
                <w:sz w:val="21"/>
                <w:szCs w:val="21"/>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①未实质性响应招标文件要求的视为无效投标。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②根据投标人对所投产品配置的成熟性、稳定性、可维修性及产品性能与配置等情况，全部满足的得26分。所列的技术参数证明文件以提供厂家证明文件（产品的彩页、说明书、检验报告）为依据，且须在投标文件中准确的描述所述产品的技术参数并附厂家证明文件（产品的彩页、说明书、检验报告）的复印件。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hint="eastAsia" w:ascii="宋体" w:hAnsi="宋体" w:eastAsia="宋体" w:cs="宋体"/>
          <w:b/>
          <w:kern w:val="0"/>
          <w:sz w:val="21"/>
          <w:szCs w:val="21"/>
        </w:rPr>
      </w:pPr>
      <w:r>
        <w:rPr>
          <w:rFonts w:hint="eastAsia" w:ascii="宋体" w:hAnsi="宋体" w:eastAsia="宋体" w:cs="宋体"/>
          <w:b/>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w:t>
      </w:r>
      <w:r>
        <w:rPr>
          <w:rFonts w:hint="eastAsia" w:ascii="宋体" w:hAnsi="宋体" w:eastAsia="宋体" w:cs="宋体"/>
          <w:sz w:val="21"/>
          <w:szCs w:val="21"/>
          <w:lang w:val="zh-CN"/>
        </w:rPr>
        <w:t>合同</w:t>
      </w:r>
      <w:r>
        <w:rPr>
          <w:rFonts w:hint="eastAsia" w:ascii="宋体" w:hAnsi="宋体" w:eastAsia="宋体" w:cs="宋体"/>
          <w:sz w:val="21"/>
          <w:szCs w:val="21"/>
        </w:rPr>
        <w:t>”</w:t>
      </w:r>
      <w:r>
        <w:rPr>
          <w:rFonts w:hint="eastAsia" w:ascii="宋体" w:hAnsi="宋体" w:eastAsia="宋体" w:cs="宋体"/>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w:t>
      </w:r>
      <w:r>
        <w:rPr>
          <w:rFonts w:hint="eastAsia" w:ascii="宋体" w:hAnsi="宋体" w:eastAsia="宋体" w:cs="宋体"/>
          <w:sz w:val="21"/>
          <w:szCs w:val="21"/>
        </w:rPr>
        <w:t>“</w:t>
      </w:r>
      <w:r>
        <w:rPr>
          <w:rFonts w:hint="eastAsia" w:ascii="宋体" w:hAnsi="宋体" w:eastAsia="宋体" w:cs="宋体"/>
          <w:sz w:val="21"/>
          <w:szCs w:val="21"/>
          <w:lang w:val="zh-CN"/>
        </w:rPr>
        <w:t>合同价格</w:t>
      </w:r>
      <w:r>
        <w:rPr>
          <w:rFonts w:hint="eastAsia" w:ascii="宋体" w:hAnsi="宋体" w:eastAsia="宋体" w:cs="宋体"/>
          <w:sz w:val="21"/>
          <w:szCs w:val="21"/>
        </w:rPr>
        <w:t>”</w:t>
      </w:r>
      <w:r>
        <w:rPr>
          <w:rFonts w:hint="eastAsia" w:ascii="宋体" w:hAnsi="宋体" w:eastAsia="宋体" w:cs="宋体"/>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w:t>
      </w:r>
      <w:r>
        <w:rPr>
          <w:rFonts w:hint="eastAsia" w:ascii="宋体" w:hAnsi="宋体" w:eastAsia="宋体" w:cs="宋体"/>
          <w:sz w:val="21"/>
          <w:szCs w:val="21"/>
        </w:rPr>
        <w:t>“</w:t>
      </w:r>
      <w:r>
        <w:rPr>
          <w:rFonts w:hint="eastAsia" w:ascii="宋体" w:hAnsi="宋体" w:eastAsia="宋体" w:cs="宋体"/>
          <w:sz w:val="21"/>
          <w:szCs w:val="21"/>
          <w:lang w:val="zh-CN"/>
        </w:rPr>
        <w:t>甲方</w:t>
      </w:r>
      <w:r>
        <w:rPr>
          <w:rFonts w:hint="eastAsia" w:ascii="宋体" w:hAnsi="宋体" w:eastAsia="宋体" w:cs="宋体"/>
          <w:sz w:val="21"/>
          <w:szCs w:val="21"/>
        </w:rPr>
        <w:t>”</w:t>
      </w:r>
      <w:r>
        <w:rPr>
          <w:rFonts w:hint="eastAsia" w:ascii="宋体" w:hAnsi="宋体" w:eastAsia="宋体" w:cs="宋体"/>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rPr>
        <w:t>“</w:t>
      </w:r>
      <w:r>
        <w:rPr>
          <w:rFonts w:hint="eastAsia" w:ascii="宋体" w:hAnsi="宋体" w:eastAsia="宋体" w:cs="宋体"/>
          <w:sz w:val="21"/>
          <w:szCs w:val="21"/>
          <w:lang w:val="zh-CN"/>
        </w:rPr>
        <w:t>乙方</w:t>
      </w:r>
      <w:r>
        <w:rPr>
          <w:rFonts w:hint="eastAsia" w:ascii="宋体" w:hAnsi="宋体" w:eastAsia="宋体" w:cs="宋体"/>
          <w:sz w:val="21"/>
          <w:szCs w:val="21"/>
        </w:rPr>
        <w:t>”</w:t>
      </w:r>
      <w:r>
        <w:rPr>
          <w:rFonts w:hint="eastAsia" w:ascii="宋体" w:hAnsi="宋体" w:eastAsia="宋体" w:cs="宋体"/>
          <w:sz w:val="21"/>
          <w:szCs w:val="21"/>
          <w:lang w:val="zh-CN"/>
        </w:rPr>
        <w:t>系指中标后提供合同服务的</w:t>
      </w:r>
      <w:r>
        <w:rPr>
          <w:rFonts w:hint="eastAsia" w:ascii="宋体" w:hAnsi="宋体" w:eastAsia="宋体" w:cs="宋体"/>
          <w:bCs/>
          <w:sz w:val="21"/>
          <w:szCs w:val="21"/>
          <w:lang w:val="zh-CN"/>
        </w:rPr>
        <w:t>中标方</w:t>
      </w:r>
      <w:r>
        <w:rPr>
          <w:rFonts w:hint="eastAsia" w:ascii="宋体" w:hAnsi="宋体" w:eastAsia="宋体" w:cs="宋体"/>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即自</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日起至</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pStyle w:val="13"/>
        <w:spacing w:line="360" w:lineRule="auto"/>
        <w:contextualSpacing/>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hint="eastAsia" w:ascii="宋体" w:hAnsi="宋体" w:eastAsia="宋体" w:cs="宋体"/>
          <w:b/>
          <w:kern w:val="0"/>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（此合同仅供参考。以最终采购人与中标人签定的合同条款为准进行公示，</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left"/>
        <w:rPr>
          <w:rStyle w:val="51"/>
          <w:rFonts w:ascii="宋体" w:hAnsi="宋体" w:eastAsia="宋体"/>
        </w:rPr>
      </w:pPr>
      <w:bookmarkStart w:id="1" w:name="_Toc184023138"/>
      <w:bookmarkStart w:id="2" w:name="_Toc186274126"/>
      <w:bookmarkStart w:id="3" w:name="_Toc174185203"/>
      <w:r>
        <w:rPr>
          <w:rStyle w:val="51"/>
          <w:rFonts w:hint="eastAsia" w:ascii="宋体" w:hAnsi="宋体" w:eastAsia="宋体"/>
        </w:rPr>
        <w:t>投标文件封皮格式</w:t>
      </w:r>
      <w:bookmarkStart w:id="4" w:name="_Toc14398"/>
      <w:bookmarkStart w:id="5" w:name="_Toc5131"/>
      <w:bookmarkStart w:id="6" w:name="_Toc12595"/>
      <w:bookmarkStart w:id="7" w:name="_Toc16238"/>
    </w:p>
    <w:p>
      <w:pPr>
        <w:pStyle w:val="6"/>
        <w:ind w:firstLine="340"/>
      </w:pPr>
    </w:p>
    <w:p>
      <w:pPr>
        <w:jc w:val="right"/>
        <w:rPr>
          <w:rStyle w:val="51"/>
          <w:rFonts w:ascii="宋体" w:hAnsi="宋体" w:eastAsia="宋体"/>
        </w:rPr>
      </w:pPr>
      <w:r>
        <w:rPr>
          <w:rStyle w:val="51"/>
          <w:rFonts w:hint="eastAsia" w:ascii="宋体" w:hAnsi="宋体" w:eastAsia="宋体"/>
        </w:rPr>
        <w:t>正本/副本</w:t>
      </w:r>
    </w:p>
    <w:bookmarkEnd w:id="4"/>
    <w:bookmarkEnd w:id="5"/>
    <w:bookmarkEnd w:id="6"/>
    <w:bookmarkEnd w:id="7"/>
    <w:p>
      <w:pPr>
        <w:jc w:val="left"/>
        <w:rPr>
          <w:rStyle w:val="51"/>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br w:type="page"/>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法定代表人授权代表身份证（正面）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法定代表人授权代表身份证（反面）</w:t>
            </w:r>
            <w:bookmarkEnd w:id="10"/>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4AA37DF"/>
    <w:rsid w:val="08CB559C"/>
    <w:rsid w:val="0BE9339F"/>
    <w:rsid w:val="0BF93095"/>
    <w:rsid w:val="0C146CF4"/>
    <w:rsid w:val="141770EC"/>
    <w:rsid w:val="19320955"/>
    <w:rsid w:val="1B5B23A9"/>
    <w:rsid w:val="1D046076"/>
    <w:rsid w:val="1E59202B"/>
    <w:rsid w:val="20EB3F58"/>
    <w:rsid w:val="269442EC"/>
    <w:rsid w:val="315F3F3D"/>
    <w:rsid w:val="32D77E9B"/>
    <w:rsid w:val="333A4A1C"/>
    <w:rsid w:val="365100D7"/>
    <w:rsid w:val="3B4A56A0"/>
    <w:rsid w:val="3C0845D4"/>
    <w:rsid w:val="3F7E70F7"/>
    <w:rsid w:val="41890B85"/>
    <w:rsid w:val="41BE6EA6"/>
    <w:rsid w:val="43D4284F"/>
    <w:rsid w:val="44260C03"/>
    <w:rsid w:val="4D253021"/>
    <w:rsid w:val="551052F0"/>
    <w:rsid w:val="58913ABA"/>
    <w:rsid w:val="5B8D5D7B"/>
    <w:rsid w:val="63617231"/>
    <w:rsid w:val="648A5A01"/>
    <w:rsid w:val="64BE6B2E"/>
    <w:rsid w:val="656432C0"/>
    <w:rsid w:val="65E7126D"/>
    <w:rsid w:val="6B920689"/>
    <w:rsid w:val="6E613A42"/>
    <w:rsid w:val="72B1091D"/>
    <w:rsid w:val="737E180E"/>
    <w:rsid w:val="75E1793E"/>
    <w:rsid w:val="7B7F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标题 2 字符"/>
    <w:basedOn w:val="20"/>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2018-07-06T00:44:00Z</cp:lastPrinted>
  <dcterms:modified xsi:type="dcterms:W3CDTF">2018-07-17T03:54:29Z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