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sz w:val="44"/>
        </w:rPr>
      </w:pPr>
      <w:r>
        <w:rPr>
          <w:rFonts w:hint="eastAsia" w:ascii="黑体" w:hAnsi="黑体" w:eastAsia="黑体"/>
          <w:b/>
          <w:sz w:val="44"/>
        </w:rPr>
        <w:t>禹州市公共资源交易中心评标室设备采购项目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禹州市公共资源交易中心</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项目名称：禹州市公共资源交易中心评标室设备采购项目</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采购编号：YZCG—G2018226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3200" w:firstLineChars="1000"/>
        <w:rPr>
          <w:rFonts w:ascii="仿宋" w:hAnsi="仿宋" w:eastAsia="仿宋"/>
          <w:bCs/>
          <w:sz w:val="32"/>
        </w:rPr>
      </w:pPr>
      <w:r>
        <w:rPr>
          <w:rFonts w:hint="eastAsia" w:ascii="仿宋" w:hAnsi="仿宋" w:eastAsia="仿宋"/>
          <w:bCs/>
          <w:sz w:val="32"/>
        </w:rPr>
        <w:t>二〇一八年八月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黑体" w:hAnsi="黑体" w:eastAsia="黑体"/>
          <w:b/>
          <w:sz w:val="36"/>
          <w:szCs w:val="36"/>
        </w:rPr>
      </w:pPr>
      <w:r>
        <w:rPr>
          <w:rFonts w:hint="eastAsia" w:ascii="黑体" w:hAnsi="黑体" w:eastAsia="黑体" w:cs="黑体"/>
          <w:b/>
          <w:sz w:val="44"/>
          <w:szCs w:val="44"/>
        </w:rPr>
        <w:t xml:space="preserve"> </w:t>
      </w:r>
      <w:r>
        <w:rPr>
          <w:rFonts w:hint="eastAsia" w:ascii="黑体" w:hAnsi="黑体" w:eastAsia="黑体"/>
          <w:b/>
          <w:sz w:val="36"/>
          <w:szCs w:val="36"/>
        </w:rPr>
        <w:t>投标邀请函</w:t>
      </w:r>
    </w:p>
    <w:p>
      <w:pPr>
        <w:spacing w:line="520" w:lineRule="exact"/>
        <w:textAlignment w:val="baseline"/>
        <w:rPr>
          <w:rFonts w:ascii="黑体" w:hAnsi="黑体" w:eastAsia="黑体" w:cs="黑体"/>
          <w:b/>
          <w:sz w:val="44"/>
          <w:szCs w:val="44"/>
        </w:rPr>
      </w:pPr>
      <w:r>
        <w:rPr>
          <w:rFonts w:hint="eastAsia" w:ascii="黑体" w:hAnsi="黑体" w:eastAsia="黑体" w:cs="黑体"/>
          <w:b/>
          <w:sz w:val="44"/>
          <w:szCs w:val="44"/>
        </w:rPr>
        <w:t xml:space="preserve"> </w:t>
      </w:r>
    </w:p>
    <w:p>
      <w:pPr>
        <w:jc w:val="center"/>
        <w:rPr>
          <w:rFonts w:ascii="黑体" w:hAnsi="黑体" w:eastAsia="黑体"/>
          <w:b/>
          <w:sz w:val="36"/>
          <w:szCs w:val="36"/>
        </w:rPr>
      </w:pPr>
      <w:r>
        <w:rPr>
          <w:rFonts w:hint="eastAsia" w:ascii="黑体" w:hAnsi="黑体" w:eastAsia="黑体"/>
          <w:b/>
          <w:sz w:val="36"/>
          <w:szCs w:val="36"/>
        </w:rPr>
        <w:t>禹州市公共资源交易中心评标室设备采购项目</w:t>
      </w:r>
    </w:p>
    <w:p>
      <w:pPr>
        <w:jc w:val="center"/>
        <w:rPr>
          <w:rFonts w:ascii="黑体" w:hAnsi="黑体" w:eastAsia="黑体"/>
          <w:b/>
          <w:sz w:val="36"/>
          <w:szCs w:val="36"/>
        </w:rPr>
      </w:pPr>
      <w:r>
        <w:rPr>
          <w:rFonts w:hint="eastAsia" w:ascii="黑体" w:hAnsi="黑体" w:eastAsia="黑体"/>
          <w:b/>
          <w:sz w:val="36"/>
          <w:szCs w:val="36"/>
        </w:rPr>
        <w:t>招  标  邀 请 函</w:t>
      </w:r>
    </w:p>
    <w:p>
      <w:pPr>
        <w:rPr>
          <w:rFonts w:ascii="仿宋" w:hAnsi="仿宋" w:eastAsia="仿宋"/>
          <w:sz w:val="24"/>
        </w:rPr>
      </w:pPr>
    </w:p>
    <w:p>
      <w:pPr>
        <w:spacing w:line="460" w:lineRule="exact"/>
        <w:ind w:firstLine="480" w:firstLineChars="200"/>
        <w:rPr>
          <w:rFonts w:ascii="仿宋" w:hAnsi="仿宋" w:eastAsia="仿宋"/>
          <w:sz w:val="24"/>
          <w:szCs w:val="24"/>
        </w:rPr>
      </w:pPr>
      <w:r>
        <w:rPr>
          <w:rFonts w:hint="eastAsia" w:ascii="仿宋" w:hAnsi="仿宋" w:eastAsia="仿宋"/>
          <w:sz w:val="24"/>
          <w:szCs w:val="24"/>
        </w:rPr>
        <w:t>禹州市政府采购中心受禹州市公共资源交易中心的委托，就“禹州市公共资源交易中心评标室设备采购项目”进行公开招标，欢迎合格的投标人前来投标。</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rPr>
        <w:t>一、项目基本情况</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1、采购人：禹州市公共资源交易中心</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2、项目名称：禹州市公共资源交易中心评标室设备采购项目</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3、采购编号：YZCG-G2018226</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4、项目需求：电脑、摄像机、云存储等设备一批</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5、采购预算：58.493万元</w:t>
      </w:r>
    </w:p>
    <w:p>
      <w:pPr>
        <w:spacing w:line="460" w:lineRule="exact"/>
        <w:ind w:firstLine="480"/>
        <w:rPr>
          <w:rFonts w:ascii="仿宋" w:hAnsi="仿宋" w:eastAsia="仿宋"/>
          <w:sz w:val="24"/>
          <w:szCs w:val="24"/>
        </w:rPr>
      </w:pPr>
      <w:r>
        <w:rPr>
          <w:rFonts w:hint="eastAsia" w:ascii="仿宋" w:hAnsi="仿宋" w:eastAsia="仿宋"/>
          <w:sz w:val="24"/>
          <w:szCs w:val="24"/>
        </w:rPr>
        <w:t>6、最高限价：58.493万元</w:t>
      </w:r>
    </w:p>
    <w:p>
      <w:pPr>
        <w:spacing w:line="460" w:lineRule="exact"/>
        <w:ind w:firstLine="480"/>
        <w:rPr>
          <w:rFonts w:ascii="仿宋" w:hAnsi="仿宋" w:eastAsia="仿宋"/>
          <w:b/>
          <w:sz w:val="24"/>
          <w:szCs w:val="24"/>
        </w:rPr>
      </w:pPr>
      <w:r>
        <w:rPr>
          <w:rFonts w:hint="eastAsia" w:ascii="仿宋" w:hAnsi="仿宋" w:eastAsia="仿宋"/>
          <w:b/>
          <w:sz w:val="24"/>
          <w:szCs w:val="24"/>
        </w:rPr>
        <w:t>二、需要落实的政府采购政策</w:t>
      </w:r>
    </w:p>
    <w:p>
      <w:pPr>
        <w:spacing w:line="460" w:lineRule="exact"/>
        <w:rPr>
          <w:rFonts w:ascii="仿宋" w:hAnsi="仿宋" w:eastAsia="仿宋"/>
          <w:sz w:val="24"/>
          <w:szCs w:val="24"/>
        </w:rPr>
      </w:pPr>
      <w:r>
        <w:rPr>
          <w:rFonts w:hint="eastAsia" w:ascii="仿宋" w:hAnsi="仿宋" w:eastAsia="仿宋"/>
          <w:sz w:val="24"/>
          <w:szCs w:val="24"/>
        </w:rPr>
        <w:t>　　本项目落实节约能源、保护环境、扶持不发达地区和少数民族地区、促进中小企业、监狱企业发展等政府采购政策。（详见招标文件）</w:t>
      </w:r>
    </w:p>
    <w:p>
      <w:pPr>
        <w:spacing w:line="460" w:lineRule="exact"/>
        <w:rPr>
          <w:rFonts w:ascii="仿宋" w:hAnsi="仿宋" w:eastAsia="仿宋"/>
          <w:b/>
          <w:sz w:val="24"/>
          <w:szCs w:val="24"/>
        </w:rPr>
      </w:pPr>
      <w:r>
        <w:rPr>
          <w:rFonts w:hint="eastAsia" w:ascii="仿宋" w:hAnsi="仿宋" w:eastAsia="仿宋"/>
          <w:sz w:val="24"/>
          <w:szCs w:val="24"/>
        </w:rPr>
        <w:t>　</w:t>
      </w:r>
      <w:r>
        <w:rPr>
          <w:rFonts w:hint="eastAsia" w:ascii="仿宋" w:hAnsi="仿宋" w:eastAsia="仿宋"/>
          <w:b/>
          <w:sz w:val="24"/>
          <w:szCs w:val="24"/>
        </w:rPr>
        <w:t>　三、供应商资格要求</w:t>
      </w:r>
    </w:p>
    <w:p>
      <w:pPr>
        <w:spacing w:line="460" w:lineRule="exact"/>
        <w:rPr>
          <w:rFonts w:ascii="仿宋" w:hAnsi="仿宋" w:eastAsia="仿宋"/>
          <w:sz w:val="24"/>
          <w:szCs w:val="24"/>
        </w:rPr>
      </w:pPr>
      <w:r>
        <w:rPr>
          <w:rFonts w:hint="eastAsia" w:ascii="仿宋" w:hAnsi="仿宋" w:eastAsia="仿宋"/>
          <w:sz w:val="24"/>
          <w:szCs w:val="24"/>
        </w:rPr>
        <w:t>　　1、符合《政府采购法》第二十二条之规定，具有独立法人资格及相应经营范围（以营业执照为准）；</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2、法定代表人授权代表须是本单位职工，提供本公司为本人缴纳社会保险证明；</w:t>
      </w:r>
    </w:p>
    <w:p>
      <w:pPr>
        <w:spacing w:line="460" w:lineRule="exact"/>
        <w:rPr>
          <w:rFonts w:ascii="仿宋" w:hAnsi="仿宋" w:eastAsia="仿宋"/>
          <w:sz w:val="24"/>
          <w:szCs w:val="24"/>
        </w:rPr>
      </w:pPr>
      <w:r>
        <w:rPr>
          <w:rFonts w:hint="eastAsia" w:ascii="仿宋" w:hAnsi="仿宋" w:eastAsia="仿宋"/>
          <w:sz w:val="24"/>
          <w:szCs w:val="24"/>
        </w:rPr>
        <w:t>　　3、本项目不接受联合体投标。</w:t>
      </w:r>
    </w:p>
    <w:p>
      <w:pPr>
        <w:spacing w:line="460" w:lineRule="exact"/>
        <w:rPr>
          <w:rFonts w:ascii="仿宋" w:hAnsi="仿宋" w:eastAsia="仿宋"/>
          <w:b/>
          <w:sz w:val="24"/>
          <w:szCs w:val="24"/>
        </w:rPr>
      </w:pPr>
      <w:r>
        <w:rPr>
          <w:rFonts w:hint="eastAsia" w:ascii="仿宋" w:hAnsi="仿宋" w:eastAsia="仿宋"/>
          <w:b/>
          <w:sz w:val="24"/>
          <w:szCs w:val="24"/>
        </w:rPr>
        <w:t>　　四、获取招标文件的方式、时间、地点及文件费用</w:t>
      </w:r>
    </w:p>
    <w:p>
      <w:pPr>
        <w:topLinePunct/>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sz w:val="24"/>
          <w:szCs w:val="24"/>
        </w:rPr>
        <w:t>http://221.14.6.70:8088/ggzy/eps/public/RegistAllJcxx.html</w:t>
      </w:r>
      <w:r>
        <w:rPr>
          <w:rFonts w:hint="eastAsia" w:ascii="仿宋" w:hAnsi="仿宋" w:eastAsia="仿宋"/>
          <w:sz w:val="24"/>
          <w:szCs w:val="24"/>
        </w:rPr>
        <w:fldChar w:fldCharType="end"/>
      </w:r>
      <w:r>
        <w:rPr>
          <w:rFonts w:hint="eastAsia" w:ascii="仿宋" w:hAnsi="仿宋" w:eastAsia="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sz w:val="24"/>
          <w:szCs w:val="24"/>
        </w:rPr>
      </w:pPr>
      <w:r>
        <w:rPr>
          <w:rFonts w:hint="eastAsia" w:ascii="仿宋" w:hAnsi="仿宋" w:eastAsia="仿宋"/>
          <w:sz w:val="24"/>
          <w:szCs w:val="24"/>
        </w:rPr>
        <w:t>　2、在投标截止时间前登录</w:t>
      </w:r>
      <w:r>
        <w:fldChar w:fldCharType="begin"/>
      </w:r>
      <w:r>
        <w:instrText xml:space="preserve"> HYPERLINK "http://221.14.6.70:8088/ggzy/" </w:instrText>
      </w:r>
      <w:r>
        <w:fldChar w:fldCharType="separate"/>
      </w:r>
      <w:r>
        <w:rPr>
          <w:rFonts w:hint="eastAsia" w:ascii="仿宋" w:hAnsi="仿宋" w:eastAsia="仿宋"/>
          <w:sz w:val="24"/>
          <w:szCs w:val="24"/>
        </w:rPr>
        <w:t>http://221.14.6.70:8088/ggzy/</w:t>
      </w:r>
      <w:r>
        <w:rPr>
          <w:rFonts w:hint="eastAsia" w:ascii="仿宋" w:hAnsi="仿宋" w:eastAsia="仿宋"/>
          <w:sz w:val="24"/>
          <w:szCs w:val="24"/>
        </w:rPr>
        <w:fldChar w:fldCharType="end"/>
      </w:r>
      <w:r>
        <w:rPr>
          <w:rFonts w:hint="eastAsia" w:ascii="仿宋" w:hAnsi="仿宋" w:eastAsia="仿宋"/>
          <w:sz w:val="24"/>
          <w:szCs w:val="24"/>
        </w:rPr>
        <w:t>，自行下载招标文件（详见全国公共资源交易平台（河南省·许昌市）“常见问题解答-交易系统操作手册”）。</w:t>
      </w:r>
    </w:p>
    <w:p>
      <w:pPr>
        <w:spacing w:line="440" w:lineRule="exact"/>
        <w:rPr>
          <w:rFonts w:ascii="仿宋" w:hAnsi="仿宋" w:eastAsia="仿宋"/>
          <w:sz w:val="24"/>
          <w:szCs w:val="24"/>
        </w:rPr>
      </w:pPr>
      <w:r>
        <w:rPr>
          <w:rFonts w:hint="eastAsia" w:ascii="仿宋" w:hAnsi="仿宋" w:eastAsia="仿宋"/>
          <w:sz w:val="24"/>
          <w:szCs w:val="24"/>
        </w:rPr>
        <w:t>　　3、未通过全国公共资源交易平台（河南省·许昌市）下载招标文件的投标企业，拒收其递交的投标文件。</w:t>
      </w:r>
    </w:p>
    <w:p>
      <w:pPr>
        <w:spacing w:line="440" w:lineRule="exact"/>
        <w:rPr>
          <w:rFonts w:ascii="仿宋" w:hAnsi="仿宋" w:eastAsia="仿宋"/>
          <w:sz w:val="24"/>
          <w:szCs w:val="24"/>
        </w:rPr>
      </w:pPr>
      <w:r>
        <w:rPr>
          <w:rFonts w:hint="eastAsia" w:ascii="仿宋" w:hAnsi="仿宋" w:eastAsia="仿宋"/>
          <w:sz w:val="24"/>
          <w:szCs w:val="24"/>
        </w:rPr>
        <w:t>　　4、招标文件每份售价人民币200元，于递交投标文件时缴纳给采购代理机构，售后不退。</w:t>
      </w:r>
    </w:p>
    <w:p>
      <w:pPr>
        <w:spacing w:line="460" w:lineRule="exact"/>
        <w:rPr>
          <w:rFonts w:ascii="仿宋" w:hAnsi="仿宋" w:eastAsia="仿宋"/>
          <w:b/>
          <w:sz w:val="24"/>
          <w:szCs w:val="24"/>
        </w:rPr>
      </w:pPr>
      <w:r>
        <w:rPr>
          <w:rFonts w:hint="eastAsia" w:ascii="仿宋" w:hAnsi="仿宋" w:eastAsia="仿宋"/>
          <w:b/>
          <w:sz w:val="24"/>
          <w:szCs w:val="24"/>
        </w:rPr>
        <w:t>　　五、投标截止时间、开标时间及地点：</w:t>
      </w:r>
    </w:p>
    <w:p>
      <w:pPr>
        <w:spacing w:line="460" w:lineRule="exact"/>
        <w:rPr>
          <w:rFonts w:ascii="仿宋" w:hAnsi="仿宋" w:eastAsia="仿宋"/>
          <w:sz w:val="24"/>
          <w:szCs w:val="24"/>
        </w:rPr>
      </w:pPr>
      <w:r>
        <w:rPr>
          <w:rFonts w:hint="eastAsia" w:ascii="仿宋" w:hAnsi="仿宋" w:eastAsia="仿宋"/>
          <w:sz w:val="24"/>
          <w:szCs w:val="24"/>
        </w:rPr>
        <w:t>　　1、投标截止及开标时间：2018年</w:t>
      </w:r>
      <w:r>
        <w:rPr>
          <w:rFonts w:hint="eastAsia" w:ascii="仿宋" w:hAnsi="仿宋" w:eastAsia="仿宋"/>
          <w:sz w:val="24"/>
          <w:szCs w:val="24"/>
          <w:lang w:val="en-US" w:eastAsia="zh-CN"/>
        </w:rPr>
        <w:t>9</w:t>
      </w:r>
      <w:r>
        <w:rPr>
          <w:rFonts w:hint="eastAsia" w:ascii="仿宋" w:hAnsi="仿宋" w:eastAsia="仿宋"/>
          <w:sz w:val="24"/>
          <w:szCs w:val="24"/>
        </w:rPr>
        <w:t xml:space="preserve">月 </w:t>
      </w:r>
      <w:r>
        <w:rPr>
          <w:rFonts w:hint="eastAsia" w:ascii="仿宋" w:hAnsi="仿宋" w:eastAsia="仿宋"/>
          <w:sz w:val="24"/>
          <w:szCs w:val="24"/>
          <w:lang w:val="en-US" w:eastAsia="zh-CN"/>
        </w:rPr>
        <w:t>11</w:t>
      </w:r>
      <w:r>
        <w:rPr>
          <w:rFonts w:hint="eastAsia" w:ascii="仿宋" w:hAnsi="仿宋" w:eastAsia="仿宋"/>
          <w:sz w:val="24"/>
          <w:szCs w:val="24"/>
        </w:rPr>
        <w:t>日</w:t>
      </w:r>
      <w:r>
        <w:rPr>
          <w:rFonts w:hint="eastAsia" w:ascii="仿宋" w:hAnsi="仿宋" w:eastAsia="仿宋"/>
          <w:sz w:val="24"/>
          <w:szCs w:val="24"/>
          <w:lang w:val="en-US" w:eastAsia="zh-CN"/>
        </w:rPr>
        <w:t>10：00</w:t>
      </w:r>
      <w:r>
        <w:rPr>
          <w:rFonts w:hint="eastAsia" w:ascii="仿宋" w:hAnsi="仿宋" w:eastAsia="仿宋"/>
          <w:sz w:val="24"/>
          <w:szCs w:val="24"/>
        </w:rPr>
        <w:t xml:space="preserve">  北京时间），逾期送达或不符合规定的投标文件不予接受。</w:t>
      </w:r>
    </w:p>
    <w:p>
      <w:pPr>
        <w:spacing w:line="460" w:lineRule="exact"/>
        <w:rPr>
          <w:rFonts w:ascii="仿宋" w:hAnsi="仿宋" w:eastAsia="仿宋"/>
          <w:sz w:val="24"/>
          <w:szCs w:val="24"/>
        </w:rPr>
      </w:pPr>
      <w:r>
        <w:rPr>
          <w:rFonts w:hint="eastAsia" w:ascii="仿宋" w:hAnsi="仿宋" w:eastAsia="仿宋"/>
          <w:sz w:val="24"/>
          <w:szCs w:val="24"/>
        </w:rPr>
        <w:t xml:space="preserve">　　2、开标地点：禹州市公共资源交易中心第二开标室（禹州市行政服务中心楼9楼） </w:t>
      </w:r>
    </w:p>
    <w:p>
      <w:pPr>
        <w:spacing w:line="460" w:lineRule="exact"/>
        <w:rPr>
          <w:rFonts w:ascii="仿宋" w:hAnsi="仿宋" w:eastAsia="仿宋"/>
          <w:b/>
          <w:sz w:val="24"/>
          <w:szCs w:val="24"/>
        </w:rPr>
      </w:pPr>
      <w:r>
        <w:rPr>
          <w:rFonts w:hint="eastAsia" w:ascii="仿宋" w:hAnsi="仿宋" w:eastAsia="仿宋"/>
          <w:b/>
          <w:sz w:val="24"/>
          <w:szCs w:val="24"/>
        </w:rPr>
        <w:t>　　六、代理机构及采购单位地址、联系人、联系电话</w:t>
      </w:r>
    </w:p>
    <w:p>
      <w:pPr>
        <w:spacing w:line="460" w:lineRule="exact"/>
        <w:rPr>
          <w:rFonts w:ascii="仿宋" w:hAnsi="仿宋" w:eastAsia="仿宋"/>
          <w:sz w:val="24"/>
          <w:szCs w:val="24"/>
        </w:rPr>
      </w:pPr>
      <w:r>
        <w:rPr>
          <w:rFonts w:hint="eastAsia" w:ascii="仿宋" w:hAnsi="仿宋" w:eastAsia="仿宋"/>
          <w:sz w:val="24"/>
          <w:szCs w:val="24"/>
        </w:rPr>
        <w:t>　（一）代理机构：禹州市政府采购中心</w:t>
      </w:r>
    </w:p>
    <w:p>
      <w:pPr>
        <w:spacing w:line="460" w:lineRule="exact"/>
        <w:rPr>
          <w:rFonts w:ascii="仿宋" w:hAnsi="仿宋" w:eastAsia="仿宋"/>
          <w:sz w:val="24"/>
          <w:szCs w:val="24"/>
        </w:rPr>
      </w:pPr>
      <w:r>
        <w:rPr>
          <w:rFonts w:hint="eastAsia" w:ascii="仿宋" w:hAnsi="仿宋" w:eastAsia="仿宋"/>
          <w:sz w:val="24"/>
          <w:szCs w:val="24"/>
        </w:rPr>
        <w:t>　　地址：禹州市行政服务中心楼917房间</w:t>
      </w:r>
    </w:p>
    <w:p>
      <w:pPr>
        <w:spacing w:line="460" w:lineRule="exact"/>
        <w:rPr>
          <w:rFonts w:ascii="仿宋" w:hAnsi="仿宋" w:eastAsia="仿宋"/>
          <w:sz w:val="24"/>
          <w:szCs w:val="24"/>
        </w:rPr>
      </w:pPr>
      <w:r>
        <w:rPr>
          <w:rFonts w:hint="eastAsia" w:ascii="仿宋" w:hAnsi="仿宋" w:eastAsia="仿宋"/>
          <w:sz w:val="24"/>
          <w:szCs w:val="24"/>
        </w:rPr>
        <w:t>联系人：侯女士  联系电话：0374-2077111</w:t>
      </w:r>
    </w:p>
    <w:p>
      <w:pPr>
        <w:numPr>
          <w:ilvl w:val="0"/>
          <w:numId w:val="3"/>
        </w:numPr>
        <w:spacing w:line="460" w:lineRule="exact"/>
        <w:rPr>
          <w:rFonts w:ascii="仿宋" w:hAnsi="仿宋" w:eastAsia="仿宋"/>
          <w:sz w:val="24"/>
          <w:szCs w:val="24"/>
        </w:rPr>
      </w:pPr>
      <w:r>
        <w:rPr>
          <w:rFonts w:hint="eastAsia" w:ascii="仿宋" w:hAnsi="仿宋" w:eastAsia="仿宋"/>
          <w:sz w:val="24"/>
          <w:szCs w:val="24"/>
        </w:rPr>
        <w:t>采购单位：禹州市公共资源交易中心</w:t>
      </w:r>
    </w:p>
    <w:p>
      <w:pPr>
        <w:spacing w:line="460" w:lineRule="exact"/>
        <w:ind w:firstLine="240" w:firstLineChars="100"/>
        <w:rPr>
          <w:rFonts w:ascii="仿宋" w:hAnsi="仿宋" w:eastAsia="仿宋"/>
          <w:sz w:val="24"/>
          <w:szCs w:val="24"/>
        </w:rPr>
      </w:pPr>
      <w:r>
        <w:rPr>
          <w:rFonts w:hint="eastAsia" w:ascii="仿宋" w:hAnsi="仿宋" w:eastAsia="仿宋"/>
          <w:sz w:val="24"/>
          <w:szCs w:val="24"/>
        </w:rPr>
        <w:t>地址：禹州市禹王大道</w:t>
      </w:r>
    </w:p>
    <w:p>
      <w:pPr>
        <w:spacing w:line="460" w:lineRule="exact"/>
        <w:rPr>
          <w:rFonts w:ascii="仿宋" w:hAnsi="仿宋" w:eastAsia="仿宋"/>
          <w:sz w:val="24"/>
          <w:szCs w:val="24"/>
        </w:rPr>
      </w:pPr>
      <w:r>
        <w:rPr>
          <w:rFonts w:hint="eastAsia" w:ascii="仿宋" w:hAnsi="仿宋" w:eastAsia="仿宋"/>
          <w:sz w:val="24"/>
          <w:szCs w:val="24"/>
        </w:rPr>
        <w:t xml:space="preserve">　联系人：黄女士   联系电话：0374-2076770　　　　　　　　　　　　　　       </w:t>
      </w:r>
    </w:p>
    <w:p>
      <w:pPr>
        <w:spacing w:line="460" w:lineRule="exact"/>
        <w:rPr>
          <w:rFonts w:ascii="仿宋" w:hAnsi="仿宋" w:eastAsia="仿宋"/>
          <w:sz w:val="24"/>
          <w:szCs w:val="24"/>
        </w:rPr>
      </w:pPr>
    </w:p>
    <w:p>
      <w:pPr>
        <w:spacing w:line="460" w:lineRule="exact"/>
        <w:ind w:firstLine="5280" w:firstLineChars="2200"/>
        <w:rPr>
          <w:rFonts w:ascii="仿宋" w:hAnsi="仿宋" w:eastAsia="仿宋"/>
          <w:sz w:val="24"/>
          <w:szCs w:val="24"/>
        </w:rPr>
      </w:pPr>
      <w:r>
        <w:rPr>
          <w:rFonts w:hint="eastAsia" w:ascii="仿宋" w:hAnsi="仿宋" w:eastAsia="仿宋"/>
          <w:sz w:val="24"/>
          <w:szCs w:val="24"/>
        </w:rPr>
        <w:t>2018年8月</w:t>
      </w:r>
      <w:r>
        <w:rPr>
          <w:rFonts w:hint="eastAsia" w:ascii="仿宋" w:hAnsi="仿宋" w:eastAsia="仿宋"/>
          <w:sz w:val="24"/>
          <w:szCs w:val="24"/>
          <w:lang w:val="en-US" w:eastAsia="zh-CN"/>
        </w:rPr>
        <w:t>22</w:t>
      </w:r>
      <w:r>
        <w:rPr>
          <w:rFonts w:hint="eastAsia" w:ascii="仿宋" w:hAnsi="仿宋" w:eastAsia="仿宋"/>
          <w:sz w:val="24"/>
          <w:szCs w:val="24"/>
        </w:rPr>
        <w:t>日</w:t>
      </w:r>
    </w:p>
    <w:p>
      <w:pPr>
        <w:spacing w:line="460" w:lineRule="exact"/>
        <w:jc w:val="left"/>
        <w:rPr>
          <w:rFonts w:ascii="仿宋" w:hAnsi="仿宋" w:eastAsia="仿宋"/>
          <w:sz w:val="32"/>
        </w:rPr>
      </w:pPr>
    </w:p>
    <w:p>
      <w:pPr>
        <w:spacing w:line="520" w:lineRule="exact"/>
        <w:textAlignment w:val="baseline"/>
        <w:rPr>
          <w:rFonts w:ascii="黑体" w:hAnsi="黑体" w:eastAsia="黑体" w:cs="黑体"/>
          <w:b/>
          <w:sz w:val="44"/>
          <w:szCs w:val="44"/>
        </w:rPr>
      </w:pPr>
    </w:p>
    <w:p>
      <w:pPr>
        <w:spacing w:line="360" w:lineRule="auto"/>
        <w:rPr>
          <w:rFonts w:ascii="仿宋" w:hAnsi="仿宋" w:eastAsia="仿宋" w:cs="仿宋"/>
          <w:b/>
          <w:sz w:val="24"/>
          <w:szCs w:val="2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sz w:val="24"/>
                <w:szCs w:val="24"/>
              </w:rPr>
              <w:t>禹州市公共资源交易中心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60" w:lineRule="exact"/>
              <w:rPr>
                <w:rFonts w:ascii="仿宋" w:hAnsi="仿宋" w:eastAsia="仿宋"/>
                <w:color w:val="000000"/>
                <w:kern w:val="0"/>
                <w:sz w:val="24"/>
                <w:szCs w:val="24"/>
              </w:rPr>
            </w:pPr>
            <w:r>
              <w:rPr>
                <w:rFonts w:hint="eastAsia" w:ascii="仿宋" w:hAnsi="仿宋" w:eastAsia="仿宋"/>
                <w:sz w:val="24"/>
                <w:szCs w:val="24"/>
              </w:rPr>
              <w:t>禹州市公共资源交易中心评标室设备采购项目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11</w:t>
            </w:r>
            <w:r>
              <w:rPr>
                <w:rFonts w:hint="eastAsia" w:ascii="仿宋" w:hAnsi="仿宋" w:eastAsia="仿宋"/>
                <w:sz w:val="24"/>
                <w:szCs w:val="24"/>
              </w:rPr>
              <w:t>日</w:t>
            </w:r>
            <w:r>
              <w:rPr>
                <w:rFonts w:hint="eastAsia" w:ascii="仿宋" w:hAnsi="仿宋" w:eastAsia="仿宋"/>
                <w:sz w:val="24"/>
                <w:szCs w:val="24"/>
                <w:lang w:val="en-US" w:eastAsia="zh-CN"/>
              </w:rPr>
              <w:t>10</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rPr>
              <w:t>58.493万元。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8"/>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tbl>
      <w:tblPr>
        <w:tblStyle w:val="36"/>
        <w:tblW w:w="9774" w:type="dxa"/>
        <w:tblInd w:w="0" w:type="dxa"/>
        <w:tblLayout w:type="fixed"/>
        <w:tblCellMar>
          <w:top w:w="15" w:type="dxa"/>
          <w:left w:w="15" w:type="dxa"/>
          <w:bottom w:w="15" w:type="dxa"/>
          <w:right w:w="15" w:type="dxa"/>
        </w:tblCellMar>
      </w:tblPr>
      <w:tblGrid>
        <w:gridCol w:w="304"/>
        <w:gridCol w:w="1064"/>
        <w:gridCol w:w="7768"/>
        <w:gridCol w:w="319"/>
        <w:gridCol w:w="319"/>
      </w:tblGrid>
      <w:tr>
        <w:tblPrEx>
          <w:tblLayout w:type="fixed"/>
          <w:tblCellMar>
            <w:top w:w="15" w:type="dxa"/>
            <w:left w:w="15" w:type="dxa"/>
            <w:bottom w:w="15" w:type="dxa"/>
            <w:right w:w="15" w:type="dxa"/>
          </w:tblCellMar>
        </w:tblPrEx>
        <w:trPr>
          <w:trHeight w:val="570" w:hRule="atLeast"/>
        </w:trPr>
        <w:tc>
          <w:tcPr>
            <w:tcW w:w="304"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064"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Style w:val="131"/>
                <w:rFonts w:hint="default"/>
                <w:lang w:bidi="ar"/>
              </w:rPr>
              <w:t>名</w:t>
            </w:r>
            <w:r>
              <w:rPr>
                <w:rFonts w:hint="eastAsia" w:ascii="仿宋" w:hAnsi="仿宋" w:eastAsia="仿宋" w:cs="仿宋"/>
                <w:b/>
                <w:color w:val="000000"/>
                <w:kern w:val="0"/>
                <w:sz w:val="24"/>
                <w:szCs w:val="24"/>
                <w:lang w:bidi="ar"/>
              </w:rPr>
              <w:t xml:space="preserve"> </w:t>
            </w:r>
            <w:r>
              <w:rPr>
                <w:rStyle w:val="131"/>
                <w:rFonts w:hint="default"/>
                <w:lang w:bidi="ar"/>
              </w:rPr>
              <w:t>称</w:t>
            </w:r>
          </w:p>
        </w:tc>
        <w:tc>
          <w:tcPr>
            <w:tcW w:w="7768"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技术参数</w:t>
            </w:r>
          </w:p>
        </w:tc>
        <w:tc>
          <w:tcPr>
            <w:tcW w:w="319"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Style w:val="131"/>
                <w:rFonts w:hint="default"/>
                <w:lang w:bidi="ar"/>
              </w:rPr>
              <w:t>单</w:t>
            </w:r>
            <w:r>
              <w:rPr>
                <w:rFonts w:hint="eastAsia" w:ascii="仿宋" w:hAnsi="仿宋" w:eastAsia="仿宋" w:cs="仿宋"/>
                <w:b/>
                <w:color w:val="000000"/>
                <w:kern w:val="0"/>
                <w:sz w:val="24"/>
                <w:szCs w:val="24"/>
                <w:lang w:bidi="ar"/>
              </w:rPr>
              <w:t xml:space="preserve"> </w:t>
            </w:r>
            <w:r>
              <w:rPr>
                <w:rStyle w:val="131"/>
                <w:rFonts w:hint="default"/>
                <w:lang w:bidi="ar"/>
              </w:rPr>
              <w:t>位</w:t>
            </w:r>
          </w:p>
        </w:tc>
        <w:tc>
          <w:tcPr>
            <w:tcW w:w="319"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Style w:val="131"/>
                <w:rFonts w:hint="default"/>
                <w:lang w:bidi="ar"/>
              </w:rPr>
              <w:t>数</w:t>
            </w:r>
            <w:r>
              <w:rPr>
                <w:rFonts w:hint="eastAsia" w:ascii="仿宋" w:hAnsi="仿宋" w:eastAsia="仿宋" w:cs="仿宋"/>
                <w:b/>
                <w:color w:val="000000"/>
                <w:kern w:val="0"/>
                <w:sz w:val="24"/>
                <w:szCs w:val="24"/>
                <w:lang w:bidi="ar"/>
              </w:rPr>
              <w:t xml:space="preserve"> </w:t>
            </w:r>
            <w:r>
              <w:rPr>
                <w:rStyle w:val="131"/>
                <w:rFonts w:hint="default"/>
                <w:lang w:bidi="ar"/>
              </w:rPr>
              <w:t>量</w:t>
            </w:r>
          </w:p>
        </w:tc>
      </w:tr>
      <w:tr>
        <w:tblPrEx>
          <w:tblLayout w:type="fixed"/>
          <w:tblCellMar>
            <w:top w:w="15" w:type="dxa"/>
            <w:left w:w="15" w:type="dxa"/>
            <w:bottom w:w="15" w:type="dxa"/>
            <w:right w:w="15" w:type="dxa"/>
          </w:tblCellMar>
        </w:tblPrEx>
        <w:trPr>
          <w:trHeight w:val="171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评标电脑</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1、CPU ：Intel 酷睿I5-8400及以上处理器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2、内存：≥8G DDR4  2133MHz内存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3、硬盘：≥1T SATA3 7200rpm 硬盘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4、≥22寸液晶显示器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5、操作系统：预装正版Windows10系统。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6、不接受组装或OEM品牌</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笔记本电脑</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CPU≥I5-7200U/内存≥4G/硬盘≥128G+1T/显存≥2G/分辨率≥1920*1080/W10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场景液晶电视</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≥55寸液晶电视，全智能4K,带移动推车支架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57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摄像头、耳麦</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摄像头：动态分辨率≥（2560*1920),静态分辨率≥（4680*3456）；耳麦：高保真立体声耳麦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r>
      <w:tr>
        <w:tblPrEx>
          <w:tblLayout w:type="fixed"/>
          <w:tblCellMar>
            <w:top w:w="15" w:type="dxa"/>
            <w:left w:w="15" w:type="dxa"/>
            <w:bottom w:w="15" w:type="dxa"/>
            <w:right w:w="15" w:type="dxa"/>
          </w:tblCellMar>
        </w:tblPrEx>
        <w:trPr>
          <w:trHeight w:val="138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云存储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单设备应配置≥64位多核处理器，≥4GB内存，内存支持扩展到≥32GB，需配置冗余金牌电源，支持双系统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单设备应标配≥2个千兆网口，可增扩≥4个万兆口或≥8个光纤接口或增配≥4个HDMI接口或≥2个SAS3.0接口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可接入2T/3T/4T/6T/8T/10TSATA磁盘，支持磁盘交错启动和漫游，并支持在线热插拔；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可接入硬盘≥24块，支持SATA和SAS混插，并支持≥12级扩展柜级联扩展；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★设备可同时支持视频、图片、智能流和文件直写存储。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应能提供RAID0、1、3、5、6、10、50，60、JBOD、RAIDErasingCode、Raid5EE模式，支持全局、局部等多种热备选择，支持坏盘自动重构；</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设备可对视音频、图片、智能数据（智能行为分析录像）流进行混合直存，无须存储服务器和图片服务器的参与，平台服务器宕机时，存储业务正常</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应能接入并存储1880Mbps视频图像，同时转发1880Mbps的视频图像；同时回放512Mbps的视频图像；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设备在不增加</w:t>
            </w:r>
            <w:r>
              <w:rPr>
                <w:rFonts w:hint="eastAsia" w:ascii="仿宋" w:hAnsi="仿宋" w:eastAsia="仿宋" w:cs="仿宋"/>
                <w:color w:val="000000"/>
                <w:kern w:val="0"/>
                <w:sz w:val="24"/>
                <w:szCs w:val="24"/>
                <w:lang w:bidi="ar"/>
              </w:rPr>
              <w:t>任何外围服</w:t>
            </w:r>
            <w:r>
              <w:rPr>
                <w:rFonts w:hint="eastAsia" w:ascii="仿宋" w:hAnsi="仿宋" w:eastAsia="仿宋" w:cs="仿宋"/>
                <w:color w:val="000000"/>
                <w:kern w:val="0"/>
                <w:sz w:val="24"/>
                <w:szCs w:val="24"/>
                <w:lang w:bidi="ar"/>
              </w:rPr>
              <w:t>务器硬件的情况下可由存储设备直接进行虚拟化系统部署</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设备应能预</w:t>
            </w:r>
            <w:r>
              <w:rPr>
                <w:rFonts w:hint="eastAsia" w:ascii="仿宋" w:hAnsi="仿宋" w:eastAsia="仿宋" w:cs="仿宋"/>
                <w:color w:val="000000"/>
                <w:kern w:val="0"/>
                <w:sz w:val="24"/>
                <w:szCs w:val="24"/>
                <w:lang w:bidi="ar"/>
              </w:rPr>
              <w:t>录报警触发前1-40分钟的视频录像。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支持不低于512MBps图片并发输入，同时不低于512MBps图片并发输出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★提供多设备同步升级功能，可以通过一键式操作对整个局域网内的所有设备同步升级。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当RAID中某块工作正常的硬盘被误拔出后，60分钟内插回，该硬盘能恢复到原RAID中，系统自动恢复工作，而且会对拔掉的硬盘进行增量数据恢复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★在RAID内丢失</w:t>
            </w:r>
            <w:r>
              <w:rPr>
                <w:rFonts w:hint="eastAsia" w:ascii="仿宋" w:hAnsi="仿宋" w:eastAsia="仿宋" w:cs="仿宋"/>
                <w:color w:val="000000"/>
                <w:kern w:val="0"/>
                <w:sz w:val="24"/>
                <w:szCs w:val="24"/>
                <w:lang w:bidi="ar"/>
              </w:rPr>
              <w:t>2块（含）以上硬盘但至少有1块正常磁盘时，无需等待丢失盘恢复，保留的硬盘中的数据可正常读出，且新数据可正常写入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当录像视频流发生丢失5s以上可在日志中记录报警信息。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★支持多路文件采用非NAS方式直接上传存储，且速度可设置。</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企业级硬盘</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≥6TB/≥128MB(6Gb/秒 NCQ)/≥7200RPM/SATA3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w:t>
            </w:r>
          </w:p>
        </w:tc>
      </w:tr>
      <w:tr>
        <w:tblPrEx>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解密一体机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立式一体机，嵌入式键盘鼠标设计，显示器≥19寸；≥ 酷睿I5-6500≥ 8G内存 ≥250G固态硬盘；内置交易中心评标系统相应解密系统，保证可与许昌公共资源交易中心解密系统无缝对接。投标人需根据自身条件编写承诺书。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r>
      <w:tr>
        <w:tblPrEx>
          <w:tblLayout w:type="fixed"/>
          <w:tblCellMar>
            <w:top w:w="15" w:type="dxa"/>
            <w:left w:w="15" w:type="dxa"/>
            <w:bottom w:w="15" w:type="dxa"/>
            <w:right w:w="15" w:type="dxa"/>
          </w:tblCellMar>
        </w:tblPrEx>
        <w:trPr>
          <w:trHeight w:val="816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人证对比终端</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1422"/>
              </w:tabs>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设备采用触摸显示屏，尺寸不小于10寸；支持双屏独立显示，分辨率不小于1280*800。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设备应采用高性能GPU处理器，具备2个有线网口，彼此物理隔离；1个RS485接口、1个RS232接口；1个HDMI接口；2个USB接口；支持开关机键；支持扬声器输出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w:t>
            </w:r>
            <w:r>
              <w:rPr>
                <w:rFonts w:hint="eastAsia" w:ascii="仿宋" w:hAnsi="仿宋" w:eastAsia="仿宋" w:cs="仿宋"/>
                <w:color w:val="000000"/>
                <w:kern w:val="0"/>
                <w:sz w:val="24"/>
                <w:szCs w:val="24"/>
                <w:lang w:bidi="ar"/>
              </w:rPr>
              <w:t>支持不低于200W像素高清宽动态双目摄像头，支持上下15°调节拍摄角度。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★设备应具有如下存储容量：在1:1人证比对模式下，人脸及指纹容量无限制；1:N模式下，支持不低于20000张人脸库，不低于5000枚指纹库；支持不低于50000张卡片容量；支持不低于50000笔记录存储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具有如下硬件接口功能：支持通过USB接口外接身份证阅读器；支持通过USB接口输出身份证信息；支持通过HDMI接口外接显示屏，显示比对结果；支持通过RS232/RS485拓展应用，可输出比对结果及信息；支持通过网络方式传输比对结果及图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★设备应支持防假功能，支持照片及视频防假功能，使用照片或视频无法识别，并输出语音提示；无需用户配合，即可完成真人检测。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★设备应支持广告播放功能，支持文字、图片广告播放功能。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具有以下人证比对功能：支持居民身份证及智能卡信息读取；支持人证比对功能，现场抓拍人员人脸照片与身份证（或智能卡）内的照片进行比对，完成人员身份核验；人证比对时间：≤1秒；指纹比对时间：＜0.5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支持人脸、刷卡+人脸、指纹+人脸、刷卡+指纹+人脸、智能（人脸、刷卡+人脸自动切换）多种比对方式；支持人脸识别功能，现场抓拍人脸照片与本地人脸库照片进行比对，进行人员身份核验；支持指纹识别功能，现场采集指纹信息与本地指纹库进行比对，进行人员身份核验；人脸比对时间：＜0.5秒；指纹比对时间：＜0.5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★设备应支持本地单机人证比对或人脸比对；支持后台联网实现人脸比对。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设备应支持比对结果语音及文字提示功能；支持视频预览、人脸捕捉框、人员信息、设备状态、设备模式及操作提示。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设备应支持通过远程中心下发或U盘导入人脸、指纹及黑名单信息；支持比对结果、身份信息及人脸抓拍图片本地存储、实时中心上传及断网续传功能；支持本地U盘导出比对事件及人脸注册图片。</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570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多画面人脸抓拍系统</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设备可输出两路视频图像：通道1、通道2。支持同时输出3路码流，且通道1的主码流、第三码流同时支持1920×1080、60帧/秒，通道2的主码流、第三码流同时支持2560×1440、30帧/秒。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视频输出支持分辨率设置为1920x1080，帧率设置为25fps，分辨力不小于1100线。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★支持最低照度可达彩色0.0003Lux，黑白0.0001Lux。</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★在设定的侦测区域内有目标移动时，设备可联动开启白光灯并抓拍图像。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支持水平、垂直旋转，水平手控速度不小于240°/s，定位准确度不大于0.1°。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设备支持设置300个预置位和18条巡航路径，支持自动扫描和守望功能。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设备支持断电记忆、背光补偿功能。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★支持快速聚焦功能，录像通过单帧回放时应能保证每帧画面清晰稳定。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★设备可对30米处的行人进行人脸抓拍，并可生成分辨率不小于110×120的人脸图片。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★设备在距离10米处，抓拍准确率不小于97%；设备在距离30米处，抓拍准确率不小于92%。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具备BDS定位和GPS定位功能，并能够在监控画面叠加设备所在的经纬度信息。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支持本机存储功能，支持SD卡热插拔，SD卡最大支持256GB。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电压在DC12V±20%范围内变化时，设备可正常工作，工作温度范围可达-45℃-70℃，支持IP67。需与禹州市公安局信息库对接（含软件授权、5年线路租赁费、线材等费用），实时抓拍图片和身份识别，并提供相应后台应用软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42U服务器机柜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741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4路嵌入式高清解码器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采用嵌入式架构，专用Linux系统，使用DSP解码。为了设备稳定可靠运行，不得采用工控机或者PC机的X86架构。</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要求设备具备，20个RJ45网络接口，1路语音输入，1路语音输出，1个RS232接口，1个RS485接口，8路报警输入，8路报警输出，1个VGA视频输入接口，1个DVI-I视频输入接口。输出口支持4个HDMI接口，支持8路模拟音频输出，支持4路模拟CVBS视频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可对客户端电脑桌面解码输出显示。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可通过客户端软件导入和导出设备配置参数。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可将设备当前的解码输出模式设置为一个场景，设备可保存多个场景，并可通过客户端软件切换设备场景。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对以下分辨率的视频图像进行解码后输出：4路分辨率为4000×3000（20fps）的视频图像；8路分辨率为4096×2160（25fps）的视频图像；8路分辨率为3840×2160（25fps）的视频图像；12路分辨率为2592×1944（30fps）的视频图像；20路分辨率为2048×1536（30fps）的视频图像；32路分辨率为1920×1080（30fps）的视频图像；64路分辨率为1280×720（30fps）的视频图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可对以下编码格式的视频图像进行解码后输出：H.264、H.265、Smart264、Smart265、MPEG4视频图像。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★设备接入具有智能行为分析功能的摄像机，可解码显示智能行为分析信息，包括移动侦测、越界入侵、区域入侵、起身离开等，并上传报警信息。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支持1、2、4、6、8、9、10、12、16、25画面分割显示。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可对输入的视频画面进行90°旋转显示。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可将视频图像进行轮巡输出显示，并可在客户端软件设置轮巡计划。</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★可通过APP客户端对设备输出的视频图像进行控制操作。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可通过客户端软件将显示窗口在多个显示屏间进行拖动或跨屏显示，并可调节显示窗口大小。</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400万H.265 POE半球 (内置拾音器)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400万，半球型网络摄像机，支持POE，红外30米，支持H.265编码，内置拾音</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tblPrEx>
          <w:tblLayout w:type="fixed"/>
          <w:tblCellMar>
            <w:top w:w="15" w:type="dxa"/>
            <w:left w:w="15" w:type="dxa"/>
            <w:bottom w:w="15" w:type="dxa"/>
            <w:right w:w="15" w:type="dxa"/>
          </w:tblCellMar>
        </w:tblPrEx>
        <w:trPr>
          <w:trHeight w:val="142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黑白激光打印机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功能：打印/复印/扫描；最大处理幅面：A4耗材类型：鼓粉分离；双面功能：自动；网络功能：支持有线网络打印；打印速度：30cpm；打印分辨率 600×600dpi；首页打印时间＜8.5秒；复印速度：≥30cpm；复印分辨率≥600×600dpi；扫描控制器：光学分辨率≥600×2400dpi；</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最大分辨率≥19200×19200dpi；供纸盒容量 标配：250页自动供纸器：支持。</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r>
      <w:tr>
        <w:tblPrEx>
          <w:tblLayout w:type="fixed"/>
          <w:tblCellMar>
            <w:top w:w="15" w:type="dxa"/>
            <w:left w:w="15" w:type="dxa"/>
            <w:bottom w:w="15" w:type="dxa"/>
            <w:right w:w="15" w:type="dxa"/>
          </w:tblCellMar>
        </w:tblPrEx>
        <w:trPr>
          <w:trHeight w:val="114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彩色激光打印机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能：打印/复印/扫描；最大处理幅面：A4；双面功能；网络功能：支持有线网络打印；黑白打印速度≥16ppm；彩色打印速度≥16ppm；打印分辨率≥600×600dpi；复印速度：黑白≥16cpm；彩色≥16cpm；复印分辨率≥600×600dpi；扫描类型：平板式光学分辨率≥1200dpi。</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16口千兆接入交换机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16口千兆交换机，机架式，16个千兆电口，非网管。交换容量≥32Gbps,包转发率≥23.8Mpps,1U高度，19英寸宽，工作温度：0℃～40℃，支持220v交流，满负荷功耗10瓦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r>
      <w:tr>
        <w:tblPrEx>
          <w:tblLayout w:type="fixed"/>
          <w:tblCellMar>
            <w:top w:w="15" w:type="dxa"/>
            <w:left w:w="15" w:type="dxa"/>
            <w:bottom w:w="15" w:type="dxa"/>
            <w:right w:w="15" w:type="dxa"/>
          </w:tblCellMar>
        </w:tblPrEx>
        <w:trPr>
          <w:trHeight w:val="88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24口千兆交换机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机架式，≥12个千兆电口,≥12个千兆光口。交换容量≥48Gbps,包转发率≥35.7Mpps,1U高度，19英寸宽，工作温度：0～40˚C，支持220v交流，满负荷功耗25瓦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配线架</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24口网络配线架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理线架</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24口网络理线架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6U网络壁挂机柜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r>
      <w:tr>
        <w:tblPrEx>
          <w:tblLayout w:type="fixed"/>
          <w:tblCellMar>
            <w:top w:w="15" w:type="dxa"/>
            <w:left w:w="15" w:type="dxa"/>
            <w:bottom w:w="15" w:type="dxa"/>
            <w:right w:w="15" w:type="dxa"/>
          </w:tblCellMar>
        </w:tblPrEx>
        <w:trPr>
          <w:trHeight w:val="268"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42U服务器机柜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21</w:t>
            </w:r>
          </w:p>
        </w:tc>
        <w:tc>
          <w:tcPr>
            <w:tcW w:w="1064"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网线</w:t>
            </w:r>
          </w:p>
        </w:tc>
        <w:tc>
          <w:tcPr>
            <w:tcW w:w="7768"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六类国标</w:t>
            </w:r>
          </w:p>
        </w:tc>
        <w:tc>
          <w:tcPr>
            <w:tcW w:w="319"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箱</w:t>
            </w:r>
          </w:p>
        </w:tc>
        <w:tc>
          <w:tcPr>
            <w:tcW w:w="319"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Layout w:type="fixed"/>
          <w:tblCellMar>
            <w:top w:w="15" w:type="dxa"/>
            <w:left w:w="15" w:type="dxa"/>
            <w:bottom w:w="15" w:type="dxa"/>
            <w:right w:w="15" w:type="dxa"/>
          </w:tblCellMar>
        </w:tblPrEx>
        <w:trPr>
          <w:trHeight w:val="57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办公网络及监控网络改造</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对原有监控及设备进行升级改造</w:t>
            </w:r>
          </w:p>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监控和评标网络物理分离2张网，含线槽其他辅材等</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23</w:t>
            </w:r>
          </w:p>
        </w:tc>
        <w:tc>
          <w:tcPr>
            <w:tcW w:w="1064"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场景液晶电视</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≥46寸，4k高清</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529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24</w:t>
            </w:r>
          </w:p>
        </w:tc>
        <w:tc>
          <w:tcPr>
            <w:tcW w:w="1064"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反馈抑制器</w:t>
            </w:r>
          </w:p>
        </w:tc>
        <w:tc>
          <w:tcPr>
            <w:tcW w:w="7768"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模拟输入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2*XLR公座 &amp; 2*1/4" TRS座：平衡式/非平衡式 ，射频滤波抑制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输入阻抗：30k ohm 平衡/15k ohm非平衡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峰值输入电平：+15 dBu</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模拟输出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2*XLR母座 &amp; 2*1/4" TRS座：平衡式/非平衡式 ，射频滤波抑制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输出阻抗：100 ohm 平衡/50 ohm非平衡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峰值输入电平：+15 dBu</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取样率：48kHz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动态范围：106dB，A-weighted</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总谐波失真：0.01%，1 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信噪比：106dB，A-weighted</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频率响应：20Hz to 20 KHz，+/- 0.5 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通道间串音：86dB，A-weighted</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输入到输出串音：86dB，A-weighted</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工作电压：100-240V AC 50/60 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消耗功率：15W</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504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25</w:t>
            </w:r>
          </w:p>
        </w:tc>
        <w:tc>
          <w:tcPr>
            <w:tcW w:w="1064"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w:t>
            </w:r>
          </w:p>
        </w:tc>
        <w:tc>
          <w:tcPr>
            <w:tcW w:w="7768"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最大不失真功率（8Ω）：600W*2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最大不失真功率（4Ω）：900W*2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最大不失真功率（2Ω）：1200W*2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最大不失真功率（桥接8Ω）：1800W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最大不失真功率（桥接4Ω）：1200W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阻尼系数：600：1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信噪比：100dB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总谐波失真：≤0.01%8Ω额定功率1KHz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频率响应：20Hz-20KHz +/-0.1dB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互调失真：≤0.01%8Ω额定功率1KHz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输入灵敏度：0.775v，1.0v，1.5v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输入阻抗：10k/20k,平衡，非平衡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输入增益：≤-75dB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声道分离度：≤-75dB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面板指示灯：信号，工作电源，削波，保护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供电电压：220V/50Hz</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312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26</w:t>
            </w:r>
          </w:p>
        </w:tc>
        <w:tc>
          <w:tcPr>
            <w:tcW w:w="1064"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调音台</w:t>
            </w:r>
          </w:p>
        </w:tc>
        <w:tc>
          <w:tcPr>
            <w:tcW w:w="7768"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输入通道≥6路，输出通道≥4路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麦克风输入：平衡型XLR插口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频响：20Hz to50 KHz±±3dB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失真度：&lt;0.005% to±≦4dBu,1KHz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增益范围：0dBa50 dB MIC</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信噪比：&lt;-100dB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频响：20Hz to +50 KHz±3dB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灵敏度：+15dBu±3dB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内置USB全速（12Mbps）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支持USB存储</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sz w:val="24"/>
                <w:szCs w:val="24"/>
              </w:rPr>
              <w:t>27</w:t>
            </w:r>
          </w:p>
        </w:tc>
        <w:tc>
          <w:tcPr>
            <w:tcW w:w="1064"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立式摇号机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乒乓球搅拌式，高度≥1.2M，50球，</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b/>
                <w:color w:val="000000"/>
                <w:sz w:val="24"/>
                <w:szCs w:val="24"/>
              </w:rPr>
            </w:pPr>
            <w:r>
              <w:rPr>
                <w:rFonts w:hint="eastAsia" w:ascii="仿宋" w:hAnsi="仿宋" w:eastAsia="仿宋" w:cs="仿宋"/>
                <w:b/>
                <w:color w:val="000000"/>
                <w:sz w:val="24"/>
                <w:szCs w:val="24"/>
              </w:rPr>
              <w:t>28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碎纸机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碎纸能力≥8张/次  碎纸效果2*2mm  碎纸容量≥19升，连续碎纸时间≥40分钟</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bl>
    <w:p>
      <w:pPr>
        <w:spacing w:line="360" w:lineRule="auto"/>
        <w:ind w:firstLine="240" w:firstLineChars="100"/>
        <w:rPr>
          <w:rFonts w:ascii="仿宋" w:hAnsi="仿宋" w:eastAsia="仿宋" w:cs="仿宋"/>
          <w:color w:val="000000"/>
          <w:sz w:val="24"/>
          <w:szCs w:val="24"/>
          <w:lang w:val="zh-CN"/>
        </w:rPr>
      </w:pPr>
      <w:r>
        <w:rPr>
          <w:rFonts w:hint="eastAsia" w:ascii="仿宋" w:hAnsi="仿宋" w:eastAsia="仿宋" w:cs="仿宋"/>
          <w:color w:val="C00000"/>
          <w:sz w:val="24"/>
          <w:szCs w:val="24"/>
        </w:rPr>
        <w:t>注：解密一体机与多画面人脸抓拍系统签订合同前需按照招标文件要求行对接测试，二</w:t>
      </w:r>
      <w:r>
        <w:rPr>
          <w:rFonts w:hint="eastAsia" w:ascii="仿宋" w:hAnsi="仿宋" w:eastAsia="仿宋" w:cs="仿宋"/>
          <w:color w:val="000000"/>
          <w:sz w:val="24"/>
          <w:szCs w:val="24"/>
          <w:lang w:val="zh-CN"/>
        </w:rPr>
        <w:t>、其它要求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pStyle w:val="2"/>
        <w:ind w:firstLine="240"/>
        <w:rPr>
          <w:rFonts w:eastAsia="仿宋"/>
        </w:rPr>
      </w:pPr>
      <w:r>
        <w:rPr>
          <w:rFonts w:hint="eastAsia" w:ascii="仿宋" w:hAnsi="仿宋" w:eastAsia="仿宋" w:cs="仿宋"/>
          <w:color w:val="000000"/>
        </w:rPr>
        <w:t xml:space="preserve">  3.以上技术参数要求为最低要求，投标商应等于或优于以上要求，否则为无效投标。</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rPr>
        <w:t>7、根据《财政部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11</w:t>
      </w:r>
      <w:r>
        <w:rPr>
          <w:rFonts w:hint="eastAsia" w:ascii="仿宋" w:hAnsi="仿宋" w:eastAsia="仿宋" w:cs="仿宋"/>
          <w:color w:val="000000"/>
          <w:sz w:val="24"/>
          <w:szCs w:val="24"/>
          <w:lang w:val="zh-CN"/>
        </w:rPr>
        <w:t>、本项目为交钥匙工程（包括设备、材料、元件、</w:t>
      </w:r>
      <w:r>
        <w:rPr>
          <w:rFonts w:hint="eastAsia" w:ascii="仿宋" w:hAnsi="仿宋" w:eastAsia="仿宋" w:cs="仿宋"/>
          <w:color w:val="000000"/>
          <w:sz w:val="24"/>
          <w:szCs w:val="24"/>
        </w:rPr>
        <w:t>设备机柜</w:t>
      </w:r>
      <w:r>
        <w:rPr>
          <w:rFonts w:hint="eastAsia" w:ascii="仿宋" w:hAnsi="仿宋" w:eastAsia="仿宋" w:cs="仿宋"/>
          <w:color w:val="000000"/>
          <w:sz w:val="24"/>
          <w:szCs w:val="24"/>
          <w:lang w:val="zh-CN"/>
        </w:rPr>
        <w:t>等购置、安装调试、验收、</w:t>
      </w:r>
      <w:r>
        <w:rPr>
          <w:rFonts w:hint="eastAsia" w:ascii="仿宋" w:hAnsi="仿宋" w:eastAsia="仿宋" w:cs="仿宋"/>
          <w:color w:val="000000"/>
          <w:sz w:val="24"/>
          <w:szCs w:val="24"/>
        </w:rPr>
        <w:t>线路及</w:t>
      </w:r>
      <w:r>
        <w:rPr>
          <w:rFonts w:hint="eastAsia" w:ascii="仿宋" w:hAnsi="仿宋" w:eastAsia="仿宋" w:cs="仿宋"/>
          <w:color w:val="000000"/>
          <w:sz w:val="24"/>
          <w:szCs w:val="24"/>
          <w:lang w:val="zh-CN"/>
        </w:rPr>
        <w:t xml:space="preserve">与其它施工单位协作所产生的费用等）。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付款方式：以签证合同为准。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13</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14、验收标准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（2）按照招标文件要求、投标文件响应和承诺验收。</w:t>
      </w:r>
    </w:p>
    <w:p>
      <w:pPr>
        <w:spacing w:line="520" w:lineRule="exact"/>
        <w:ind w:firstLine="2108" w:firstLineChars="700"/>
        <w:rPr>
          <w:rFonts w:ascii="仿宋" w:hAnsi="仿宋" w:eastAsia="仿宋" w:cs="仿宋"/>
          <w:b/>
          <w:sz w:val="30"/>
          <w:szCs w:val="30"/>
        </w:rPr>
      </w:pPr>
    </w:p>
    <w:p>
      <w:pPr>
        <w:spacing w:line="520" w:lineRule="exact"/>
        <w:ind w:firstLine="2108" w:firstLineChars="700"/>
        <w:rPr>
          <w:rFonts w:ascii="仿宋" w:hAnsi="仿宋" w:eastAsia="仿宋" w:cs="仿宋"/>
          <w:b/>
          <w:sz w:val="30"/>
          <w:szCs w:val="30"/>
        </w:rPr>
      </w:pPr>
    </w:p>
    <w:p>
      <w:pPr>
        <w:spacing w:line="520" w:lineRule="exact"/>
        <w:ind w:firstLine="2108" w:firstLineChars="7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pStyle w:val="125"/>
        <w:spacing w:before="120" w:after="120"/>
        <w:ind w:firstLine="0" w:firstLineChars="0"/>
        <w:rPr>
          <w:rFonts w:ascii="仿宋" w:hAnsi="仿宋" w:eastAsia="仿宋" w:cs="仿宋"/>
          <w:szCs w:val="24"/>
        </w:rPr>
      </w:pPr>
      <w:r>
        <w:rPr>
          <w:rFonts w:hint="eastAsia" w:ascii="仿宋" w:hAnsi="仿宋" w:eastAsia="仿宋" w:cs="仿宋"/>
          <w:szCs w:val="24"/>
        </w:rPr>
        <w:t>3.5评分标准</w:t>
      </w:r>
    </w:p>
    <w:tbl>
      <w:tblPr>
        <w:tblStyle w:val="36"/>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27"/>
        <w:gridCol w:w="1049"/>
        <w:gridCol w:w="1606"/>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b/>
                <w:bCs/>
                <w:sz w:val="24"/>
                <w:szCs w:val="24"/>
              </w:rPr>
              <w:t>评审内容</w:t>
            </w:r>
          </w:p>
        </w:tc>
        <w:tc>
          <w:tcPr>
            <w:tcW w:w="62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3.5.1</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 xml:space="preserve">       分值组成</w:t>
            </w:r>
          </w:p>
          <w:p>
            <w:pPr>
              <w:spacing w:line="360" w:lineRule="auto"/>
              <w:rPr>
                <w:rFonts w:ascii="仿宋" w:hAnsi="仿宋" w:eastAsia="仿宋"/>
                <w:sz w:val="24"/>
                <w:szCs w:val="24"/>
              </w:rPr>
            </w:pPr>
            <w:r>
              <w:rPr>
                <w:rFonts w:hint="eastAsia" w:ascii="仿宋" w:hAnsi="仿宋" w:eastAsia="仿宋"/>
                <w:sz w:val="24"/>
                <w:szCs w:val="24"/>
              </w:rPr>
              <w:t xml:space="preserve">    （总分100分）</w:t>
            </w:r>
          </w:p>
        </w:tc>
        <w:tc>
          <w:tcPr>
            <w:tcW w:w="6278" w:type="dxa"/>
            <w:tcBorders>
              <w:top w:val="single" w:color="auto" w:sz="4" w:space="0"/>
              <w:left w:val="nil"/>
              <w:bottom w:val="single" w:color="auto" w:sz="4" w:space="0"/>
              <w:right w:val="single" w:color="auto" w:sz="4" w:space="0"/>
            </w:tcBorders>
            <w:vAlign w:val="bottom"/>
          </w:tcPr>
          <w:p>
            <w:pPr>
              <w:spacing w:line="360" w:lineRule="auto"/>
              <w:rPr>
                <w:rFonts w:ascii="仿宋" w:hAnsi="仿宋" w:eastAsia="仿宋"/>
                <w:sz w:val="24"/>
                <w:szCs w:val="24"/>
              </w:rPr>
            </w:pPr>
            <w:r>
              <w:rPr>
                <w:rFonts w:hint="eastAsia" w:ascii="仿宋" w:hAnsi="仿宋" w:eastAsia="仿宋"/>
                <w:sz w:val="24"/>
                <w:szCs w:val="24"/>
              </w:rPr>
              <w:t>报价得分：5</w:t>
            </w:r>
            <w:r>
              <w:rPr>
                <w:rFonts w:ascii="仿宋" w:hAnsi="仿宋" w:eastAsia="仿宋"/>
                <w:sz w:val="24"/>
                <w:szCs w:val="24"/>
              </w:rPr>
              <w:t>0</w:t>
            </w:r>
            <w:r>
              <w:rPr>
                <w:rFonts w:hint="eastAsia" w:ascii="仿宋" w:hAnsi="仿宋" w:eastAsia="仿宋"/>
                <w:sz w:val="24"/>
                <w:szCs w:val="24"/>
              </w:rPr>
              <w:t>分</w:t>
            </w:r>
          </w:p>
          <w:p>
            <w:pPr>
              <w:spacing w:line="360" w:lineRule="auto"/>
              <w:rPr>
                <w:rFonts w:ascii="仿宋" w:hAnsi="仿宋" w:eastAsia="仿宋"/>
                <w:sz w:val="24"/>
                <w:szCs w:val="24"/>
              </w:rPr>
            </w:pPr>
            <w:r>
              <w:rPr>
                <w:rFonts w:hint="eastAsia" w:ascii="仿宋" w:hAnsi="仿宋" w:eastAsia="仿宋"/>
                <w:sz w:val="24"/>
                <w:szCs w:val="24"/>
              </w:rPr>
              <w:t>商务技术评分：50分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3.5.2</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评标基准价</w:t>
            </w:r>
          </w:p>
        </w:tc>
        <w:tc>
          <w:tcPr>
            <w:tcW w:w="6278"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left"/>
              <w:rPr>
                <w:rFonts w:ascii="仿宋" w:hAnsi="仿宋" w:eastAsia="仿宋"/>
                <w:color w:val="FF0000"/>
                <w:sz w:val="24"/>
                <w:szCs w:val="24"/>
              </w:rPr>
            </w:pPr>
            <w:r>
              <w:rPr>
                <w:rFonts w:hint="eastAsia" w:ascii="仿宋" w:hAnsi="仿宋" w:eastAsia="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3.5.3</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投标报价得分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（50分）</w:t>
            </w:r>
          </w:p>
        </w:tc>
        <w:tc>
          <w:tcPr>
            <w:tcW w:w="6278" w:type="dxa"/>
            <w:tcBorders>
              <w:top w:val="single" w:color="auto" w:sz="4" w:space="0"/>
              <w:left w:val="nil"/>
              <w:bottom w:val="single" w:color="auto" w:sz="4" w:space="0"/>
              <w:right w:val="single" w:color="auto" w:sz="4" w:space="0"/>
            </w:tcBorders>
            <w:vAlign w:val="center"/>
          </w:tcPr>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价格得分=（评标基准价/投标报价）×50</w:t>
            </w:r>
          </w:p>
          <w:p>
            <w:pPr>
              <w:spacing w:line="360" w:lineRule="auto"/>
              <w:rPr>
                <w:rFonts w:ascii="仿宋" w:hAnsi="仿宋" w:eastAsia="仿宋"/>
                <w:color w:val="FF0000"/>
                <w:sz w:val="24"/>
                <w:szCs w:val="24"/>
              </w:rPr>
            </w:pPr>
            <w:r>
              <w:rPr>
                <w:rFonts w:hint="eastAsia" w:ascii="仿宋" w:hAnsi="仿宋" w:eastAsia="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FF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84" w:hRule="atLeast"/>
        </w:trPr>
        <w:tc>
          <w:tcPr>
            <w:tcW w:w="927" w:type="dxa"/>
            <w:vMerge w:val="restart"/>
            <w:tcBorders>
              <w:top w:val="nil"/>
              <w:left w:val="single" w:color="auto" w:sz="4" w:space="0"/>
              <w:bottom w:val="single" w:color="auto" w:sz="4" w:space="0"/>
              <w:right w:val="single" w:color="auto" w:sz="4" w:space="0"/>
            </w:tcBorders>
            <w:vAlign w:val="center"/>
          </w:tcPr>
          <w:p>
            <w:pPr>
              <w:pStyle w:val="19"/>
              <w:spacing w:line="360" w:lineRule="auto"/>
              <w:jc w:val="center"/>
              <w:rPr>
                <w:rFonts w:ascii="仿宋" w:hAnsi="仿宋" w:eastAsia="仿宋"/>
                <w:sz w:val="24"/>
                <w:szCs w:val="24"/>
              </w:rPr>
            </w:pPr>
            <w:r>
              <w:rPr>
                <w:rFonts w:hint="eastAsia" w:ascii="仿宋" w:hAnsi="仿宋" w:eastAsia="仿宋"/>
                <w:sz w:val="24"/>
                <w:szCs w:val="24"/>
              </w:rPr>
              <w:t>3.5.4</w:t>
            </w:r>
          </w:p>
        </w:tc>
        <w:tc>
          <w:tcPr>
            <w:tcW w:w="1049" w:type="dxa"/>
            <w:vMerge w:val="restart"/>
            <w:tcBorders>
              <w:top w:val="nil"/>
              <w:left w:val="nil"/>
              <w:bottom w:val="single" w:color="auto" w:sz="4" w:space="0"/>
              <w:right w:val="single" w:color="auto" w:sz="4" w:space="0"/>
            </w:tcBorders>
            <w:vAlign w:val="center"/>
          </w:tcPr>
          <w:p>
            <w:pPr>
              <w:pStyle w:val="19"/>
              <w:spacing w:line="360" w:lineRule="auto"/>
              <w:jc w:val="center"/>
              <w:rPr>
                <w:rFonts w:ascii="仿宋" w:hAnsi="仿宋" w:eastAsia="仿宋"/>
                <w:sz w:val="24"/>
                <w:szCs w:val="24"/>
              </w:rPr>
            </w:pPr>
            <w:r>
              <w:rPr>
                <w:rFonts w:hint="eastAsia" w:ascii="仿宋" w:hAnsi="仿宋" w:eastAsia="仿宋"/>
                <w:sz w:val="24"/>
                <w:szCs w:val="24"/>
              </w:rPr>
              <w:t>商</w:t>
            </w:r>
          </w:p>
          <w:p>
            <w:pPr>
              <w:pStyle w:val="19"/>
              <w:spacing w:line="360" w:lineRule="auto"/>
              <w:jc w:val="center"/>
              <w:rPr>
                <w:rFonts w:ascii="仿宋" w:hAnsi="仿宋" w:eastAsia="仿宋"/>
                <w:sz w:val="24"/>
                <w:szCs w:val="24"/>
              </w:rPr>
            </w:pPr>
            <w:r>
              <w:rPr>
                <w:rFonts w:hint="eastAsia" w:ascii="仿宋" w:hAnsi="仿宋" w:eastAsia="仿宋"/>
                <w:sz w:val="24"/>
                <w:szCs w:val="24"/>
              </w:rPr>
              <w:t>务</w:t>
            </w:r>
          </w:p>
          <w:p>
            <w:pPr>
              <w:pStyle w:val="19"/>
              <w:spacing w:line="360" w:lineRule="auto"/>
              <w:jc w:val="center"/>
              <w:rPr>
                <w:rFonts w:ascii="仿宋" w:hAnsi="仿宋" w:eastAsia="仿宋"/>
                <w:sz w:val="24"/>
                <w:szCs w:val="24"/>
              </w:rPr>
            </w:pPr>
            <w:r>
              <w:rPr>
                <w:rFonts w:hint="eastAsia" w:ascii="仿宋" w:hAnsi="仿宋" w:eastAsia="仿宋"/>
                <w:sz w:val="24"/>
                <w:szCs w:val="24"/>
              </w:rPr>
              <w:t>部</w:t>
            </w:r>
          </w:p>
          <w:p>
            <w:pPr>
              <w:pStyle w:val="19"/>
              <w:spacing w:line="360" w:lineRule="auto"/>
              <w:jc w:val="center"/>
              <w:rPr>
                <w:rFonts w:ascii="仿宋" w:hAnsi="仿宋" w:eastAsia="仿宋"/>
                <w:sz w:val="24"/>
                <w:szCs w:val="24"/>
              </w:rPr>
            </w:pPr>
            <w:r>
              <w:rPr>
                <w:rFonts w:hint="eastAsia" w:ascii="仿宋" w:hAnsi="仿宋" w:eastAsia="仿宋"/>
                <w:sz w:val="24"/>
                <w:szCs w:val="24"/>
              </w:rPr>
              <w:t>分</w:t>
            </w:r>
          </w:p>
          <w:p>
            <w:pPr>
              <w:pStyle w:val="19"/>
              <w:spacing w:line="360" w:lineRule="auto"/>
              <w:jc w:val="center"/>
              <w:rPr>
                <w:rFonts w:ascii="仿宋" w:hAnsi="仿宋" w:eastAsia="仿宋"/>
                <w:sz w:val="24"/>
                <w:szCs w:val="24"/>
              </w:rPr>
            </w:pPr>
            <w:r>
              <w:rPr>
                <w:rFonts w:hint="eastAsia" w:ascii="仿宋" w:hAnsi="仿宋" w:eastAsia="仿宋"/>
                <w:sz w:val="24"/>
                <w:szCs w:val="24"/>
              </w:rPr>
              <w:t>（45分）</w:t>
            </w:r>
          </w:p>
        </w:tc>
        <w:tc>
          <w:tcPr>
            <w:tcW w:w="1606"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center"/>
              <w:rPr>
                <w:rFonts w:ascii="仿宋" w:hAnsi="仿宋" w:eastAsia="仿宋"/>
                <w:sz w:val="24"/>
                <w:szCs w:val="24"/>
              </w:rPr>
            </w:pPr>
            <w:r>
              <w:rPr>
                <w:rFonts w:hint="eastAsia" w:ascii="仿宋" w:hAnsi="仿宋" w:eastAsia="仿宋"/>
                <w:color w:val="000000"/>
                <w:sz w:val="24"/>
                <w:szCs w:val="24"/>
              </w:rPr>
              <w:t>信誉（2分）</w:t>
            </w:r>
          </w:p>
        </w:tc>
        <w:tc>
          <w:tcPr>
            <w:tcW w:w="6278"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left"/>
              <w:rPr>
                <w:rFonts w:ascii="仿宋" w:hAnsi="仿宋" w:eastAsia="仿宋"/>
                <w:kern w:val="0"/>
                <w:sz w:val="24"/>
                <w:szCs w:val="24"/>
              </w:rPr>
            </w:pPr>
            <w:r>
              <w:rPr>
                <w:rFonts w:hint="eastAsia" w:ascii="仿宋" w:hAnsi="仿宋" w:eastAsia="仿宋"/>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77" w:hRule="atLeast"/>
        </w:trPr>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ourier New"/>
                <w:kern w:val="0"/>
                <w:sz w:val="24"/>
                <w:szCs w:val="24"/>
              </w:rPr>
            </w:pPr>
          </w:p>
        </w:tc>
        <w:tc>
          <w:tcPr>
            <w:tcW w:w="1049"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Courier New"/>
                <w:kern w:val="0"/>
                <w:sz w:val="24"/>
                <w:szCs w:val="24"/>
              </w:rPr>
            </w:pPr>
          </w:p>
        </w:tc>
        <w:tc>
          <w:tcPr>
            <w:tcW w:w="1606"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kern w:val="0"/>
                <w:sz w:val="24"/>
                <w:szCs w:val="24"/>
              </w:rPr>
              <w:t>主要设备、材料的质量和性能</w:t>
            </w:r>
            <w:r>
              <w:rPr>
                <w:rFonts w:hint="eastAsia" w:ascii="仿宋" w:hAnsi="仿宋" w:eastAsia="仿宋"/>
                <w:sz w:val="24"/>
                <w:szCs w:val="24"/>
              </w:rPr>
              <w:t>（43分）</w:t>
            </w:r>
          </w:p>
        </w:tc>
        <w:tc>
          <w:tcPr>
            <w:tcW w:w="627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1、为保证系统稳定性，主要产品为同一品牌，含云存储、多画面人脸抓拍机、高清解码器、人证比对终端为同一品牌，得2分，否则不得分。</w:t>
            </w:r>
          </w:p>
          <w:p>
            <w:pPr>
              <w:spacing w:line="360" w:lineRule="auto"/>
              <w:ind w:firstLine="72" w:firstLineChars="30"/>
              <w:jc w:val="left"/>
              <w:rPr>
                <w:rFonts w:ascii="仿宋" w:hAnsi="仿宋" w:eastAsia="仿宋" w:cs="仿宋"/>
                <w:kern w:val="0"/>
                <w:sz w:val="24"/>
                <w:szCs w:val="24"/>
              </w:rPr>
            </w:pPr>
            <w:r>
              <w:rPr>
                <w:rFonts w:hint="eastAsia" w:ascii="仿宋" w:hAnsi="仿宋" w:eastAsia="仿宋"/>
                <w:sz w:val="24"/>
                <w:szCs w:val="24"/>
              </w:rPr>
              <w:t>2、</w:t>
            </w:r>
            <w:r>
              <w:rPr>
                <w:rFonts w:hint="eastAsia" w:ascii="仿宋" w:hAnsi="仿宋" w:eastAsia="仿宋" w:cs="仿宋"/>
                <w:kern w:val="0"/>
                <w:sz w:val="24"/>
                <w:szCs w:val="24"/>
              </w:rPr>
              <w:t>所投云存储磁盘阵列产品的制造商获得中华人民共和国工商行政管理总局颁发的工商企业信用 “守合同重信用单位”荣誉的得3分,获得省级 “守合同重信用单位”荣誉 的得1分；所投千兆交换机产品的制造商获得中华人民共和国工商行政管理总局颁发的工商企业信用 “守合同重信用单位” 的得3分，获得省级 “守合同重信用单位”荣誉 的得1分。（投标时提供有效证明材料复印件并加盖原厂商公章）；</w:t>
            </w:r>
          </w:p>
          <w:p>
            <w:p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 xml:space="preserve"> 3、</w:t>
            </w:r>
            <w:r>
              <w:rPr>
                <w:rFonts w:hint="eastAsia" w:ascii="仿宋" w:hAnsi="仿宋" w:eastAsia="仿宋" w:cs="仿宋"/>
                <w:color w:val="000000"/>
                <w:kern w:val="0"/>
                <w:sz w:val="24"/>
                <w:szCs w:val="24"/>
              </w:rPr>
              <w:t>所投云存储磁盘阵列产品的制造商具有安全生产标准化二级及以上证书的得2分；所投千兆交换机产品的制造商具有安全生产标准化二级及以上证书的得2分。（投标时提供有效证明材料复印件并加盖原厂商公章）；</w:t>
            </w:r>
          </w:p>
          <w:p>
            <w:pPr>
              <w:spacing w:line="360" w:lineRule="auto"/>
              <w:jc w:val="left"/>
              <w:rPr>
                <w:rFonts w:ascii="仿宋" w:hAnsi="仿宋" w:eastAsia="仿宋"/>
                <w:sz w:val="24"/>
                <w:szCs w:val="24"/>
              </w:rPr>
            </w:pPr>
            <w:r>
              <w:rPr>
                <w:rFonts w:hint="eastAsia" w:ascii="仿宋" w:hAnsi="仿宋" w:eastAsia="仿宋"/>
                <w:sz w:val="24"/>
                <w:szCs w:val="24"/>
              </w:rPr>
              <w:t>4、云存储产品制造商获得电子百强30年创新发展领军企业证书并提供证书复印件加盖厂家公章，得1分。</w:t>
            </w:r>
          </w:p>
          <w:p>
            <w:pPr>
              <w:spacing w:line="360" w:lineRule="auto"/>
              <w:ind w:firstLine="72" w:firstLineChars="30"/>
              <w:jc w:val="left"/>
              <w:rPr>
                <w:rFonts w:ascii="仿宋" w:hAnsi="仿宋" w:eastAsia="仿宋" w:cs="仿宋"/>
                <w:kern w:val="0"/>
                <w:sz w:val="24"/>
                <w:szCs w:val="24"/>
              </w:rPr>
            </w:pPr>
            <w:r>
              <w:rPr>
                <w:rFonts w:hint="eastAsia" w:ascii="仿宋" w:hAnsi="仿宋" w:eastAsia="仿宋" w:cs="仿宋"/>
                <w:kern w:val="0"/>
                <w:sz w:val="24"/>
                <w:szCs w:val="24"/>
              </w:rPr>
              <w:t>5、投标人所投云存储磁盘阵列产品的制造商获得国家级科技类奖的得3分，获得省级科技类奖的得1分；所投交换机产品的制造商获得国家级科技类奖的得3分，获得省级科技类奖的得1分。（投标时提供有效证明材料复印件并加盖原厂商公章）；</w:t>
            </w:r>
          </w:p>
          <w:p>
            <w:pPr>
              <w:spacing w:line="360" w:lineRule="auto"/>
              <w:rPr>
                <w:rFonts w:ascii="仿宋" w:hAnsi="仿宋" w:eastAsia="仿宋"/>
                <w:sz w:val="24"/>
                <w:szCs w:val="24"/>
              </w:rPr>
            </w:pPr>
            <w:r>
              <w:rPr>
                <w:rFonts w:hint="eastAsia" w:ascii="仿宋" w:hAnsi="仿宋" w:eastAsia="仿宋"/>
                <w:sz w:val="24"/>
                <w:szCs w:val="24"/>
              </w:rPr>
              <w:t>6、多画面人脸抓拍摄像机产品制造商获得国家信息安全漏洞库（CNNVD)技术支撑单位等级证书一级并提供证书复印件加盖厂家公章，得3分；二级得1分。</w:t>
            </w:r>
          </w:p>
          <w:p>
            <w:pPr>
              <w:spacing w:line="360" w:lineRule="auto"/>
              <w:rPr>
                <w:rFonts w:ascii="仿宋" w:hAnsi="仿宋" w:eastAsia="仿宋"/>
                <w:sz w:val="24"/>
                <w:szCs w:val="24"/>
              </w:rPr>
            </w:pPr>
            <w:r>
              <w:rPr>
                <w:rFonts w:hint="eastAsia" w:ascii="仿宋" w:hAnsi="仿宋" w:eastAsia="仿宋"/>
                <w:sz w:val="24"/>
                <w:szCs w:val="24"/>
              </w:rPr>
              <w:t>7、多画面人脸抓拍摄像机产品制造商需具备中国合格评定国家认可委员会实验室认可证书并提供证书复印件加盖厂家公章，得3分。</w:t>
            </w:r>
          </w:p>
          <w:p>
            <w:pPr>
              <w:spacing w:line="360" w:lineRule="auto"/>
              <w:rPr>
                <w:rFonts w:ascii="仿宋" w:hAnsi="仿宋" w:eastAsia="仿宋" w:cs="仿宋"/>
                <w:sz w:val="24"/>
                <w:szCs w:val="24"/>
              </w:rPr>
            </w:pPr>
            <w:r>
              <w:rPr>
                <w:rFonts w:hint="eastAsia" w:ascii="仿宋" w:hAnsi="仿宋" w:eastAsia="仿宋" w:cs="仿宋"/>
                <w:sz w:val="24"/>
                <w:szCs w:val="24"/>
              </w:rPr>
              <w:t>8、设备技术参数（18分）</w:t>
            </w:r>
          </w:p>
          <w:p>
            <w:pPr>
              <w:spacing w:line="360" w:lineRule="auto"/>
              <w:rPr>
                <w:rFonts w:ascii="仿宋" w:hAnsi="仿宋" w:eastAsia="仿宋" w:cs="仿宋"/>
                <w:sz w:val="24"/>
                <w:szCs w:val="24"/>
              </w:rPr>
            </w:pPr>
            <w:r>
              <w:rPr>
                <w:rFonts w:hint="eastAsia" w:ascii="仿宋" w:hAnsi="仿宋" w:eastAsia="仿宋" w:cs="仿宋"/>
                <w:sz w:val="24"/>
                <w:szCs w:val="24"/>
              </w:rPr>
              <w:t>带★的技术参数及功能要求为关键技术指标，投标人必须按照招标文件的要求提供权威机构出具的详细描述所投设备性能、特点的检验报告复印件（复印件需加盖制造厂家公章），以证明技术参数及功能的有效性。每符合一项加1分，满分18分，不提供不得分。发现投标人提供虚假证明材料的，直接报送有关部门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2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ourier New"/>
                <w:kern w:val="0"/>
                <w:sz w:val="24"/>
                <w:szCs w:val="24"/>
              </w:rPr>
            </w:pPr>
            <w:r>
              <w:rPr>
                <w:rFonts w:hint="eastAsia" w:ascii="仿宋" w:hAnsi="仿宋" w:eastAsia="仿宋"/>
                <w:sz w:val="24"/>
                <w:szCs w:val="24"/>
              </w:rPr>
              <w:t>3.5.5</w:t>
            </w:r>
          </w:p>
        </w:tc>
        <w:tc>
          <w:tcPr>
            <w:tcW w:w="1049" w:type="dxa"/>
            <w:tcBorders>
              <w:top w:val="nil"/>
              <w:left w:val="nil"/>
              <w:bottom w:val="single" w:color="auto" w:sz="4" w:space="0"/>
              <w:right w:val="single" w:color="auto" w:sz="4" w:space="0"/>
            </w:tcBorders>
            <w:vAlign w:val="center"/>
          </w:tcPr>
          <w:p>
            <w:pPr>
              <w:pStyle w:val="19"/>
              <w:spacing w:line="360" w:lineRule="auto"/>
              <w:jc w:val="center"/>
              <w:rPr>
                <w:rFonts w:ascii="仿宋" w:hAnsi="仿宋" w:eastAsia="仿宋"/>
                <w:sz w:val="24"/>
                <w:szCs w:val="24"/>
              </w:rPr>
            </w:pPr>
            <w:r>
              <w:rPr>
                <w:rFonts w:hint="eastAsia" w:ascii="仿宋" w:hAnsi="仿宋" w:eastAsia="仿宋"/>
                <w:sz w:val="24"/>
                <w:szCs w:val="24"/>
              </w:rPr>
              <w:t>售</w:t>
            </w:r>
          </w:p>
          <w:p>
            <w:pPr>
              <w:pStyle w:val="19"/>
              <w:spacing w:line="360" w:lineRule="auto"/>
              <w:jc w:val="center"/>
              <w:rPr>
                <w:rFonts w:ascii="仿宋" w:hAnsi="仿宋" w:eastAsia="仿宋"/>
                <w:sz w:val="24"/>
                <w:szCs w:val="24"/>
              </w:rPr>
            </w:pPr>
            <w:r>
              <w:rPr>
                <w:rFonts w:hint="eastAsia" w:ascii="仿宋" w:hAnsi="仿宋" w:eastAsia="仿宋"/>
                <w:sz w:val="24"/>
                <w:szCs w:val="24"/>
              </w:rPr>
              <w:t>后</w:t>
            </w:r>
          </w:p>
          <w:p>
            <w:pPr>
              <w:pStyle w:val="19"/>
              <w:spacing w:line="360" w:lineRule="auto"/>
              <w:jc w:val="center"/>
              <w:rPr>
                <w:rFonts w:ascii="仿宋" w:hAnsi="仿宋" w:eastAsia="仿宋"/>
                <w:sz w:val="24"/>
                <w:szCs w:val="24"/>
              </w:rPr>
            </w:pPr>
            <w:r>
              <w:rPr>
                <w:rFonts w:hint="eastAsia" w:ascii="仿宋" w:hAnsi="仿宋" w:eastAsia="仿宋"/>
                <w:sz w:val="24"/>
                <w:szCs w:val="24"/>
              </w:rPr>
              <w:t>服</w:t>
            </w:r>
          </w:p>
          <w:p>
            <w:pPr>
              <w:pStyle w:val="19"/>
              <w:spacing w:line="360" w:lineRule="auto"/>
              <w:jc w:val="center"/>
              <w:rPr>
                <w:rFonts w:ascii="仿宋" w:hAnsi="仿宋" w:eastAsia="仿宋"/>
                <w:sz w:val="24"/>
                <w:szCs w:val="24"/>
              </w:rPr>
            </w:pPr>
            <w:r>
              <w:rPr>
                <w:rFonts w:hint="eastAsia" w:ascii="仿宋" w:hAnsi="仿宋" w:eastAsia="仿宋"/>
                <w:sz w:val="24"/>
                <w:szCs w:val="24"/>
              </w:rPr>
              <w:t>务</w:t>
            </w:r>
          </w:p>
          <w:p>
            <w:pPr>
              <w:pStyle w:val="19"/>
              <w:spacing w:line="360" w:lineRule="auto"/>
              <w:jc w:val="center"/>
              <w:rPr>
                <w:rFonts w:ascii="仿宋" w:hAnsi="仿宋" w:eastAsia="仿宋"/>
                <w:sz w:val="24"/>
                <w:szCs w:val="24"/>
              </w:rPr>
            </w:pPr>
            <w:r>
              <w:rPr>
                <w:rFonts w:hint="eastAsia" w:ascii="仿宋" w:hAnsi="仿宋" w:eastAsia="仿宋"/>
                <w:sz w:val="24"/>
                <w:szCs w:val="24"/>
              </w:rPr>
              <w:t>（5分）</w:t>
            </w:r>
          </w:p>
        </w:tc>
        <w:tc>
          <w:tcPr>
            <w:tcW w:w="1606"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center"/>
              <w:rPr>
                <w:rFonts w:ascii="仿宋" w:hAnsi="仿宋" w:eastAsia="仿宋"/>
                <w:sz w:val="24"/>
                <w:szCs w:val="24"/>
              </w:rPr>
            </w:pPr>
            <w:r>
              <w:rPr>
                <w:rFonts w:hint="eastAsia" w:ascii="仿宋" w:hAnsi="仿宋" w:eastAsia="仿宋"/>
                <w:sz w:val="24"/>
                <w:szCs w:val="24"/>
              </w:rPr>
              <w:t>业绩及售后服务</w:t>
            </w:r>
          </w:p>
          <w:p>
            <w:pPr>
              <w:spacing w:line="360" w:lineRule="exact"/>
              <w:jc w:val="center"/>
              <w:rPr>
                <w:rFonts w:ascii="仿宋" w:hAnsi="仿宋" w:eastAsia="仿宋"/>
                <w:sz w:val="24"/>
                <w:szCs w:val="24"/>
              </w:rPr>
            </w:pPr>
            <w:r>
              <w:rPr>
                <w:rFonts w:hint="eastAsia" w:ascii="仿宋" w:hAnsi="仿宋" w:eastAsia="仿宋"/>
                <w:sz w:val="24"/>
                <w:szCs w:val="24"/>
              </w:rPr>
              <w:t>（5分）</w:t>
            </w:r>
          </w:p>
        </w:tc>
        <w:tc>
          <w:tcPr>
            <w:tcW w:w="6278"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1、投标人每提供1份2015年1月1日以来类似项目单份合同金额在50万元以上业绩的得1分，最多得3分。（开标时提供合同、中标通知书，并在招标文件中附复印件）。</w:t>
            </w:r>
          </w:p>
          <w:p>
            <w:pPr>
              <w:spacing w:line="360" w:lineRule="auto"/>
              <w:rPr>
                <w:rFonts w:ascii="仿宋" w:hAnsi="仿宋" w:eastAsia="仿宋"/>
                <w:sz w:val="24"/>
                <w:szCs w:val="24"/>
              </w:rPr>
            </w:pPr>
            <w:r>
              <w:rPr>
                <w:rFonts w:hint="eastAsia" w:ascii="仿宋" w:hAnsi="仿宋" w:eastAsia="仿宋" w:cs="仿宋"/>
                <w:sz w:val="24"/>
                <w:szCs w:val="24"/>
              </w:rPr>
              <w:t>2、评标委员会根据售后服务的内容、形式、含免费维修时间、解决问题时间、收费标准、质保期，在0-2分范围内打分。</w:t>
            </w:r>
          </w:p>
        </w:tc>
      </w:tr>
    </w:tbl>
    <w:p>
      <w:pPr>
        <w:pStyle w:val="125"/>
        <w:spacing w:before="120" w:after="120"/>
        <w:ind w:firstLine="0" w:firstLineChars="0"/>
        <w:rPr>
          <w:rFonts w:ascii="仿宋" w:hAnsi="仿宋" w:eastAsia="仿宋" w:cs="仿宋"/>
          <w:b/>
          <w:color w:val="FF0000"/>
          <w:szCs w:val="24"/>
        </w:rPr>
      </w:pPr>
      <w:r>
        <w:rPr>
          <w:rFonts w:hint="eastAsia" w:ascii="仿宋" w:hAnsi="仿宋" w:eastAsia="仿宋" w:cs="仿宋"/>
          <w:b/>
          <w:color w:val="FF0000"/>
          <w:szCs w:val="24"/>
        </w:rPr>
        <w:t>（特别提示：以上各标段评分表中所涉及到的证件投标人在开标时候均须携带原件，未提供原件者不得分）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3.7.1评标委员会对投标文件(二)进行符合性、响应性评审，不符合招标文件要求的，</w:t>
      </w:r>
      <w:r>
        <w:rPr>
          <w:rFonts w:hint="eastAsia" w:ascii="仿宋" w:hAnsi="仿宋" w:eastAsia="仿宋" w:cs="仿宋"/>
          <w:sz w:val="24"/>
          <w:szCs w:val="24"/>
        </w:rPr>
        <w:t>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bookmarkStart w:id="1" w:name="_GoBack"/>
      <w:bookmarkEnd w:id="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17</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A30CB82"/>
    <w:multiLevelType w:val="singleLevel"/>
    <w:tmpl w:val="5A30CB82"/>
    <w:lvl w:ilvl="0" w:tentative="0">
      <w:start w:val="1"/>
      <w:numFmt w:val="chineseCounting"/>
      <w:suff w:val="space"/>
      <w:lvlText w:val="第%1部分"/>
      <w:lvlJc w:val="left"/>
    </w:lvl>
  </w:abstractNum>
  <w:num w:numId="1">
    <w:abstractNumId w:val="7"/>
  </w:num>
  <w:num w:numId="2">
    <w:abstractNumId w:val="10"/>
  </w:num>
  <w:num w:numId="3">
    <w:abstractNumId w:val="9"/>
  </w:num>
  <w:num w:numId="4">
    <w:abstractNumId w:val="5"/>
  </w:num>
  <w:num w:numId="5">
    <w:abstractNumId w:val="4"/>
  </w:num>
  <w:num w:numId="6">
    <w:abstractNumId w:val="8"/>
  </w:num>
  <w:num w:numId="7">
    <w:abstractNumId w:val="6"/>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0D3B"/>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3D17"/>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4F33E4"/>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1A5D"/>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A7667"/>
    <w:rsid w:val="006B0057"/>
    <w:rsid w:val="006B14D2"/>
    <w:rsid w:val="006B4647"/>
    <w:rsid w:val="006C3F6C"/>
    <w:rsid w:val="006E1D6A"/>
    <w:rsid w:val="006F31B9"/>
    <w:rsid w:val="006F5916"/>
    <w:rsid w:val="00703534"/>
    <w:rsid w:val="00710D40"/>
    <w:rsid w:val="007118C9"/>
    <w:rsid w:val="00727681"/>
    <w:rsid w:val="00734692"/>
    <w:rsid w:val="00735EED"/>
    <w:rsid w:val="007442CC"/>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87A98"/>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426E"/>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5852"/>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263B9"/>
    <w:rsid w:val="00B30198"/>
    <w:rsid w:val="00B30C8D"/>
    <w:rsid w:val="00B36A47"/>
    <w:rsid w:val="00B37F59"/>
    <w:rsid w:val="00B40643"/>
    <w:rsid w:val="00B41B84"/>
    <w:rsid w:val="00B43DEA"/>
    <w:rsid w:val="00B5057B"/>
    <w:rsid w:val="00B53ADA"/>
    <w:rsid w:val="00B54834"/>
    <w:rsid w:val="00B55045"/>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2B75"/>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C5570"/>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320D"/>
    <w:rsid w:val="00FE7864"/>
    <w:rsid w:val="00FF3912"/>
    <w:rsid w:val="00FF3C91"/>
    <w:rsid w:val="00FF6AB2"/>
    <w:rsid w:val="00FF73DB"/>
    <w:rsid w:val="01017847"/>
    <w:rsid w:val="010D4DDA"/>
    <w:rsid w:val="01536E45"/>
    <w:rsid w:val="015F5D2B"/>
    <w:rsid w:val="01AE553D"/>
    <w:rsid w:val="01D912AA"/>
    <w:rsid w:val="031A41B0"/>
    <w:rsid w:val="03CB53C9"/>
    <w:rsid w:val="03D744EF"/>
    <w:rsid w:val="04252D6C"/>
    <w:rsid w:val="0434488A"/>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0D3169"/>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AC2982"/>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1EF6F14"/>
    <w:rsid w:val="221572B4"/>
    <w:rsid w:val="22311600"/>
    <w:rsid w:val="226550CC"/>
    <w:rsid w:val="23523DCA"/>
    <w:rsid w:val="23794CD9"/>
    <w:rsid w:val="24BB4D59"/>
    <w:rsid w:val="24BF19AA"/>
    <w:rsid w:val="24CA4202"/>
    <w:rsid w:val="24D66891"/>
    <w:rsid w:val="25302039"/>
    <w:rsid w:val="256C7451"/>
    <w:rsid w:val="25AD30A0"/>
    <w:rsid w:val="25E3691E"/>
    <w:rsid w:val="2667745A"/>
    <w:rsid w:val="266A2BAE"/>
    <w:rsid w:val="26B359C6"/>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EB569E"/>
    <w:rsid w:val="2CF845CD"/>
    <w:rsid w:val="2D562101"/>
    <w:rsid w:val="2D7249A1"/>
    <w:rsid w:val="2D873A70"/>
    <w:rsid w:val="2DB610BD"/>
    <w:rsid w:val="2DEC176C"/>
    <w:rsid w:val="2DFB43CE"/>
    <w:rsid w:val="2E3D7FDF"/>
    <w:rsid w:val="2E5606EB"/>
    <w:rsid w:val="2E5C72E5"/>
    <w:rsid w:val="2E9D5FE0"/>
    <w:rsid w:val="2F232D02"/>
    <w:rsid w:val="2F2A34A3"/>
    <w:rsid w:val="2F38041E"/>
    <w:rsid w:val="2F433D86"/>
    <w:rsid w:val="2F9A5364"/>
    <w:rsid w:val="2F9D183B"/>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CF722B"/>
    <w:rsid w:val="33EF6302"/>
    <w:rsid w:val="345D6725"/>
    <w:rsid w:val="34876DB2"/>
    <w:rsid w:val="34B022E5"/>
    <w:rsid w:val="34B44BD6"/>
    <w:rsid w:val="34CE04B2"/>
    <w:rsid w:val="34F94C42"/>
    <w:rsid w:val="35020BCE"/>
    <w:rsid w:val="354E2015"/>
    <w:rsid w:val="35636C46"/>
    <w:rsid w:val="35736992"/>
    <w:rsid w:val="373829BC"/>
    <w:rsid w:val="37692631"/>
    <w:rsid w:val="37B10108"/>
    <w:rsid w:val="389F7F0D"/>
    <w:rsid w:val="38B66F17"/>
    <w:rsid w:val="39264E83"/>
    <w:rsid w:val="397D15ED"/>
    <w:rsid w:val="39A31772"/>
    <w:rsid w:val="39C92909"/>
    <w:rsid w:val="39E86E10"/>
    <w:rsid w:val="3A0511AE"/>
    <w:rsid w:val="3A252A28"/>
    <w:rsid w:val="3A361775"/>
    <w:rsid w:val="3A5B0DB6"/>
    <w:rsid w:val="3AFB2C67"/>
    <w:rsid w:val="3B1A3171"/>
    <w:rsid w:val="3B8A1786"/>
    <w:rsid w:val="3BF37AE3"/>
    <w:rsid w:val="3C5A516A"/>
    <w:rsid w:val="3CB85FD2"/>
    <w:rsid w:val="3CD05D89"/>
    <w:rsid w:val="3D574C5D"/>
    <w:rsid w:val="3D8F46AB"/>
    <w:rsid w:val="3DB32B5C"/>
    <w:rsid w:val="3DE17511"/>
    <w:rsid w:val="3E0165CC"/>
    <w:rsid w:val="3E050FB2"/>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306F54"/>
    <w:rsid w:val="439D162E"/>
    <w:rsid w:val="43AF4EB6"/>
    <w:rsid w:val="43BF0F67"/>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C5197A"/>
    <w:rsid w:val="49F50EB5"/>
    <w:rsid w:val="4AB76254"/>
    <w:rsid w:val="4AF72F43"/>
    <w:rsid w:val="4AFC078A"/>
    <w:rsid w:val="4AFE130C"/>
    <w:rsid w:val="4B06415A"/>
    <w:rsid w:val="4B2C4572"/>
    <w:rsid w:val="4B307A80"/>
    <w:rsid w:val="4BBD5B2C"/>
    <w:rsid w:val="4BF36702"/>
    <w:rsid w:val="4C0E0B24"/>
    <w:rsid w:val="4D5610A9"/>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330B38"/>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851074"/>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197906"/>
    <w:rsid w:val="612A61E3"/>
    <w:rsid w:val="61B82A98"/>
    <w:rsid w:val="61F84732"/>
    <w:rsid w:val="62352BFE"/>
    <w:rsid w:val="62530EF5"/>
    <w:rsid w:val="62E716B2"/>
    <w:rsid w:val="63097C59"/>
    <w:rsid w:val="633B4DD3"/>
    <w:rsid w:val="633D6D93"/>
    <w:rsid w:val="634F7C15"/>
    <w:rsid w:val="63736A17"/>
    <w:rsid w:val="63937116"/>
    <w:rsid w:val="63C05B9E"/>
    <w:rsid w:val="642F4F3E"/>
    <w:rsid w:val="647F4A97"/>
    <w:rsid w:val="64C26DF0"/>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226842"/>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ED05626"/>
    <w:rsid w:val="6F8956C3"/>
    <w:rsid w:val="6FB90394"/>
    <w:rsid w:val="6FC41E1E"/>
    <w:rsid w:val="6FE86904"/>
    <w:rsid w:val="70241AB8"/>
    <w:rsid w:val="706476AA"/>
    <w:rsid w:val="7105714A"/>
    <w:rsid w:val="710F25A0"/>
    <w:rsid w:val="71304406"/>
    <w:rsid w:val="714177A5"/>
    <w:rsid w:val="7255719B"/>
    <w:rsid w:val="72AC1150"/>
    <w:rsid w:val="736926A1"/>
    <w:rsid w:val="73B6456F"/>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0912B6"/>
    <w:rsid w:val="7D171AFF"/>
    <w:rsid w:val="7D4359D2"/>
    <w:rsid w:val="7D9A0C78"/>
    <w:rsid w:val="7DDC2D6F"/>
    <w:rsid w:val="7DFE466B"/>
    <w:rsid w:val="7E3459C9"/>
    <w:rsid w:val="7E430C57"/>
    <w:rsid w:val="7E84244F"/>
    <w:rsid w:val="7EB23D15"/>
    <w:rsid w:val="7F0F3D7E"/>
    <w:rsid w:val="7F17791C"/>
    <w:rsid w:val="7F392D85"/>
    <w:rsid w:val="7F3B2004"/>
    <w:rsid w:val="7FA16D98"/>
    <w:rsid w:val="7FAB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rFonts w:asciiTheme="minorHAnsi" w:hAnsiTheme="minorHAnsi" w:eastAsiaTheme="minorEastAsia" w:cstheme="minorBidi"/>
      <w:b/>
      <w:bCs/>
      <w:kern w:val="2"/>
      <w:sz w:val="21"/>
      <w:szCs w:val="22"/>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rPr>
      <w:rFonts w:asciiTheme="minorHAnsi" w:hAnsiTheme="minorHAnsi" w:eastAsiaTheme="minorEastAsia" w:cstheme="minorBidi"/>
      <w:kern w:val="2"/>
      <w:sz w:val="21"/>
      <w:szCs w:val="22"/>
    </w:rPr>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character" w:customStyle="1" w:styleId="131">
    <w:name w:val="font61"/>
    <w:basedOn w:val="3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7B0D6-C722-4ED9-A96E-4D3A235BF9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4451</Words>
  <Characters>25374</Characters>
  <Lines>211</Lines>
  <Paragraphs>59</Paragraphs>
  <TotalTime>85</TotalTime>
  <ScaleCrop>false</ScaleCrop>
  <LinksUpToDate>false</LinksUpToDate>
  <CharactersWithSpaces>29766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2018-08-13T07:40:00Z</cp:lastPrinted>
  <dcterms:modified xsi:type="dcterms:W3CDTF">2018-08-22T02:46:16Z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