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djustRightInd w:val="0"/>
        <w:spacing w:after="0" w:line="360" w:lineRule="auto"/>
        <w:ind w:right="-693" w:rightChars="-330"/>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禹州市公安消防大队</w:t>
      </w:r>
    </w:p>
    <w:p>
      <w:pPr>
        <w:adjustRightInd w:val="0"/>
        <w:spacing w:after="0" w:line="360" w:lineRule="auto"/>
        <w:ind w:right="-693" w:rightChars="-330"/>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54米多功能登高平台消防车采购项目</w:t>
      </w:r>
    </w:p>
    <w:p>
      <w:pPr>
        <w:rPr>
          <w:rFonts w:ascii="仿宋" w:hAnsi="仿宋" w:eastAsia="仿宋" w:cs="仿宋"/>
          <w:b/>
          <w:bCs/>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采购单位：禹州市公安消防大队</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项目名称：禹州市公安消防大队54米多功能登高平台消防车采购项目</w:t>
      </w:r>
    </w:p>
    <w:p>
      <w:pPr>
        <w:autoSpaceDE w:val="0"/>
        <w:autoSpaceDN w:val="0"/>
        <w:spacing w:line="360" w:lineRule="auto"/>
        <w:ind w:right="-20" w:firstLine="320" w:firstLineChars="10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8208</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禹州市公安消防大队</w:t>
      </w: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54米多功能登高平台消防车采购项目</w:t>
      </w: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禹州市公安消防大队</w:t>
      </w:r>
      <w:r>
        <w:rPr>
          <w:rFonts w:hint="eastAsia" w:ascii="仿宋" w:hAnsi="仿宋" w:eastAsia="仿宋" w:cs="仿宋"/>
          <w:sz w:val="24"/>
          <w:szCs w:val="24"/>
        </w:rPr>
        <w:t>的委托，就“禹州市公安消防大队54米多功能登高平台消防车采购项目”进行公开招标，欢迎合格的投标人前来投标。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w:t>
      </w:r>
      <w:r>
        <w:rPr>
          <w:rFonts w:hint="eastAsia" w:ascii="仿宋" w:hAnsi="仿宋" w:eastAsia="仿宋" w:cs="仿宋"/>
          <w:sz w:val="24"/>
          <w:szCs w:val="24"/>
          <w:lang w:eastAsia="zh-CN"/>
        </w:rPr>
        <w:t>禹州市公安消防大队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2、项目名称：禹州市公安消防大队54米多功能登高平台消防车采购项目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208</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4、项目需求：54米多功能登高平台消防车</w:t>
      </w:r>
      <w:r>
        <w:rPr>
          <w:rFonts w:hint="eastAsia" w:ascii="仿宋" w:hAnsi="仿宋" w:eastAsia="仿宋" w:cs="仿宋"/>
          <w:color w:val="auto"/>
          <w:sz w:val="24"/>
          <w:szCs w:val="24"/>
          <w:lang w:val="en-US" w:eastAsia="zh-CN"/>
        </w:rPr>
        <w:t xml:space="preserve">  1台</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5、采购预算：520万元</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6、最高限价：520万元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的生产厂家且具有相应</w:t>
      </w:r>
      <w:r>
        <w:rPr>
          <w:rFonts w:hint="eastAsia" w:ascii="仿宋" w:hAnsi="仿宋" w:eastAsia="仿宋" w:cs="仿宋"/>
          <w:sz w:val="24"/>
          <w:szCs w:val="24"/>
        </w:rPr>
        <w:t>经营范围(以营业执照为准)；</w:t>
      </w:r>
    </w:p>
    <w:p>
      <w:pPr>
        <w:spacing w:line="44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1、持CA数字认证证书，登录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公安消防大队</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胡</w:t>
      </w:r>
      <w:r>
        <w:rPr>
          <w:rFonts w:hint="eastAsia" w:ascii="仿宋" w:hAnsi="仿宋" w:eastAsia="仿宋" w:cs="仿宋"/>
          <w:sz w:val="24"/>
          <w:szCs w:val="24"/>
        </w:rPr>
        <w:t>先生      联系电话：</w:t>
      </w:r>
      <w:r>
        <w:rPr>
          <w:rFonts w:hint="eastAsia" w:ascii="仿宋" w:hAnsi="仿宋" w:eastAsia="仿宋" w:cs="仿宋"/>
          <w:sz w:val="24"/>
          <w:szCs w:val="24"/>
          <w:lang w:val="en-US" w:eastAsia="zh-CN"/>
        </w:rPr>
        <w:t>18339051357</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920" w:firstLineChars="20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16 </w:t>
      </w:r>
      <w:r>
        <w:rPr>
          <w:rFonts w:hint="eastAsia" w:ascii="仿宋" w:hAnsi="仿宋" w:eastAsia="仿宋" w:cs="仿宋"/>
          <w:sz w:val="24"/>
          <w:szCs w:val="24"/>
        </w:rPr>
        <w:t>日</w:t>
      </w:r>
    </w:p>
    <w:p>
      <w:pPr>
        <w:pStyle w:val="2"/>
        <w:rPr>
          <w:rFonts w:hint="eastAsia" w:ascii="仿宋" w:hAnsi="仿宋" w:eastAsia="仿宋" w:cs="仿宋"/>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禹州市公安消防大队54米多功能登高平台消防车采购项目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壹拾</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18</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520</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采购内容：</w:t>
      </w:r>
      <w:r>
        <w:rPr>
          <w:rFonts w:hint="eastAsia" w:ascii="仿宋" w:hAnsi="仿宋" w:eastAsia="仿宋" w:cs="仿宋"/>
          <w:b/>
          <w:sz w:val="24"/>
          <w:szCs w:val="24"/>
          <w:lang w:val="en-US" w:eastAsia="zh-CN"/>
        </w:rPr>
        <w:t>54米多功能登高消防车  1台</w:t>
      </w:r>
    </w:p>
    <w:p>
      <w:pPr>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一、底盘</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欧五排放标准，六缸直列水冷涡轮增压，中冷，电子控制燃油喷射发动机。</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液压可倾翻式安全型驾驶室，舒适型（悬挂）司机座椅，消防红色喷涂，收音机，CD播放机，驾驶室冷热空调系统，中央门锁，电动门窗，电动后视镜，驾驶室前望地镜，驾驶室外遮阳板，安全带。驾驶室内安装350兆赫车载电台一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整体式动力转向，巡航定速控制系统，车辆运行实时监控系统，发动机启动预热装置，倒车雷达加影像系统，燃油系统油水分离器，刹车空气干燥器等。</w:t>
      </w:r>
    </w:p>
    <w:p>
      <w:pPr>
        <w:keepNext w:val="0"/>
        <w:keepLines w:val="0"/>
        <w:pageBreakBefore w:val="0"/>
        <w:numPr>
          <w:ilvl w:val="0"/>
          <w:numId w:val="5"/>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发动机功率</w:t>
      </w:r>
      <w:r>
        <w:rPr>
          <w:rFonts w:hint="eastAsia" w:ascii="仿宋" w:hAnsi="仿宋" w:eastAsia="仿宋" w:cs="仿宋"/>
          <w:sz w:val="24"/>
          <w:szCs w:val="24"/>
        </w:rPr>
        <w:tab/>
      </w:r>
      <w:r>
        <w:rPr>
          <w:rFonts w:hint="eastAsia" w:ascii="仿宋" w:hAnsi="仿宋" w:eastAsia="仿宋" w:cs="仿宋"/>
          <w:sz w:val="24"/>
          <w:szCs w:val="24"/>
        </w:rPr>
        <w:t>≥500hp/365Kw/1,400-1,900rpm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三、支腿</w:t>
      </w:r>
      <w:r>
        <w:rPr>
          <w:rFonts w:hint="eastAsia" w:ascii="仿宋" w:hAnsi="仿宋" w:eastAsia="仿宋" w:cs="仿宋"/>
          <w:sz w:val="24"/>
          <w:szCs w:val="24"/>
        </w:rPr>
        <w:tab/>
      </w:r>
      <w:r>
        <w:rPr>
          <w:rFonts w:hint="eastAsia" w:ascii="仿宋" w:hAnsi="仿宋" w:eastAsia="仿宋" w:cs="仿宋"/>
          <w:sz w:val="24"/>
          <w:szCs w:val="24"/>
        </w:rPr>
        <w:t xml:space="preserve">结构型式  H型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支腿调平方式  自动调平</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纵向跨距</w:t>
      </w:r>
      <w:r>
        <w:rPr>
          <w:rFonts w:hint="eastAsia" w:ascii="仿宋" w:hAnsi="仿宋" w:eastAsia="仿宋" w:cs="仿宋"/>
          <w:sz w:val="24"/>
          <w:szCs w:val="24"/>
        </w:rPr>
        <w:tab/>
      </w:r>
      <w:r>
        <w:rPr>
          <w:rFonts w:hint="eastAsia" w:ascii="仿宋" w:hAnsi="仿宋" w:eastAsia="仿宋" w:cs="仿宋"/>
          <w:sz w:val="24"/>
          <w:szCs w:val="24"/>
        </w:rPr>
        <w:t>≤8400mm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横向跨距</w:t>
      </w:r>
      <w:r>
        <w:rPr>
          <w:rFonts w:hint="eastAsia" w:ascii="仿宋" w:hAnsi="仿宋" w:eastAsia="仿宋" w:cs="仿宋"/>
          <w:sz w:val="24"/>
          <w:szCs w:val="24"/>
        </w:rPr>
        <w:tab/>
      </w:r>
      <w:r>
        <w:rPr>
          <w:rFonts w:hint="eastAsia" w:ascii="仿宋" w:hAnsi="仿宋" w:eastAsia="仿宋" w:cs="仿宋"/>
          <w:sz w:val="24"/>
          <w:szCs w:val="24"/>
        </w:rPr>
        <w:t>≤6100mm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四、工作斗载荷</w:t>
      </w:r>
      <w:r>
        <w:rPr>
          <w:rFonts w:hint="eastAsia" w:ascii="仿宋" w:hAnsi="仿宋" w:eastAsia="仿宋" w:cs="仿宋"/>
          <w:sz w:val="24"/>
          <w:szCs w:val="24"/>
        </w:rPr>
        <w:tab/>
      </w:r>
      <w:r>
        <w:rPr>
          <w:rFonts w:hint="eastAsia" w:ascii="仿宋" w:hAnsi="仿宋" w:eastAsia="仿宋" w:cs="仿宋"/>
          <w:sz w:val="24"/>
          <w:szCs w:val="24"/>
        </w:rPr>
        <w:t>≥400kg</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最大工作高度</w:t>
      </w:r>
      <w:r>
        <w:rPr>
          <w:rFonts w:hint="eastAsia" w:ascii="仿宋" w:hAnsi="仿宋" w:eastAsia="仿宋" w:cs="仿宋"/>
          <w:sz w:val="24"/>
          <w:szCs w:val="24"/>
        </w:rPr>
        <w:tab/>
      </w:r>
      <w:r>
        <w:rPr>
          <w:rFonts w:hint="eastAsia" w:ascii="仿宋" w:hAnsi="仿宋" w:eastAsia="仿宋" w:cs="仿宋"/>
          <w:sz w:val="24"/>
          <w:szCs w:val="24"/>
        </w:rPr>
        <w:t>≥54m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最大工作半径</w:t>
      </w:r>
      <w:r>
        <w:rPr>
          <w:rFonts w:hint="eastAsia" w:ascii="仿宋" w:hAnsi="仿宋" w:eastAsia="仿宋" w:cs="仿宋"/>
          <w:sz w:val="24"/>
          <w:szCs w:val="24"/>
        </w:rPr>
        <w:tab/>
      </w:r>
      <w:r>
        <w:rPr>
          <w:rFonts w:hint="eastAsia" w:ascii="仿宋" w:hAnsi="仿宋" w:eastAsia="仿宋" w:cs="仿宋"/>
          <w:sz w:val="24"/>
          <w:szCs w:val="24"/>
        </w:rPr>
        <w:t>≥19m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臂（梯）架形式</w:t>
      </w:r>
      <w:r>
        <w:rPr>
          <w:rFonts w:hint="eastAsia" w:ascii="仿宋" w:hAnsi="仿宋" w:eastAsia="仿宋" w:cs="仿宋"/>
          <w:sz w:val="24"/>
          <w:szCs w:val="24"/>
        </w:rPr>
        <w:tab/>
      </w:r>
      <w:r>
        <w:rPr>
          <w:rFonts w:hint="eastAsia" w:ascii="仿宋" w:hAnsi="仿宋" w:eastAsia="仿宋" w:cs="仿宋"/>
          <w:sz w:val="24"/>
          <w:szCs w:val="24"/>
        </w:rPr>
        <w:t>五节同步伸缩臂+折臂</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臂架变幅角度</w:t>
      </w:r>
      <w:r>
        <w:rPr>
          <w:rFonts w:hint="eastAsia" w:ascii="仿宋" w:hAnsi="仿宋" w:eastAsia="仿宋" w:cs="仿宋"/>
          <w:sz w:val="24"/>
          <w:szCs w:val="24"/>
        </w:rPr>
        <w:tab/>
      </w:r>
      <w:r>
        <w:rPr>
          <w:rFonts w:hint="eastAsia" w:ascii="仿宋" w:hAnsi="仿宋" w:eastAsia="仿宋" w:cs="仿宋"/>
          <w:sz w:val="24"/>
          <w:szCs w:val="24"/>
        </w:rPr>
        <w:t>伸缩臂0°—88°</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折臂与伸缩臂0°—174°</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回转范围</w:t>
      </w:r>
      <w:r>
        <w:rPr>
          <w:rFonts w:hint="eastAsia" w:ascii="仿宋" w:hAnsi="仿宋" w:eastAsia="仿宋" w:cs="仿宋"/>
          <w:sz w:val="24"/>
          <w:szCs w:val="24"/>
        </w:rPr>
        <w:tab/>
      </w:r>
      <w:r>
        <w:rPr>
          <w:rFonts w:hint="eastAsia" w:ascii="仿宋" w:hAnsi="仿宋" w:eastAsia="仿宋" w:cs="仿宋"/>
          <w:sz w:val="24"/>
          <w:szCs w:val="24"/>
        </w:rPr>
        <w:t>360°全回转</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支腿展开时间</w:t>
      </w:r>
      <w:r>
        <w:rPr>
          <w:rFonts w:hint="eastAsia" w:ascii="仿宋" w:hAnsi="仿宋" w:eastAsia="仿宋" w:cs="仿宋"/>
          <w:sz w:val="24"/>
          <w:szCs w:val="24"/>
        </w:rPr>
        <w:tab/>
      </w:r>
      <w:r>
        <w:rPr>
          <w:rFonts w:hint="eastAsia" w:ascii="仿宋" w:hAnsi="仿宋" w:eastAsia="仿宋" w:cs="仿宋"/>
          <w:sz w:val="24"/>
          <w:szCs w:val="24"/>
        </w:rPr>
        <w:t>≤50s</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臂架升起额定高度并旋转90°时间</w:t>
      </w:r>
      <w:r>
        <w:rPr>
          <w:rFonts w:hint="eastAsia" w:ascii="仿宋" w:hAnsi="仿宋" w:eastAsia="仿宋" w:cs="仿宋"/>
          <w:sz w:val="24"/>
          <w:szCs w:val="24"/>
        </w:rPr>
        <w:tab/>
      </w:r>
      <w:r>
        <w:rPr>
          <w:rFonts w:hint="eastAsia" w:ascii="仿宋" w:hAnsi="仿宋" w:eastAsia="仿宋" w:cs="仿宋"/>
          <w:sz w:val="24"/>
          <w:szCs w:val="24"/>
        </w:rPr>
        <w:t>≤230s</w:t>
      </w:r>
    </w:p>
    <w:p>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w:t>
      </w:r>
      <w:r>
        <w:rPr>
          <w:rFonts w:hint="eastAsia" w:ascii="仿宋" w:hAnsi="仿宋" w:eastAsia="仿宋" w:cs="仿宋"/>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材质  304不锈钢</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板厚  ≥3mm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罐体内防荡板网格式设置，设纵向、横向防荡板</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水罐设DN125溢水管带溢水帽</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泡沫罐设呼吸阀</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水罐和泡沫罐均安装电子液位计</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罐体与付梁采用弹性联接</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罐体顶板采用防滑不锈钢花纹板</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罐体内表面涂刷防腐漆料</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水罐设开口1个, 内孔φ440, 带有快速锁定/开启，罐体压力超过2公斤时的自动泄压，水罐盖涂绿色</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载液量</w:t>
      </w:r>
      <w:r>
        <w:rPr>
          <w:rFonts w:hint="eastAsia" w:ascii="仿宋" w:hAnsi="仿宋" w:eastAsia="仿宋" w:cs="仿宋"/>
          <w:sz w:val="24"/>
          <w:szCs w:val="24"/>
        </w:rPr>
        <w:tab/>
      </w:r>
      <w:r>
        <w:rPr>
          <w:rFonts w:hint="eastAsia" w:ascii="仿宋" w:hAnsi="仿宋" w:eastAsia="仿宋" w:cs="仿宋"/>
          <w:sz w:val="24"/>
          <w:szCs w:val="24"/>
        </w:rPr>
        <w:t>载水量    4.5吨</w:t>
      </w:r>
      <w:r>
        <w:rPr>
          <w:rFonts w:hint="eastAsia" w:ascii="仿宋" w:hAnsi="仿宋" w:eastAsia="仿宋" w:cs="仿宋"/>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载泡沫量  1.2吨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六、水泵</w:t>
      </w:r>
      <w:r>
        <w:rPr>
          <w:rFonts w:hint="eastAsia" w:ascii="仿宋" w:hAnsi="仿宋" w:eastAsia="仿宋" w:cs="仿宋"/>
          <w:sz w:val="24"/>
          <w:szCs w:val="24"/>
        </w:rPr>
        <w:tab/>
      </w:r>
      <w:r>
        <w:rPr>
          <w:rFonts w:hint="eastAsia" w:ascii="仿宋" w:hAnsi="仿宋" w:eastAsia="仿宋" w:cs="仿宋"/>
          <w:sz w:val="24"/>
          <w:szCs w:val="24"/>
        </w:rPr>
        <w:t>进口单级离心式水泵</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流量 ≥100 L/S @ 1.0 Mpa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入口法兰  DN150</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出口法兰  DN125</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七、真空泵</w:t>
      </w:r>
      <w:r>
        <w:rPr>
          <w:rFonts w:hint="eastAsia" w:ascii="仿宋" w:hAnsi="仿宋" w:eastAsia="仿宋" w:cs="仿宋"/>
          <w:sz w:val="24"/>
          <w:szCs w:val="24"/>
        </w:rPr>
        <w:tab/>
      </w:r>
      <w:r>
        <w:rPr>
          <w:rFonts w:hint="eastAsia" w:ascii="仿宋" w:hAnsi="仿宋" w:eastAsia="仿宋" w:cs="仿宋"/>
          <w:sz w:val="24"/>
          <w:szCs w:val="24"/>
        </w:rPr>
        <w:t>进口电动真空泵（24V）</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真空度 ≥85kPa</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吸水深度 ≥７米</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引水时间小于50秒</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八、水炮</w:t>
      </w:r>
      <w:r>
        <w:rPr>
          <w:rFonts w:hint="eastAsia" w:ascii="仿宋" w:hAnsi="仿宋" w:eastAsia="仿宋" w:cs="仿宋"/>
          <w:sz w:val="24"/>
          <w:szCs w:val="24"/>
        </w:rPr>
        <w:tab/>
      </w:r>
      <w:r>
        <w:rPr>
          <w:rFonts w:hint="eastAsia" w:ascii="仿宋" w:hAnsi="仿宋" w:eastAsia="仿宋" w:cs="仿宋"/>
          <w:sz w:val="24"/>
          <w:szCs w:val="24"/>
        </w:rPr>
        <w:t>水、泡沫两用电遥控消防炮</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流量可调950——4800L/min；工作压力0.55MPa</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射程（水）≥60m，（泡沫）≥50m。</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水平转角度±48度； 仰角度78度；俯角48度。</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≥100米无线遥控操作。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九、电气</w:t>
      </w:r>
      <w:r>
        <w:rPr>
          <w:rFonts w:hint="eastAsia" w:ascii="仿宋" w:hAnsi="仿宋" w:eastAsia="仿宋" w:cs="仿宋"/>
          <w:sz w:val="24"/>
          <w:szCs w:val="24"/>
        </w:rPr>
        <w:tab/>
      </w:r>
      <w:r>
        <w:rPr>
          <w:rFonts w:hint="eastAsia" w:ascii="仿宋" w:hAnsi="仿宋" w:eastAsia="仿宋" w:cs="仿宋"/>
          <w:sz w:val="24"/>
          <w:szCs w:val="24"/>
        </w:rPr>
        <w:t>上车操作台位置：转台左侧，带座椅</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整车控制类型：触摸屏操作界面，电脑控制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驾驶室顶部安装2个圆警灯，车身两侧各带爆闪警灯两个。</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驾驶室内安装警报器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驾驶室内安装可视倒车监视器</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驾驶室内预留车载电台接口</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自动脱离充电装置</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工作斗安装风速仪</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工作斗超载报警</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配置视频监控及硬盘录像</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水泵出水自动稳压控制</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十、支撑机构：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支腿应采用H型结构，水平外套应由高强度合金钢制作，付梁应由高强度钢板经冷弯后焊接而成的箱式结构，从而保证支撑机构的安全、可靠性。</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十一、平台：</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载人平台应由无缝型钢焊接而成，设置在臂架顶端，平台上应安有电脑控制和臂架运动显示系统，可左右旋转，载重不低于400Kg，需载有大流量电遥控水炮，照明系统，对讲系统等。</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登高消防车进入现场操作时，工作平台应随臂架的变幅运动由调平机构自动调整水平，工作平台的底面始终与地面保持平行，变幅运动停止后，工作平台应自动锁死。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工作平台前端应有过桥，工作平台内应装有摆动机构，可使工作平台左右摆动。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平台应内设有遥控水炮灭火系统，可实现水炮在不同角度与方位空中射水、扑救高层建筑火灾。 </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十二、副梯：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臂架侧面应载有副梯。副梯应由高强度铝合金型材焊接而成。副梯与臂架伸缩应同步进行，每节副梯可同时承载2名被困人员，沿梯而下。</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十三、安全控制系统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登高车工作平台应具备摆动机构，使工作平台可以左右摆动，这样更加容易接近建筑物，方便救人和抢救物资。出于安全可靠的目的，该车还应装备有应急液压泵，在火场救火汽车发动机突然出现故障时，就可以启动汽油机应急液压泵将登高车臂架收回到行驶状态，使工作平台中的战斗员安全回到地面，并将登高车拖离火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独特的安全装置与控制系统应保证该车在灭火救援实战中使用的安全可靠性。</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工作幅度限制：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在变幅任一角度，主臂都应有一个确定幅度限制。在到达幅度限制前一米时，变幅落和伸臂应自动减速，屏幕上也应有相应文字提示，直到到达极限值时自动停止。</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软腿控制：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在操作上车过程中，在某个支腿不受力通过电控开关控制产生报警信号时，支腿灯应闪烁并发出声音报警，说明支腿不受力（软腿）操作者应予检查、调整，以防止整车失稳。</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上、下车互锁装置：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当下车支腿没有牢牢支撑地面，并调平车身前，上车应停止一切动作；当臂架没有收到支撑架内时，下车应停止一切动作。</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应安装臂架变幅、伸缩至极限位置的减速停止装置。</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臂架取中位回落装置：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当臂架与平台在侧面或上面接近罐体或驾驶室时，应停止向不安全方向的全部动作；当臂架与平台全部归位，取中位后，方可自动回落臂架。</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平台防碰撞保护：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平台下方应设有防碰撞保护，当接近障碍物时，应自动停止平台与臂架向不安全方向的全部动作；屏幕应出现相应的图标及文字提示。</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工作平台超载控制：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当工作平台上的负载超重时，屏幕应出现相应的图标及文字提示。同时报警，此时应减少工作平台上的负载。</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保护驾驶室控制：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当主臂在驾驶室上面70度范围内时，或工作平台底部距离车体1米以内时，系统应自动停止危险方向动作，此时应反方向操作避开驾驶室。屏幕应有图标及文字提示。</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主臂落回托架控制：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只有在折臂完全收回，主臂对准托架，工作平台对中以后，臂架才可落到托架上。</w:t>
      </w:r>
    </w:p>
    <w:p>
      <w:pPr>
        <w:keepNext w:val="0"/>
        <w:keepLines w:val="0"/>
        <w:pageBreakBefore w:val="0"/>
        <w:numPr>
          <w:ilvl w:val="0"/>
          <w:numId w:val="7"/>
        </w:numPr>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其它安全控制：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只有当折臂升起大于3度时，才可进行伸缩臂的操作；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只有当中臂全收回，折叠梯折起，才可将折臂全收回；</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只有当折臂与工作平台夹角大于45度时，才可进行工作平台自动对中的操作。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十四、随车器材配备清单</w:t>
      </w:r>
    </w:p>
    <w:tbl>
      <w:tblPr>
        <w:tblStyle w:val="36"/>
        <w:tblW w:w="7575"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17"/>
        <w:gridCol w:w="708"/>
        <w:gridCol w:w="851"/>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kinsoku/>
              <w:wordWrap/>
              <w:overflowPunct/>
              <w:topLinePunct w:val="0"/>
              <w:autoSpaceDE/>
              <w:autoSpaceDN/>
              <w:bidi w:val="0"/>
              <w:adjustRightInd w:val="0"/>
              <w:snapToGrid w:val="0"/>
              <w:spacing w:line="360" w:lineRule="auto"/>
              <w:ind w:right="-107" w:rightChars="-51"/>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消防水带25型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盘</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Φ80×20M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消防水带25型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盘</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Φ65×20M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干粉灭火器</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底盘自带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吸水管扳手</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地上消火栓扳手</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地下消火栓扳手</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ind w:left="-107" w:leftChars="-51" w:right="-107" w:rightChars="-51"/>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异径接口80/65</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护带桥</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副</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水带包布</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吸水管DN150，4米/根</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米</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快速接口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滤水器FLF 150</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车轮制动块</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泵浦吸液管DN50</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ABC扳手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气阀应急手动扳手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液压系统易损件</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随车工具</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泡沫炮头</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破拆工具</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移动照明</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全身式安全带（配挂钩）</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内六角扳手</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备胎</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支腿垫板</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多功能挠钩</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绝缘剪断钳</w:t>
            </w:r>
          </w:p>
        </w:tc>
        <w:tc>
          <w:tcPr>
            <w:tcW w:w="70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橡皮锤</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集水器（80/80/150）</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绝缘杆</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件</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80" w:type="dxa"/>
            <w:vAlign w:val="center"/>
          </w:tcPr>
          <w:p>
            <w:pPr>
              <w:keepNext w:val="0"/>
              <w:keepLines w:val="0"/>
              <w:pageBreakBefore w:val="0"/>
              <w:numPr>
                <w:ilvl w:val="0"/>
                <w:numId w:val="8"/>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2817"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警示标牌</w:t>
            </w:r>
          </w:p>
        </w:tc>
        <w:tc>
          <w:tcPr>
            <w:tcW w:w="70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85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41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p>
        </w:tc>
      </w:tr>
    </w:tbl>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投标人所投产品必须为全新车辆，所投产品须通过国家</w:t>
      </w:r>
      <w:r>
        <w:rPr>
          <w:rFonts w:hint="eastAsia" w:ascii="仿宋" w:hAnsi="仿宋" w:eastAsia="仿宋" w:cs="仿宋"/>
          <w:sz w:val="24"/>
          <w:szCs w:val="24"/>
          <w:lang w:val="en-US" w:eastAsia="zh-CN"/>
        </w:rPr>
        <w:t>3C认证和国家消防装备质量监督检验中心检测且取行合格检测报告，（若无国五3C认证和检测报告，</w:t>
      </w:r>
      <w:r>
        <w:rPr>
          <w:rFonts w:hint="eastAsia" w:ascii="仿宋" w:hAnsi="仿宋" w:eastAsia="仿宋" w:cs="仿宋"/>
          <w:sz w:val="24"/>
          <w:szCs w:val="24"/>
          <w:lang w:eastAsia="zh-CN"/>
        </w:rPr>
        <w:t>交车时须取得国五</w:t>
      </w:r>
      <w:r>
        <w:rPr>
          <w:rFonts w:hint="eastAsia" w:ascii="仿宋" w:hAnsi="仿宋" w:eastAsia="仿宋" w:cs="仿宋"/>
          <w:sz w:val="24"/>
          <w:szCs w:val="24"/>
          <w:lang w:val="en-US" w:eastAsia="zh-CN"/>
        </w:rPr>
        <w:t>3C认证和国家消防装备质量监督检验中心检测报告的承诺书)。</w:t>
      </w:r>
    </w:p>
    <w:p>
      <w:pPr>
        <w:pStyle w:val="2"/>
        <w:rPr>
          <w:rFonts w:hint="eastAsia"/>
          <w:lang w:val="en-US" w:eastAsia="zh-CN"/>
        </w:rPr>
      </w:pPr>
      <w:r>
        <w:rPr>
          <w:rFonts w:hint="eastAsia" w:ascii="仿宋" w:hAnsi="仿宋" w:eastAsia="仿宋" w:cs="仿宋"/>
          <w:sz w:val="24"/>
          <w:szCs w:val="24"/>
          <w:lang w:val="en-US" w:eastAsia="zh-CN"/>
        </w:rPr>
        <w:t>2、能在消防车辆管理部门上牌，年审。</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b/>
          <w:sz w:val="24"/>
          <w:szCs w:val="24"/>
        </w:rPr>
      </w:pP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十五</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tbl>
      <w:tblPr>
        <w:tblStyle w:val="36"/>
        <w:tblW w:w="909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559"/>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578"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评审内容</w:t>
            </w:r>
          </w:p>
        </w:tc>
        <w:tc>
          <w:tcPr>
            <w:tcW w:w="56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3.5.1</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分值组成</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（总分100分）</w:t>
            </w:r>
          </w:p>
        </w:tc>
        <w:tc>
          <w:tcPr>
            <w:tcW w:w="5617" w:type="dxa"/>
            <w:vAlign w:val="bottom"/>
          </w:tcPr>
          <w:p>
            <w:pPr>
              <w:spacing w:line="360" w:lineRule="auto"/>
              <w:rPr>
                <w:rFonts w:hint="eastAsia" w:ascii="仿宋" w:hAnsi="仿宋" w:eastAsia="仿宋" w:cs="仿宋"/>
                <w:sz w:val="24"/>
                <w:szCs w:val="24"/>
              </w:rPr>
            </w:pPr>
            <w:r>
              <w:rPr>
                <w:rFonts w:hint="eastAsia" w:ascii="仿宋" w:hAnsi="仿宋" w:eastAsia="仿宋" w:cs="仿宋"/>
                <w:sz w:val="24"/>
                <w:szCs w:val="24"/>
              </w:rPr>
              <w:t>报价得分：50分</w:t>
            </w:r>
          </w:p>
          <w:p>
            <w:pPr>
              <w:spacing w:line="360" w:lineRule="auto"/>
              <w:rPr>
                <w:rFonts w:hint="eastAsia" w:ascii="仿宋" w:hAnsi="仿宋" w:eastAsia="仿宋" w:cs="仿宋"/>
                <w:sz w:val="24"/>
                <w:szCs w:val="24"/>
              </w:rPr>
            </w:pPr>
            <w:r>
              <w:rPr>
                <w:rFonts w:hint="eastAsia" w:ascii="仿宋" w:hAnsi="仿宋" w:eastAsia="仿宋" w:cs="仿宋"/>
                <w:sz w:val="24"/>
                <w:szCs w:val="24"/>
              </w:rPr>
              <w:t>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3.5.2</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评标基准价</w:t>
            </w:r>
          </w:p>
        </w:tc>
        <w:tc>
          <w:tcPr>
            <w:tcW w:w="5617" w:type="dxa"/>
            <w:vAlign w:val="center"/>
          </w:tcPr>
          <w:p>
            <w:pPr>
              <w:spacing w:line="360" w:lineRule="auto"/>
              <w:ind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3.5.3</w:t>
            </w:r>
          </w:p>
        </w:tc>
        <w:tc>
          <w:tcPr>
            <w:tcW w:w="2578" w:type="dxa"/>
            <w:gridSpan w:val="2"/>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投标报价得分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（50分）</w:t>
            </w:r>
          </w:p>
        </w:tc>
        <w:tc>
          <w:tcPr>
            <w:tcW w:w="5617"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617" w:hRule="atLeast"/>
        </w:trPr>
        <w:tc>
          <w:tcPr>
            <w:tcW w:w="900" w:type="dxa"/>
            <w:vMerge w:val="restart"/>
            <w:tcBorders>
              <w:right w:val="single" w:color="auto" w:sz="4" w:space="0"/>
            </w:tcBorders>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3.5.4</w:t>
            </w:r>
          </w:p>
        </w:tc>
        <w:tc>
          <w:tcPr>
            <w:tcW w:w="1019" w:type="dxa"/>
            <w:vMerge w:val="restart"/>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商</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务</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分</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（35分）</w:t>
            </w: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（0-10分）</w:t>
            </w:r>
          </w:p>
        </w:tc>
        <w:tc>
          <w:tcPr>
            <w:tcW w:w="5617" w:type="dxa"/>
            <w:tcBorders>
              <w:left w:val="single" w:color="auto" w:sz="4" w:space="0"/>
            </w:tcBorders>
            <w:vAlign w:val="center"/>
          </w:tcPr>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1、2015年1月1日以来成交金额在400万元以上的项目，每有一项得2分，最多10分。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（0-20分）</w:t>
            </w:r>
          </w:p>
        </w:tc>
        <w:tc>
          <w:tcPr>
            <w:tcW w:w="5617" w:type="dxa"/>
            <w:tcBorders>
              <w:lef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完全满足招标参数得基础分5分，每优于招标文件要求一</w:t>
            </w:r>
            <w:r>
              <w:rPr>
                <w:rFonts w:hint="eastAsia" w:ascii="仿宋" w:hAnsi="仿宋" w:eastAsia="仿宋" w:cs="仿宋"/>
                <w:sz w:val="24"/>
                <w:szCs w:val="24"/>
                <w:lang w:eastAsia="zh-CN"/>
              </w:rPr>
              <w:t>项</w:t>
            </w:r>
            <w:r>
              <w:rPr>
                <w:rFonts w:hint="eastAsia" w:ascii="仿宋" w:hAnsi="仿宋" w:eastAsia="仿宋" w:cs="仿宋"/>
                <w:sz w:val="24"/>
                <w:szCs w:val="24"/>
              </w:rPr>
              <w:t>得1分，最多20分。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40"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（5分）</w:t>
            </w:r>
          </w:p>
        </w:tc>
        <w:tc>
          <w:tcPr>
            <w:tcW w:w="5617" w:type="dxa"/>
            <w:tcBorders>
              <w:left w:val="single" w:color="auto" w:sz="4" w:space="0"/>
            </w:tcBorders>
            <w:vAlign w:val="center"/>
          </w:tcPr>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1、售后服务（0-2分） </w:t>
            </w:r>
          </w:p>
          <w:p>
            <w:pPr>
              <w:autoSpaceDE w:val="0"/>
              <w:autoSpaceDN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根据技术培训内容、形式、时间安排的合理性以及投标人在方案中阐述的售后服务情况，在1-2分范围内酌情打分。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2、售后响应时间（0-3分）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售后服务上门响应时间以小时为单位，以12小时为起点，基本分1分，每减少1小时，加1分，最多加4分，12小时以上的不得分。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hint="eastAsia" w:ascii="仿宋" w:hAnsi="仿宋" w:eastAsia="仿宋" w:cs="仿宋"/>
                <w:sz w:val="24"/>
                <w:szCs w:val="24"/>
              </w:rPr>
            </w:pPr>
            <w:r>
              <w:rPr>
                <w:rFonts w:hint="eastAsia" w:ascii="仿宋" w:hAnsi="仿宋" w:eastAsia="仿宋" w:cs="仿宋"/>
                <w:sz w:val="24"/>
                <w:szCs w:val="24"/>
              </w:rPr>
              <w:t xml:space="preserve"> 3.5.5</w:t>
            </w:r>
          </w:p>
          <w:p>
            <w:pPr>
              <w:pStyle w:val="19"/>
              <w:spacing w:line="360" w:lineRule="auto"/>
              <w:rPr>
                <w:rFonts w:hint="eastAsia" w:ascii="仿宋" w:hAnsi="仿宋" w:eastAsia="仿宋" w:cs="仿宋"/>
                <w:sz w:val="24"/>
                <w:szCs w:val="24"/>
              </w:rPr>
            </w:pPr>
          </w:p>
        </w:tc>
        <w:tc>
          <w:tcPr>
            <w:tcW w:w="1019" w:type="dxa"/>
            <w:vMerge w:val="restart"/>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技</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术</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分</w:t>
            </w:r>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（15分）</w:t>
            </w:r>
          </w:p>
        </w:tc>
        <w:tc>
          <w:tcPr>
            <w:tcW w:w="1559" w:type="dxa"/>
            <w:vAlign w:val="center"/>
          </w:tcPr>
          <w:p>
            <w:pPr>
              <w:autoSpaceDE w:val="0"/>
              <w:autoSpaceDN w:val="0"/>
              <w:adjustRightInd w:val="0"/>
              <w:spacing w:line="360" w:lineRule="auto"/>
              <w:jc w:val="center"/>
              <w:rPr>
                <w:rFonts w:hint="eastAsia" w:ascii="仿宋" w:hAnsi="仿宋" w:eastAsia="仿宋" w:cs="仿宋"/>
                <w:kern w:val="0"/>
                <w:sz w:val="24"/>
                <w:szCs w:val="24"/>
              </w:rPr>
            </w:pPr>
            <w:bookmarkStart w:id="0" w:name="OLE_LINK5"/>
            <w:r>
              <w:rPr>
                <w:rFonts w:hint="eastAsia" w:ascii="仿宋" w:hAnsi="仿宋" w:eastAsia="仿宋" w:cs="仿宋"/>
                <w:kern w:val="0"/>
                <w:sz w:val="24"/>
                <w:szCs w:val="24"/>
              </w:rPr>
              <w:t>项目实施方案</w:t>
            </w:r>
            <w:bookmarkEnd w:id="0"/>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5617" w:type="dxa"/>
            <w:vAlign w:val="center"/>
          </w:tcPr>
          <w:p>
            <w:pPr>
              <w:widowControl/>
              <w:adjustRightInd w:val="0"/>
              <w:spacing w:line="360" w:lineRule="auto"/>
              <w:jc w:val="left"/>
              <w:rPr>
                <w:rFonts w:hint="eastAsia" w:ascii="仿宋" w:hAnsi="仿宋" w:eastAsia="仿宋" w:cs="仿宋"/>
                <w:sz w:val="24"/>
                <w:szCs w:val="24"/>
              </w:rPr>
            </w:pPr>
            <w:bookmarkStart w:id="1" w:name="OLE_LINK9"/>
            <w:r>
              <w:rPr>
                <w:rFonts w:hint="eastAsia" w:ascii="仿宋" w:hAnsi="仿宋" w:eastAsia="仿宋" w:cs="仿宋"/>
                <w:sz w:val="24"/>
                <w:szCs w:val="24"/>
              </w:rPr>
              <w:t>（1）</w:t>
            </w:r>
            <w:bookmarkStart w:id="2" w:name="OLE_LINK28"/>
            <w:bookmarkStart w:id="3" w:name="OLE_LINK7"/>
            <w:r>
              <w:rPr>
                <w:rFonts w:hint="eastAsia" w:ascii="仿宋" w:hAnsi="仿宋" w:eastAsia="仿宋" w:cs="仿宋"/>
                <w:sz w:val="24"/>
                <w:szCs w:val="24"/>
              </w:rPr>
              <w:t>设备供货、安装、调试方案</w:t>
            </w:r>
            <w:bookmarkEnd w:id="2"/>
            <w:bookmarkStart w:id="4" w:name="OLE_LINK6"/>
            <w:r>
              <w:rPr>
                <w:rFonts w:hint="eastAsia" w:ascii="仿宋" w:hAnsi="仿宋" w:eastAsia="仿宋" w:cs="仿宋"/>
                <w:sz w:val="24"/>
                <w:szCs w:val="24"/>
              </w:rPr>
              <w:t>（1分）</w:t>
            </w:r>
            <w:bookmarkEnd w:id="4"/>
          </w:p>
          <w:bookmarkEnd w:id="3"/>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bookmarkStart w:id="5" w:name="OLE_LINK29"/>
            <w:r>
              <w:rPr>
                <w:rFonts w:hint="eastAsia" w:ascii="仿宋" w:hAnsi="仿宋" w:eastAsia="仿宋" w:cs="仿宋"/>
                <w:sz w:val="24"/>
                <w:szCs w:val="24"/>
              </w:rPr>
              <w:t>伴随服务</w:t>
            </w:r>
            <w:bookmarkEnd w:id="5"/>
            <w:bookmarkStart w:id="6" w:name="OLE_LINK8"/>
            <w:r>
              <w:rPr>
                <w:rFonts w:hint="eastAsia" w:ascii="仿宋" w:hAnsi="仿宋" w:eastAsia="仿宋" w:cs="仿宋"/>
                <w:sz w:val="24"/>
                <w:szCs w:val="24"/>
              </w:rPr>
              <w:t>（1分）</w:t>
            </w:r>
            <w:bookmarkEnd w:id="6"/>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w:t>
            </w:r>
            <w:bookmarkStart w:id="7" w:name="OLE_LINK31"/>
            <w:r>
              <w:rPr>
                <w:rFonts w:hint="eastAsia" w:ascii="仿宋" w:hAnsi="仿宋" w:eastAsia="仿宋" w:cs="仿宋"/>
                <w:sz w:val="24"/>
                <w:szCs w:val="24"/>
              </w:rPr>
              <w:t>成品保护措施</w:t>
            </w:r>
            <w:bookmarkEnd w:id="7"/>
            <w:r>
              <w:rPr>
                <w:rFonts w:hint="eastAsia" w:ascii="仿宋" w:hAnsi="仿宋" w:eastAsia="仿宋" w:cs="仿宋"/>
                <w:sz w:val="24"/>
                <w:szCs w:val="24"/>
              </w:rPr>
              <w:t>（1分）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供货及安装质量保证措施可行的得1-3分，没有的不得分。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供货及安装进度保证措施可行的得1-3分，没有的不得分。</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后续服务的安排及保证措施</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有后续服务的安排及保证措施得在1-3分范围内酌情打分，没有的不得分。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技术培训计划</w:t>
            </w:r>
            <w:r>
              <w:rPr>
                <w:rFonts w:hint="eastAsia" w:ascii="仿宋" w:hAnsi="仿宋" w:eastAsia="仿宋" w:cs="仿宋"/>
                <w:kern w:val="0"/>
                <w:sz w:val="24"/>
                <w:szCs w:val="24"/>
              </w:rPr>
              <w:t>（3分）</w:t>
            </w:r>
          </w:p>
        </w:tc>
        <w:tc>
          <w:tcPr>
            <w:tcW w:w="5617"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根据技术培训内容、形式、时间安排的合理性在1-3分范围内酌情打分，没有的不得分</w:t>
            </w:r>
          </w:p>
        </w:tc>
      </w:tr>
    </w:tbl>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8" w:name="_Toc606"/>
          </w:p>
        </w:tc>
      </w:tr>
      <w:bookmarkEnd w:id="8"/>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2A3B4E6B"/>
    <w:multiLevelType w:val="multilevel"/>
    <w:tmpl w:val="2A3B4E6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E5943D"/>
    <w:multiLevelType w:val="singleLevel"/>
    <w:tmpl w:val="2DE5943D"/>
    <w:lvl w:ilvl="0" w:tentative="0">
      <w:start w:val="2"/>
      <w:numFmt w:val="chineseCounting"/>
      <w:suff w:val="nothing"/>
      <w:lvlText w:val="%1、"/>
      <w:lvlJc w:val="left"/>
      <w:rPr>
        <w:rFonts w:hint="eastAsia"/>
      </w:rPr>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abstractNum w:abstractNumId="7">
    <w:nsid w:val="755F6EA7"/>
    <w:multiLevelType w:val="singleLevel"/>
    <w:tmpl w:val="755F6EA7"/>
    <w:lvl w:ilvl="0" w:tentative="0">
      <w:start w:val="5"/>
      <w:numFmt w:val="chineseCounting"/>
      <w:suff w:val="nothing"/>
      <w:lvlText w:val="%1、"/>
      <w:lvlJc w:val="left"/>
      <w:rPr>
        <w:rFonts w:hint="eastAsia"/>
      </w:rPr>
    </w:lvl>
  </w:abstractNum>
  <w:abstractNum w:abstractNumId="8">
    <w:nsid w:val="75701A2E"/>
    <w:multiLevelType w:val="multilevel"/>
    <w:tmpl w:val="75701A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77D4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3D21DC6"/>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665093"/>
    <w:rsid w:val="4D72225E"/>
    <w:rsid w:val="4F071606"/>
    <w:rsid w:val="4F403B1D"/>
    <w:rsid w:val="4F7F31B2"/>
    <w:rsid w:val="4F827ABA"/>
    <w:rsid w:val="4FA93F1C"/>
    <w:rsid w:val="4FCB730B"/>
    <w:rsid w:val="504A74E2"/>
    <w:rsid w:val="510C3D06"/>
    <w:rsid w:val="51937900"/>
    <w:rsid w:val="51ED5B69"/>
    <w:rsid w:val="52303134"/>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4E53D8"/>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22</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2018-08-16T02:21:14Z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