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Ref513654836"/>
      <w:bookmarkStart w:id="1" w:name="_Toc520735129"/>
      <w:r>
        <w:rPr>
          <w:rFonts w:hint="eastAsia"/>
        </w:rPr>
        <w:t>开标一览表</w:t>
      </w:r>
      <w:bookmarkEnd w:id="0"/>
      <w:bookmarkEnd w:id="1"/>
    </w:p>
    <w:p>
      <w:pPr>
        <w:pStyle w:val="3"/>
        <w:ind w:firstLine="0"/>
      </w:pPr>
      <w:r>
        <w:rPr>
          <w:rFonts w:hint="eastAsia"/>
        </w:rPr>
        <w:t>项目编号：</w:t>
      </w:r>
      <w:r>
        <w:rPr>
          <w:rFonts w:hint="eastAsia" w:cs="仿宋_GB2312" w:asciiTheme="minorEastAsia" w:hAnsiTheme="minorEastAsia" w:eastAsiaTheme="minorEastAsia"/>
          <w:color w:val="000000"/>
          <w:shd w:val="clear" w:color="auto" w:fill="FFFFFF"/>
        </w:rPr>
        <w:t>ZFCG-G2018096号</w:t>
      </w:r>
    </w:p>
    <w:p>
      <w:pPr>
        <w:pStyle w:val="3"/>
        <w:ind w:firstLine="0"/>
      </w:pPr>
      <w:r>
        <w:rPr>
          <w:rFonts w:hint="eastAsia"/>
        </w:rPr>
        <w:t>项目名称：</w:t>
      </w:r>
      <w:r>
        <w:rPr>
          <w:rFonts w:hint="eastAsia" w:cs="宋体" w:asciiTheme="minorEastAsia" w:hAnsiTheme="minorEastAsia"/>
          <w:color w:val="000000"/>
          <w:szCs w:val="24"/>
        </w:rPr>
        <w:t>互联网庭审设备后台及互联网庭审设备前端</w:t>
      </w:r>
      <w:r>
        <w:rPr>
          <w:rFonts w:hint="eastAsia"/>
        </w:rPr>
        <w:t xml:space="preserve">       单位：元（人民币）</w:t>
      </w:r>
    </w:p>
    <w:tbl>
      <w:tblPr>
        <w:tblStyle w:val="6"/>
        <w:tblW w:w="884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846"/>
        <w:gridCol w:w="3338"/>
        <w:gridCol w:w="1890"/>
        <w:gridCol w:w="8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标段</w:t>
            </w:r>
          </w:p>
        </w:tc>
        <w:tc>
          <w:tcPr>
            <w:tcW w:w="1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3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投标报价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交付日期（天）</w:t>
            </w:r>
          </w:p>
        </w:tc>
        <w:tc>
          <w:tcPr>
            <w:tcW w:w="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hd w:val="clear" w:color="auto" w:fill="FFFFFF"/>
              </w:rPr>
              <w:t>A包</w:t>
            </w:r>
          </w:p>
        </w:tc>
        <w:tc>
          <w:tcPr>
            <w:tcW w:w="1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互联网庭审设备后台及互联网庭审设备前端</w:t>
            </w:r>
          </w:p>
        </w:tc>
        <w:tc>
          <w:tcPr>
            <w:tcW w:w="3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大写：壹佰壹拾陆万捌仟贰佰叁拾元整</w:t>
            </w:r>
          </w:p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小写：</w:t>
            </w:r>
            <w:r>
              <w:rPr>
                <w:rFonts w:hint="eastAsia" w:ascii="宋体" w:hAnsi="宋体"/>
                <w:szCs w:val="24"/>
              </w:rPr>
              <w:t>¥</w:t>
            </w:r>
            <w:r>
              <w:rPr>
                <w:rFonts w:hint="eastAsia" w:ascii="宋体" w:hAnsi="宋体"/>
              </w:rPr>
              <w:t>1,168,230.00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合同签订后30日内</w:t>
            </w:r>
          </w:p>
        </w:tc>
        <w:tc>
          <w:tcPr>
            <w:tcW w:w="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无</w:t>
            </w:r>
          </w:p>
        </w:tc>
      </w:tr>
    </w:tbl>
    <w:p>
      <w:pPr>
        <w:pStyle w:val="3"/>
        <w:ind w:firstLine="0"/>
      </w:pPr>
    </w:p>
    <w:p>
      <w:pPr>
        <w:pStyle w:val="3"/>
      </w:pPr>
      <w:r>
        <w:rPr>
          <w:rFonts w:hint="eastAsia" w:cs="宋体" w:asciiTheme="minorEastAsia" w:hAnsiTheme="minorEastAsia"/>
          <w:szCs w:val="24"/>
          <w:lang w:val="zh-CN"/>
        </w:rPr>
        <w:t>投标人名称</w:t>
      </w:r>
      <w:r>
        <w:rPr>
          <w:rFonts w:hint="eastAsia"/>
        </w:rPr>
        <w:t>：</w:t>
      </w:r>
      <w:r>
        <w:rPr>
          <w:rFonts w:hint="eastAsia" w:hAnsi="宋体"/>
          <w:u w:val="single"/>
          <w:lang w:val="zh-CN"/>
        </w:rPr>
        <w:t>北京华宇信息技术有限公司</w:t>
      </w:r>
      <w:r>
        <w:rPr>
          <w:rFonts w:hint="eastAsia"/>
        </w:rPr>
        <w:t>（公章）</w:t>
      </w:r>
    </w:p>
    <w:p>
      <w:pPr>
        <w:pStyle w:val="3"/>
      </w:pPr>
      <w:r>
        <w:rPr>
          <w:rFonts w:hint="eastAsia"/>
        </w:rPr>
        <w:t>投标人法定代表人（或授权代表）签字：</w:t>
      </w:r>
      <w:r>
        <w:rPr>
          <w:rFonts w:hint="eastAsia" w:ascii="宋体" w:cs="宋体"/>
          <w:u w:val="single"/>
          <w:lang w:val="zh-CN"/>
        </w:rPr>
        <w:t>　　       　　</w:t>
      </w:r>
    </w:p>
    <w:p>
      <w:pPr>
        <w:pStyle w:val="3"/>
      </w:pPr>
      <w:r>
        <w:rPr>
          <w:rFonts w:hint="eastAsia"/>
        </w:rPr>
        <w:t>日期：</w:t>
      </w:r>
      <w:r>
        <w:rPr>
          <w:rFonts w:ascii="宋体" w:cs="宋体"/>
        </w:rPr>
        <w:t>2018年7月</w:t>
      </w:r>
      <w:r>
        <w:rPr>
          <w:rFonts w:hint="eastAsia" w:ascii="宋体" w:cs="宋体"/>
        </w:rPr>
        <w:t>2</w:t>
      </w:r>
      <w:r>
        <w:rPr>
          <w:rFonts w:ascii="宋体" w:cs="宋体"/>
        </w:rPr>
        <w:t>7日</w:t>
      </w:r>
    </w:p>
    <w:p>
      <w:pPr>
        <w:pStyle w:val="3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注：交付日期指完成该项目的最终时间（日历天）。</w:t>
      </w:r>
    </w:p>
    <w:p>
      <w:pPr>
        <w:pStyle w:val="4"/>
      </w:pPr>
      <w:bookmarkStart w:id="2" w:name="_Toc520214520"/>
      <w:bookmarkStart w:id="3" w:name="_Toc520735145"/>
      <w:bookmarkStart w:id="4" w:name="_Ref513654958"/>
      <w:r>
        <w:rPr>
          <w:rFonts w:hint="eastAsia"/>
        </w:rPr>
        <w:t>投标</w:t>
      </w:r>
      <w:r>
        <w:t>分项报价一览表</w:t>
      </w:r>
      <w:bookmarkEnd w:id="2"/>
      <w:bookmarkEnd w:id="3"/>
      <w:bookmarkEnd w:id="4"/>
    </w:p>
    <w:p>
      <w:pPr>
        <w:pStyle w:val="3"/>
        <w:ind w:firstLine="0"/>
        <w:rPr>
          <w:rFonts w:ascii="宋体" w:hAnsi="宋体"/>
        </w:rPr>
      </w:pPr>
      <w:r>
        <w:rPr>
          <w:rFonts w:hint="eastAsia" w:ascii="宋体" w:hAnsi="宋体"/>
        </w:rPr>
        <w:t>项目编号：ZFCG-G2018096号</w:t>
      </w:r>
    </w:p>
    <w:p>
      <w:pPr>
        <w:pStyle w:val="3"/>
        <w:ind w:firstLine="0"/>
      </w:pPr>
      <w:r>
        <w:rPr>
          <w:rFonts w:hint="eastAsia" w:ascii="宋体" w:hAnsi="宋体"/>
        </w:rPr>
        <w:t xml:space="preserve">项目名称：互联网庭审设备后台及互联网庭审设备前端   </w:t>
      </w:r>
      <w:r>
        <w:rPr>
          <w:rFonts w:ascii="宋体" w:hAnsi="宋体"/>
        </w:rPr>
        <w:t xml:space="preserve">                                      </w:t>
      </w:r>
      <w:r>
        <w:rPr>
          <w:rFonts w:hint="eastAsia" w:ascii="宋体" w:hAnsi="宋体"/>
        </w:rPr>
        <w:t>单位：元（人民币）</w:t>
      </w:r>
    </w:p>
    <w:tbl>
      <w:tblPr>
        <w:tblStyle w:val="7"/>
        <w:tblW w:w="137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50"/>
        <w:gridCol w:w="1701"/>
        <w:gridCol w:w="6095"/>
        <w:gridCol w:w="567"/>
        <w:gridCol w:w="567"/>
        <w:gridCol w:w="993"/>
        <w:gridCol w:w="1112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名 称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技术参数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单 位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数 量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单 价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总价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产地及厂家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统一视频通讯平台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华宇 统一视频通讯平台V3.0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系统能够满足法官、双方当事人、双方代理人等五个参与方的远程庭审需求。旨在减少当事人或法官在路途遥远、交通拥挤的情况下见面。使得大家可以在网络上凭手机号、验证码登录到互联网法庭系统中进行远程庭审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主要功能有：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1、预订互联网庭审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支持与现有审判流程系统对接，同步审判流程系统中的预订信息；同时支持系统自主方式进行庭审预订；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2、庭审通知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互联网庭审预订成功后，能够实时给庭审参与方发送短信通知，短信的内容和格式支持定制；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3、庭审接入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支持多方以远程音视频方式参与庭审；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4、庭审信息回传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庭审结束后，支持庭审笔录和庭审材料自动回传到现有审判流程系统，方便进行案件管理；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5、庭后查看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庭审结束后，支持会议录像、庭审材料的查看和下载；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套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300000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300000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北京/北京华宇信息技术有限公司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2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数据库系统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华宇 ArteryBase数据库管理系统V2.0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国产数据库系统，支持标准SQL语句，提供标准ODBC、JDBC等数据访问接口。提供数据库的业务建模、数据库开发、数据库运维管理等数据应用全过程的工具，可靠支撑应用业务系统平台的建立，让业务系统整合、数据迁移、数据安全保障等工程工作更加有效率。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台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30000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30000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北京/北京华宇信息技术有限公司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短信平台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华宇 华宇短信平台[简称：短信平台]V2.1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平台不仅能够收发短信，还可以统计和查询短信数量，设立发送规则，为不同业务系统提供简洁一致的调用接口。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套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50000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50000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北京/北京华宇信息技术有限公司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4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短信猫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天诚航宇 Q24PLUS wavecom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USB连接短信猫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台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北京/北京天诚航宇科技发展有限公司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应用服务器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华为 RH2288 V3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配置2 颗IntelXeonE5-2603 V4（6C-1.7G-15M）处理器；32G DDR4 ECC 内存；4*600GB-SAS-10000rpm-2.5"硬盘；支持RAID0,1,5,6,10,50,60（2GB缓存,超级电容）;2个GE接口；冗余电源（2*460W）；DVD光驱（外置）和导轨；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台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27030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27030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深圳/华为技术有限公司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6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流媒体服务器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华为 RH2288 V3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2U机架服务器；配置2颗IntelXeonE5-2603 V3（6C-1.6G-15M）处理器；64G DDR4 ECC内存；5*4TB SATA（3.5寸）热插拔硬盘；支持RAID0,1,5,6,10,50,60；2个GE接口；冗余电源，DVD光驱和导轨；包含windows server 2012 标准版软件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台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42000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42000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深圳/华为技术有限公司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辅材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国产 定制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根据实施环境，提供rvvp3*6平方线缆；敷设电缆套管（KBG）；提供空开（60A）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批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6700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6700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中国/国产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8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独立域名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国产 定制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申请独立的互联网庭审及调解平台域名，为许昌法院互联网开庭提供入口。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1500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中国/国产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9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网络宽带租赁费用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国产 定制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50M互联网带宽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16000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80000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中国/国产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10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短信套餐费用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国产 定制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提供满足互联网庭审业务需要的短信套餐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1500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7500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中国/国产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互联网庭审系统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华宇 统一视频通讯平台V3.0 网上开庭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满足庭审业务需要，辅助庭审全流程，支持庭审交互、庭审录音录像、庭审控制、庭审示证、材料上传下载等功能。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（1）支持电脑客户端、手机客户端参与庭审；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（2）支持庭审录像，并根据庭审进程灵活控制录像的开始、暂停、停止；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（3）支持对参与方进行语音和视频的屏蔽；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（4）支持庭审材料的实时上传，进行证据展示和质证；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（5）支持书记员或法官进行庭审笔录管理，在线编写笔录，支持当事人及代理人进行笔录查看和笔录在线签名；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套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39000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273000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北京/北京华宇信息技术有限公司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850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视频接入授权</w:t>
            </w:r>
          </w:p>
        </w:tc>
        <w:tc>
          <w:tcPr>
            <w:tcW w:w="1701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华宇 统一视频通讯平台V3.0 视频接入授权</w:t>
            </w:r>
          </w:p>
        </w:tc>
        <w:tc>
          <w:tcPr>
            <w:tcW w:w="609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此次配置4路视频接入授权，满足庭审应用视频接入；视频接入授权按5年配置。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套</w:t>
            </w:r>
          </w:p>
        </w:tc>
        <w:tc>
          <w:tcPr>
            <w:tcW w:w="567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993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50000</w:t>
            </w:r>
          </w:p>
        </w:tc>
        <w:tc>
          <w:tcPr>
            <w:tcW w:w="1112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350000</w:t>
            </w:r>
          </w:p>
        </w:tc>
        <w:tc>
          <w:tcPr>
            <w:tcW w:w="1315" w:type="dxa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北京/北京华宇信息技术有限公司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4" w:type="dxa"/>
            <w:gridSpan w:val="2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合  计</w:t>
            </w:r>
          </w:p>
        </w:tc>
        <w:tc>
          <w:tcPr>
            <w:tcW w:w="12350" w:type="dxa"/>
            <w:gridSpan w:val="7"/>
          </w:tcPr>
          <w:p>
            <w:pPr>
              <w:pStyle w:val="3"/>
              <w:ind w:firstLine="0"/>
            </w:pPr>
            <w:r>
              <w:rPr>
                <w:rFonts w:hint="eastAsia"/>
              </w:rPr>
              <w:t>大写：　壹佰壹拾陆万捌仟贰佰叁拾元整　　　　　                 小写：1168230元</w:t>
            </w:r>
          </w:p>
        </w:tc>
      </w:tr>
    </w:tbl>
    <w:p>
      <w:pPr>
        <w:pStyle w:val="3"/>
        <w:ind w:firstLine="0"/>
      </w:pPr>
    </w:p>
    <w:p>
      <w:pPr>
        <w:pStyle w:val="3"/>
        <w:ind w:firstLine="0"/>
      </w:pPr>
      <w:r>
        <w:rPr>
          <w:rFonts w:hint="eastAsia"/>
        </w:rPr>
        <w:t>投标人（公章）：</w:t>
      </w:r>
      <w:r>
        <w:rPr>
          <w:rFonts w:hint="eastAsia" w:ascii="宋体" w:cs="宋体"/>
          <w:u w:val="single"/>
        </w:rPr>
        <w:t>北京华宇信息技术有限公司</w:t>
      </w:r>
    </w:p>
    <w:p>
      <w:pPr>
        <w:pStyle w:val="3"/>
        <w:ind w:firstLine="0"/>
        <w:rPr>
          <w:rFonts w:ascii="宋体" w:cs="宋体"/>
          <w:u w:val="single"/>
          <w:lang w:val="zh-CN"/>
        </w:rPr>
      </w:pPr>
      <w:r>
        <w:rPr>
          <w:rFonts w:hint="eastAsia"/>
        </w:rPr>
        <w:t>投标人法定代表人 （或授权代表）签字：</w:t>
      </w:r>
      <w:r>
        <w:t xml:space="preserve"> </w:t>
      </w:r>
      <w:r>
        <w:rPr>
          <w:rFonts w:hint="eastAsia" w:ascii="宋体" w:cs="宋体"/>
          <w:u w:val="single"/>
          <w:lang w:val="zh-CN"/>
        </w:rPr>
        <w:t>　　       　　</w:t>
      </w:r>
    </w:p>
    <w:p>
      <w:pPr>
        <w:sectPr>
          <w:type w:val="continuous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5" w:name="_GoBack"/>
      <w:bookmarkEnd w:id="5"/>
    </w:p>
    <w:p/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13ECD"/>
    <w:multiLevelType w:val="multilevel"/>
    <w:tmpl w:val="32D13ECD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2.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suff w:val="space"/>
      <w:lvlText w:val="%2.%3.%4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suff w:val="space"/>
      <w:lvlText w:val="%2.%3.%4.%5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suff w:val="space"/>
      <w:lvlText w:val="%2.%3.%4.%5.%6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suff w:val="space"/>
      <w:lvlText w:val="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suff w:val="space"/>
      <w:lvlText w:val="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suff w:val="space"/>
      <w:lvlText w:val="（%9）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D2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pageBreakBefore/>
      <w:numPr>
        <w:ilvl w:val="0"/>
        <w:numId w:val="1"/>
      </w:numPr>
      <w:spacing w:before="240" w:after="240" w:line="600" w:lineRule="atLeast"/>
      <w:jc w:val="center"/>
      <w:outlineLvl w:val="0"/>
    </w:pPr>
    <w:rPr>
      <w:b/>
      <w:kern w:val="44"/>
      <w:sz w:val="36"/>
    </w:rPr>
  </w:style>
  <w:style w:type="paragraph" w:styleId="4">
    <w:name w:val="heading 2"/>
    <w:basedOn w:val="1"/>
    <w:next w:val="3"/>
    <w:qFormat/>
    <w:uiPriority w:val="0"/>
    <w:pPr>
      <w:keepNext/>
      <w:keepLines/>
      <w:numPr>
        <w:ilvl w:val="1"/>
        <w:numId w:val="1"/>
      </w:numPr>
      <w:spacing w:before="240" w:after="120" w:line="400" w:lineRule="atLeast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文档正文"/>
    <w:basedOn w:val="1"/>
    <w:unhideWhenUsed/>
    <w:qFormat/>
    <w:uiPriority w:val="0"/>
    <w:pPr>
      <w:snapToGrid w:val="0"/>
      <w:spacing w:before="60" w:after="60" w:line="360" w:lineRule="atLeast"/>
      <w:ind w:firstLine="482"/>
    </w:p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huayu</dc:creator>
  <cp:lastModifiedBy>听力中心张</cp:lastModifiedBy>
  <dcterms:modified xsi:type="dcterms:W3CDTF">2018-08-03T03:51:07Z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