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auto"/>
          <w:sz w:val="44"/>
          <w:szCs w:val="44"/>
        </w:rPr>
      </w:pPr>
    </w:p>
    <w:p>
      <w:pPr>
        <w:jc w:val="center"/>
        <w:rPr>
          <w:rFonts w:ascii="宋体" w:hAnsi="宋体" w:eastAsia="宋体" w:cs="宋体"/>
          <w:color w:val="auto"/>
          <w:sz w:val="44"/>
          <w:szCs w:val="44"/>
        </w:rPr>
      </w:pPr>
      <w:r>
        <w:rPr>
          <w:rFonts w:hint="eastAsia" w:ascii="宋体" w:hAnsi="宋体" w:eastAsia="宋体" w:cs="宋体"/>
          <w:color w:val="auto"/>
          <w:sz w:val="44"/>
          <w:szCs w:val="44"/>
          <w:lang w:eastAsia="zh-CN"/>
        </w:rPr>
        <w:t>JZFCG-G2018047-1号</w:t>
      </w:r>
      <w:r>
        <w:rPr>
          <w:rFonts w:hint="eastAsia" w:ascii="宋体" w:hAnsi="宋体" w:eastAsia="宋体" w:cs="宋体"/>
          <w:color w:val="auto"/>
          <w:sz w:val="44"/>
          <w:szCs w:val="44"/>
        </w:rPr>
        <w:t>许昌市东城区管理委员会机关事务管理处“物业管理服务”项目</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Theme="majorEastAsia" w:hAnsiTheme="majorEastAsia" w:eastAsiaTheme="majorEastAsia" w:cstheme="majorEastAsia"/>
          <w:b/>
          <w:bCs/>
          <w:color w:val="auto"/>
          <w:sz w:val="36"/>
          <w:szCs w:val="36"/>
          <w:lang w:eastAsia="zh-CN"/>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w:t>
      </w:r>
      <w:r>
        <w:rPr>
          <w:rFonts w:hint="eastAsia" w:asciiTheme="majorEastAsia" w:hAnsiTheme="majorEastAsia" w:eastAsiaTheme="majorEastAsia" w:cstheme="majorEastAsia"/>
          <w:b/>
          <w:bCs/>
          <w:color w:val="auto"/>
          <w:sz w:val="36"/>
          <w:szCs w:val="36"/>
          <w:lang w:eastAsia="zh-CN"/>
        </w:rPr>
        <w:t>JZFCG-G2018047-1号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w:t>
      </w:r>
      <w:r>
        <w:rPr>
          <w:rFonts w:hint="eastAsia" w:asciiTheme="majorEastAsia" w:hAnsiTheme="majorEastAsia" w:eastAsiaTheme="majorEastAsia" w:cstheme="majorEastAsia"/>
          <w:b/>
          <w:bCs/>
          <w:color w:val="auto"/>
          <w:sz w:val="32"/>
          <w:szCs w:val="32"/>
        </w:rPr>
        <w:t>许昌市东城区管理委员会机关事务管理处</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代理机构：河南鼎华招标代理有限公司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eastAsia="zh-CN"/>
        </w:rPr>
        <w:t>八</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0"/>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（一）项目名称：许昌市东城区管理委员会机关事务管理处</w:t>
      </w:r>
      <w:r>
        <w:rPr>
          <w:rFonts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rPr>
        <w:t>物业管理服务</w:t>
      </w:r>
      <w:r>
        <w:rPr>
          <w:rFonts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rPr>
        <w:t>项目</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w:t>
      </w:r>
      <w:r>
        <w:rPr>
          <w:rFonts w:hint="eastAsia" w:cs="仿宋_GB2312" w:asciiTheme="minorEastAsia" w:hAnsiTheme="minorEastAsia" w:eastAsiaTheme="minorEastAsia"/>
          <w:color w:val="auto"/>
          <w:shd w:val="clear" w:color="auto" w:fill="FFFFFF"/>
          <w:lang w:eastAsia="zh-CN"/>
        </w:rPr>
        <w:t>JZFCG-G2018047-1号</w:t>
      </w:r>
      <w:r>
        <w:rPr>
          <w:rFonts w:hint="eastAsia" w:cs="仿宋_GB2312" w:asciiTheme="minorEastAsia" w:hAnsiTheme="minorEastAsia" w:eastAsiaTheme="minorEastAsia"/>
          <w:color w:val="auto"/>
          <w:shd w:val="clear" w:color="auto" w:fill="FFFFFF"/>
        </w:rPr>
        <w:t xml:space="preserve">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（三）采购方式：公开招标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w:t>
      </w:r>
      <w:r>
        <w:rPr>
          <w:rFonts w:hint="eastAsia" w:asciiTheme="minorEastAsia" w:hAnsiTheme="minorEastAsia" w:eastAsiaTheme="minorEastAsia" w:cstheme="minorEastAsia"/>
          <w:color w:val="auto"/>
          <w:shd w:val="clear" w:color="auto" w:fill="FFFFFF"/>
        </w:rPr>
        <w:t>负责管委会所有办公区内的环境维护工作，负责信访大院、检察院驻东区检察院大院、食药所办公区的环境维护工作和秩序维护工作。</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（五）预算金额：</w:t>
      </w:r>
      <w:r>
        <w:rPr>
          <w:rFonts w:hint="eastAsia" w:asciiTheme="minorEastAsia" w:hAnsiTheme="minorEastAsia" w:eastAsiaTheme="minorEastAsia" w:cstheme="minorEastAsia"/>
          <w:color w:val="auto"/>
          <w:shd w:val="clear" w:color="auto" w:fill="FFFFFF"/>
        </w:rPr>
        <w:t>993600</w:t>
      </w:r>
      <w:r>
        <w:rPr>
          <w:rFonts w:hint="eastAsia" w:cs="仿宋_GB2312" w:asciiTheme="minorEastAsia" w:hAnsiTheme="minorEastAsia" w:eastAsiaTheme="minorEastAsia"/>
          <w:color w:val="auto"/>
          <w:shd w:val="clear" w:color="auto" w:fill="FFFFFF"/>
        </w:rPr>
        <w:t>元/年。最高限价：</w:t>
      </w:r>
      <w:r>
        <w:rPr>
          <w:rFonts w:hint="eastAsia" w:asciiTheme="minorEastAsia" w:hAnsiTheme="minorEastAsia" w:eastAsiaTheme="minorEastAsia" w:cstheme="minorEastAsia"/>
          <w:color w:val="auto"/>
          <w:shd w:val="clear" w:color="auto" w:fill="FFFFFF"/>
        </w:rPr>
        <w:t>993600</w:t>
      </w:r>
      <w:r>
        <w:rPr>
          <w:rFonts w:hint="eastAsia" w:cs="仿宋_GB2312" w:asciiTheme="minorEastAsia" w:hAnsiTheme="minorEastAsia" w:eastAsiaTheme="minorEastAsia"/>
          <w:color w:val="auto"/>
          <w:shd w:val="clear" w:color="auto" w:fill="FFFFFF"/>
        </w:rPr>
        <w:t>元/年。</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（六）服务时间 ：合同签订后3年</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（七）服务地点：许昌市东城区管理委员会机关办公区</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（一）符合《政府采购法》第二十二条第一款规定条件并提供相关材料；</w:t>
      </w:r>
    </w:p>
    <w:p>
      <w:pPr>
        <w:pStyle w:val="20"/>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rPr>
        <w:t>300</w:t>
      </w:r>
      <w:r>
        <w:rPr>
          <w:rFonts w:hint="eastAsia" w:cs="仿宋_GB2312" w:asciiTheme="minorEastAsia" w:hAnsiTheme="minorEastAsia" w:eastAsiaTheme="minorEastAsia"/>
          <w:color w:val="auto"/>
          <w:shd w:val="clear" w:color="auto" w:fill="FFFFFF"/>
        </w:rPr>
        <w:t>元/套，投标人在递交投标文件时向采购代理机构交纳采购文件费用，售后不退。</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7</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val="en-US" w:eastAsia="zh-CN"/>
        </w:rPr>
        <w:t>二</w:t>
      </w:r>
      <w:r>
        <w:rPr>
          <w:rFonts w:hint="eastAsia" w:cs="仿宋_GB2312" w:asciiTheme="minorEastAsia" w:hAnsiTheme="minorEastAsia" w:eastAsiaTheme="minorEastAsia"/>
          <w:color w:val="auto"/>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2、纸质投标文件（正本、副本各1份）和备份文件1份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采购人：许昌市东城区管理委员会机关事务管理处</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址：许昌市东城区管理委员会附属楼1楼</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eastAsia="zh-CN"/>
        </w:rPr>
        <w:t>刘小旭</w:t>
      </w:r>
      <w:r>
        <w:rPr>
          <w:rFonts w:hint="eastAsia" w:cs="仿宋_GB2312" w:asciiTheme="minorEastAsia" w:hAnsiTheme="minorEastAsia" w:eastAsiaTheme="minorEastAsia"/>
          <w:color w:val="auto"/>
        </w:rPr>
        <w:t xml:space="preserve">           联系电话：0374-2959795</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代理机构：河南鼎华招标代理有限公司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址：许昌市新许路中段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联 系 人：</w:t>
      </w:r>
      <w:r>
        <w:rPr>
          <w:rFonts w:hint="eastAsia" w:cs="仿宋_GB2312" w:asciiTheme="minorEastAsia" w:hAnsiTheme="minorEastAsia" w:eastAsiaTheme="minorEastAsia"/>
          <w:color w:val="auto"/>
          <w:lang w:eastAsia="zh-CN"/>
        </w:rPr>
        <w:t>田甜</w:t>
      </w:r>
      <w:r>
        <w:rPr>
          <w:rFonts w:hint="eastAsia" w:cs="仿宋_GB2312" w:asciiTheme="minorEastAsia" w:hAnsiTheme="minorEastAsia" w:eastAsiaTheme="minorEastAsia"/>
          <w:color w:val="auto"/>
        </w:rPr>
        <w:t xml:space="preserve">           联系电话：</w:t>
      </w:r>
      <w:r>
        <w:rPr>
          <w:rFonts w:hint="eastAsia" w:cs="仿宋_GB2312" w:asciiTheme="minorEastAsia" w:hAnsiTheme="minorEastAsia" w:eastAsiaTheme="minorEastAsia"/>
          <w:color w:val="auto"/>
          <w:lang w:val="en-US" w:eastAsia="zh-CN"/>
        </w:rPr>
        <w:t>13137427609</w:t>
      </w:r>
    </w:p>
    <w:p>
      <w:pPr>
        <w:autoSpaceDE w:val="0"/>
        <w:autoSpaceDN w:val="0"/>
        <w:adjustRightInd w:val="0"/>
        <w:spacing w:line="700" w:lineRule="exact"/>
        <w:ind w:firstLine="560"/>
        <w:jc w:val="right"/>
        <w:rPr>
          <w:rFonts w:cs="仿宋_GB2312" w:asciiTheme="minorEastAsia" w:hAnsiTheme="minorEastAsia"/>
          <w:color w:val="auto"/>
          <w:sz w:val="24"/>
          <w:szCs w:val="24"/>
        </w:rPr>
      </w:pPr>
      <w:r>
        <w:rPr>
          <w:rFonts w:hint="eastAsia" w:asciiTheme="minorEastAsia" w:hAnsiTheme="minorEastAsia" w:cstheme="majorEastAsia"/>
          <w:color w:val="auto"/>
          <w:sz w:val="24"/>
          <w:szCs w:val="24"/>
          <w:lang w:val="zh-CN"/>
        </w:rPr>
        <w:t xml:space="preserve">                           </w:t>
      </w:r>
      <w:r>
        <w:rPr>
          <w:rFonts w:hint="eastAsia" w:asciiTheme="minorEastAsia" w:hAnsiTheme="minorEastAsia" w:cstheme="majorEastAsia"/>
          <w:color w:val="auto"/>
          <w:sz w:val="24"/>
          <w:szCs w:val="24"/>
        </w:rPr>
        <w:t xml:space="preserve"> 许昌市东城区管理委员会机关事务管理处</w:t>
      </w:r>
    </w:p>
    <w:p>
      <w:pPr>
        <w:autoSpaceDE w:val="0"/>
        <w:autoSpaceDN w:val="0"/>
        <w:adjustRightInd w:val="0"/>
        <w:spacing w:line="700" w:lineRule="exact"/>
        <w:ind w:firstLine="560"/>
        <w:jc w:val="right"/>
        <w:rPr>
          <w:rFonts w:hAnsi="宋体"/>
          <w:b/>
          <w:color w:val="auto"/>
          <w:sz w:val="28"/>
          <w:szCs w:val="28"/>
        </w:rPr>
      </w:pPr>
      <w:r>
        <w:rPr>
          <w:rFonts w:hint="eastAsia" w:cs="仿宋_GB2312" w:asciiTheme="minorEastAsia" w:hAnsiTheme="minorEastAsia"/>
          <w:color w:val="auto"/>
          <w:sz w:val="24"/>
          <w:szCs w:val="24"/>
        </w:rPr>
        <w:t xml:space="preserve">                              二〇一八年</w:t>
      </w:r>
      <w:r>
        <w:rPr>
          <w:rFonts w:hint="eastAsia" w:cs="仿宋_GB2312" w:asciiTheme="minorEastAsia" w:hAnsiTheme="minorEastAsia"/>
          <w:color w:val="auto"/>
          <w:sz w:val="24"/>
          <w:szCs w:val="24"/>
          <w:lang w:val="en-US" w:eastAsia="zh-CN"/>
        </w:rPr>
        <w:t>八</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val="en-US" w:eastAsia="zh-CN"/>
        </w:rPr>
        <w:t>十四</w:t>
      </w:r>
      <w:r>
        <w:rPr>
          <w:rFonts w:hint="eastAsia" w:cs="仿宋_GB2312" w:asciiTheme="minorEastAsia" w:hAnsiTheme="minorEastAsia"/>
          <w:color w:val="auto"/>
          <w:sz w:val="24"/>
          <w:szCs w:val="24"/>
        </w:rPr>
        <w:t>日</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本项目需实现的功能或者目标</w:t>
      </w:r>
    </w:p>
    <w:p>
      <w:pPr>
        <w:widowControl/>
        <w:shd w:val="clear" w:color="auto" w:fill="FFFFFF"/>
        <w:spacing w:line="360" w:lineRule="auto"/>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 xml:space="preserve">     负责管委会所有办公区内的环境维护工作，负责信访大院、检察院驻东区检察院大院、食药所办公区的环境维护工作和秩序维护工作。。</w:t>
      </w:r>
    </w:p>
    <w:p>
      <w:pPr>
        <w:spacing w:line="360" w:lineRule="auto"/>
        <w:ind w:firstLine="241" w:firstLineChars="100"/>
        <w:contextualSpacing/>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★二、工作内容及岗位责任</w:t>
      </w:r>
    </w:p>
    <w:p>
      <w:pPr>
        <w:spacing w:line="360" w:lineRule="auto"/>
        <w:ind w:firstLine="241" w:firstLineChars="100"/>
        <w:contextualSpacing/>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（一）综合管理</w:t>
      </w:r>
    </w:p>
    <w:p>
      <w:pPr>
        <w:spacing w:line="360" w:lineRule="auto"/>
        <w:ind w:firstLine="240" w:firstLineChars="100"/>
        <w:contextualSpacing/>
        <w:rPr>
          <w:rFonts w:hint="eastAsia" w:ascii="宋体" w:hAnsi="宋体" w:cs="宋体" w:eastAsiaTheme="minorEastAsia"/>
          <w:color w:val="auto"/>
          <w:kern w:val="0"/>
          <w:sz w:val="24"/>
          <w:szCs w:val="24"/>
          <w:lang w:eastAsia="zh-CN"/>
        </w:rPr>
      </w:pPr>
      <w:r>
        <w:rPr>
          <w:rFonts w:hint="eastAsia" w:ascii="宋体" w:hAnsi="宋体" w:cs="宋体"/>
          <w:color w:val="auto"/>
          <w:kern w:val="0"/>
          <w:sz w:val="24"/>
          <w:shd w:val="clear" w:color="auto" w:fill="FFFFFF"/>
        </w:rPr>
        <w:t>1、</w:t>
      </w:r>
      <w:r>
        <w:rPr>
          <w:rFonts w:hint="eastAsia" w:ascii="宋体" w:hAnsi="宋体" w:cs="宋体"/>
          <w:color w:val="auto"/>
          <w:kern w:val="0"/>
          <w:sz w:val="24"/>
          <w:szCs w:val="24"/>
        </w:rPr>
        <w:t>人</w:t>
      </w:r>
      <w:r>
        <w:rPr>
          <w:rFonts w:hint="eastAsia" w:ascii="宋体" w:hAnsi="宋体" w:cs="宋体"/>
          <w:color w:val="auto"/>
          <w:kern w:val="0"/>
          <w:sz w:val="24"/>
          <w:szCs w:val="24"/>
          <w:lang w:eastAsia="zh-CN"/>
        </w:rPr>
        <w:t>员配备保洁员</w:t>
      </w:r>
      <w:r>
        <w:rPr>
          <w:rFonts w:hint="eastAsia" w:ascii="宋体" w:hAnsi="宋体" w:cs="宋体"/>
          <w:color w:val="auto"/>
          <w:kern w:val="0"/>
          <w:sz w:val="24"/>
          <w:szCs w:val="24"/>
          <w:lang w:val="en-US" w:eastAsia="zh-CN"/>
        </w:rPr>
        <w:t>23人，公共秩序维护人员13人，要求</w:t>
      </w:r>
      <w:r>
        <w:rPr>
          <w:rFonts w:hint="eastAsia" w:ascii="宋体" w:hAnsi="宋体" w:cs="宋体"/>
          <w:color w:val="auto"/>
          <w:kern w:val="0"/>
          <w:sz w:val="24"/>
          <w:szCs w:val="24"/>
        </w:rPr>
        <w:t>年满24周岁</w:t>
      </w:r>
      <w:r>
        <w:rPr>
          <w:rFonts w:hint="eastAsia" w:ascii="宋体" w:hAnsi="宋体" w:cs="宋体"/>
          <w:color w:val="auto"/>
          <w:kern w:val="0"/>
          <w:sz w:val="24"/>
          <w:szCs w:val="24"/>
          <w:lang w:eastAsia="zh-CN"/>
        </w:rPr>
        <w:t>且</w:t>
      </w:r>
      <w:r>
        <w:rPr>
          <w:rFonts w:hint="eastAsia" w:ascii="宋体" w:hAnsi="宋体" w:cs="宋体"/>
          <w:color w:val="auto"/>
          <w:kern w:val="0"/>
          <w:sz w:val="24"/>
          <w:szCs w:val="24"/>
        </w:rPr>
        <w:t>不超过50周岁</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五官端正、身体健康，无生理缺陷、无精神病史、无传染病, 无不良嗜好，不存在酗酒、吸毒等恶劣习惯</w:t>
      </w:r>
      <w:r>
        <w:rPr>
          <w:rFonts w:hint="eastAsia" w:ascii="宋体" w:hAnsi="宋体" w:cs="宋体"/>
          <w:color w:val="auto"/>
          <w:kern w:val="0"/>
          <w:sz w:val="24"/>
          <w:szCs w:val="24"/>
          <w:lang w:eastAsia="zh-CN"/>
        </w:rPr>
        <w:t>。</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zCs w:val="24"/>
          <w:lang w:val="en-US" w:eastAsia="zh-CN"/>
        </w:rPr>
        <w:t>2、</w:t>
      </w:r>
      <w:r>
        <w:rPr>
          <w:rFonts w:hint="eastAsia" w:ascii="宋体" w:hAnsi="宋体" w:cs="宋体"/>
          <w:color w:val="auto"/>
          <w:kern w:val="0"/>
          <w:sz w:val="24"/>
          <w:shd w:val="clear" w:color="auto" w:fill="FFFFFF"/>
        </w:rPr>
        <w:t>指派现场物业负责人一名，全面负责项目单位的物业管理。</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val="en-US" w:eastAsia="zh-CN"/>
        </w:rPr>
        <w:t>3</w:t>
      </w:r>
      <w:r>
        <w:rPr>
          <w:rFonts w:hint="eastAsia" w:ascii="宋体" w:hAnsi="宋体" w:cs="宋体"/>
          <w:color w:val="auto"/>
          <w:kern w:val="0"/>
          <w:sz w:val="24"/>
          <w:shd w:val="clear" w:color="auto" w:fill="FFFFFF"/>
        </w:rPr>
        <w:t>、制定物业保洁服务工作计划，并组织实施。</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val="en-US" w:eastAsia="zh-CN"/>
        </w:rPr>
        <w:t>4</w:t>
      </w:r>
      <w:r>
        <w:rPr>
          <w:rFonts w:hint="eastAsia" w:ascii="宋体" w:hAnsi="宋体" w:cs="宋体"/>
          <w:color w:val="auto"/>
          <w:kern w:val="0"/>
          <w:sz w:val="24"/>
          <w:shd w:val="clear" w:color="auto" w:fill="FFFFFF"/>
        </w:rPr>
        <w:t>、建立健全管理制度，制定服务质量标准，物业管理档案齐全。</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val="en-US" w:eastAsia="zh-CN"/>
        </w:rPr>
        <w:t>5</w:t>
      </w:r>
      <w:r>
        <w:rPr>
          <w:rFonts w:hint="eastAsia" w:ascii="宋体" w:hAnsi="宋体" w:cs="宋体"/>
          <w:color w:val="auto"/>
          <w:kern w:val="0"/>
          <w:sz w:val="24"/>
          <w:shd w:val="clear" w:color="auto" w:fill="FFFFFF"/>
        </w:rPr>
        <w:t>、公开服务标准及作业程序。</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val="en-US" w:eastAsia="zh-CN"/>
        </w:rPr>
        <w:t>6</w:t>
      </w:r>
      <w:r>
        <w:rPr>
          <w:rFonts w:hint="eastAsia" w:ascii="宋体" w:hAnsi="宋体" w:cs="宋体"/>
          <w:color w:val="auto"/>
          <w:kern w:val="0"/>
          <w:sz w:val="24"/>
          <w:shd w:val="clear" w:color="auto" w:fill="FFFFFF"/>
        </w:rPr>
        <w:t>、全体员工，统一着装，持上岗证上岗。</w:t>
      </w:r>
    </w:p>
    <w:p>
      <w:pPr>
        <w:spacing w:line="360" w:lineRule="auto"/>
        <w:ind w:firstLine="241" w:firstLineChars="100"/>
        <w:contextualSpacing/>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（二）作业时间及程序</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上午：6:50集合、点名、检查着装和仪容仪表及工作安排。</w:t>
      </w:r>
    </w:p>
    <w:p>
      <w:pPr>
        <w:spacing w:line="360" w:lineRule="auto"/>
        <w:ind w:firstLine="960" w:firstLineChars="4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7:00-7:40各自卫生区域彻底清扫</w:t>
      </w:r>
    </w:p>
    <w:p>
      <w:pPr>
        <w:spacing w:line="360" w:lineRule="auto"/>
        <w:ind w:firstLine="960" w:firstLineChars="4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8:30-11:30跟踪巡视保洁擦拭：</w:t>
      </w:r>
    </w:p>
    <w:p>
      <w:pPr>
        <w:spacing w:line="360" w:lineRule="auto"/>
        <w:ind w:firstLine="2160" w:firstLineChars="9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1、步梯、硬化地面不间断巡视、清扫；</w:t>
      </w:r>
    </w:p>
    <w:p>
      <w:pPr>
        <w:spacing w:line="360" w:lineRule="auto"/>
        <w:ind w:left="2879" w:leftChars="114" w:hanging="2640" w:hangingChars="1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2、卫生间每小时巡视一次，及时清理垃圾或更换垃圾袋，增加</w:t>
      </w:r>
    </w:p>
    <w:p>
      <w:pPr>
        <w:spacing w:line="360" w:lineRule="auto"/>
        <w:ind w:left="2873" w:leftChars="1254" w:hanging="240" w:hanging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芳香球；</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3、走廊不间断巡视、跟踪保洁；</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4、打扫周期卫生（门、窗、玻璃幕等）。</w:t>
      </w:r>
    </w:p>
    <w:p>
      <w:pPr>
        <w:spacing w:line="360" w:lineRule="auto"/>
        <w:ind w:firstLine="960" w:firstLineChars="4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11:40集合、讲评、下班。</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下午：13:30 集合、点名、安排工作</w:t>
      </w:r>
    </w:p>
    <w:p>
      <w:pPr>
        <w:spacing w:line="360" w:lineRule="auto"/>
        <w:ind w:firstLine="960" w:firstLineChars="4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13:30-14:10 各卫生区域彻底打扫。</w:t>
      </w:r>
    </w:p>
    <w:p>
      <w:pPr>
        <w:spacing w:line="360" w:lineRule="auto"/>
        <w:ind w:firstLine="960" w:firstLineChars="4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14:10-18:00 巡视保洁（同上午一样）</w:t>
      </w:r>
    </w:p>
    <w:p>
      <w:pPr>
        <w:spacing w:line="360" w:lineRule="auto"/>
        <w:ind w:firstLine="960" w:firstLineChars="4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17:30 集合、讲评、下班。</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注：1、特殊岗位，根据实际情况调整工作时间</w:t>
      </w:r>
    </w:p>
    <w:p>
      <w:pPr>
        <w:spacing w:line="360" w:lineRule="auto"/>
        <w:ind w:firstLine="720" w:firstLineChars="3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2、随季节变化根据单位要求进行调整</w:t>
      </w:r>
    </w:p>
    <w:p>
      <w:pPr>
        <w:spacing w:line="360" w:lineRule="auto"/>
        <w:ind w:firstLine="720" w:firstLineChars="3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3、日常保洁与周期卫生保洁相结合</w:t>
      </w:r>
    </w:p>
    <w:p>
      <w:pPr>
        <w:spacing w:line="360" w:lineRule="auto"/>
        <w:ind w:firstLine="720" w:firstLineChars="3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4、视天气、季节及脏污情况，组织突击人员，彻底清理保洁。</w:t>
      </w:r>
    </w:p>
    <w:p>
      <w:pPr>
        <w:spacing w:line="360" w:lineRule="auto"/>
        <w:ind w:firstLine="241" w:firstLineChars="100"/>
        <w:contextualSpacing/>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（三）保洁员的标准要求及工作准则</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1、保洁员的仪容仪表及礼节礼仪</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1.1上班时必须统一着工装、戴工号牌。</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1.2上班时不准穿高跟鞋或拖鞋，不准穿裙子和短裤。</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1.3上班时一律画淡妆，不准浓妆艳抹，不准戴夸张的首饰。</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1.4上班时仪表要大方、端庄，在客户面前禁止做不雅动作。</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1.5工作时禁止大声喧哗，要文明用语。  </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1.6工作时须进入他人办公场所，应先敲门，经允许后方可进入。</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2、保洁员工作准则</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2.1保洁人员要严格遵守国家的法律、法规和办公楼的各项管理制度，树立良好的职业道德，并具有一定的法制观念和保密意识。</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2.2保洁人员必须仪表端庄、大方、微笑待客、礼貌服务。</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2.3必须按规定着工装、戴工号牌，并保持服饰干净整洁。</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2.4所有岗位定人、定时，服务规范，程序完善。</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2.5爱护办公楼的一切设施，如有损坏，照价赔偿。</w:t>
      </w:r>
    </w:p>
    <w:p>
      <w:pPr>
        <w:spacing w:line="360" w:lineRule="auto"/>
        <w:ind w:firstLine="241" w:firstLineChars="100"/>
        <w:contextualSpacing/>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（四）保洁管理措施</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1、所有保洁员上岗前要进行专业的理论培训，并与实践相结合，方可上岗。</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2、加强对员工礼仪的培训，要文明用语，礼貌待人。</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3、教育员工爱护单位设施，如有损坏，照价赔偿。</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4、保洁人员受双方、双重领导，严格遵守招标方的各项规章制度，并加强对员工的法制教育和保密教育。</w:t>
      </w:r>
    </w:p>
    <w:p>
      <w:pPr>
        <w:spacing w:line="360" w:lineRule="auto"/>
        <w:ind w:firstLine="240" w:firstLineChars="100"/>
        <w:contextualSpacing/>
        <w:rPr>
          <w:rFonts w:ascii="宋体" w:hAnsi="宋体" w:cs="宋体"/>
          <w:color w:val="auto"/>
          <w:kern w:val="0"/>
          <w:sz w:val="24"/>
          <w:shd w:val="clear" w:color="auto" w:fill="FFFFFF"/>
        </w:rPr>
      </w:pPr>
      <w:r>
        <w:rPr>
          <w:rFonts w:ascii="宋体" w:hAnsi="宋体" w:cs="宋体"/>
          <w:color w:val="auto"/>
          <w:kern w:val="0"/>
          <w:sz w:val="24"/>
          <w:shd w:val="clear" w:color="auto" w:fill="FFFFFF"/>
        </w:rPr>
        <w:t>5</w:t>
      </w:r>
      <w:r>
        <w:rPr>
          <w:rFonts w:hint="eastAsia" w:ascii="宋体" w:hAnsi="宋体" w:cs="宋体"/>
          <w:color w:val="auto"/>
          <w:kern w:val="0"/>
          <w:sz w:val="24"/>
          <w:shd w:val="clear" w:color="auto" w:fill="FFFFFF"/>
        </w:rPr>
        <w:t>、定期对事务管理部门回访，征求意见和建议，并落实到工作中去。</w:t>
      </w:r>
    </w:p>
    <w:p>
      <w:pPr>
        <w:spacing w:line="360" w:lineRule="auto"/>
        <w:ind w:firstLine="241" w:firstLineChars="100"/>
        <w:contextualSpacing/>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（五）工作质量标准</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1、地面</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1.1办公区内所有路面每天要循环清扫保洁，保证地面无烟头、杂物、纸屑、地面要定期冲洗，随时清扫、保持整洁干净。</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1.2楼内大厅用静电地拖每天保持整洁，无污染，无水渍（定期清洗地面或实际情况而定），每班数次静推，地面光亮洁净。</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1.3公共场所的走廊、过道、楼梯、大理石地面或瓷砖、水磨石地面，每班次必须循环拖地，定期消毒；日常保养，静电地板要求无污物、无污渍。</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1.4大理石、瓷砖等硬地面，要求表面及其接缝清洁干净，地面匀称光亮，水泥地面干净，地角线极易发现的地方无积尘、杂物、污渍等。</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1.5卫生间、洗手间、茶炉房保持无污渍、无杂物、无异味、无水渍。</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2、洗手间</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2.1每天早班、中班必须全面清洁卫生间、便池、面盆、拖把池，地面应定期清洗，保持卫生间无积尘、杂物、污渍。</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2.2洗手间内的垃圾桶、茶叶桶、纸桶，当天清理，保持桶内无垃圾，桶外干净,地面无垃圾。</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2.3洗手间每天喷洒空气清新剂或点檀香6次以上，便池芳香球及时补充。</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3、综合类</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3.1楼内大厅、走廊的纸篓、痰盂做到无水渍、无灰尘、无污渍，花盆内无烟头、无纸屑、无杂物。</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3.2大厅、走廊、卫生间、洗手间、茶炉房、等公共场所天花板无蜘蛛网，墙壁公共设施无尘迹。</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3.3楼内公共场所每日上午7时之前普遍消毒1次，时间从3月份至11月份不得间断。</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3.4楼内公共部分蚊蝇可用药物、人力消杀，保持为蚊蝇。</w:t>
      </w:r>
    </w:p>
    <w:p>
      <w:pPr>
        <w:spacing w:line="360" w:lineRule="auto"/>
        <w:ind w:firstLine="240" w:firstLineChars="100"/>
        <w:contextualSpacing/>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  3.5及时处理保洁范围内乱贴、乱画、乱挂、乱放杂物现象。</w:t>
      </w:r>
    </w:p>
    <w:p>
      <w:pPr>
        <w:spacing w:line="360" w:lineRule="auto"/>
        <w:ind w:firstLine="241" w:firstLineChars="100"/>
        <w:contextualSpacing/>
        <w:rPr>
          <w:rFonts w:ascii="宋体" w:hAnsi="宋体" w:cs="宋体"/>
          <w:b/>
          <w:bCs/>
          <w:color w:val="auto"/>
          <w:kern w:val="0"/>
          <w:sz w:val="24"/>
          <w:shd w:val="clear" w:color="auto" w:fill="FFFFFF"/>
          <w:lang w:val="zh-CN"/>
        </w:rPr>
      </w:pPr>
      <w:r>
        <w:rPr>
          <w:rFonts w:hint="eastAsia" w:ascii="宋体" w:hAnsi="宋体" w:cs="宋体"/>
          <w:b/>
          <w:bCs/>
          <w:color w:val="auto"/>
          <w:kern w:val="0"/>
          <w:sz w:val="24"/>
          <w:shd w:val="clear" w:color="auto" w:fill="FFFFFF"/>
        </w:rPr>
        <w:t>★</w:t>
      </w:r>
      <w:r>
        <w:rPr>
          <w:rFonts w:hint="eastAsia" w:ascii="宋体" w:hAnsi="宋体" w:cs="宋体"/>
          <w:b/>
          <w:bCs/>
          <w:color w:val="auto"/>
          <w:kern w:val="0"/>
          <w:sz w:val="24"/>
          <w:shd w:val="clear" w:color="auto" w:fill="FFFFFF"/>
          <w:lang w:val="zh-CN"/>
        </w:rPr>
        <w:t>三、验收标准</w:t>
      </w:r>
    </w:p>
    <w:p>
      <w:pPr>
        <w:spacing w:line="360" w:lineRule="auto"/>
        <w:ind w:firstLine="480" w:firstLineChars="200"/>
        <w:contextualSpacing/>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contextualSpacing/>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2、按照招标文件要求、投标文件响应和承诺验收。</w:t>
      </w:r>
    </w:p>
    <w:p>
      <w:pPr>
        <w:spacing w:line="360" w:lineRule="auto"/>
        <w:ind w:firstLine="241" w:firstLineChars="100"/>
        <w:contextualSpacing/>
        <w:rPr>
          <w:rFonts w:ascii="宋体" w:hAnsi="宋体" w:cs="宋体"/>
          <w:b/>
          <w:bCs/>
          <w:color w:val="auto"/>
          <w:kern w:val="0"/>
          <w:sz w:val="24"/>
          <w:shd w:val="clear" w:color="auto" w:fill="FFFFFF"/>
          <w:lang w:val="zh-CN"/>
        </w:rPr>
      </w:pPr>
      <w:r>
        <w:rPr>
          <w:rFonts w:hint="eastAsia" w:ascii="宋体" w:hAnsi="宋体" w:cs="宋体"/>
          <w:b/>
          <w:bCs/>
          <w:color w:val="auto"/>
          <w:kern w:val="0"/>
          <w:sz w:val="24"/>
          <w:shd w:val="clear" w:color="auto" w:fill="FFFFFF"/>
        </w:rPr>
        <w:t>★</w:t>
      </w:r>
      <w:r>
        <w:rPr>
          <w:rFonts w:hint="eastAsia" w:ascii="宋体" w:hAnsi="宋体" w:cs="宋体"/>
          <w:b/>
          <w:bCs/>
          <w:color w:val="auto"/>
          <w:kern w:val="0"/>
          <w:sz w:val="24"/>
          <w:shd w:val="clear" w:color="auto" w:fill="FFFFFF"/>
          <w:lang w:val="zh-CN"/>
        </w:rPr>
        <w:t>五、资金支付</w:t>
      </w:r>
    </w:p>
    <w:p>
      <w:pPr>
        <w:spacing w:line="360" w:lineRule="auto"/>
        <w:ind w:firstLine="480" w:firstLineChars="200"/>
        <w:contextualSpacing/>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1、支付方式：银行转账。</w:t>
      </w:r>
    </w:p>
    <w:p>
      <w:pPr>
        <w:autoSpaceDE w:val="0"/>
        <w:autoSpaceDN w:val="0"/>
        <w:adjustRightInd w:val="0"/>
        <w:ind w:firstLine="480" w:firstLineChars="200"/>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lang w:val="zh-CN"/>
        </w:rPr>
        <w:t>2、支付时间及条件：按月支付。</w:t>
      </w:r>
    </w:p>
    <w:p>
      <w:pPr>
        <w:autoSpaceDE w:val="0"/>
        <w:autoSpaceDN w:val="0"/>
        <w:adjustRightInd w:val="0"/>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项目名称：许昌市东城区管理委员会机关事务管理处</w:t>
            </w:r>
            <w:r>
              <w:rPr>
                <w:rFonts w:cs="仿宋_GB2312" w:asciiTheme="minorEastAsia" w:hAnsiTheme="minorEastAsia"/>
                <w:color w:val="auto"/>
                <w:sz w:val="24"/>
                <w:szCs w:val="24"/>
              </w:rPr>
              <w:t>”</w:t>
            </w:r>
            <w:r>
              <w:rPr>
                <w:rFonts w:hint="eastAsia" w:cs="仿宋_GB2312" w:asciiTheme="minorEastAsia" w:hAnsiTheme="minorEastAsia"/>
                <w:color w:val="auto"/>
                <w:sz w:val="24"/>
                <w:szCs w:val="24"/>
              </w:rPr>
              <w:t>物业管理服务</w:t>
            </w:r>
            <w:r>
              <w:rPr>
                <w:rFonts w:cs="仿宋_GB2312" w:asciiTheme="minorEastAsia" w:hAnsiTheme="minorEastAsia"/>
                <w:color w:val="auto"/>
                <w:sz w:val="24"/>
                <w:szCs w:val="24"/>
              </w:rPr>
              <w:t>”</w:t>
            </w:r>
            <w:r>
              <w:rPr>
                <w:rFonts w:hint="eastAsia" w:cs="仿宋_GB2312" w:asciiTheme="minorEastAsia" w:hAnsiTheme="minorEastAsia"/>
                <w:color w:val="auto"/>
                <w:sz w:val="24"/>
                <w:szCs w:val="24"/>
              </w:rPr>
              <w:t>项目</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z w:val="24"/>
                <w:szCs w:val="24"/>
                <w:lang w:eastAsia="zh-CN"/>
              </w:rPr>
              <w:t>JZFCG-G2018047-1号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项目内容：负责管委会所有办公区内的环境维护工作，负责信访大院、检察院驻东区检察院大院、食药所办公区的环境维护工作和秩序维护工作。。</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项目地址：许昌市东城区管理委员会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名称：许昌市东城区管理委员会机关事务管理处</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地址：许昌市东城区管理委员会附属楼1楼</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刘小旭</w:t>
            </w:r>
            <w:r>
              <w:rPr>
                <w:rFonts w:hint="eastAsia" w:cs="仿宋_GB2312" w:asciiTheme="minorEastAsia" w:hAnsiTheme="minorEastAsia"/>
                <w:color w:val="auto"/>
                <w:sz w:val="24"/>
                <w:szCs w:val="24"/>
              </w:rPr>
              <w:t xml:space="preserve">           联系电话：0374-2959795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名称：河南鼎华招标代理有限公司</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地址：许昌市新许路中段</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田甜</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val="en-US" w:eastAsia="zh-CN"/>
              </w:rPr>
              <w:t>13137427609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七、</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993600</w:t>
            </w:r>
            <w:r>
              <w:rPr>
                <w:rFonts w:hint="eastAsia" w:cs="宋体" w:asciiTheme="minorEastAsia" w:hAnsiTheme="minorEastAsia"/>
                <w:bCs/>
                <w:color w:val="auto"/>
                <w:sz w:val="24"/>
                <w:szCs w:val="24"/>
                <w:lang w:val="zh-CN"/>
              </w:rPr>
              <w:t>元</w:t>
            </w:r>
            <w:r>
              <w:rPr>
                <w:rFonts w:hint="eastAsia" w:cs="宋体" w:asciiTheme="minorEastAsia" w:hAnsiTheme="minorEastAsia"/>
                <w:bCs/>
                <w:color w:val="auto"/>
                <w:sz w:val="24"/>
                <w:szCs w:val="24"/>
              </w:rPr>
              <w:t>/年</w:t>
            </w: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7</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en-US" w:eastAsia="zh-CN"/>
              </w:rPr>
              <w:t>二</w:t>
            </w:r>
            <w:bookmarkStart w:id="13" w:name="_GoBack"/>
            <w:bookmarkEnd w:id="13"/>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金额：壹万玖仟元整（¥</w:t>
            </w:r>
            <w:r>
              <w:rPr>
                <w:rFonts w:hint="eastAsia" w:cs="仿宋_GB2312" w:asciiTheme="minorEastAsia" w:hAnsiTheme="minorEastAsia"/>
                <w:color w:val="auto"/>
                <w:sz w:val="24"/>
                <w:szCs w:val="24"/>
              </w:rPr>
              <w:t>19000</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8"/>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8"/>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8"/>
        <w:numPr>
          <w:ilvl w:val="1"/>
          <w:numId w:val="8"/>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8"/>
        <w:numPr>
          <w:ilvl w:val="1"/>
          <w:numId w:val="9"/>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8"/>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8"/>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8"/>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8"/>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8"/>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8"/>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8"/>
        <w:numPr>
          <w:ilvl w:val="0"/>
          <w:numId w:val="13"/>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8"/>
        <w:numPr>
          <w:ilvl w:val="1"/>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8"/>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8"/>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8"/>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8"/>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8"/>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8"/>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8"/>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8"/>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8"/>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3"/>
        <w:spacing w:line="360" w:lineRule="auto"/>
        <w:ind w:firstLine="340"/>
        <w:contextualSpacing/>
        <w:rPr>
          <w:rFonts w:cs="仿宋_GB2312" w:asciiTheme="minorEastAsia" w:hAnsiTheme="minorEastAsia"/>
          <w:color w:val="auto"/>
          <w:lang w:val="zh-CN"/>
        </w:rPr>
      </w:pPr>
    </w:p>
    <w:p>
      <w:pPr>
        <w:pStyle w:val="13"/>
        <w:spacing w:line="360" w:lineRule="auto"/>
        <w:ind w:firstLine="211"/>
        <w:contextualSpacing/>
        <w:rPr>
          <w:rFonts w:cs="仿宋_GB2312" w:asciiTheme="minorEastAsia" w:hAnsiTheme="minorEastAsia" w:eastAsiaTheme="minorEastAsia"/>
          <w:b/>
          <w:color w:val="auto"/>
          <w:sz w:val="21"/>
          <w:szCs w:val="21"/>
          <w:lang w:val="zh-CN"/>
        </w:rPr>
      </w:pPr>
      <w:r>
        <w:rPr>
          <w:rFonts w:cs="仿宋_GB2312" w:asciiTheme="minorEastAsia" w:hAnsiTheme="minorEastAsia" w:eastAsiaTheme="minorEastAsia"/>
          <w:b/>
          <w:color w:val="auto"/>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（一）</w:t>
      </w:r>
      <w:r>
        <w:rPr>
          <w:rFonts w:cs="仿宋_GB2312" w:asciiTheme="minorEastAsia" w:hAnsiTheme="minorEastAsia" w:eastAsiaTheme="minorEastAsia"/>
          <w:color w:val="auto"/>
          <w:sz w:val="21"/>
          <w:szCs w:val="21"/>
          <w:lang w:val="zh-CN"/>
        </w:rPr>
        <w:t>开标结束后，</w:t>
      </w:r>
      <w:r>
        <w:rPr>
          <w:rFonts w:hint="eastAsia" w:cs="仿宋_GB2312" w:asciiTheme="minorEastAsia" w:hAnsiTheme="minorEastAsia" w:eastAsiaTheme="minorEastAsia"/>
          <w:color w:val="auto"/>
          <w:sz w:val="21"/>
          <w:szCs w:val="21"/>
          <w:lang w:val="zh-CN"/>
        </w:rPr>
        <w:t>采购人依法对投标人资格进行审查</w:t>
      </w:r>
      <w:r>
        <w:rPr>
          <w:rFonts w:cs="仿宋_GB2312" w:asciiTheme="minorEastAsia" w:hAnsiTheme="minorEastAsia" w:eastAsiaTheme="minorEastAsia"/>
          <w:color w:val="auto"/>
          <w:sz w:val="21"/>
          <w:szCs w:val="21"/>
          <w:lang w:val="zh-CN"/>
        </w:rPr>
        <w:t>。</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Cs w:val="21"/>
              </w:rPr>
            </w:pPr>
            <w:r>
              <w:rPr>
                <w:rFonts w:hint="eastAsia" w:asciiTheme="minorEastAsia" w:hAnsiTheme="minorEastAsia"/>
                <w:b/>
                <w:color w:val="auto"/>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2、法人或者其他组织的营业执照等证明文件，自然人的身份证明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（3）执业许可证。（非专业服务机构投标提供）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rPr>
                <w:rFonts w:asciiTheme="minorEastAsia" w:hAnsiTheme="minorEastAsia"/>
                <w:b/>
                <w:color w:val="auto"/>
                <w:szCs w:val="21"/>
              </w:rPr>
            </w:pPr>
            <w:r>
              <w:rPr>
                <w:rFonts w:hint="eastAsia" w:asciiTheme="minorEastAsia" w:hAnsiTheme="minorEastAsia"/>
                <w:bCs/>
                <w:color w:val="auto"/>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3、财务状况报告相关材料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Cs w:val="21"/>
              </w:rPr>
            </w:pPr>
            <w:r>
              <w:rPr>
                <w:rFonts w:hint="eastAsia" w:asciiTheme="minorEastAsia" w:hAnsiTheme="minorEastAsia"/>
                <w:bCs/>
                <w:color w:val="auto"/>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4、依法缴纳税收相关材料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5、依法缴纳社会保障资金的证明材料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6、履行合同所必须的设备和专业技术能力的证明材料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7、参加政府采购活动前3年内在经营活动中没有重大违法记录的声明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8、</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asciiTheme="minorEastAsia" w:hAnsiTheme="minorEastAsia"/>
                <w:b/>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注：政府采购活动中查询及使用投标人信用记录的具体要求为：投标人未被列入失信被执行人、重大税收违法案件当事人名单、</w:t>
            </w:r>
            <w:r>
              <w:rPr>
                <w:rFonts w:asciiTheme="minorEastAsia" w:hAnsiTheme="minorEastAsia"/>
                <w:bCs/>
                <w:color w:val="auto"/>
                <w:szCs w:val="21"/>
              </w:rPr>
              <w:t>政府采购严重违法失信名单</w:t>
            </w:r>
            <w:r>
              <w:rPr>
                <w:rFonts w:hint="eastAsia" w:asciiTheme="minorEastAsia" w:hAnsiTheme="minorEastAsia"/>
                <w:bCs/>
                <w:color w:val="auto"/>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（1）查询渠道：“信用中国”网站（www.creditchina.gov.cn）和“中国政府采购网”（www.ccgp.gov.cn）；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Cs w:val="21"/>
                <w:lang w:val="zh-CN"/>
              </w:rPr>
            </w:pPr>
            <w:r>
              <w:rPr>
                <w:rFonts w:hint="eastAsia" w:asciiTheme="minorEastAsia" w:hAnsiTheme="minorEastAsia"/>
                <w:b/>
                <w:bCs/>
                <w:color w:val="auto"/>
                <w:szCs w:val="21"/>
              </w:rPr>
              <w:t>9、</w:t>
            </w:r>
            <w:r>
              <w:rPr>
                <w:rFonts w:hint="eastAsia" w:cs="仿宋_GB2312" w:asciiTheme="minorEastAsia" w:hAnsiTheme="minorEastAsia"/>
                <w:b/>
                <w:color w:val="auto"/>
                <w:szCs w:val="21"/>
                <w:lang w:val="zh-CN"/>
              </w:rPr>
              <w:t>报价</w:t>
            </w:r>
          </w:p>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10、联合体协议</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11、投标保证金</w:t>
            </w:r>
          </w:p>
          <w:p>
            <w:pPr>
              <w:spacing w:line="360" w:lineRule="auto"/>
              <w:rPr>
                <w:rFonts w:asciiTheme="minorEastAsia" w:hAnsiTheme="minorEastAsia"/>
                <w:color w:val="auto"/>
                <w:szCs w:val="21"/>
              </w:rPr>
            </w:pPr>
            <w:r>
              <w:rPr>
                <w:rFonts w:hint="eastAsia" w:asciiTheme="minorEastAsia" w:hAnsiTheme="minorEastAsia"/>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color w:val="auto"/>
          <w:szCs w:val="24"/>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3"/>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投标人所投其他产品若属于“节能产品政府采购清单”优先采购产品，</w:t>
      </w:r>
      <w:r>
        <w:rPr>
          <w:rFonts w:hint="eastAsia" w:cs="仿宋_GB2312" w:asciiTheme="minorEastAsia" w:hAnsiTheme="minorEastAsia"/>
          <w:color w:val="auto"/>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）产品查询结果截图并加盖投标人公章或中国信息安全认证中心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分值构成</w:t>
            </w:r>
          </w:p>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(总分100分)</w:t>
            </w:r>
          </w:p>
        </w:tc>
        <w:tc>
          <w:tcPr>
            <w:tcW w:w="7204" w:type="dxa"/>
            <w:gridSpan w:val="2"/>
            <w:vAlign w:val="center"/>
          </w:tcPr>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价格分值：</w:t>
            </w:r>
            <w:r>
              <w:rPr>
                <w:rFonts w:hint="eastAsia" w:ascii="宋体" w:hAnsi="宋体" w:eastAsia="宋体"/>
                <w:color w:val="auto"/>
                <w:sz w:val="24"/>
                <w:szCs w:val="24"/>
                <w:u w:val="single"/>
              </w:rPr>
              <w:t>20</w:t>
            </w:r>
            <w:r>
              <w:rPr>
                <w:rFonts w:hint="eastAsia" w:ascii="宋体" w:hAnsi="宋体" w:eastAsia="宋体"/>
                <w:color w:val="auto"/>
                <w:sz w:val="24"/>
                <w:szCs w:val="24"/>
              </w:rPr>
              <w:t>分</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商务部分：</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40</w:t>
            </w:r>
            <w:r>
              <w:rPr>
                <w:rFonts w:hint="eastAsia" w:ascii="宋体" w:hAnsi="宋体" w:eastAsia="宋体"/>
                <w:color w:val="auto"/>
                <w:sz w:val="24"/>
                <w:szCs w:val="24"/>
              </w:rPr>
              <w:t>分</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技术部分：</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4</w:t>
            </w:r>
            <w:r>
              <w:rPr>
                <w:rFonts w:hint="eastAsia" w:ascii="宋体" w:hAnsi="宋体" w:eastAsia="宋体"/>
                <w:color w:val="auto"/>
                <w:sz w:val="24"/>
                <w:szCs w:val="24"/>
                <w:u w:val="single"/>
              </w:rPr>
              <w:t>0</w:t>
            </w:r>
            <w:r>
              <w:rPr>
                <w:rFonts w:hint="eastAsia" w:ascii="宋体" w:hAnsi="宋体" w:eastAsia="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eastAsia="宋体"/>
                <w:b/>
                <w:color w:val="auto"/>
                <w:sz w:val="24"/>
                <w:szCs w:val="24"/>
              </w:rPr>
            </w:pPr>
            <w:r>
              <w:rPr>
                <w:rFonts w:hint="eastAsia" w:ascii="宋体" w:hAnsi="宋体" w:eastAsia="宋体"/>
                <w:b/>
                <w:bCs/>
                <w:color w:val="auto"/>
                <w:sz w:val="24"/>
                <w:szCs w:val="24"/>
              </w:rPr>
              <w:t>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评分因素</w:t>
            </w:r>
          </w:p>
        </w:tc>
        <w:tc>
          <w:tcPr>
            <w:tcW w:w="6237" w:type="dxa"/>
            <w:tcBorders>
              <w:top w:val="single" w:color="auto" w:sz="4" w:space="0"/>
            </w:tcBorders>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评标标准</w:t>
            </w:r>
          </w:p>
        </w:tc>
        <w:tc>
          <w:tcPr>
            <w:tcW w:w="967" w:type="dxa"/>
            <w:tcBorders>
              <w:top w:val="single" w:color="auto" w:sz="4" w:space="0"/>
            </w:tcBorders>
            <w:vAlign w:val="center"/>
          </w:tcPr>
          <w:p>
            <w:pPr>
              <w:jc w:val="center"/>
              <w:rPr>
                <w:rFonts w:ascii="宋体" w:hAnsi="宋体" w:eastAsia="宋体"/>
                <w:b/>
                <w:color w:val="auto"/>
                <w:sz w:val="24"/>
                <w:szCs w:val="24"/>
              </w:rPr>
            </w:pPr>
            <w:r>
              <w:rPr>
                <w:rFonts w:hint="eastAsia" w:ascii="宋体" w:hAnsi="宋体" w:eastAsia="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投标报价</w:t>
            </w:r>
          </w:p>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评分标准</w:t>
            </w:r>
          </w:p>
        </w:tc>
        <w:tc>
          <w:tcPr>
            <w:tcW w:w="6237" w:type="dxa"/>
            <w:tcBorders>
              <w:top w:val="single" w:color="auto" w:sz="4" w:space="0"/>
            </w:tcBorders>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评标基准价：满足招标文件要求的有效投标报价中，最低的投标报价为评标基准价。</w:t>
            </w:r>
          </w:p>
          <w:p>
            <w:pPr>
              <w:spacing w:line="360" w:lineRule="auto"/>
              <w:rPr>
                <w:rFonts w:ascii="宋体" w:hAnsi="宋体" w:eastAsia="宋体"/>
                <w:color w:val="auto"/>
                <w:sz w:val="24"/>
                <w:szCs w:val="24"/>
              </w:rPr>
            </w:pPr>
            <w:r>
              <w:rPr>
                <w:rFonts w:hint="eastAsia" w:ascii="宋体" w:hAnsi="宋体" w:eastAsia="宋体"/>
                <w:color w:val="auto"/>
                <w:sz w:val="24"/>
                <w:szCs w:val="24"/>
              </w:rPr>
              <w:t>投标报价得分=（评标基准价/投标报价）×20</w:t>
            </w:r>
          </w:p>
        </w:tc>
        <w:tc>
          <w:tcPr>
            <w:tcW w:w="967" w:type="dxa"/>
            <w:tcBorders>
              <w:top w:val="single" w:color="auto" w:sz="4" w:space="0"/>
            </w:tcBorders>
            <w:vAlign w:val="center"/>
          </w:tcPr>
          <w:p>
            <w:pPr>
              <w:jc w:val="center"/>
              <w:rPr>
                <w:rFonts w:ascii="宋体" w:hAnsi="宋体" w:eastAsia="宋体"/>
                <w:color w:val="auto"/>
                <w:sz w:val="24"/>
                <w:szCs w:val="24"/>
              </w:rPr>
            </w:pPr>
            <w:r>
              <w:rPr>
                <w:rFonts w:hint="eastAsia" w:ascii="宋体" w:hAnsi="宋体" w:eastAsia="宋体"/>
                <w:color w:val="auto"/>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eastAsia="宋体"/>
                <w:b/>
                <w:color w:val="auto"/>
                <w:sz w:val="24"/>
                <w:szCs w:val="24"/>
              </w:rPr>
            </w:pPr>
            <w:r>
              <w:rPr>
                <w:rFonts w:hint="eastAsia" w:ascii="宋体" w:hAnsi="宋体" w:eastAsia="宋体"/>
                <w:b/>
                <w:color w:val="auto"/>
                <w:sz w:val="24"/>
                <w:szCs w:val="24"/>
              </w:rPr>
              <w:t>商务部分（满分</w:t>
            </w:r>
            <w:r>
              <w:rPr>
                <w:rFonts w:hint="eastAsia" w:ascii="宋体" w:hAnsi="宋体" w:eastAsia="宋体"/>
                <w:b/>
                <w:color w:val="auto"/>
                <w:sz w:val="24"/>
                <w:szCs w:val="24"/>
                <w:u w:val="single"/>
              </w:rPr>
              <w:t>40</w:t>
            </w:r>
            <w:r>
              <w:rPr>
                <w:rFonts w:hint="eastAsia" w:ascii="宋体" w:hAnsi="宋体" w:eastAsia="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评分因素</w:t>
            </w:r>
          </w:p>
        </w:tc>
        <w:tc>
          <w:tcPr>
            <w:tcW w:w="6237"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评标标准</w:t>
            </w:r>
          </w:p>
        </w:tc>
        <w:tc>
          <w:tcPr>
            <w:tcW w:w="967"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762" w:type="dxa"/>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企业综</w:t>
            </w:r>
          </w:p>
          <w:p>
            <w:pPr>
              <w:spacing w:line="360" w:lineRule="exact"/>
              <w:jc w:val="center"/>
              <w:rPr>
                <w:rFonts w:ascii="宋体" w:hAnsi="宋体" w:eastAsia="宋体"/>
                <w:color w:val="auto"/>
                <w:sz w:val="24"/>
                <w:szCs w:val="24"/>
              </w:rPr>
            </w:pPr>
            <w:r>
              <w:rPr>
                <w:rFonts w:hint="eastAsia" w:ascii="宋体" w:hAnsi="宋体" w:eastAsia="宋体"/>
                <w:color w:val="auto"/>
                <w:sz w:val="24"/>
                <w:szCs w:val="24"/>
              </w:rPr>
              <w:t>合实力</w:t>
            </w:r>
          </w:p>
        </w:tc>
        <w:tc>
          <w:tcPr>
            <w:tcW w:w="6237" w:type="dxa"/>
            <w:vAlign w:val="center"/>
          </w:tcPr>
          <w:p>
            <w:pPr>
              <w:numPr>
                <w:ilvl w:val="0"/>
                <w:numId w:val="20"/>
              </w:numPr>
              <w:spacing w:line="360" w:lineRule="exact"/>
              <w:rPr>
                <w:rFonts w:ascii="宋体" w:hAnsi="宋体" w:eastAsia="宋体"/>
                <w:color w:val="auto"/>
                <w:sz w:val="24"/>
                <w:szCs w:val="24"/>
              </w:rPr>
            </w:pPr>
            <w:r>
              <w:rPr>
                <w:rFonts w:hint="eastAsia" w:ascii="宋体" w:hAnsi="宋体" w:eastAsia="宋体"/>
                <w:color w:val="auto"/>
                <w:sz w:val="24"/>
                <w:szCs w:val="24"/>
              </w:rPr>
              <w:t>1、投标人自2014年1月1日以来，获得过符合国际信用管理体系信用级别评定标准的荣誉证明的，每项3分，总分12分。</w:t>
            </w:r>
          </w:p>
          <w:p>
            <w:pPr>
              <w:numPr>
                <w:ilvl w:val="0"/>
                <w:numId w:val="20"/>
              </w:numPr>
              <w:spacing w:line="360" w:lineRule="exact"/>
              <w:rPr>
                <w:rFonts w:ascii="宋体" w:hAnsi="宋体" w:eastAsia="宋体"/>
                <w:color w:val="auto"/>
                <w:sz w:val="24"/>
                <w:szCs w:val="24"/>
              </w:rPr>
            </w:pPr>
            <w:r>
              <w:rPr>
                <w:rFonts w:hint="eastAsia" w:ascii="宋体" w:hAnsi="宋体" w:eastAsia="宋体"/>
                <w:color w:val="auto"/>
                <w:sz w:val="24"/>
                <w:szCs w:val="24"/>
              </w:rPr>
              <w:t>投标人通过质量管理体系认证、环境管理体系认证，职业健康安全管理体系认证每项</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分，满分</w:t>
            </w:r>
            <w:r>
              <w:rPr>
                <w:rFonts w:hint="eastAsia" w:ascii="宋体" w:hAnsi="宋体" w:eastAsia="宋体"/>
                <w:color w:val="auto"/>
                <w:sz w:val="24"/>
                <w:szCs w:val="24"/>
                <w:lang w:val="en-US" w:eastAsia="zh-CN"/>
              </w:rPr>
              <w:t>9</w:t>
            </w:r>
            <w:r>
              <w:rPr>
                <w:rFonts w:hint="eastAsia" w:ascii="宋体" w:hAnsi="宋体" w:eastAsia="宋体"/>
                <w:color w:val="auto"/>
                <w:sz w:val="24"/>
                <w:szCs w:val="24"/>
              </w:rPr>
              <w:t>分。</w:t>
            </w:r>
          </w:p>
        </w:tc>
        <w:tc>
          <w:tcPr>
            <w:tcW w:w="967" w:type="dxa"/>
            <w:vAlign w:val="center"/>
          </w:tcPr>
          <w:p>
            <w:pPr>
              <w:jc w:val="center"/>
              <w:rPr>
                <w:rFonts w:ascii="宋体" w:hAnsi="宋体" w:eastAsia="宋体"/>
                <w:color w:val="auto"/>
                <w:sz w:val="24"/>
                <w:szCs w:val="24"/>
                <w:lang w:val="en-GB"/>
              </w:rPr>
            </w:pPr>
            <w:r>
              <w:rPr>
                <w:rFonts w:hint="eastAsia" w:ascii="宋体" w:hAnsi="宋体" w:eastAsia="宋体"/>
                <w:color w:val="auto"/>
                <w:sz w:val="24"/>
                <w:szCs w:val="24"/>
                <w:lang w:val="en-US" w:eastAsia="zh-CN"/>
              </w:rPr>
              <w:t>21</w:t>
            </w:r>
            <w:r>
              <w:rPr>
                <w:rFonts w:hint="eastAsia" w:ascii="宋体" w:hAnsi="宋体" w:eastAsia="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业绩</w:t>
            </w:r>
          </w:p>
        </w:tc>
        <w:tc>
          <w:tcPr>
            <w:tcW w:w="6237" w:type="dxa"/>
            <w:vAlign w:val="center"/>
          </w:tcPr>
          <w:p>
            <w:pPr>
              <w:spacing w:line="360" w:lineRule="auto"/>
              <w:jc w:val="left"/>
              <w:rPr>
                <w:rFonts w:ascii="宋体" w:hAnsi="宋体" w:eastAsia="宋体"/>
                <w:color w:val="auto"/>
                <w:sz w:val="24"/>
                <w:szCs w:val="24"/>
              </w:rPr>
            </w:pPr>
            <w:r>
              <w:rPr>
                <w:rFonts w:hint="eastAsia" w:ascii="宋体" w:hAnsi="宋体" w:eastAsia="宋体"/>
                <w:color w:val="auto"/>
                <w:sz w:val="24"/>
                <w:szCs w:val="24"/>
              </w:rPr>
              <w:t>具有类似物业管理项目业绩，合同金额在80万元及以上（含80万元）的每份加</w:t>
            </w:r>
            <w:r>
              <w:rPr>
                <w:rFonts w:ascii="宋体" w:hAnsi="宋体" w:eastAsia="宋体"/>
                <w:color w:val="auto"/>
                <w:sz w:val="24"/>
                <w:szCs w:val="24"/>
              </w:rPr>
              <w:t>3</w:t>
            </w:r>
            <w:r>
              <w:rPr>
                <w:rFonts w:hint="eastAsia" w:ascii="宋体" w:hAnsi="宋体" w:eastAsia="宋体"/>
                <w:color w:val="auto"/>
                <w:sz w:val="24"/>
                <w:szCs w:val="24"/>
              </w:rPr>
              <w:t>分，满分</w:t>
            </w:r>
            <w:r>
              <w:rPr>
                <w:rFonts w:hint="eastAsia" w:ascii="宋体" w:hAnsi="宋体" w:eastAsia="宋体"/>
                <w:color w:val="auto"/>
                <w:sz w:val="24"/>
                <w:szCs w:val="24"/>
                <w:lang w:val="en-US" w:eastAsia="zh-CN"/>
              </w:rPr>
              <w:t>15</w:t>
            </w:r>
            <w:r>
              <w:rPr>
                <w:rFonts w:hint="eastAsia" w:ascii="宋体" w:hAnsi="宋体" w:eastAsia="宋体"/>
                <w:color w:val="auto"/>
                <w:sz w:val="24"/>
                <w:szCs w:val="24"/>
              </w:rPr>
              <w:t>分。（以上业绩需提供合同及验收报告，以合同签订日期为准）。</w:t>
            </w:r>
          </w:p>
        </w:tc>
        <w:tc>
          <w:tcPr>
            <w:tcW w:w="967" w:type="dxa"/>
            <w:vAlign w:val="center"/>
          </w:tcPr>
          <w:p>
            <w:pPr>
              <w:jc w:val="center"/>
              <w:rPr>
                <w:rFonts w:ascii="宋体" w:hAnsi="宋体" w:eastAsia="宋体"/>
                <w:color w:val="auto"/>
                <w:sz w:val="24"/>
                <w:szCs w:val="24"/>
              </w:rPr>
            </w:pPr>
            <w:r>
              <w:rPr>
                <w:rFonts w:hint="eastAsia" w:ascii="宋体" w:hAnsi="宋体" w:eastAsia="宋体"/>
                <w:color w:val="auto"/>
                <w:sz w:val="24"/>
                <w:szCs w:val="24"/>
                <w:lang w:val="en-US" w:eastAsia="zh-CN"/>
              </w:rPr>
              <w:t>15</w:t>
            </w:r>
            <w:r>
              <w:rPr>
                <w:rFonts w:hint="eastAsia" w:ascii="宋体" w:hAnsi="宋体" w:eastAsia="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投标文件的规范程度</w:t>
            </w:r>
          </w:p>
        </w:tc>
        <w:tc>
          <w:tcPr>
            <w:tcW w:w="6237" w:type="dxa"/>
            <w:vAlign w:val="center"/>
          </w:tcPr>
          <w:p>
            <w:pPr>
              <w:spacing w:line="360" w:lineRule="auto"/>
              <w:jc w:val="left"/>
              <w:rPr>
                <w:rFonts w:ascii="宋体" w:hAnsi="宋体" w:eastAsia="宋体" w:cs="Courier New"/>
                <w:bCs/>
                <w:color w:val="auto"/>
                <w:sz w:val="24"/>
                <w:szCs w:val="24"/>
              </w:rPr>
            </w:pPr>
            <w:r>
              <w:rPr>
                <w:rFonts w:hint="eastAsia" w:ascii="宋体" w:hAnsi="宋体" w:eastAsia="宋体"/>
                <w:color w:val="auto"/>
                <w:sz w:val="24"/>
                <w:szCs w:val="24"/>
              </w:rPr>
              <w:t>1、</w:t>
            </w:r>
            <w:r>
              <w:rPr>
                <w:rFonts w:hint="eastAsia" w:ascii="宋体" w:hAnsi="宋体" w:eastAsia="宋体" w:cs="Courier New"/>
                <w:bCs/>
                <w:color w:val="auto"/>
                <w:sz w:val="24"/>
                <w:szCs w:val="24"/>
              </w:rPr>
              <w:t>投标文件的编制符合招标文件的规定，装订整齐规范的，得2分；不满足不得分。</w:t>
            </w:r>
          </w:p>
          <w:p>
            <w:pPr>
              <w:spacing w:line="360" w:lineRule="auto"/>
              <w:rPr>
                <w:rFonts w:ascii="宋体" w:hAnsi="宋体" w:eastAsia="宋体"/>
                <w:color w:val="auto"/>
                <w:sz w:val="24"/>
                <w:szCs w:val="24"/>
              </w:rPr>
            </w:pPr>
            <w:r>
              <w:rPr>
                <w:rFonts w:hint="eastAsia" w:ascii="宋体" w:hAnsi="宋体" w:eastAsia="宋体"/>
                <w:color w:val="auto"/>
                <w:sz w:val="24"/>
                <w:szCs w:val="24"/>
              </w:rPr>
              <w:t>2、</w:t>
            </w:r>
            <w:r>
              <w:rPr>
                <w:rFonts w:hint="eastAsia" w:ascii="宋体" w:hAnsi="宋体" w:eastAsia="宋体" w:cs="Courier New"/>
                <w:bCs/>
                <w:color w:val="auto"/>
                <w:sz w:val="24"/>
                <w:szCs w:val="24"/>
              </w:rPr>
              <w:t>投标人编制投标文件逻辑严紧、描述规范、无文字错误的，得2分；不满足不得分。</w:t>
            </w:r>
          </w:p>
        </w:tc>
        <w:tc>
          <w:tcPr>
            <w:tcW w:w="967" w:type="dxa"/>
            <w:vAlign w:val="center"/>
          </w:tcPr>
          <w:p>
            <w:pPr>
              <w:jc w:val="center"/>
              <w:rPr>
                <w:rFonts w:ascii="宋体" w:hAnsi="宋体" w:eastAsia="宋体"/>
                <w:color w:val="auto"/>
                <w:sz w:val="24"/>
                <w:szCs w:val="24"/>
              </w:rPr>
            </w:pPr>
            <w:r>
              <w:rPr>
                <w:rFonts w:hint="eastAsia" w:ascii="宋体" w:hAnsi="宋体" w:eastAsia="宋体"/>
                <w:color w:val="auto"/>
                <w:sz w:val="24"/>
                <w:szCs w:val="24"/>
              </w:rPr>
              <w:t xml:space="preserve">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eastAsia="宋体"/>
                <w:b/>
                <w:color w:val="auto"/>
                <w:sz w:val="24"/>
                <w:szCs w:val="24"/>
              </w:rPr>
            </w:pPr>
            <w:r>
              <w:rPr>
                <w:rFonts w:hint="eastAsia" w:ascii="宋体" w:hAnsi="宋体" w:eastAsia="宋体"/>
                <w:b/>
                <w:color w:val="auto"/>
                <w:sz w:val="24"/>
                <w:szCs w:val="24"/>
              </w:rPr>
              <w:t>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评分因素</w:t>
            </w:r>
          </w:p>
        </w:tc>
        <w:tc>
          <w:tcPr>
            <w:tcW w:w="6237"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评标标准</w:t>
            </w:r>
          </w:p>
        </w:tc>
        <w:tc>
          <w:tcPr>
            <w:tcW w:w="967"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项目实施</w:t>
            </w:r>
          </w:p>
          <w:p>
            <w:pPr>
              <w:jc w:val="center"/>
              <w:rPr>
                <w:rFonts w:ascii="宋体" w:hAnsi="宋体" w:eastAsia="宋体"/>
                <w:color w:val="auto"/>
                <w:sz w:val="24"/>
                <w:szCs w:val="24"/>
              </w:rPr>
            </w:pPr>
            <w:r>
              <w:rPr>
                <w:rFonts w:hint="eastAsia" w:ascii="宋体" w:hAnsi="宋体" w:eastAsia="宋体"/>
                <w:color w:val="auto"/>
                <w:sz w:val="24"/>
                <w:szCs w:val="24"/>
              </w:rPr>
              <w:t>方案</w:t>
            </w:r>
          </w:p>
        </w:tc>
        <w:tc>
          <w:tcPr>
            <w:tcW w:w="6237" w:type="dxa"/>
            <w:vAlign w:val="center"/>
          </w:tcPr>
          <w:p>
            <w:pPr>
              <w:spacing w:line="360" w:lineRule="exact"/>
              <w:rPr>
                <w:rFonts w:ascii="宋体" w:hAnsi="宋体" w:eastAsia="宋体"/>
                <w:color w:val="auto"/>
                <w:sz w:val="24"/>
                <w:szCs w:val="24"/>
              </w:rPr>
            </w:pPr>
            <w:r>
              <w:rPr>
                <w:rFonts w:hint="eastAsia" w:ascii="宋体" w:hAnsi="宋体" w:eastAsia="宋体"/>
                <w:color w:val="auto"/>
                <w:sz w:val="24"/>
                <w:szCs w:val="24"/>
              </w:rPr>
              <w:t>1、对服务项目背景现状、实际需求、运作要求等理解到位、分析全面深入的得7分，仅进行了简单概况的得3分，不提供不得分。</w:t>
            </w:r>
          </w:p>
          <w:p>
            <w:pPr>
              <w:spacing w:line="360" w:lineRule="exact"/>
              <w:rPr>
                <w:rFonts w:ascii="宋体" w:hAnsi="宋体" w:eastAsia="宋体"/>
                <w:color w:val="auto"/>
                <w:sz w:val="24"/>
                <w:szCs w:val="24"/>
              </w:rPr>
            </w:pPr>
            <w:r>
              <w:rPr>
                <w:rFonts w:hint="eastAsia" w:ascii="宋体" w:hAnsi="宋体" w:eastAsia="宋体"/>
                <w:color w:val="auto"/>
                <w:sz w:val="24"/>
                <w:szCs w:val="24"/>
              </w:rPr>
              <w:t>2、工作流程、作业程序及管理方案全面、规范、无漏项的，得7分，仅进行了简单概况的得3分，不提供不得分。</w:t>
            </w:r>
          </w:p>
          <w:p>
            <w:pPr>
              <w:spacing w:line="360" w:lineRule="exact"/>
              <w:rPr>
                <w:rFonts w:ascii="宋体" w:hAnsi="宋体" w:eastAsia="宋体"/>
                <w:color w:val="auto"/>
                <w:sz w:val="24"/>
                <w:szCs w:val="24"/>
              </w:rPr>
            </w:pPr>
            <w:r>
              <w:rPr>
                <w:rFonts w:hint="eastAsia" w:ascii="宋体" w:hAnsi="宋体" w:eastAsia="宋体"/>
                <w:color w:val="auto"/>
                <w:sz w:val="24"/>
                <w:szCs w:val="24"/>
              </w:rPr>
              <w:t>3、员工培训计划方案、绩效考核、管理全面、有效的，得7分，仅进行了简单概况的得3分，不提供不得分。</w:t>
            </w:r>
          </w:p>
          <w:p>
            <w:pPr>
              <w:spacing w:line="360" w:lineRule="exact"/>
              <w:rPr>
                <w:rFonts w:ascii="宋体" w:hAnsi="宋体" w:eastAsia="宋体"/>
                <w:color w:val="auto"/>
                <w:sz w:val="24"/>
                <w:szCs w:val="24"/>
              </w:rPr>
            </w:pPr>
            <w:r>
              <w:rPr>
                <w:rFonts w:hint="eastAsia" w:ascii="宋体" w:hAnsi="宋体" w:eastAsia="宋体"/>
                <w:color w:val="auto"/>
                <w:sz w:val="24"/>
                <w:szCs w:val="24"/>
              </w:rPr>
              <w:t>4、应急情况处理方案全面、有效的，得7分，仅进行了简单概况的得3分，不提供不得分。</w:t>
            </w:r>
          </w:p>
          <w:p>
            <w:pPr>
              <w:spacing w:line="360" w:lineRule="auto"/>
              <w:rPr>
                <w:rFonts w:ascii="宋体" w:hAnsi="宋体" w:eastAsia="宋体"/>
                <w:color w:val="auto"/>
                <w:sz w:val="24"/>
                <w:szCs w:val="24"/>
              </w:rPr>
            </w:pPr>
            <w:r>
              <w:rPr>
                <w:rFonts w:hint="eastAsia" w:ascii="宋体" w:hAnsi="宋体" w:eastAsia="宋体"/>
                <w:color w:val="auto"/>
                <w:sz w:val="24"/>
                <w:szCs w:val="24"/>
              </w:rPr>
              <w:t>5、管理人员岗位配置无缺岗，能满足要求的，得7分，仅进行了简单概况的得3分，不提供不得分。</w:t>
            </w:r>
          </w:p>
        </w:tc>
        <w:tc>
          <w:tcPr>
            <w:tcW w:w="967"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售后服务方案</w:t>
            </w:r>
          </w:p>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及承诺</w:t>
            </w:r>
          </w:p>
        </w:tc>
        <w:tc>
          <w:tcPr>
            <w:tcW w:w="6237"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除满足本招标文件内对</w:t>
            </w:r>
            <w:r>
              <w:rPr>
                <w:rFonts w:hint="eastAsia" w:ascii="宋体" w:hAnsi="宋体" w:eastAsia="宋体"/>
                <w:color w:val="auto"/>
                <w:sz w:val="24"/>
                <w:szCs w:val="24"/>
                <w:lang w:eastAsia="zh-CN"/>
              </w:rPr>
              <w:t>公共秩序维护</w:t>
            </w:r>
            <w:r>
              <w:rPr>
                <w:rFonts w:hint="eastAsia" w:ascii="宋体" w:hAnsi="宋体" w:eastAsia="宋体"/>
                <w:color w:val="auto"/>
                <w:sz w:val="24"/>
                <w:szCs w:val="24"/>
              </w:rPr>
              <w:t>服务的所有实质性要求之外还有其他服务承诺的得5分，仅进行了简单概况的得2分，没有不得分。</w:t>
            </w:r>
          </w:p>
        </w:tc>
        <w:tc>
          <w:tcPr>
            <w:tcW w:w="967"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5分</w:t>
            </w: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r>
        <w:rPr>
          <w:rFonts w:ascii="宋体" w:hAnsi="宋体" w:cs="Courier New"/>
          <w:color w:val="auto"/>
          <w:szCs w:val="21"/>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ind w:firstLine="482" w:firstLineChars="200"/>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spacing w:line="360" w:lineRule="auto"/>
        <w:ind w:firstLine="480" w:firstLineChars="200"/>
        <w:rPr>
          <w:rFonts w:ascii="宋体" w:hAnsi="宋体"/>
          <w:color w:val="auto"/>
          <w:sz w:val="24"/>
        </w:rPr>
      </w:pPr>
      <w:r>
        <w:rPr>
          <w:rFonts w:hint="eastAsia" w:ascii="宋体" w:hAnsi="宋体"/>
          <w:color w:val="auto"/>
          <w:sz w:val="24"/>
        </w:rPr>
        <w:t>1. 定义</w:t>
      </w:r>
    </w:p>
    <w:p>
      <w:pPr>
        <w:spacing w:line="360" w:lineRule="auto"/>
        <w:ind w:firstLine="480" w:firstLineChars="200"/>
        <w:rPr>
          <w:rFonts w:ascii="宋体" w:hAnsi="宋体"/>
          <w:color w:val="auto"/>
          <w:sz w:val="24"/>
        </w:rPr>
      </w:pPr>
      <w:r>
        <w:rPr>
          <w:rFonts w:hint="eastAsia" w:ascii="宋体" w:hAnsi="宋体"/>
          <w:color w:val="auto"/>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auto"/>
          <w:sz w:val="24"/>
        </w:rPr>
      </w:pPr>
      <w:r>
        <w:rPr>
          <w:rFonts w:hint="eastAsia" w:ascii="宋体" w:hAnsi="宋体"/>
          <w:color w:val="auto"/>
          <w:sz w:val="24"/>
        </w:rPr>
        <w:t xml:space="preserve">1.2“合同价格”系指根据合同规定，在乙方全面正确地履行合同义务时应支付给乙方的款项。 </w:t>
      </w:r>
    </w:p>
    <w:p>
      <w:pPr>
        <w:spacing w:line="360" w:lineRule="auto"/>
        <w:ind w:firstLine="480" w:firstLineChars="200"/>
        <w:rPr>
          <w:rFonts w:ascii="宋体" w:hAnsi="宋体"/>
          <w:color w:val="auto"/>
          <w:sz w:val="24"/>
        </w:rPr>
      </w:pPr>
      <w:r>
        <w:rPr>
          <w:rFonts w:hint="eastAsia" w:ascii="宋体" w:hAnsi="宋体"/>
          <w:color w:val="auto"/>
          <w:sz w:val="24"/>
        </w:rPr>
        <w:t>1.3“甲方”系指通过招标方式，接受合同服务的采购人</w:t>
      </w:r>
    </w:p>
    <w:p>
      <w:pPr>
        <w:spacing w:line="360" w:lineRule="auto"/>
        <w:ind w:firstLine="480" w:firstLineChars="200"/>
        <w:rPr>
          <w:rFonts w:ascii="宋体" w:hAnsi="宋体"/>
          <w:color w:val="auto"/>
          <w:sz w:val="24"/>
        </w:rPr>
      </w:pPr>
      <w:r>
        <w:rPr>
          <w:rFonts w:hint="eastAsia" w:ascii="宋体" w:hAnsi="宋体"/>
          <w:color w:val="auto"/>
          <w:sz w:val="24"/>
        </w:rPr>
        <w:t>1.4“乙方”系指中标后提供合同服务的</w:t>
      </w:r>
      <w:r>
        <w:rPr>
          <w:rFonts w:hint="eastAsia" w:ascii="宋体" w:hAnsi="宋体"/>
          <w:bCs/>
          <w:color w:val="auto"/>
          <w:sz w:val="24"/>
        </w:rPr>
        <w:t>中标方</w:t>
      </w:r>
      <w:r>
        <w:rPr>
          <w:rFonts w:hint="eastAsia" w:ascii="宋体" w:hAnsi="宋体"/>
          <w:color w:val="auto"/>
          <w:sz w:val="24"/>
        </w:rPr>
        <w:t>或供应商。</w:t>
      </w:r>
    </w:p>
    <w:p>
      <w:pPr>
        <w:spacing w:line="360" w:lineRule="auto"/>
        <w:ind w:firstLine="480" w:firstLineChars="200"/>
        <w:rPr>
          <w:rFonts w:ascii="宋体" w:hAnsi="宋体"/>
          <w:color w:val="auto"/>
          <w:sz w:val="24"/>
        </w:rPr>
      </w:pPr>
      <w:r>
        <w:rPr>
          <w:rFonts w:hint="eastAsia" w:ascii="宋体" w:hAnsi="宋体"/>
          <w:color w:val="auto"/>
          <w:sz w:val="24"/>
        </w:rPr>
        <w:t>2.适用范围</w:t>
      </w:r>
    </w:p>
    <w:p>
      <w:pPr>
        <w:spacing w:line="360" w:lineRule="auto"/>
        <w:ind w:firstLine="480" w:firstLineChars="200"/>
        <w:rPr>
          <w:rFonts w:ascii="宋体" w:hAnsi="宋体"/>
          <w:color w:val="auto"/>
          <w:sz w:val="24"/>
        </w:rPr>
      </w:pPr>
      <w:r>
        <w:rPr>
          <w:rFonts w:hint="eastAsia" w:ascii="宋体" w:hAnsi="宋体"/>
          <w:color w:val="auto"/>
          <w:sz w:val="24"/>
        </w:rPr>
        <w:t>本合同条款仅适用于本次招标活动。</w:t>
      </w:r>
    </w:p>
    <w:p>
      <w:pPr>
        <w:spacing w:line="360" w:lineRule="auto"/>
        <w:ind w:firstLine="480" w:firstLineChars="200"/>
        <w:rPr>
          <w:rFonts w:ascii="宋体" w:hAnsi="宋体"/>
          <w:color w:val="auto"/>
          <w:sz w:val="24"/>
        </w:rPr>
      </w:pPr>
      <w:r>
        <w:rPr>
          <w:rFonts w:hint="eastAsia" w:ascii="宋体" w:hAnsi="宋体"/>
          <w:color w:val="auto"/>
          <w:sz w:val="24"/>
        </w:rPr>
        <w:t>3.技术规格和标准</w:t>
      </w:r>
    </w:p>
    <w:p>
      <w:pPr>
        <w:pStyle w:val="15"/>
        <w:spacing w:line="360" w:lineRule="auto"/>
        <w:ind w:firstLine="480"/>
        <w:rPr>
          <w:rFonts w:ascii="宋体" w:hAnsi="宋体" w:eastAsia="宋体"/>
          <w:color w:val="auto"/>
          <w:sz w:val="24"/>
        </w:rPr>
      </w:pPr>
      <w:r>
        <w:rPr>
          <w:rFonts w:hint="eastAsia" w:ascii="宋体" w:hAnsi="宋体" w:eastAsia="宋体"/>
          <w:color w:val="auto"/>
          <w:sz w:val="24"/>
        </w:rPr>
        <w:t>本合同项下所提供服务的技术规格标准应与本招标文件技术规格规定的标准相一致。</w:t>
      </w:r>
    </w:p>
    <w:p>
      <w:pPr>
        <w:spacing w:line="360" w:lineRule="auto"/>
        <w:ind w:firstLine="480" w:firstLineChars="200"/>
        <w:rPr>
          <w:rFonts w:ascii="宋体" w:hAnsi="宋体"/>
          <w:color w:val="auto"/>
          <w:sz w:val="24"/>
        </w:rPr>
      </w:pPr>
      <w:r>
        <w:rPr>
          <w:rFonts w:hint="eastAsia" w:ascii="宋体" w:hAnsi="宋体"/>
          <w:color w:val="auto"/>
          <w:sz w:val="24"/>
        </w:rPr>
        <w:t>4.合同期限</w:t>
      </w:r>
    </w:p>
    <w:p>
      <w:pPr>
        <w:spacing w:line="360" w:lineRule="auto"/>
        <w:ind w:firstLine="480" w:firstLineChars="200"/>
        <w:rPr>
          <w:rFonts w:ascii="宋体" w:hAnsi="宋体"/>
          <w:color w:val="auto"/>
          <w:sz w:val="24"/>
        </w:rPr>
      </w:pPr>
      <w:r>
        <w:rPr>
          <w:rFonts w:hint="eastAsia" w:ascii="宋体" w:hAnsi="宋体"/>
          <w:color w:val="auto"/>
          <w:sz w:val="24"/>
        </w:rPr>
        <w:t>即自</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日起至</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日止。</w:t>
      </w:r>
    </w:p>
    <w:p>
      <w:pPr>
        <w:spacing w:line="360" w:lineRule="auto"/>
        <w:ind w:firstLine="480" w:firstLineChars="200"/>
        <w:rPr>
          <w:rFonts w:ascii="宋体" w:hAnsi="宋体"/>
          <w:color w:val="auto"/>
          <w:sz w:val="24"/>
        </w:rPr>
      </w:pPr>
      <w:r>
        <w:rPr>
          <w:rFonts w:hint="eastAsia" w:ascii="宋体" w:hAnsi="宋体"/>
          <w:color w:val="auto"/>
          <w:sz w:val="24"/>
        </w:rPr>
        <w:t>5.价格</w:t>
      </w:r>
    </w:p>
    <w:p>
      <w:pPr>
        <w:spacing w:line="360" w:lineRule="auto"/>
        <w:ind w:firstLine="480" w:firstLineChars="200"/>
        <w:rPr>
          <w:rFonts w:ascii="宋体" w:hAnsi="宋体"/>
          <w:color w:val="auto"/>
          <w:sz w:val="24"/>
        </w:rPr>
      </w:pPr>
      <w:r>
        <w:rPr>
          <w:rFonts w:hint="eastAsia" w:ascii="宋体" w:hAnsi="宋体"/>
          <w:color w:val="auto"/>
          <w:sz w:val="24"/>
        </w:rPr>
        <w:t>除非合同中另有规定，乙方为其所提供货物设备和服务而要求甲方支付的金额应与其投标报价一致。</w:t>
      </w:r>
    </w:p>
    <w:p>
      <w:pPr>
        <w:spacing w:line="360" w:lineRule="auto"/>
        <w:ind w:firstLine="480" w:firstLineChars="200"/>
        <w:rPr>
          <w:rFonts w:ascii="宋体" w:hAnsi="宋体"/>
          <w:color w:val="auto"/>
          <w:sz w:val="24"/>
        </w:rPr>
      </w:pPr>
      <w:r>
        <w:rPr>
          <w:rFonts w:hint="eastAsia" w:ascii="宋体" w:hAnsi="宋体"/>
          <w:color w:val="auto"/>
          <w:sz w:val="24"/>
        </w:rPr>
        <w:t>6.索赔</w:t>
      </w:r>
    </w:p>
    <w:p>
      <w:pPr>
        <w:spacing w:line="360" w:lineRule="auto"/>
        <w:ind w:firstLine="480" w:firstLineChars="200"/>
        <w:rPr>
          <w:rFonts w:ascii="宋体" w:hAnsi="宋体"/>
          <w:color w:val="auto"/>
          <w:sz w:val="24"/>
        </w:rPr>
      </w:pPr>
      <w:r>
        <w:rPr>
          <w:rFonts w:hint="eastAsia" w:ascii="宋体" w:hAnsi="宋体"/>
          <w:color w:val="auto"/>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auto"/>
          <w:sz w:val="24"/>
        </w:rPr>
      </w:pPr>
      <w:r>
        <w:rPr>
          <w:rFonts w:hint="eastAsia" w:ascii="宋体" w:hAnsi="宋体"/>
          <w:color w:val="auto"/>
          <w:sz w:val="24"/>
        </w:rPr>
        <w:t>6.1.1乙方同意甲方取消其不符合要求的服务项目，退还已经收取的款项。</w:t>
      </w:r>
    </w:p>
    <w:p>
      <w:pPr>
        <w:spacing w:line="360" w:lineRule="auto"/>
        <w:ind w:firstLine="480" w:firstLineChars="200"/>
        <w:rPr>
          <w:rFonts w:ascii="宋体" w:hAnsi="宋体"/>
          <w:color w:val="auto"/>
          <w:sz w:val="24"/>
        </w:rPr>
      </w:pPr>
      <w:r>
        <w:rPr>
          <w:rFonts w:hint="eastAsia" w:ascii="宋体" w:hAnsi="宋体"/>
          <w:color w:val="auto"/>
          <w:sz w:val="24"/>
        </w:rPr>
        <w:t>6.1.2对于情节严重、造成甲方损失金额巨大的，同意甲方终止全部项目合同，并赔偿甲方因此造成的损失。</w:t>
      </w:r>
    </w:p>
    <w:p>
      <w:pPr>
        <w:spacing w:line="360" w:lineRule="auto"/>
        <w:ind w:firstLine="480" w:firstLineChars="200"/>
        <w:rPr>
          <w:rFonts w:ascii="宋体" w:hAnsi="宋体"/>
          <w:color w:val="auto"/>
          <w:sz w:val="24"/>
        </w:rPr>
      </w:pPr>
      <w:r>
        <w:rPr>
          <w:rFonts w:hint="eastAsia" w:ascii="宋体" w:hAnsi="宋体"/>
          <w:color w:val="auto"/>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color w:val="auto"/>
          <w:sz w:val="24"/>
        </w:rPr>
      </w:pPr>
      <w:r>
        <w:rPr>
          <w:rFonts w:hint="eastAsia" w:ascii="宋体" w:hAnsi="宋体"/>
          <w:color w:val="auto"/>
          <w:sz w:val="24"/>
        </w:rPr>
        <w:t>7.不可抗力</w:t>
      </w:r>
    </w:p>
    <w:p>
      <w:pPr>
        <w:spacing w:line="360" w:lineRule="auto"/>
        <w:ind w:firstLine="480" w:firstLineChars="200"/>
        <w:rPr>
          <w:rFonts w:ascii="宋体" w:hAnsi="宋体"/>
          <w:color w:val="auto"/>
          <w:sz w:val="24"/>
        </w:rPr>
      </w:pPr>
      <w:r>
        <w:rPr>
          <w:rFonts w:hint="eastAsia" w:ascii="宋体" w:hAnsi="宋体"/>
          <w:color w:val="auto"/>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auto"/>
          <w:sz w:val="24"/>
        </w:rPr>
      </w:pPr>
      <w:r>
        <w:rPr>
          <w:rFonts w:hint="eastAsia" w:ascii="宋体" w:hAnsi="宋体"/>
          <w:color w:val="auto"/>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auto"/>
          <w:sz w:val="24"/>
          <w:u w:val="single"/>
        </w:rPr>
        <w:t>一旦不可抗力事故的影响持续 60天以上</w:t>
      </w:r>
      <w:r>
        <w:rPr>
          <w:rFonts w:hint="eastAsia" w:ascii="宋体" w:hAnsi="宋体"/>
          <w:color w:val="auto"/>
          <w:sz w:val="24"/>
        </w:rPr>
        <w:t>，双方应通过友好协商，在合理的时间内达成进一步履行合同的协议。</w:t>
      </w:r>
    </w:p>
    <w:p>
      <w:pPr>
        <w:spacing w:line="360" w:lineRule="auto"/>
        <w:ind w:firstLine="480" w:firstLineChars="200"/>
        <w:rPr>
          <w:rFonts w:ascii="宋体" w:hAnsi="宋体"/>
          <w:color w:val="auto"/>
          <w:sz w:val="24"/>
        </w:rPr>
      </w:pPr>
      <w:r>
        <w:rPr>
          <w:rFonts w:hint="eastAsia" w:ascii="宋体" w:hAnsi="宋体"/>
          <w:color w:val="auto"/>
          <w:sz w:val="24"/>
        </w:rPr>
        <w:t>8.履约保证金</w:t>
      </w:r>
    </w:p>
    <w:p>
      <w:pPr>
        <w:spacing w:line="360" w:lineRule="auto"/>
        <w:ind w:firstLine="480" w:firstLineChars="200"/>
        <w:rPr>
          <w:rFonts w:ascii="宋体" w:hAnsi="宋体"/>
          <w:color w:val="auto"/>
          <w:sz w:val="24"/>
        </w:rPr>
      </w:pPr>
      <w:r>
        <w:rPr>
          <w:rFonts w:hint="eastAsia" w:ascii="宋体" w:hAnsi="宋体"/>
          <w:color w:val="auto"/>
          <w:sz w:val="24"/>
        </w:rPr>
        <w:t>8.1履约保证金的有效期至供货完毕且验收合格。</w:t>
      </w:r>
    </w:p>
    <w:p>
      <w:pPr>
        <w:spacing w:line="360" w:lineRule="auto"/>
        <w:ind w:firstLine="480" w:firstLineChars="200"/>
        <w:rPr>
          <w:rFonts w:ascii="宋体" w:hAnsi="宋体"/>
          <w:color w:val="auto"/>
          <w:sz w:val="24"/>
        </w:rPr>
      </w:pPr>
      <w:r>
        <w:rPr>
          <w:rFonts w:hint="eastAsia" w:ascii="宋体" w:hAnsi="宋体"/>
          <w:color w:val="auto"/>
          <w:sz w:val="24"/>
        </w:rPr>
        <w:t>8.2乙方提供的履约保证金按规定格式以现金、转帐支票、电汇的形式提供，与此有关的费用由乙方负担。</w:t>
      </w:r>
    </w:p>
    <w:p>
      <w:pPr>
        <w:spacing w:line="360" w:lineRule="auto"/>
        <w:ind w:firstLine="480" w:firstLineChars="200"/>
        <w:rPr>
          <w:rFonts w:ascii="宋体" w:hAnsi="宋体"/>
          <w:color w:val="auto"/>
          <w:sz w:val="24"/>
        </w:rPr>
      </w:pPr>
      <w:r>
        <w:rPr>
          <w:rFonts w:hint="eastAsia" w:ascii="宋体" w:hAnsi="宋体"/>
          <w:color w:val="auto"/>
          <w:sz w:val="24"/>
        </w:rPr>
        <w:t>8.3如果乙方未能按合同规定履行其义务，甲方有权从履约保证金取得补偿。</w:t>
      </w:r>
    </w:p>
    <w:p>
      <w:pPr>
        <w:spacing w:line="360" w:lineRule="auto"/>
        <w:ind w:firstLine="480" w:firstLineChars="200"/>
        <w:rPr>
          <w:rFonts w:ascii="宋体" w:hAnsi="宋体"/>
          <w:color w:val="auto"/>
          <w:sz w:val="24"/>
        </w:rPr>
      </w:pPr>
      <w:r>
        <w:rPr>
          <w:rFonts w:hint="eastAsia" w:ascii="宋体" w:hAnsi="宋体"/>
          <w:color w:val="auto"/>
          <w:sz w:val="24"/>
        </w:rPr>
        <w:t>9.争议的解决</w:t>
      </w:r>
    </w:p>
    <w:p>
      <w:pPr>
        <w:spacing w:line="360" w:lineRule="auto"/>
        <w:ind w:firstLine="480" w:firstLineChars="200"/>
        <w:rPr>
          <w:rFonts w:ascii="宋体" w:hAnsi="宋体"/>
          <w:color w:val="auto"/>
          <w:sz w:val="24"/>
        </w:rPr>
      </w:pPr>
      <w:r>
        <w:rPr>
          <w:rFonts w:hint="eastAsia" w:ascii="宋体" w:hAnsi="宋体"/>
          <w:color w:val="auto"/>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color w:val="auto"/>
          <w:sz w:val="24"/>
        </w:rPr>
      </w:pPr>
      <w:r>
        <w:rPr>
          <w:rFonts w:hint="eastAsia" w:ascii="宋体" w:hAnsi="宋体"/>
          <w:color w:val="auto"/>
          <w:sz w:val="24"/>
        </w:rPr>
        <w:t>9.</w:t>
      </w:r>
      <w:r>
        <w:rPr>
          <w:rFonts w:ascii="宋体" w:hAnsi="宋体"/>
          <w:color w:val="auto"/>
          <w:sz w:val="24"/>
        </w:rPr>
        <w:t>2</w:t>
      </w:r>
      <w:r>
        <w:rPr>
          <w:rFonts w:hint="eastAsia" w:ascii="宋体" w:hAnsi="宋体"/>
          <w:color w:val="auto"/>
          <w:sz w:val="24"/>
        </w:rPr>
        <w:t>合同双方均为国内法人的，其争端的仲裁应由合同发生地许昌市仲裁委员会根据其仲裁程序进行。</w:t>
      </w:r>
    </w:p>
    <w:p>
      <w:pPr>
        <w:spacing w:line="360" w:lineRule="auto"/>
        <w:ind w:firstLine="480" w:firstLineChars="200"/>
        <w:rPr>
          <w:rFonts w:ascii="宋体" w:hAnsi="宋体"/>
          <w:color w:val="auto"/>
          <w:sz w:val="24"/>
        </w:rPr>
      </w:pPr>
      <w:r>
        <w:rPr>
          <w:rFonts w:hint="eastAsia" w:ascii="宋体" w:hAnsi="宋体"/>
          <w:color w:val="auto"/>
          <w:sz w:val="24"/>
        </w:rPr>
        <w:t>9.3 仲裁裁决应为最终决定，并对双方具有约束力。</w:t>
      </w:r>
    </w:p>
    <w:p>
      <w:pPr>
        <w:spacing w:line="360" w:lineRule="auto"/>
        <w:ind w:firstLine="480" w:firstLineChars="200"/>
        <w:rPr>
          <w:rFonts w:ascii="宋体" w:hAnsi="宋体"/>
          <w:color w:val="auto"/>
          <w:sz w:val="24"/>
        </w:rPr>
      </w:pPr>
      <w:r>
        <w:rPr>
          <w:rFonts w:hint="eastAsia" w:ascii="宋体" w:hAnsi="宋体"/>
          <w:color w:val="auto"/>
          <w:sz w:val="24"/>
        </w:rPr>
        <w:t>9.4 除另有裁决外，仲裁费应由败诉方负担。</w:t>
      </w:r>
    </w:p>
    <w:p>
      <w:pPr>
        <w:spacing w:line="360" w:lineRule="auto"/>
        <w:ind w:firstLine="480" w:firstLineChars="200"/>
        <w:rPr>
          <w:rFonts w:ascii="宋体" w:hAnsi="宋体"/>
          <w:color w:val="auto"/>
          <w:sz w:val="24"/>
        </w:rPr>
      </w:pPr>
      <w:r>
        <w:rPr>
          <w:rFonts w:hint="eastAsia" w:ascii="宋体" w:hAnsi="宋体"/>
          <w:color w:val="auto"/>
          <w:sz w:val="24"/>
        </w:rPr>
        <w:t>9.5 在仲裁期间，除正在进行的仲裁部分外，合同其他部分继续执行。</w:t>
      </w:r>
    </w:p>
    <w:p>
      <w:pPr>
        <w:spacing w:line="360" w:lineRule="auto"/>
        <w:ind w:firstLine="480" w:firstLineChars="200"/>
        <w:rPr>
          <w:rFonts w:ascii="宋体" w:hAnsi="宋体"/>
          <w:color w:val="auto"/>
          <w:sz w:val="24"/>
        </w:rPr>
      </w:pPr>
      <w:r>
        <w:rPr>
          <w:rFonts w:hint="eastAsia" w:ascii="宋体" w:hAnsi="宋体"/>
          <w:color w:val="auto"/>
          <w:sz w:val="24"/>
        </w:rPr>
        <w:t>10.合同终止</w:t>
      </w:r>
    </w:p>
    <w:p>
      <w:pPr>
        <w:spacing w:line="360" w:lineRule="auto"/>
        <w:ind w:firstLine="480" w:firstLineChars="200"/>
        <w:rPr>
          <w:rFonts w:ascii="宋体" w:hAnsi="宋体"/>
          <w:color w:val="auto"/>
          <w:sz w:val="24"/>
        </w:rPr>
      </w:pPr>
      <w:r>
        <w:rPr>
          <w:rFonts w:hint="eastAsia" w:ascii="宋体" w:hAnsi="宋体"/>
          <w:color w:val="auto"/>
          <w:sz w:val="24"/>
        </w:rPr>
        <w:t>10.1本合同期限为</w:t>
      </w:r>
      <w:r>
        <w:rPr>
          <w:rFonts w:hint="eastAsia" w:ascii="宋体" w:hAnsi="宋体"/>
          <w:b/>
          <w:color w:val="auto"/>
          <w:sz w:val="24"/>
          <w:u w:val="single"/>
        </w:rPr>
        <w:t xml:space="preserve">     </w:t>
      </w:r>
      <w:r>
        <w:rPr>
          <w:rFonts w:hint="eastAsia" w:ascii="宋体" w:hAnsi="宋体"/>
          <w:color w:val="auto"/>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auto"/>
          <w:sz w:val="24"/>
        </w:rPr>
      </w:pPr>
      <w:r>
        <w:rPr>
          <w:rFonts w:hint="eastAsia" w:ascii="宋体" w:hAnsi="宋体"/>
          <w:color w:val="auto"/>
          <w:sz w:val="24"/>
        </w:rPr>
        <w:t>10.2 出现下列情况时合同自动终止：</w:t>
      </w:r>
    </w:p>
    <w:p>
      <w:pPr>
        <w:spacing w:line="360" w:lineRule="auto"/>
        <w:ind w:firstLine="480" w:firstLineChars="200"/>
        <w:rPr>
          <w:rFonts w:ascii="宋体" w:hAnsi="宋体"/>
          <w:color w:val="auto"/>
          <w:sz w:val="24"/>
        </w:rPr>
      </w:pPr>
      <w:r>
        <w:rPr>
          <w:rFonts w:hint="eastAsia" w:ascii="宋体" w:hAnsi="宋体"/>
          <w:color w:val="auto"/>
          <w:sz w:val="24"/>
        </w:rPr>
        <w:t>10.2.1发生不可抗力时。</w:t>
      </w:r>
    </w:p>
    <w:p>
      <w:pPr>
        <w:spacing w:line="360" w:lineRule="auto"/>
        <w:ind w:firstLine="480" w:firstLineChars="200"/>
        <w:rPr>
          <w:rFonts w:ascii="宋体" w:hAnsi="宋体"/>
          <w:color w:val="auto"/>
          <w:sz w:val="24"/>
        </w:rPr>
      </w:pPr>
      <w:r>
        <w:rPr>
          <w:rFonts w:hint="eastAsia" w:ascii="宋体" w:hAnsi="宋体"/>
          <w:color w:val="auto"/>
          <w:sz w:val="24"/>
        </w:rPr>
        <w:t>10.2.2一方不履行合同条款，造成另一方无法执行合同协议，协商又不能求得解决，合同终止，责任方赔偿损失。</w:t>
      </w:r>
    </w:p>
    <w:p>
      <w:pPr>
        <w:spacing w:line="360" w:lineRule="auto"/>
        <w:ind w:firstLine="480" w:firstLineChars="200"/>
        <w:rPr>
          <w:rFonts w:ascii="宋体" w:hAnsi="宋体"/>
          <w:color w:val="auto"/>
          <w:sz w:val="24"/>
        </w:rPr>
      </w:pPr>
      <w:r>
        <w:rPr>
          <w:rFonts w:hint="eastAsia" w:ascii="宋体" w:hAnsi="宋体"/>
          <w:color w:val="auto"/>
          <w:sz w:val="24"/>
        </w:rPr>
        <w:t>11.合同修改</w:t>
      </w:r>
    </w:p>
    <w:p>
      <w:pPr>
        <w:spacing w:line="360" w:lineRule="auto"/>
        <w:ind w:firstLine="480" w:firstLineChars="200"/>
        <w:rPr>
          <w:rFonts w:ascii="宋体" w:hAnsi="宋体"/>
          <w:color w:val="auto"/>
          <w:sz w:val="24"/>
        </w:rPr>
      </w:pPr>
      <w:r>
        <w:rPr>
          <w:rFonts w:hint="eastAsia" w:ascii="宋体" w:hAnsi="宋体"/>
          <w:color w:val="auto"/>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olor w:val="auto"/>
          <w:sz w:val="24"/>
        </w:rPr>
      </w:pPr>
      <w:r>
        <w:rPr>
          <w:rFonts w:hint="eastAsia" w:ascii="宋体" w:hAnsi="宋体"/>
          <w:color w:val="auto"/>
          <w:sz w:val="24"/>
        </w:rPr>
        <w:t>12.适用法律</w:t>
      </w:r>
    </w:p>
    <w:p>
      <w:pPr>
        <w:spacing w:line="360" w:lineRule="auto"/>
        <w:ind w:firstLine="480" w:firstLineChars="200"/>
        <w:rPr>
          <w:rFonts w:ascii="宋体" w:hAnsi="宋体"/>
          <w:color w:val="auto"/>
          <w:sz w:val="24"/>
        </w:rPr>
      </w:pPr>
      <w:r>
        <w:rPr>
          <w:rFonts w:hint="eastAsia" w:ascii="宋体" w:hAnsi="宋体"/>
          <w:color w:val="auto"/>
          <w:sz w:val="24"/>
        </w:rPr>
        <w:t>本合同应按中华人民共和国的法律解释。</w:t>
      </w:r>
    </w:p>
    <w:p>
      <w:pPr>
        <w:spacing w:line="360" w:lineRule="auto"/>
        <w:ind w:firstLine="480" w:firstLineChars="200"/>
        <w:rPr>
          <w:rFonts w:ascii="宋体" w:hAnsi="宋体"/>
          <w:color w:val="auto"/>
          <w:sz w:val="24"/>
        </w:rPr>
      </w:pPr>
      <w:r>
        <w:rPr>
          <w:rFonts w:hint="eastAsia" w:ascii="宋体" w:hAnsi="宋体"/>
          <w:color w:val="auto"/>
          <w:sz w:val="24"/>
        </w:rPr>
        <w:t>13.主导语言与计量单位</w:t>
      </w:r>
    </w:p>
    <w:p>
      <w:pPr>
        <w:spacing w:line="360" w:lineRule="auto"/>
        <w:ind w:firstLine="480" w:firstLineChars="200"/>
        <w:rPr>
          <w:rFonts w:ascii="宋体" w:hAnsi="宋体"/>
          <w:color w:val="auto"/>
          <w:sz w:val="24"/>
        </w:rPr>
      </w:pPr>
      <w:r>
        <w:rPr>
          <w:rFonts w:hint="eastAsia" w:ascii="宋体" w:hAnsi="宋体"/>
          <w:color w:val="auto"/>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color w:val="auto"/>
          <w:sz w:val="24"/>
        </w:rPr>
      </w:pPr>
      <w:r>
        <w:rPr>
          <w:rFonts w:hint="eastAsia" w:ascii="宋体" w:hAnsi="宋体"/>
          <w:color w:val="auto"/>
          <w:sz w:val="24"/>
        </w:rPr>
        <w:t>13.2 除技术规格另有规定外，计量单位均使用中华人民共和国法定计量单位。</w:t>
      </w:r>
    </w:p>
    <w:p>
      <w:pPr>
        <w:spacing w:line="360" w:lineRule="auto"/>
        <w:ind w:firstLine="480" w:firstLineChars="200"/>
        <w:rPr>
          <w:rFonts w:ascii="宋体" w:hAnsi="宋体"/>
          <w:color w:val="auto"/>
          <w:sz w:val="24"/>
        </w:rPr>
      </w:pPr>
      <w:r>
        <w:rPr>
          <w:rFonts w:hint="eastAsia" w:ascii="宋体" w:hAnsi="宋体"/>
          <w:color w:val="auto"/>
          <w:sz w:val="24"/>
        </w:rPr>
        <w:t>14.合同生效</w:t>
      </w:r>
    </w:p>
    <w:p>
      <w:pPr>
        <w:spacing w:line="360" w:lineRule="auto"/>
        <w:rPr>
          <w:rFonts w:ascii="宋体" w:hAnsi="宋体" w:cs="微软雅黑"/>
          <w:b/>
          <w:bCs/>
          <w:color w:val="auto"/>
          <w:sz w:val="24"/>
          <w:szCs w:val="24"/>
        </w:rPr>
      </w:pPr>
      <w:r>
        <w:rPr>
          <w:rFonts w:hint="eastAsia" w:ascii="宋体" w:hAnsi="宋体"/>
          <w:color w:val="auto"/>
          <w:sz w:val="24"/>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p>
    <w:p>
      <w:pPr>
        <w:jc w:val="left"/>
        <w:rPr>
          <w:rStyle w:val="53"/>
          <w:rFonts w:ascii="宋体" w:hAnsi="宋体" w:eastAsia="宋体"/>
          <w:color w:val="auto"/>
        </w:rPr>
      </w:pPr>
    </w:p>
    <w:p>
      <w:pPr>
        <w:jc w:val="left"/>
        <w:rPr>
          <w:rStyle w:val="53"/>
          <w:rFonts w:ascii="宋体" w:hAnsi="宋体" w:eastAsia="宋体"/>
          <w:color w:val="auto"/>
        </w:rPr>
      </w:pPr>
      <w:r>
        <w:rPr>
          <w:rStyle w:val="53"/>
          <w:rFonts w:hint="eastAsia" w:ascii="宋体" w:hAnsi="宋体" w:eastAsia="宋体"/>
          <w:color w:val="auto"/>
        </w:rPr>
        <w:t>投标文件封皮格式</w:t>
      </w:r>
      <w:bookmarkStart w:id="1" w:name="_Toc14398"/>
      <w:bookmarkStart w:id="2" w:name="_Toc5131"/>
      <w:bookmarkStart w:id="3" w:name="_Toc12595"/>
      <w:bookmarkStart w:id="4" w:name="_Toc16238"/>
    </w:p>
    <w:p>
      <w:pPr>
        <w:pStyle w:val="2"/>
        <w:ind w:firstLine="340"/>
        <w:rPr>
          <w:color w:val="auto"/>
        </w:rPr>
      </w:pPr>
    </w:p>
    <w:p>
      <w:pPr>
        <w:jc w:val="right"/>
        <w:rPr>
          <w:rStyle w:val="53"/>
          <w:rFonts w:ascii="宋体" w:hAnsi="宋体" w:eastAsia="宋体"/>
          <w:color w:val="auto"/>
        </w:rPr>
      </w:pPr>
      <w:r>
        <w:rPr>
          <w:rStyle w:val="53"/>
          <w:rFonts w:hint="eastAsia" w:ascii="宋体" w:hAnsi="宋体" w:eastAsia="宋体"/>
          <w:color w:val="auto"/>
        </w:rPr>
        <w:t>正本/副本</w:t>
      </w:r>
    </w:p>
    <w:bookmarkEnd w:id="1"/>
    <w:bookmarkEnd w:id="2"/>
    <w:bookmarkEnd w:id="3"/>
    <w:bookmarkEnd w:id="4"/>
    <w:p>
      <w:pPr>
        <w:jc w:val="left"/>
        <w:rPr>
          <w:rStyle w:val="53"/>
          <w:rFonts w:ascii="宋体" w:hAnsi="宋体" w:eastAsia="宋体"/>
          <w:color w:val="auto"/>
        </w:rPr>
      </w:pPr>
    </w:p>
    <w:p>
      <w:pPr>
        <w:rPr>
          <w:rFonts w:ascii="宋体" w:hAnsi="宋体" w:eastAsia="宋体" w:cs="微软雅黑"/>
          <w:color w:val="auto"/>
          <w:sz w:val="28"/>
          <w:szCs w:val="28"/>
          <w:u w:val="single"/>
        </w:rPr>
      </w:pPr>
    </w:p>
    <w:p>
      <w:pPr>
        <w:spacing w:line="276" w:lineRule="auto"/>
        <w:jc w:val="center"/>
        <w:rPr>
          <w:rFonts w:ascii="宋体" w:hAnsi="宋体" w:eastAsia="宋体" w:cs="宋体"/>
          <w:b/>
          <w:bCs/>
          <w:color w:val="auto"/>
          <w:sz w:val="40"/>
          <w:szCs w:val="40"/>
          <w:u w:val="single"/>
        </w:rPr>
      </w:pPr>
      <w:r>
        <w:rPr>
          <w:rFonts w:hint="eastAsia" w:ascii="宋体" w:hAnsi="宋体" w:eastAsia="宋体" w:cs="宋体"/>
          <w:b/>
          <w:bCs/>
          <w:color w:val="auto"/>
          <w:sz w:val="40"/>
          <w:szCs w:val="40"/>
          <w:u w:val="single"/>
        </w:rPr>
        <w:t>（项目名称）</w:t>
      </w:r>
    </w:p>
    <w:p>
      <w:pPr>
        <w:jc w:val="center"/>
        <w:rPr>
          <w:rFonts w:ascii="宋体" w:hAnsi="宋体" w:eastAsia="宋体" w:cs="微软雅黑"/>
          <w:color w:val="auto"/>
          <w:sz w:val="28"/>
          <w:szCs w:val="28"/>
          <w:u w:val="single"/>
        </w:rPr>
      </w:pPr>
    </w:p>
    <w:p>
      <w:pPr>
        <w:rPr>
          <w:rFonts w:ascii="宋体" w:hAnsi="宋体" w:eastAsia="宋体" w:cs="微软雅黑"/>
          <w:color w:val="auto"/>
          <w:sz w:val="20"/>
          <w:szCs w:val="20"/>
        </w:rPr>
      </w:pPr>
    </w:p>
    <w:p>
      <w:pPr>
        <w:rPr>
          <w:rFonts w:ascii="宋体" w:hAnsi="宋体" w:eastAsia="宋体" w:cs="微软雅黑"/>
          <w:color w:val="auto"/>
          <w:sz w:val="20"/>
          <w:szCs w:val="20"/>
        </w:rPr>
      </w:pPr>
    </w:p>
    <w:p>
      <w:pPr>
        <w:jc w:val="center"/>
        <w:rPr>
          <w:rFonts w:ascii="宋体" w:hAnsi="宋体" w:eastAsia="宋体" w:cs="微软雅黑"/>
          <w:color w:val="auto"/>
          <w:sz w:val="72"/>
          <w:szCs w:val="72"/>
        </w:rPr>
      </w:pPr>
      <w:r>
        <w:rPr>
          <w:rFonts w:hint="eastAsia" w:ascii="宋体" w:hAnsi="宋体" w:eastAsia="宋体" w:cs="微软雅黑"/>
          <w:color w:val="auto"/>
          <w:sz w:val="72"/>
          <w:szCs w:val="72"/>
        </w:rPr>
        <w:t>投 标 文 件</w:t>
      </w:r>
    </w:p>
    <w:p>
      <w:pPr>
        <w:rPr>
          <w:rFonts w:ascii="宋体" w:hAnsi="宋体" w:eastAsia="宋体" w:cs="微软雅黑"/>
          <w:color w:val="auto"/>
          <w:sz w:val="28"/>
          <w:szCs w:val="28"/>
        </w:rPr>
      </w:pPr>
    </w:p>
    <w:p>
      <w:pPr>
        <w:ind w:firstLine="3080" w:firstLineChars="1100"/>
        <w:rPr>
          <w:rFonts w:ascii="宋体" w:hAnsi="宋体" w:eastAsia="宋体" w:cs="微软雅黑"/>
          <w:color w:val="auto"/>
          <w:sz w:val="28"/>
          <w:szCs w:val="28"/>
        </w:rPr>
      </w:pPr>
      <w:r>
        <w:rPr>
          <w:rFonts w:hint="eastAsia" w:ascii="宋体" w:hAnsi="宋体" w:eastAsia="宋体" w:cs="微软雅黑"/>
          <w:color w:val="auto"/>
          <w:sz w:val="28"/>
          <w:szCs w:val="28"/>
        </w:rPr>
        <w:t>项目编号：</w:t>
      </w:r>
    </w:p>
    <w:p>
      <w:pPr>
        <w:pStyle w:val="2"/>
        <w:ind w:firstLine="0" w:firstLineChars="0"/>
        <w:rPr>
          <w:color w:val="auto"/>
        </w:rPr>
      </w:pPr>
    </w:p>
    <w:p>
      <w:pPr>
        <w:rPr>
          <w:rFonts w:ascii="宋体" w:hAnsi="宋体" w:eastAsia="宋体" w:cs="微软雅黑"/>
          <w:color w:val="auto"/>
          <w:sz w:val="28"/>
          <w:szCs w:val="28"/>
        </w:rPr>
      </w:pPr>
    </w:p>
    <w:p>
      <w:pPr>
        <w:ind w:left="1079" w:leftChars="514" w:firstLine="1400" w:firstLineChars="500"/>
        <w:jc w:val="left"/>
        <w:rPr>
          <w:rFonts w:ascii="宋体" w:hAnsi="宋体" w:eastAsia="宋体" w:cs="微软雅黑"/>
          <w:color w:val="auto"/>
          <w:sz w:val="28"/>
          <w:szCs w:val="28"/>
          <w:u w:val="single"/>
        </w:rPr>
      </w:pPr>
      <w:r>
        <w:rPr>
          <w:rFonts w:hint="eastAsia" w:ascii="宋体" w:hAnsi="宋体" w:eastAsia="宋体" w:cs="微软雅黑"/>
          <w:color w:val="auto"/>
          <w:sz w:val="28"/>
          <w:szCs w:val="28"/>
        </w:rPr>
        <w:t>投  标  人：（盖单位章）</w:t>
      </w:r>
    </w:p>
    <w:p>
      <w:pPr>
        <w:ind w:left="1079" w:leftChars="514"/>
        <w:jc w:val="left"/>
        <w:rPr>
          <w:rFonts w:ascii="宋体" w:hAnsi="宋体" w:eastAsia="宋体" w:cs="微软雅黑"/>
          <w:color w:val="auto"/>
          <w:sz w:val="28"/>
          <w:szCs w:val="28"/>
        </w:rPr>
      </w:pPr>
      <w:r>
        <w:rPr>
          <w:rFonts w:hint="eastAsia" w:ascii="宋体" w:hAnsi="宋体" w:eastAsia="宋体" w:cs="微软雅黑"/>
          <w:color w:val="auto"/>
          <w:sz w:val="28"/>
          <w:szCs w:val="28"/>
        </w:rPr>
        <w:t>法定代表人或其委托代理人：（签字或盖章）</w:t>
      </w:r>
    </w:p>
    <w:p>
      <w:pPr>
        <w:ind w:firstLine="3360" w:firstLineChars="1200"/>
        <w:rPr>
          <w:rFonts w:ascii="宋体" w:hAnsi="宋体" w:eastAsia="宋体" w:cs="微软雅黑"/>
          <w:color w:val="auto"/>
          <w:sz w:val="28"/>
          <w:szCs w:val="28"/>
        </w:rPr>
      </w:pPr>
      <w:r>
        <w:rPr>
          <w:rFonts w:hint="eastAsia" w:ascii="宋体" w:hAnsi="宋体" w:eastAsia="宋体" w:cs="微软雅黑"/>
          <w:color w:val="auto"/>
          <w:sz w:val="28"/>
          <w:szCs w:val="28"/>
        </w:rPr>
        <w:t>年    月    日</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5" w:name="_Toc186274126"/>
      <w:bookmarkStart w:id="6" w:name="_Toc184023138"/>
      <w:bookmarkStart w:id="7" w:name="_Toc174185203"/>
      <w:r>
        <w:rPr>
          <w:rFonts w:hint="eastAsia" w:cs="黑体" w:asciiTheme="minorEastAsia" w:hAnsiTheme="minorEastAsia" w:eastAsiaTheme="minorEastAsia"/>
          <w:color w:val="auto"/>
          <w:kern w:val="2"/>
          <w:sz w:val="36"/>
          <w:szCs w:val="36"/>
          <w:lang w:val="zh-CN"/>
        </w:rPr>
        <w:t>一、投标人应答索引表</w:t>
      </w:r>
      <w:bookmarkEnd w:id="5"/>
      <w:bookmarkEnd w:id="6"/>
      <w:bookmarkEnd w:id="7"/>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3"/>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服务期（三年）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hint="eastAsia"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Cs w:val="24"/>
        </w:rPr>
      </w:pPr>
    </w:p>
    <w:p>
      <w:pPr>
        <w:pStyle w:val="13"/>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xml:space="preserve">         日期：   年   月   日</w:t>
      </w: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40"/>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0"/>
        <w:spacing w:line="480" w:lineRule="auto"/>
        <w:ind w:firstLine="540" w:firstLineChars="225"/>
        <w:jc w:val="left"/>
        <w:rPr>
          <w:rFonts w:asciiTheme="minorEastAsia" w:hAnsiTheme="minorEastAsia"/>
          <w:color w:val="auto"/>
          <w:szCs w:val="24"/>
        </w:rPr>
      </w:pPr>
    </w:p>
    <w:p>
      <w:pPr>
        <w:pStyle w:val="40"/>
        <w:spacing w:line="480" w:lineRule="auto"/>
        <w:ind w:firstLine="540" w:firstLineChars="225"/>
        <w:jc w:val="left"/>
        <w:rPr>
          <w:rFonts w:asciiTheme="minorEastAsia" w:hAnsiTheme="minorEastAsia"/>
          <w:color w:val="auto"/>
          <w:szCs w:val="24"/>
        </w:rPr>
      </w:pPr>
    </w:p>
    <w:p>
      <w:pPr>
        <w:pStyle w:val="40"/>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2"/>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8" w:name="_资格证明文件"/>
            <w:bookmarkEnd w:id="8"/>
            <w:bookmarkStart w:id="9" w:name="_Toc364329026"/>
            <w:r>
              <w:rPr>
                <w:rFonts w:hint="eastAsia" w:asciiTheme="minorEastAsia" w:hAnsiTheme="minorEastAsia"/>
                <w:color w:val="auto"/>
                <w:sz w:val="24"/>
                <w:szCs w:val="24"/>
              </w:rPr>
              <w:t>法定代表人授权代表身份证（正面）</w:t>
            </w:r>
            <w:bookmarkEnd w:id="9"/>
          </w:p>
        </w:tc>
        <w:tc>
          <w:tcPr>
            <w:tcW w:w="4492" w:type="dxa"/>
            <w:gridSpan w:val="2"/>
            <w:vAlign w:val="center"/>
          </w:tcPr>
          <w:p>
            <w:pPr>
              <w:jc w:val="center"/>
              <w:rPr>
                <w:rFonts w:asciiTheme="minorEastAsia" w:hAnsiTheme="minorEastAsia"/>
                <w:color w:val="auto"/>
                <w:sz w:val="24"/>
                <w:szCs w:val="24"/>
              </w:rPr>
            </w:pPr>
            <w:bookmarkStart w:id="10" w:name="_Toc364329027"/>
            <w:r>
              <w:rPr>
                <w:rFonts w:hint="eastAsia" w:asciiTheme="minorEastAsia" w:hAnsiTheme="minorEastAsia"/>
                <w:color w:val="auto"/>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156" w:beforeLines="50" w:after="156"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项目实施方案</w:t>
      </w:r>
    </w:p>
    <w:p>
      <w:pPr>
        <w:autoSpaceDE w:val="0"/>
        <w:autoSpaceDN w:val="0"/>
        <w:adjustRightInd w:val="0"/>
        <w:spacing w:line="48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（投标人根据招标文件要求自行编制，需提供项目配备服务人员情况表）</w:t>
      </w:r>
    </w:p>
    <w:p>
      <w:pPr>
        <w:autoSpaceDE w:val="0"/>
        <w:autoSpaceDN w:val="0"/>
        <w:adjustRightInd w:val="0"/>
        <w:spacing w:line="360" w:lineRule="auto"/>
        <w:jc w:val="center"/>
        <w:outlineLvl w:val="0"/>
        <w:rPr>
          <w:rFonts w:hint="eastAsia" w:ascii="宋体" w:cs="宋体"/>
          <w:color w:val="auto"/>
          <w:sz w:val="24"/>
          <w:lang w:val="zh-CN"/>
        </w:rPr>
      </w:pPr>
      <w:r>
        <w:rPr>
          <w:rFonts w:hint="eastAsia" w:ascii="宋体" w:cs="宋体"/>
          <w:color w:val="auto"/>
          <w:sz w:val="24"/>
          <w:lang w:val="zh-CN"/>
        </w:rPr>
        <w:t>配备服务人员情况表</w:t>
      </w:r>
    </w:p>
    <w:tbl>
      <w:tblPr>
        <w:tblStyle w:val="26"/>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718"/>
        <w:gridCol w:w="716"/>
        <w:gridCol w:w="1076"/>
        <w:gridCol w:w="1434"/>
        <w:gridCol w:w="138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583"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姓 名</w:t>
            </w:r>
          </w:p>
        </w:tc>
        <w:tc>
          <w:tcPr>
            <w:tcW w:w="718"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性别</w:t>
            </w:r>
          </w:p>
        </w:tc>
        <w:tc>
          <w:tcPr>
            <w:tcW w:w="716"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年龄</w:t>
            </w:r>
          </w:p>
        </w:tc>
        <w:tc>
          <w:tcPr>
            <w:tcW w:w="1076"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学历</w:t>
            </w:r>
          </w:p>
        </w:tc>
        <w:tc>
          <w:tcPr>
            <w:tcW w:w="1434"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从事</w:t>
            </w:r>
          </w:p>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专业</w:t>
            </w:r>
          </w:p>
        </w:tc>
        <w:tc>
          <w:tcPr>
            <w:tcW w:w="1389"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何时从事</w:t>
            </w:r>
          </w:p>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工作</w:t>
            </w:r>
          </w:p>
        </w:tc>
        <w:tc>
          <w:tcPr>
            <w:tcW w:w="1584"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岗位资格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jc w:val="center"/>
        </w:trPr>
        <w:tc>
          <w:tcPr>
            <w:tcW w:w="1583"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Align w:val="center"/>
          </w:tcPr>
          <w:p>
            <w:pPr>
              <w:autoSpaceDE w:val="0"/>
              <w:autoSpaceDN w:val="0"/>
              <w:adjustRightInd w:val="0"/>
              <w:spacing w:line="360" w:lineRule="auto"/>
              <w:outlineLvl w:val="0"/>
              <w:rPr>
                <w:rFonts w:hint="eastAsia"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Align w:val="center"/>
          </w:tcPr>
          <w:p>
            <w:pPr>
              <w:autoSpaceDE w:val="0"/>
              <w:autoSpaceDN w:val="0"/>
              <w:adjustRightInd w:val="0"/>
              <w:spacing w:line="360" w:lineRule="auto"/>
              <w:outlineLvl w:val="0"/>
              <w:rPr>
                <w:rFonts w:hint="eastAsia"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Align w:val="center"/>
          </w:tcPr>
          <w:p>
            <w:pPr>
              <w:autoSpaceDE w:val="0"/>
              <w:autoSpaceDN w:val="0"/>
              <w:adjustRightInd w:val="0"/>
              <w:spacing w:line="360" w:lineRule="auto"/>
              <w:outlineLvl w:val="0"/>
              <w:rPr>
                <w:rFonts w:hint="eastAsia"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583"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Align w:val="center"/>
          </w:tcPr>
          <w:p>
            <w:pPr>
              <w:autoSpaceDE w:val="0"/>
              <w:autoSpaceDN w:val="0"/>
              <w:adjustRightInd w:val="0"/>
              <w:spacing w:line="360" w:lineRule="auto"/>
              <w:outlineLvl w:val="0"/>
              <w:rPr>
                <w:rFonts w:hint="eastAsia" w:ascii="宋体" w:cs="宋体"/>
                <w:color w:val="auto"/>
                <w:sz w:val="24"/>
                <w:lang w:val="zh-CN"/>
              </w:rPr>
            </w:pPr>
          </w:p>
        </w:tc>
      </w:tr>
    </w:tbl>
    <w:p>
      <w:pPr>
        <w:autoSpaceDE w:val="0"/>
        <w:autoSpaceDN w:val="0"/>
        <w:adjustRightInd w:val="0"/>
        <w:spacing w:line="360" w:lineRule="auto"/>
        <w:outlineLvl w:val="0"/>
        <w:rPr>
          <w:rFonts w:hint="eastAsia" w:ascii="宋体" w:cs="宋体"/>
          <w:color w:val="auto"/>
          <w:sz w:val="24"/>
          <w:lang w:val="zh-CN"/>
        </w:rPr>
      </w:pPr>
    </w:p>
    <w:p>
      <w:pPr>
        <w:spacing w:line="480" w:lineRule="exact"/>
        <w:jc w:val="center"/>
        <w:rPr>
          <w:rFonts w:hint="eastAsia" w:ascii="宋体" w:hAnsi="宋体"/>
          <w:b/>
          <w:bCs/>
          <w:color w:val="auto"/>
          <w:sz w:val="36"/>
          <w:szCs w:val="36"/>
        </w:rPr>
      </w:pPr>
    </w:p>
    <w:p>
      <w:pPr>
        <w:spacing w:after="120" w:afterLines="50" w:line="320" w:lineRule="exact"/>
        <w:rPr>
          <w:rFonts w:ascii="宋体" w:hAnsi="宋体" w:cs="Arial"/>
          <w:color w:val="auto"/>
          <w:sz w:val="24"/>
          <w:szCs w:val="24"/>
          <w:u w:val="single"/>
        </w:rPr>
      </w:pPr>
      <w:r>
        <w:rPr>
          <w:rFonts w:hint="eastAsia" w:ascii="宋体" w:hAnsi="宋体" w:cs="Arial"/>
          <w:color w:val="auto"/>
          <w:sz w:val="24"/>
          <w:szCs w:val="24"/>
        </w:rPr>
        <w:t>供应商名</w:t>
      </w:r>
      <w:r>
        <w:rPr>
          <w:rFonts w:ascii="宋体" w:hAnsi="宋体" w:cs="Arial"/>
          <w:color w:val="auto"/>
          <w:sz w:val="24"/>
          <w:szCs w:val="24"/>
        </w:rPr>
        <w:t>称</w:t>
      </w:r>
      <w:r>
        <w:rPr>
          <w:rFonts w:hint="eastAsia" w:ascii="宋体" w:hAnsi="宋体" w:cs="Arial"/>
          <w:color w:val="auto"/>
          <w:sz w:val="24"/>
          <w:szCs w:val="24"/>
        </w:rPr>
        <w:t>（并加</w:t>
      </w:r>
      <w:r>
        <w:rPr>
          <w:rFonts w:ascii="宋体" w:hAnsi="宋体" w:cs="Arial"/>
          <w:color w:val="auto"/>
          <w:sz w:val="24"/>
          <w:szCs w:val="24"/>
        </w:rPr>
        <w:t>盖</w:t>
      </w:r>
      <w:r>
        <w:rPr>
          <w:rFonts w:hint="eastAsia" w:ascii="宋体" w:hAnsi="宋体" w:cs="Arial"/>
          <w:color w:val="auto"/>
          <w:sz w:val="24"/>
          <w:szCs w:val="24"/>
        </w:rPr>
        <w:t>公章）：</w:t>
      </w:r>
      <w:r>
        <w:rPr>
          <w:rFonts w:ascii="宋体" w:hAnsi="宋体" w:cs="Arial"/>
          <w:color w:val="auto"/>
          <w:sz w:val="24"/>
          <w:szCs w:val="24"/>
          <w:u w:val="single"/>
        </w:rPr>
        <w:t xml:space="preserve">                             </w:t>
      </w:r>
    </w:p>
    <w:p>
      <w:pPr>
        <w:adjustRightInd w:val="0"/>
        <w:spacing w:before="60" w:after="120" w:afterLines="50" w:line="320" w:lineRule="exact"/>
        <w:jc w:val="left"/>
        <w:textAlignment w:val="baseline"/>
        <w:rPr>
          <w:rFonts w:ascii="宋体" w:hAnsi="宋体" w:cs="Arial"/>
          <w:color w:val="auto"/>
          <w:kern w:val="0"/>
          <w:sz w:val="24"/>
          <w:szCs w:val="24"/>
        </w:rPr>
      </w:pPr>
      <w:r>
        <w:rPr>
          <w:rFonts w:hint="eastAsia" w:ascii="宋体" w:hAnsi="宋体" w:cs="Arial"/>
          <w:color w:val="auto"/>
          <w:kern w:val="0"/>
          <w:sz w:val="24"/>
          <w:szCs w:val="24"/>
        </w:rPr>
        <w:t>法定代表人（代表人）或其授</w:t>
      </w:r>
      <w:r>
        <w:rPr>
          <w:rFonts w:ascii="宋体" w:hAnsi="宋体" w:cs="Arial"/>
          <w:color w:val="auto"/>
          <w:kern w:val="0"/>
          <w:sz w:val="24"/>
          <w:szCs w:val="24"/>
        </w:rPr>
        <w:t>权</w:t>
      </w:r>
      <w:r>
        <w:rPr>
          <w:rFonts w:hint="eastAsia" w:ascii="宋体" w:hAnsi="宋体" w:cs="Arial"/>
          <w:color w:val="auto"/>
          <w:kern w:val="0"/>
          <w:sz w:val="24"/>
          <w:szCs w:val="24"/>
        </w:rPr>
        <w:t>委托人：</w:t>
      </w:r>
      <w:r>
        <w:rPr>
          <w:rFonts w:ascii="宋体" w:hAnsi="宋体" w:cs="Arial"/>
          <w:color w:val="auto"/>
          <w:kern w:val="0"/>
          <w:sz w:val="24"/>
          <w:szCs w:val="24"/>
          <w:u w:val="single"/>
        </w:rPr>
        <w:t xml:space="preserve"> </w:t>
      </w:r>
      <w:r>
        <w:rPr>
          <w:rFonts w:hint="eastAsia" w:ascii="黑体" w:hAnsi="宋体" w:eastAsia="黑体" w:cs="Arial"/>
          <w:color w:val="auto"/>
          <w:kern w:val="0"/>
          <w:szCs w:val="21"/>
          <w:u w:val="single"/>
        </w:rPr>
        <w:t>（法定代表人（代表人）可签字或加盖名章，授权委托人必须签字）</w:t>
      </w:r>
      <w:r>
        <w:rPr>
          <w:rFonts w:ascii="宋体" w:hAnsi="宋体" w:cs="Arial"/>
          <w:color w:val="auto"/>
          <w:kern w:val="0"/>
          <w:sz w:val="24"/>
          <w:szCs w:val="24"/>
          <w:u w:val="single"/>
        </w:rPr>
        <w:t xml:space="preserve"> </w:t>
      </w:r>
    </w:p>
    <w:p>
      <w:pPr>
        <w:adjustRightInd w:val="0"/>
        <w:spacing w:before="60" w:after="120" w:afterLines="50" w:line="320" w:lineRule="exact"/>
        <w:jc w:val="left"/>
        <w:textAlignment w:val="baseline"/>
        <w:rPr>
          <w:color w:val="auto"/>
          <w:kern w:val="0"/>
          <w:sz w:val="24"/>
          <w:szCs w:val="20"/>
        </w:rPr>
      </w:pPr>
      <w:r>
        <w:rPr>
          <w:color w:val="auto"/>
          <w:kern w:val="0"/>
          <w:sz w:val="24"/>
          <w:szCs w:val="20"/>
        </w:rPr>
        <w:t>签</w:t>
      </w:r>
      <w:r>
        <w:rPr>
          <w:rFonts w:hint="eastAsia"/>
          <w:color w:val="auto"/>
          <w:kern w:val="0"/>
          <w:sz w:val="24"/>
          <w:szCs w:val="20"/>
        </w:rPr>
        <w:t>署日期：</w:t>
      </w:r>
      <w:r>
        <w:rPr>
          <w:color w:val="auto"/>
          <w:kern w:val="0"/>
          <w:sz w:val="24"/>
          <w:szCs w:val="20"/>
        </w:rPr>
        <w:t xml:space="preserve">          </w:t>
      </w:r>
      <w:r>
        <w:rPr>
          <w:rFonts w:hint="eastAsia"/>
          <w:color w:val="auto"/>
          <w:kern w:val="0"/>
          <w:sz w:val="24"/>
          <w:szCs w:val="20"/>
        </w:rPr>
        <w:t>年</w:t>
      </w:r>
      <w:r>
        <w:rPr>
          <w:color w:val="auto"/>
          <w:kern w:val="0"/>
          <w:sz w:val="24"/>
          <w:szCs w:val="20"/>
        </w:rPr>
        <w:t xml:space="preserve">        </w:t>
      </w:r>
      <w:r>
        <w:rPr>
          <w:rFonts w:hint="eastAsia"/>
          <w:color w:val="auto"/>
          <w:kern w:val="0"/>
          <w:sz w:val="24"/>
          <w:szCs w:val="20"/>
        </w:rPr>
        <w:t>月</w:t>
      </w:r>
      <w:r>
        <w:rPr>
          <w:color w:val="auto"/>
          <w:kern w:val="0"/>
          <w:sz w:val="24"/>
          <w:szCs w:val="20"/>
        </w:rPr>
        <w:t xml:space="preserve">        </w:t>
      </w:r>
      <w:r>
        <w:rPr>
          <w:rFonts w:hint="eastAsia"/>
          <w:color w:val="auto"/>
          <w:kern w:val="0"/>
          <w:sz w:val="24"/>
          <w:szCs w:val="20"/>
        </w:rPr>
        <w:t>日</w:t>
      </w:r>
    </w:p>
    <w:p>
      <w:pPr>
        <w:spacing w:line="300" w:lineRule="exact"/>
        <w:rPr>
          <w:rFonts w:asciiTheme="minorEastAsia" w:hAnsiTheme="minorEastAsia"/>
          <w:color w:val="auto"/>
          <w:sz w:val="24"/>
          <w:szCs w:val="24"/>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int="eastAsia" w:ascii="宋体" w:hAnsi="宋体"/>
          <w:b/>
          <w:bCs/>
          <w:color w:val="auto"/>
          <w:sz w:val="36"/>
          <w:szCs w:val="36"/>
        </w:rPr>
      </w:pPr>
      <w:r>
        <w:rPr>
          <w:rFonts w:hint="eastAsia" w:ascii="宋体" w:hAnsi="宋体"/>
          <w:b/>
          <w:bCs/>
          <w:color w:val="auto"/>
          <w:sz w:val="36"/>
          <w:szCs w:val="36"/>
        </w:rPr>
        <w:br w:type="page"/>
      </w: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4.2</w:t>
      </w:r>
      <w:r>
        <w:rPr>
          <w:rFonts w:hint="eastAsia" w:hAnsi="宋体" w:eastAsia="宋体"/>
          <w:b/>
          <w:snapToGrid w:val="0"/>
          <w:color w:val="auto"/>
          <w:kern w:val="0"/>
          <w:sz w:val="36"/>
          <w:szCs w:val="36"/>
        </w:rPr>
        <w:t>业绩情况表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4.3 售后服务方案</w:t>
      </w:r>
    </w:p>
    <w:p>
      <w:pPr>
        <w:autoSpaceDE w:val="0"/>
        <w:autoSpaceDN w:val="0"/>
        <w:adjustRightInd w:val="0"/>
        <w:spacing w:line="360" w:lineRule="auto"/>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pacing w:line="480" w:lineRule="exact"/>
        <w:jc w:val="center"/>
        <w:rPr>
          <w:rFonts w:hint="eastAsia" w:ascii="宋体" w:hAnsi="宋体"/>
          <w:b/>
          <w:bCs/>
          <w:color w:val="auto"/>
          <w:sz w:val="36"/>
          <w:szCs w:val="36"/>
        </w:rPr>
      </w:pPr>
    </w:p>
    <w:p>
      <w:pPr>
        <w:autoSpaceDE w:val="0"/>
        <w:autoSpaceDN w:val="0"/>
        <w:adjustRightInd w:val="0"/>
        <w:spacing w:line="360" w:lineRule="auto"/>
        <w:jc w:val="center"/>
        <w:rPr>
          <w:rFonts w:hint="eastAsia"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hint="eastAsia" w:ascii="宋体" w:hAnsi="宋体"/>
          <w:b/>
          <w:bCs/>
          <w:color w:val="auto"/>
          <w:sz w:val="36"/>
          <w:szCs w:val="36"/>
        </w:rPr>
      </w:pPr>
      <w:r>
        <w:rPr>
          <w:rFonts w:hint="eastAsia" w:ascii="宋体" w:hAnsi="宋体"/>
          <w:b/>
          <w:bCs/>
          <w:color w:val="auto"/>
          <w:sz w:val="36"/>
          <w:szCs w:val="36"/>
        </w:rPr>
        <w:br w:type="page"/>
      </w:r>
    </w:p>
    <w:p>
      <w:pPr>
        <w:spacing w:line="360" w:lineRule="auto"/>
        <w:jc w:val="center"/>
        <w:rPr>
          <w:rFonts w:ascii="宋体" w:hAnsi="宋体"/>
          <w:b/>
          <w:bCs/>
          <w:color w:val="auto"/>
          <w:sz w:val="36"/>
          <w:szCs w:val="36"/>
        </w:rPr>
      </w:pPr>
      <w:r>
        <w:rPr>
          <w:rFonts w:hint="eastAsia" w:ascii="宋体" w:hAnsi="宋体"/>
          <w:b/>
          <w:bCs/>
          <w:color w:val="auto"/>
          <w:sz w:val="36"/>
          <w:szCs w:val="36"/>
        </w:rPr>
        <w:t>4.4中小企业声明函</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hint="eastAsia" w:ascii="宋体" w:hAnsi="宋体"/>
          <w:b/>
          <w:bCs/>
          <w:color w:val="auto"/>
          <w:sz w:val="36"/>
          <w:szCs w:val="36"/>
        </w:rPr>
      </w:pPr>
      <w:bookmarkStart w:id="11" w:name="OLE_LINK14"/>
      <w:bookmarkStart w:id="12" w:name="OLE_LINK13"/>
      <w:r>
        <w:rPr>
          <w:rFonts w:hint="eastAsia" w:ascii="宋体" w:hAnsi="宋体"/>
          <w:b/>
          <w:bCs/>
          <w:color w:val="auto"/>
          <w:sz w:val="36"/>
          <w:szCs w:val="36"/>
        </w:rPr>
        <w:br w:type="page"/>
      </w:r>
    </w:p>
    <w:p>
      <w:pPr>
        <w:spacing w:line="360" w:lineRule="auto"/>
        <w:jc w:val="center"/>
        <w:rPr>
          <w:rFonts w:ascii="宋体" w:hAnsi="宋体"/>
          <w:b/>
          <w:bCs/>
          <w:color w:val="auto"/>
          <w:sz w:val="36"/>
          <w:szCs w:val="36"/>
        </w:rPr>
      </w:pPr>
      <w:r>
        <w:rPr>
          <w:rFonts w:hint="eastAsia" w:ascii="宋体" w:hAnsi="宋体"/>
          <w:b/>
          <w:bCs/>
          <w:color w:val="auto"/>
          <w:sz w:val="36"/>
          <w:szCs w:val="36"/>
        </w:rPr>
        <w:t>4.5残疾人福利性单位声明函</w:t>
      </w:r>
    </w:p>
    <w:bookmarkEnd w:id="11"/>
    <w:bookmarkEnd w:id="12"/>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3E21FBF"/>
    <w:multiLevelType w:val="singleLevel"/>
    <w:tmpl w:val="03E21FBF"/>
    <w:lvl w:ilvl="0" w:tentative="0">
      <w:start w:val="1"/>
      <w:numFmt w:val="decimal"/>
      <w:suff w:val="nothing"/>
      <w:lvlText w:val="%1、"/>
      <w:lvlJc w:val="left"/>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9"/>
      <w:suff w:val="nothing"/>
      <w:lvlText w:val="%1、"/>
      <w:lvlJc w:val="left"/>
    </w:lvl>
  </w:abstractNum>
  <w:abstractNum w:abstractNumId="16">
    <w:nsid w:val="5A4CF89E"/>
    <w:multiLevelType w:val="singleLevel"/>
    <w:tmpl w:val="5A4CF89E"/>
    <w:lvl w:ilvl="0" w:tentative="0">
      <w:start w:val="1"/>
      <w:numFmt w:val="chineseCounting"/>
      <w:suff w:val="nothing"/>
      <w:lvlText w:val="%1、"/>
      <w:lvlJc w:val="left"/>
      <w:rPr>
        <w:rFonts w:hint="eastAsia"/>
      </w:rPr>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16"/>
  </w:num>
  <w:num w:numId="6">
    <w:abstractNumId w:val="8"/>
  </w:num>
  <w:num w:numId="7">
    <w:abstractNumId w:val="17"/>
  </w:num>
  <w:num w:numId="8">
    <w:abstractNumId w:val="18"/>
  </w:num>
  <w:num w:numId="9">
    <w:abstractNumId w:val="12"/>
  </w:num>
  <w:num w:numId="10">
    <w:abstractNumId w:val="9"/>
  </w:num>
  <w:num w:numId="11">
    <w:abstractNumId w:val="5"/>
  </w:num>
  <w:num w:numId="12">
    <w:abstractNumId w:val="6"/>
  </w:num>
  <w:num w:numId="13">
    <w:abstractNumId w:val="20"/>
  </w:num>
  <w:num w:numId="14">
    <w:abstractNumId w:val="11"/>
  </w:num>
  <w:num w:numId="15">
    <w:abstractNumId w:val="19"/>
  </w:num>
  <w:num w:numId="16">
    <w:abstractNumId w:val="4"/>
  </w:num>
  <w:num w:numId="17">
    <w:abstractNumId w:val="7"/>
  </w:num>
  <w:num w:numId="18">
    <w:abstractNumId w:val="13"/>
  </w:num>
  <w:num w:numId="19">
    <w:abstractNumId w:val="1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678E"/>
    <w:rsid w:val="00002C4C"/>
    <w:rsid w:val="00013791"/>
    <w:rsid w:val="000A3C3F"/>
    <w:rsid w:val="000B201C"/>
    <w:rsid w:val="000F40BE"/>
    <w:rsid w:val="000F58D4"/>
    <w:rsid w:val="00160D27"/>
    <w:rsid w:val="00187214"/>
    <w:rsid w:val="001B69F1"/>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2568F"/>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924D0B"/>
    <w:rsid w:val="00933EBF"/>
    <w:rsid w:val="009434C1"/>
    <w:rsid w:val="0097065A"/>
    <w:rsid w:val="009C12AB"/>
    <w:rsid w:val="009D27F1"/>
    <w:rsid w:val="00A3752F"/>
    <w:rsid w:val="00A4670A"/>
    <w:rsid w:val="00A57254"/>
    <w:rsid w:val="00A700D5"/>
    <w:rsid w:val="00AD60E2"/>
    <w:rsid w:val="00AF2871"/>
    <w:rsid w:val="00B07A0D"/>
    <w:rsid w:val="00BF7BB6"/>
    <w:rsid w:val="00C118B0"/>
    <w:rsid w:val="00CD277F"/>
    <w:rsid w:val="00CD3054"/>
    <w:rsid w:val="00CD47B7"/>
    <w:rsid w:val="00CE38EA"/>
    <w:rsid w:val="00D53665"/>
    <w:rsid w:val="00D71B7B"/>
    <w:rsid w:val="00D81A59"/>
    <w:rsid w:val="00D86948"/>
    <w:rsid w:val="00DE647B"/>
    <w:rsid w:val="00E84EA0"/>
    <w:rsid w:val="00EA2836"/>
    <w:rsid w:val="00ED546F"/>
    <w:rsid w:val="00F71CA7"/>
    <w:rsid w:val="00FC40F1"/>
    <w:rsid w:val="01392F69"/>
    <w:rsid w:val="016D1552"/>
    <w:rsid w:val="01A83A9C"/>
    <w:rsid w:val="055532AD"/>
    <w:rsid w:val="057B4035"/>
    <w:rsid w:val="05AE2502"/>
    <w:rsid w:val="068D06E4"/>
    <w:rsid w:val="07E91846"/>
    <w:rsid w:val="0C997530"/>
    <w:rsid w:val="0CBF7A63"/>
    <w:rsid w:val="0D95646F"/>
    <w:rsid w:val="0EA36457"/>
    <w:rsid w:val="10763E9B"/>
    <w:rsid w:val="121543F0"/>
    <w:rsid w:val="14DA4A7D"/>
    <w:rsid w:val="172D1EAF"/>
    <w:rsid w:val="18175A3A"/>
    <w:rsid w:val="1923419C"/>
    <w:rsid w:val="1A8F6DB5"/>
    <w:rsid w:val="1AB55F89"/>
    <w:rsid w:val="1B0E5593"/>
    <w:rsid w:val="1C67689D"/>
    <w:rsid w:val="1CC73663"/>
    <w:rsid w:val="1DF81DF2"/>
    <w:rsid w:val="20EF1740"/>
    <w:rsid w:val="2237674F"/>
    <w:rsid w:val="23352E19"/>
    <w:rsid w:val="236E1275"/>
    <w:rsid w:val="265820C9"/>
    <w:rsid w:val="290F43CC"/>
    <w:rsid w:val="29760B17"/>
    <w:rsid w:val="2AC20B63"/>
    <w:rsid w:val="2AE827FA"/>
    <w:rsid w:val="2DC274BC"/>
    <w:rsid w:val="2E245EDE"/>
    <w:rsid w:val="2ECE42C1"/>
    <w:rsid w:val="2F2F45A9"/>
    <w:rsid w:val="2F3C0ED0"/>
    <w:rsid w:val="2FD220F5"/>
    <w:rsid w:val="33884386"/>
    <w:rsid w:val="33FC2073"/>
    <w:rsid w:val="35451E5E"/>
    <w:rsid w:val="35D6360F"/>
    <w:rsid w:val="366C50C0"/>
    <w:rsid w:val="37F108AB"/>
    <w:rsid w:val="3A876708"/>
    <w:rsid w:val="3B893F47"/>
    <w:rsid w:val="3BEA0923"/>
    <w:rsid w:val="3CE34CFB"/>
    <w:rsid w:val="43BD6450"/>
    <w:rsid w:val="44813CAF"/>
    <w:rsid w:val="44A157BB"/>
    <w:rsid w:val="47385F96"/>
    <w:rsid w:val="479F493E"/>
    <w:rsid w:val="48D60749"/>
    <w:rsid w:val="4C5B183F"/>
    <w:rsid w:val="4DD66FAF"/>
    <w:rsid w:val="4EB17B14"/>
    <w:rsid w:val="4F016809"/>
    <w:rsid w:val="4FDD62D6"/>
    <w:rsid w:val="50502604"/>
    <w:rsid w:val="528B1967"/>
    <w:rsid w:val="53BB78C4"/>
    <w:rsid w:val="57D71414"/>
    <w:rsid w:val="57DE1812"/>
    <w:rsid w:val="59E978EC"/>
    <w:rsid w:val="5AED159E"/>
    <w:rsid w:val="5BAD7659"/>
    <w:rsid w:val="5BAE7E59"/>
    <w:rsid w:val="607E0939"/>
    <w:rsid w:val="633E58E6"/>
    <w:rsid w:val="656658F4"/>
    <w:rsid w:val="660C6F4D"/>
    <w:rsid w:val="66772B30"/>
    <w:rsid w:val="66EA5A3C"/>
    <w:rsid w:val="69120684"/>
    <w:rsid w:val="69A3533E"/>
    <w:rsid w:val="69EA41FA"/>
    <w:rsid w:val="6D5126A9"/>
    <w:rsid w:val="6D867776"/>
    <w:rsid w:val="6D9D14D9"/>
    <w:rsid w:val="6E4C6D45"/>
    <w:rsid w:val="7061191F"/>
    <w:rsid w:val="71405FB7"/>
    <w:rsid w:val="733C39D4"/>
    <w:rsid w:val="74666D0E"/>
    <w:rsid w:val="74F40446"/>
    <w:rsid w:val="78C30048"/>
    <w:rsid w:val="78F1383D"/>
    <w:rsid w:val="7B9A0CC6"/>
    <w:rsid w:val="7DC132DF"/>
    <w:rsid w:val="7DD171A5"/>
    <w:rsid w:val="7E757AE0"/>
    <w:rsid w:val="7F5A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5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Emphasis"/>
    <w:basedOn w:val="21"/>
    <w:qFormat/>
    <w:uiPriority w:val="20"/>
  </w:style>
  <w:style w:type="character" w:styleId="25">
    <w:name w:val="Hyperlink"/>
    <w:basedOn w:val="21"/>
    <w:unhideWhenUsed/>
    <w:qFormat/>
    <w:uiPriority w:val="99"/>
    <w:rPr>
      <w:color w:val="000000"/>
      <w:u w:val="none"/>
    </w:rPr>
  </w:style>
  <w:style w:type="character" w:customStyle="1" w:styleId="27">
    <w:name w:val="标题 1 字符"/>
    <w:basedOn w:val="21"/>
    <w:link w:val="4"/>
    <w:qFormat/>
    <w:uiPriority w:val="0"/>
    <w:rPr>
      <w:rFonts w:ascii="Calibri" w:hAnsi="Calibri" w:eastAsia="宋体" w:cs="Times New Roman"/>
      <w:b/>
      <w:bCs/>
      <w:kern w:val="44"/>
      <w:sz w:val="44"/>
      <w:szCs w:val="44"/>
    </w:rPr>
  </w:style>
  <w:style w:type="character" w:customStyle="1" w:styleId="28">
    <w:name w:val="标题 2 Char"/>
    <w:basedOn w:val="21"/>
    <w:qFormat/>
    <w:uiPriority w:val="0"/>
    <w:rPr>
      <w:rFonts w:ascii="Arial" w:hAnsi="Arial" w:eastAsia="黑体" w:cs="Times New Roman"/>
      <w:b/>
      <w:bCs/>
      <w:kern w:val="0"/>
      <w:sz w:val="32"/>
      <w:szCs w:val="32"/>
    </w:rPr>
  </w:style>
  <w:style w:type="character" w:customStyle="1" w:styleId="29">
    <w:name w:val="标题 3 字符"/>
    <w:basedOn w:val="21"/>
    <w:link w:val="6"/>
    <w:qFormat/>
    <w:uiPriority w:val="0"/>
    <w:rPr>
      <w:rFonts w:ascii="宋体" w:hAnsi="宋体" w:eastAsia="宋体" w:cs="Times New Roman"/>
      <w:b/>
      <w:color w:val="000000"/>
      <w:kern w:val="0"/>
      <w:sz w:val="24"/>
      <w:szCs w:val="20"/>
      <w:lang w:val="en-GB"/>
    </w:rPr>
  </w:style>
  <w:style w:type="character" w:customStyle="1" w:styleId="30">
    <w:name w:val="标题 4 字符"/>
    <w:basedOn w:val="21"/>
    <w:link w:val="7"/>
    <w:qFormat/>
    <w:uiPriority w:val="0"/>
    <w:rPr>
      <w:rFonts w:ascii="Arial" w:hAnsi="Arial" w:eastAsia="黑体" w:cs="Times New Roman"/>
      <w:b/>
      <w:bCs/>
      <w:kern w:val="0"/>
      <w:sz w:val="28"/>
      <w:szCs w:val="28"/>
    </w:rPr>
  </w:style>
  <w:style w:type="character" w:customStyle="1" w:styleId="31">
    <w:name w:val="纯文本 字符"/>
    <w:basedOn w:val="21"/>
    <w:link w:val="13"/>
    <w:qFormat/>
    <w:uiPriority w:val="0"/>
    <w:rPr>
      <w:rFonts w:eastAsia="宋体"/>
      <w:sz w:val="24"/>
    </w:rPr>
  </w:style>
  <w:style w:type="character" w:customStyle="1" w:styleId="32">
    <w:name w:val="日期 字符"/>
    <w:basedOn w:val="21"/>
    <w:link w:val="14"/>
    <w:qFormat/>
    <w:uiPriority w:val="99"/>
  </w:style>
  <w:style w:type="character" w:customStyle="1" w:styleId="33">
    <w:name w:val="页脚 字符"/>
    <w:basedOn w:val="21"/>
    <w:link w:val="16"/>
    <w:qFormat/>
    <w:uiPriority w:val="99"/>
    <w:rPr>
      <w:sz w:val="18"/>
      <w:szCs w:val="18"/>
    </w:rPr>
  </w:style>
  <w:style w:type="character" w:customStyle="1" w:styleId="34">
    <w:name w:val="页眉 字符"/>
    <w:basedOn w:val="21"/>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字符"/>
    <w:basedOn w:val="21"/>
    <w:link w:val="10"/>
    <w:qFormat/>
    <w:uiPriority w:val="0"/>
    <w:rPr>
      <w:rFonts w:ascii="Times New Roman" w:hAnsi="Times New Roman" w:eastAsia="宋体" w:cs="Times New Roman"/>
      <w:color w:val="FF0000"/>
      <w:sz w:val="24"/>
      <w:szCs w:val="24"/>
    </w:rPr>
  </w:style>
  <w:style w:type="character" w:customStyle="1" w:styleId="47">
    <w:name w:val="edittexttarea"/>
    <w:basedOn w:val="21"/>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字符"/>
    <w:basedOn w:val="21"/>
    <w:link w:val="3"/>
    <w:semiHidden/>
    <w:qFormat/>
    <w:uiPriority w:val="99"/>
  </w:style>
  <w:style w:type="character" w:customStyle="1" w:styleId="51">
    <w:name w:val="正文文本首行缩进 字符"/>
    <w:basedOn w:val="50"/>
    <w:link w:val="2"/>
    <w:qFormat/>
    <w:uiPriority w:val="0"/>
    <w:rPr>
      <w:rFonts w:ascii="宋体" w:hAnsi="Times New Roman" w:eastAsia="宋体" w:cs="Times New Roman"/>
      <w:kern w:val="0"/>
      <w:sz w:val="34"/>
      <w:szCs w:val="20"/>
    </w:rPr>
  </w:style>
  <w:style w:type="character" w:customStyle="1" w:styleId="52">
    <w:name w:val="HTML 预设格式 字符"/>
    <w:basedOn w:val="21"/>
    <w:link w:val="19"/>
    <w:semiHidden/>
    <w:qFormat/>
    <w:uiPriority w:val="99"/>
    <w:rPr>
      <w:rFonts w:ascii="宋体" w:hAnsi="宋体" w:eastAsia="宋体" w:cs="宋体"/>
      <w:kern w:val="0"/>
      <w:sz w:val="24"/>
      <w:szCs w:val="24"/>
    </w:rPr>
  </w:style>
  <w:style w:type="character" w:customStyle="1" w:styleId="53">
    <w:name w:val="标题 2 字符"/>
    <w:basedOn w:val="21"/>
    <w:link w:val="5"/>
    <w:qFormat/>
    <w:uiPriority w:val="0"/>
    <w:rPr>
      <w:rFonts w:ascii="Arial" w:hAnsi="Arial" w:eastAsia="黑体" w:cs="Times New Roman"/>
      <w:b/>
      <w:bCs/>
      <w:kern w:val="0"/>
      <w:sz w:val="32"/>
      <w:szCs w:val="32"/>
    </w:rPr>
  </w:style>
  <w:style w:type="character" w:customStyle="1" w:styleId="54">
    <w:name w:val="hover25"/>
    <w:basedOn w:val="21"/>
    <w:qFormat/>
    <w:uiPriority w:val="0"/>
  </w:style>
  <w:style w:type="character" w:customStyle="1" w:styleId="55">
    <w:name w:val="green"/>
    <w:basedOn w:val="21"/>
    <w:qFormat/>
    <w:uiPriority w:val="0"/>
    <w:rPr>
      <w:color w:val="66AE00"/>
      <w:sz w:val="18"/>
      <w:szCs w:val="18"/>
    </w:rPr>
  </w:style>
  <w:style w:type="character" w:customStyle="1" w:styleId="56">
    <w:name w:val="green1"/>
    <w:basedOn w:val="21"/>
    <w:qFormat/>
    <w:uiPriority w:val="0"/>
    <w:rPr>
      <w:color w:val="66AE00"/>
      <w:sz w:val="18"/>
      <w:szCs w:val="18"/>
    </w:rPr>
  </w:style>
  <w:style w:type="character" w:customStyle="1" w:styleId="57">
    <w:name w:val="red"/>
    <w:basedOn w:val="21"/>
    <w:qFormat/>
    <w:uiPriority w:val="0"/>
    <w:rPr>
      <w:color w:val="FF0000"/>
      <w:sz w:val="18"/>
      <w:szCs w:val="18"/>
    </w:rPr>
  </w:style>
  <w:style w:type="character" w:customStyle="1" w:styleId="58">
    <w:name w:val="red1"/>
    <w:basedOn w:val="21"/>
    <w:qFormat/>
    <w:uiPriority w:val="0"/>
    <w:rPr>
      <w:color w:val="FF0000"/>
      <w:sz w:val="18"/>
      <w:szCs w:val="18"/>
    </w:rPr>
  </w:style>
  <w:style w:type="character" w:customStyle="1" w:styleId="59">
    <w:name w:val="red2"/>
    <w:basedOn w:val="21"/>
    <w:qFormat/>
    <w:uiPriority w:val="0"/>
    <w:rPr>
      <w:color w:val="FF0000"/>
    </w:rPr>
  </w:style>
  <w:style w:type="character" w:customStyle="1" w:styleId="60">
    <w:name w:val="blue"/>
    <w:basedOn w:val="21"/>
    <w:qFormat/>
    <w:uiPriority w:val="0"/>
    <w:rPr>
      <w:color w:val="0371C6"/>
      <w:sz w:val="21"/>
      <w:szCs w:val="21"/>
    </w:rPr>
  </w:style>
  <w:style w:type="character" w:customStyle="1" w:styleId="61">
    <w:name w:val="right"/>
    <w:basedOn w:val="21"/>
    <w:qFormat/>
    <w:uiPriority w:val="0"/>
    <w:rPr>
      <w:color w:val="999999"/>
      <w:sz w:val="18"/>
      <w:szCs w:val="18"/>
    </w:rPr>
  </w:style>
  <w:style w:type="character" w:customStyle="1" w:styleId="62">
    <w:name w:val="gb-jt"/>
    <w:basedOn w:val="2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5494</Words>
  <Characters>31321</Characters>
  <Lines>261</Lines>
  <Paragraphs>73</Paragraphs>
  <TotalTime>5</TotalTime>
  <ScaleCrop>false</ScaleCrop>
  <LinksUpToDate>false</LinksUpToDate>
  <CharactersWithSpaces>36742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2018-08-14T03:07:00Z</cp:lastPrinted>
  <dcterms:modified xsi:type="dcterms:W3CDTF">2018-08-14T07:43:04Z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