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仿宋_GB2312"/>
          <w:b/>
          <w:kern w:val="0"/>
          <w:sz w:val="32"/>
          <w:szCs w:val="32"/>
          <w:shd w:val="clear" w:color="auto" w:fill="FFFFFF"/>
        </w:rPr>
      </w:pPr>
      <w:r>
        <w:rPr>
          <w:rFonts w:hint="eastAsia" w:asciiTheme="majorEastAsia" w:hAnsiTheme="majorEastAsia" w:eastAsiaTheme="majorEastAsia" w:cstheme="majorEastAsia"/>
          <w:b/>
          <w:bCs/>
          <w:color w:val="000000"/>
          <w:sz w:val="32"/>
          <w:szCs w:val="32"/>
        </w:rPr>
        <w:t>JZFCG-</w:t>
      </w:r>
      <w:r>
        <w:rPr>
          <w:rFonts w:hint="eastAsia" w:asciiTheme="majorEastAsia" w:hAnsiTheme="majorEastAsia" w:eastAsiaTheme="majorEastAsia" w:cstheme="majorEastAsia"/>
          <w:b/>
          <w:bCs/>
          <w:color w:val="000000"/>
          <w:sz w:val="32"/>
          <w:szCs w:val="32"/>
          <w:lang w:val="en-US" w:eastAsia="zh-CN"/>
        </w:rPr>
        <w:t>C</w:t>
      </w:r>
      <w:r>
        <w:rPr>
          <w:rFonts w:hint="eastAsia" w:asciiTheme="majorEastAsia" w:hAnsiTheme="majorEastAsia" w:eastAsiaTheme="majorEastAsia" w:cstheme="majorEastAsia"/>
          <w:b/>
          <w:bCs/>
          <w:color w:val="000000"/>
          <w:sz w:val="32"/>
          <w:szCs w:val="32"/>
        </w:rPr>
        <w:t>2018</w:t>
      </w:r>
      <w:r>
        <w:rPr>
          <w:rFonts w:hint="eastAsia" w:asciiTheme="majorEastAsia" w:hAnsiTheme="majorEastAsia" w:eastAsiaTheme="majorEastAsia" w:cstheme="majorEastAsia"/>
          <w:b/>
          <w:bCs/>
          <w:color w:val="000000"/>
          <w:sz w:val="32"/>
          <w:szCs w:val="32"/>
          <w:lang w:val="en-US" w:eastAsia="zh-CN"/>
        </w:rPr>
        <w:t>001</w:t>
      </w:r>
      <w:r>
        <w:rPr>
          <w:rFonts w:hint="eastAsia" w:asciiTheme="majorEastAsia" w:hAnsiTheme="majorEastAsia" w:eastAsiaTheme="majorEastAsia" w:cstheme="majorEastAsia"/>
          <w:b/>
          <w:bCs/>
          <w:color w:val="000000"/>
          <w:sz w:val="32"/>
          <w:szCs w:val="32"/>
        </w:rPr>
        <w:t>号</w:t>
      </w:r>
      <w:r>
        <w:rPr>
          <w:rFonts w:hint="eastAsia" w:asciiTheme="majorEastAsia" w:hAnsiTheme="majorEastAsia" w:eastAsiaTheme="majorEastAsia" w:cstheme="majorEastAsia"/>
          <w:b/>
          <w:bCs/>
          <w:color w:val="000000"/>
          <w:sz w:val="32"/>
          <w:szCs w:val="32"/>
          <w:lang w:eastAsia="zh-CN"/>
        </w:rPr>
        <w:t>许昌市曹魏古城开发建设有限公司“许昌—曹魏古城项目创意策划与概念设计”项目</w:t>
      </w:r>
      <w:r>
        <w:rPr>
          <w:rFonts w:hint="eastAsia" w:ascii="宋体" w:hAnsi="宋体" w:eastAsia="宋体" w:cs="仿宋_GB2312"/>
          <w:b/>
          <w:kern w:val="0"/>
          <w:sz w:val="32"/>
          <w:szCs w:val="32"/>
          <w:shd w:val="clear" w:color="auto" w:fill="FFFFFF"/>
        </w:rPr>
        <w:t xml:space="preserve"> </w:t>
      </w:r>
    </w:p>
    <w:p>
      <w:pPr>
        <w:jc w:val="center"/>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采购需求、评标标准等说明</w:t>
      </w:r>
    </w:p>
    <w:p>
      <w:pPr>
        <w:pStyle w:val="4"/>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shd w:val="clear" w:color="auto" w:fill="FFFFFF"/>
        </w:rPr>
        <w:t>一、项目基本情况</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（一）项目名称：</w:t>
      </w:r>
      <w:r>
        <w:rPr>
          <w:rFonts w:hint="eastAsia" w:ascii="仿宋" w:hAnsi="仿宋" w:eastAsia="仿宋" w:cs="仿宋_GB2312"/>
          <w:color w:val="000000"/>
          <w:sz w:val="28"/>
          <w:szCs w:val="28"/>
          <w:shd w:val="clear" w:color="auto" w:fill="FFFFFF"/>
          <w:lang w:eastAsia="zh-CN"/>
        </w:rPr>
        <w:t>许昌市曹魏古城开发建设有限公司“许昌—曹魏古城项目创意策划与概念设计”项目</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二</w:t>
      </w:r>
      <w:r>
        <w:rPr>
          <w:rFonts w:hint="eastAsia" w:ascii="仿宋" w:hAnsi="仿宋" w:eastAsia="仿宋" w:cs="仿宋_GB2312"/>
          <w:color w:val="000000"/>
          <w:sz w:val="28"/>
          <w:szCs w:val="28"/>
          <w:shd w:val="clear" w:color="auto" w:fill="FFFFFF"/>
        </w:rPr>
        <w:t>）采购方式</w:t>
      </w:r>
      <w:r>
        <w:rPr>
          <w:rFonts w:hint="eastAsia" w:ascii="仿宋" w:hAnsi="仿宋" w:eastAsia="仿宋" w:cs="仿宋_GB2312"/>
          <w:color w:val="000000"/>
          <w:sz w:val="28"/>
          <w:szCs w:val="28"/>
          <w:shd w:val="clear" w:color="auto" w:fill="FFFFFF"/>
          <w:lang w:eastAsia="zh-CN"/>
        </w:rPr>
        <w:t>：竞争性磋商</w:t>
      </w:r>
    </w:p>
    <w:p>
      <w:pPr>
        <w:pStyle w:val="4"/>
        <w:widowControl/>
        <w:shd w:val="clear" w:color="auto" w:fill="FFFFFF"/>
        <w:spacing w:line="360" w:lineRule="auto"/>
        <w:ind w:firstLine="420"/>
        <w:contextualSpacing/>
        <w:jc w:val="left"/>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三</w:t>
      </w:r>
      <w:r>
        <w:rPr>
          <w:rFonts w:hint="eastAsia" w:ascii="仿宋" w:hAnsi="仿宋" w:eastAsia="仿宋" w:cs="仿宋_GB2312"/>
          <w:color w:val="000000"/>
          <w:sz w:val="28"/>
          <w:szCs w:val="28"/>
          <w:shd w:val="clear" w:color="auto" w:fill="FFFFFF"/>
        </w:rPr>
        <w:t>）项目主要内容、数量及要求：曹魏古城位于许昌老城中心，用地面积3.9平方公里。充分利用自身资源优势及区域发展机遇，实现老城区与周边区域的统筹发展，总体定位以文化展示、旅游休闲、商业服务、特色居住为主要功能。以曹魏中轴为核心，兼顾整个曹魏古城，进行整体策划设计，包括主题提炼、业态创新、秀场表演等三级业态打通。从概念设计到初步设计，以及商业策划及测算等方面。</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四</w:t>
      </w:r>
      <w:r>
        <w:rPr>
          <w:rFonts w:hint="eastAsia" w:ascii="仿宋" w:hAnsi="仿宋" w:eastAsia="仿宋" w:cs="仿宋_GB2312"/>
          <w:color w:val="000000"/>
          <w:sz w:val="28"/>
          <w:szCs w:val="28"/>
          <w:shd w:val="clear" w:color="auto" w:fill="FFFFFF"/>
        </w:rPr>
        <w:t>）预算金额：</w:t>
      </w:r>
      <w:r>
        <w:rPr>
          <w:rFonts w:hint="eastAsia" w:ascii="仿宋" w:hAnsi="仿宋" w:eastAsia="仿宋" w:cs="仿宋_GB2312"/>
          <w:color w:val="000000"/>
          <w:sz w:val="28"/>
          <w:szCs w:val="28"/>
          <w:u w:val="none"/>
          <w:shd w:val="clear" w:color="auto" w:fill="FFFFFF"/>
          <w:lang w:val="en-US" w:eastAsia="zh-CN"/>
        </w:rPr>
        <w:t>290万元；</w:t>
      </w:r>
      <w:r>
        <w:rPr>
          <w:rFonts w:hint="eastAsia" w:ascii="仿宋" w:hAnsi="仿宋" w:eastAsia="仿宋" w:cs="仿宋_GB2312"/>
          <w:color w:val="000000"/>
          <w:sz w:val="28"/>
          <w:szCs w:val="28"/>
          <w:shd w:val="clear" w:color="auto" w:fill="FFFFFF"/>
        </w:rPr>
        <w:t>最高限价：</w:t>
      </w:r>
      <w:r>
        <w:rPr>
          <w:rFonts w:hint="eastAsia" w:ascii="仿宋" w:hAnsi="仿宋" w:eastAsia="仿宋" w:cs="仿宋_GB2312"/>
          <w:color w:val="000000"/>
          <w:sz w:val="28"/>
          <w:szCs w:val="28"/>
          <w:u w:val="none"/>
          <w:shd w:val="clear" w:color="auto" w:fill="FFFFFF"/>
        </w:rPr>
        <w:t>290万元</w:t>
      </w:r>
      <w:r>
        <w:rPr>
          <w:rFonts w:hint="eastAsia" w:ascii="仿宋" w:hAnsi="仿宋" w:eastAsia="仿宋" w:cs="仿宋_GB2312"/>
          <w:color w:val="000000"/>
          <w:sz w:val="28"/>
          <w:szCs w:val="28"/>
          <w:shd w:val="clear" w:color="auto" w:fill="FFFFFF"/>
          <w:lang w:eastAsia="zh-CN"/>
        </w:rPr>
        <w:t>；</w:t>
      </w:r>
    </w:p>
    <w:p>
      <w:pPr>
        <w:pStyle w:val="4"/>
        <w:widowControl/>
        <w:shd w:val="clear" w:color="auto" w:fill="FFFFFF"/>
        <w:spacing w:line="360" w:lineRule="auto"/>
        <w:ind w:firstLine="420"/>
        <w:contextualSpacing/>
        <w:jc w:val="left"/>
        <w:rPr>
          <w:rFonts w:ascii="仿宋" w:hAnsi="仿宋" w:eastAsia="仿宋" w:cs="仿宋_GB2312"/>
          <w:color w:val="auto"/>
          <w:sz w:val="28"/>
          <w:szCs w:val="28"/>
        </w:rPr>
      </w:pP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eastAsia="zh-CN"/>
        </w:rPr>
        <w:t>五</w:t>
      </w:r>
      <w:r>
        <w:rPr>
          <w:rFonts w:hint="eastAsia" w:ascii="仿宋" w:hAnsi="仿宋" w:eastAsia="仿宋" w:cs="仿宋_GB2312"/>
          <w:color w:val="auto"/>
          <w:sz w:val="28"/>
          <w:szCs w:val="28"/>
        </w:rPr>
        <w:t>）服务时间：签订合同后30日历天；</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六</w:t>
      </w:r>
      <w:r>
        <w:rPr>
          <w:rFonts w:hint="eastAsia" w:ascii="仿宋" w:hAnsi="仿宋" w:eastAsia="仿宋" w:cs="仿宋_GB2312"/>
          <w:color w:val="000000"/>
          <w:sz w:val="28"/>
          <w:szCs w:val="28"/>
          <w:shd w:val="clear" w:color="auto" w:fill="FFFFFF"/>
        </w:rPr>
        <w:t>）服务地点：许昌市曹魏古城开发建设有限公司（许昌市劳动路中段）</w:t>
      </w:r>
      <w:r>
        <w:rPr>
          <w:rFonts w:hint="eastAsia" w:ascii="仿宋" w:hAnsi="仿宋" w:eastAsia="仿宋" w:cs="仿宋_GB2312"/>
          <w:color w:val="000000"/>
          <w:sz w:val="28"/>
          <w:szCs w:val="28"/>
          <w:shd w:val="clear" w:color="auto" w:fill="FFFFFF"/>
          <w:lang w:eastAsia="zh-CN"/>
        </w:rPr>
        <w:t>；</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lang w:eastAsia="zh-CN"/>
        </w:rPr>
        <w:t>（七）分包：不允许。</w:t>
      </w:r>
    </w:p>
    <w:p>
      <w:pPr>
        <w:pStyle w:val="4"/>
        <w:widowControl/>
        <w:shd w:val="clear" w:color="auto" w:fill="FFFFFF"/>
        <w:spacing w:line="360" w:lineRule="auto"/>
        <w:contextualSpacing/>
        <w:jc w:val="left"/>
        <w:rPr>
          <w:rFonts w:hint="eastAsia"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二、需要落实的政府采购政策</w:t>
      </w:r>
    </w:p>
    <w:p>
      <w:pPr>
        <w:pStyle w:val="4"/>
        <w:widowControl/>
        <w:shd w:val="clear" w:color="auto" w:fill="FFFFFF"/>
        <w:spacing w:line="360" w:lineRule="auto"/>
        <w:ind w:firstLine="548" w:firstLineChars="196"/>
        <w:contextualSpacing/>
        <w:jc w:val="left"/>
        <w:rPr>
          <w:rFonts w:ascii="黑体" w:hAnsi="黑体" w:eastAsia="黑体" w:cs="黑体"/>
          <w:b/>
          <w:bCs/>
          <w:color w:val="000000"/>
          <w:sz w:val="28"/>
          <w:szCs w:val="28"/>
          <w:shd w:val="clear" w:color="auto" w:fill="FFFFFF"/>
        </w:rPr>
      </w:pPr>
      <w:r>
        <w:rPr>
          <w:rFonts w:hint="eastAsia" w:ascii="仿宋" w:hAnsi="仿宋" w:eastAsia="仿宋" w:cs="仿宋_GB2312"/>
          <w:color w:val="000000"/>
          <w:sz w:val="28"/>
          <w:szCs w:val="28"/>
          <w:shd w:val="clear" w:color="auto" w:fill="FFFFFF"/>
        </w:rPr>
        <w:t>本项目落实</w:t>
      </w:r>
      <w:r>
        <w:rPr>
          <w:rFonts w:hint="eastAsia" w:ascii="仿宋" w:hAnsi="仿宋" w:eastAsia="仿宋" w:cs="仿宋_GB2312"/>
          <w:color w:val="000000"/>
          <w:sz w:val="28"/>
          <w:szCs w:val="28"/>
          <w:u w:val="single"/>
          <w:shd w:val="clear" w:color="auto" w:fill="FFFFFF"/>
        </w:rPr>
        <w:t>节能环保</w:t>
      </w: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u w:val="single"/>
          <w:shd w:val="clear" w:color="auto" w:fill="FFFFFF"/>
        </w:rPr>
        <w:t>中小微型企业</w:t>
      </w: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u w:val="single"/>
          <w:shd w:val="clear" w:color="auto" w:fill="FFFFFF"/>
        </w:rPr>
        <w:t>残疾人福利性单位</w:t>
      </w:r>
      <w:r>
        <w:rPr>
          <w:rFonts w:hint="eastAsia" w:ascii="仿宋" w:hAnsi="仿宋" w:eastAsia="仿宋" w:cs="仿宋_GB2312"/>
          <w:color w:val="000000"/>
          <w:sz w:val="28"/>
          <w:szCs w:val="28"/>
          <w:shd w:val="clear" w:color="auto" w:fill="FFFFFF"/>
        </w:rPr>
        <w:t>扶持等相关政府采购政策。</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三、投标人资格要求</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1、符合《中华人民共和国政府采购法》第二十二条之规定；</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2、企业2015年1月1日以来具有类似项目服务经验，类似项目项目是指合同金额不小于本次招标金额的城市创意策划与概念设计项目，以签订的项目合同为准；</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3、未被列入“信用中国”网站(www.creditchina.gov.cn)失信被执行人、重大税收违法案件当事人名单、政府采购严重违法失信名单的供应商；“中国政府采购网” (www.ccgp.gov.cn)政府采购严重违法失信行为记录名单的供应商；</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4、本项目不接受联合体磋商。</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四、采购需求</w:t>
      </w:r>
    </w:p>
    <w:p>
      <w:pPr>
        <w:pStyle w:val="4"/>
        <w:widowControl/>
        <w:shd w:val="clear" w:color="auto" w:fill="FFFFFF"/>
        <w:spacing w:line="360" w:lineRule="auto"/>
        <w:contextualSpacing/>
        <w:jc w:val="left"/>
        <w:rPr>
          <w:rFonts w:hint="eastAsia" w:ascii="楷体" w:hAnsi="楷体" w:eastAsia="楷体" w:cs="黑体"/>
          <w:b/>
          <w:color w:val="000000"/>
          <w:kern w:val="0"/>
          <w:sz w:val="28"/>
          <w:szCs w:val="28"/>
          <w:lang w:val="zh-CN"/>
        </w:rPr>
      </w:pPr>
      <w:r>
        <w:rPr>
          <w:rFonts w:hint="eastAsia" w:ascii="楷体" w:hAnsi="楷体" w:eastAsia="楷体" w:cs="黑体"/>
          <w:b/>
          <w:color w:val="000000"/>
          <w:kern w:val="0"/>
          <w:sz w:val="28"/>
          <w:szCs w:val="28"/>
          <w:lang w:val="en-US" w:eastAsia="zh-CN"/>
        </w:rPr>
        <w:t>1</w:t>
      </w:r>
      <w:r>
        <w:rPr>
          <w:rFonts w:hint="eastAsia" w:ascii="楷体" w:hAnsi="楷体" w:eastAsia="楷体" w:cs="黑体"/>
          <w:b/>
          <w:color w:val="000000"/>
          <w:kern w:val="0"/>
          <w:sz w:val="28"/>
          <w:szCs w:val="28"/>
          <w:lang w:val="zh-CN"/>
        </w:rPr>
        <w:t>、本项目需实现的功能或者目标：</w:t>
      </w:r>
    </w:p>
    <w:p>
      <w:pPr>
        <w:pStyle w:val="4"/>
        <w:widowControl/>
        <w:shd w:val="clear" w:color="auto" w:fill="FFFFFF"/>
        <w:spacing w:line="360" w:lineRule="auto"/>
        <w:contextualSpacing/>
        <w:jc w:val="left"/>
        <w:rPr>
          <w:rFonts w:hint="eastAsia" w:ascii="楷体" w:hAnsi="楷体" w:eastAsia="楷体" w:cs="黑体"/>
          <w:b w:val="0"/>
          <w:bCs/>
          <w:color w:val="000000"/>
          <w:kern w:val="0"/>
          <w:sz w:val="28"/>
          <w:szCs w:val="28"/>
          <w:lang w:val="zh-CN"/>
        </w:rPr>
      </w:pPr>
      <w:r>
        <w:rPr>
          <w:rFonts w:hint="eastAsia" w:ascii="楷体" w:hAnsi="楷体" w:eastAsia="楷体" w:cs="黑体"/>
          <w:b w:val="0"/>
          <w:bCs/>
          <w:color w:val="000000"/>
          <w:kern w:val="0"/>
          <w:sz w:val="28"/>
          <w:szCs w:val="28"/>
          <w:lang w:val="zh-CN"/>
        </w:rPr>
        <w:t>曹魏古城位于许昌老城中心，用地面积3.9平方公里。充分利用自身资源优势及区域发展机遇，实现老城区与周边区域的统筹发展，总体定位以文化展示、旅游休闲、商业服务、特色居住为主要功能。</w:t>
      </w:r>
    </w:p>
    <w:p>
      <w:pPr>
        <w:pStyle w:val="4"/>
        <w:widowControl/>
        <w:shd w:val="clear" w:color="auto" w:fill="FFFFFF"/>
        <w:spacing w:line="360" w:lineRule="auto"/>
        <w:contextualSpacing/>
        <w:jc w:val="left"/>
        <w:rPr>
          <w:rFonts w:hint="eastAsia" w:ascii="楷体" w:hAnsi="楷体" w:eastAsia="楷体" w:cs="黑体"/>
          <w:b w:val="0"/>
          <w:bCs/>
          <w:color w:val="000000"/>
          <w:kern w:val="0"/>
          <w:sz w:val="28"/>
          <w:szCs w:val="28"/>
          <w:lang w:val="zh-CN"/>
        </w:rPr>
      </w:pPr>
      <w:r>
        <w:rPr>
          <w:rFonts w:hint="eastAsia" w:ascii="楷体" w:hAnsi="楷体" w:eastAsia="楷体" w:cs="黑体"/>
          <w:b w:val="0"/>
          <w:bCs/>
          <w:color w:val="000000"/>
          <w:kern w:val="0"/>
          <w:sz w:val="28"/>
          <w:szCs w:val="28"/>
          <w:lang w:val="zh-CN"/>
        </w:rPr>
        <w:t>从空间布局来看，曹魏古城街道结构清晰，利于旅游动线规划。但旅游节点散乱单一，缺乏更为丰富的历史节点、景观节点与休闲节点缺乏规划游览交通路线、丰富的街巷布局，使游客有节奏地行走与停留。有丰富而深厚的文化底蕴，却未能转化为文化IP，缺乏旅游品牌。有比较宏观的项目规划，但却集中在建筑的设计和建设中，缺乏文商旅规划和业态匹配，以及运营统筹。有浓厚的生活气息，在地文化突出，却未能将将城内居民与文商旅开发结合，带动老城居民经济发展。</w:t>
      </w:r>
    </w:p>
    <w:p>
      <w:pPr>
        <w:pStyle w:val="4"/>
        <w:widowControl/>
        <w:shd w:val="clear" w:color="auto" w:fill="FFFFFF"/>
        <w:spacing w:line="360" w:lineRule="auto"/>
        <w:contextualSpacing/>
        <w:jc w:val="left"/>
        <w:rPr>
          <w:rFonts w:hint="eastAsia" w:ascii="楷体" w:hAnsi="楷体" w:eastAsia="楷体" w:cs="黑体"/>
          <w:b w:val="0"/>
          <w:bCs/>
          <w:color w:val="000000"/>
          <w:kern w:val="0"/>
          <w:sz w:val="28"/>
          <w:szCs w:val="28"/>
          <w:lang w:val="zh-CN"/>
        </w:rPr>
      </w:pPr>
      <w:r>
        <w:rPr>
          <w:rFonts w:hint="eastAsia" w:ascii="楷体" w:hAnsi="楷体" w:eastAsia="楷体" w:cs="黑体"/>
          <w:b w:val="0"/>
          <w:bCs/>
          <w:color w:val="000000"/>
          <w:kern w:val="0"/>
          <w:sz w:val="28"/>
          <w:szCs w:val="28"/>
          <w:lang w:val="zh-CN"/>
        </w:rPr>
        <w:t>为此，本项目拟为曹魏古城的策划设计采购策划设计团队，以曹魏中轴为核心，兼顾整个曹魏古城，进行整体策划设计，包括主题提炼、业态创新、秀场表演等三级业态打通，从概念设计到初步设计，以及商业策划及测算等方面，实现曹魏古城的创新和延伸</w:t>
      </w:r>
    </w:p>
    <w:p>
      <w:pPr>
        <w:pStyle w:val="4"/>
        <w:widowControl/>
        <w:shd w:val="clear" w:color="auto" w:fill="FFFFFF"/>
        <w:spacing w:line="360" w:lineRule="auto"/>
        <w:contextualSpacing/>
        <w:jc w:val="left"/>
        <w:rPr>
          <w:rFonts w:hint="eastAsia" w:ascii="楷体" w:hAnsi="楷体" w:eastAsia="楷体" w:cs="黑体"/>
          <w:b/>
          <w:color w:val="000000"/>
          <w:kern w:val="0"/>
          <w:sz w:val="28"/>
          <w:szCs w:val="28"/>
          <w:lang w:val="zh-CN"/>
        </w:rPr>
      </w:pPr>
      <w:r>
        <w:rPr>
          <w:rFonts w:hint="eastAsia" w:ascii="楷体" w:hAnsi="楷体" w:eastAsia="楷体" w:cs="黑体"/>
          <w:b/>
          <w:color w:val="000000"/>
          <w:kern w:val="0"/>
          <w:sz w:val="28"/>
          <w:szCs w:val="28"/>
          <w:lang w:val="en-US" w:eastAsia="zh-CN"/>
        </w:rPr>
        <w:t>2</w:t>
      </w:r>
      <w:r>
        <w:rPr>
          <w:rFonts w:hint="eastAsia" w:ascii="楷体" w:hAnsi="楷体" w:eastAsia="楷体" w:cs="黑体"/>
          <w:b/>
          <w:color w:val="000000"/>
          <w:kern w:val="0"/>
          <w:sz w:val="28"/>
          <w:szCs w:val="28"/>
          <w:lang w:val="zh-CN"/>
        </w:rPr>
        <w:t>、采购标的成果</w:t>
      </w:r>
    </w:p>
    <w:p>
      <w:pPr>
        <w:pStyle w:val="4"/>
        <w:widowControl/>
        <w:shd w:val="clear" w:color="auto" w:fill="FFFFFF"/>
        <w:spacing w:line="360" w:lineRule="auto"/>
        <w:contextualSpacing/>
        <w:jc w:val="left"/>
        <w:rPr>
          <w:rFonts w:hint="eastAsia" w:ascii="楷体" w:hAnsi="楷体" w:eastAsia="楷体" w:cs="黑体"/>
          <w:b w:val="0"/>
          <w:bCs/>
          <w:color w:val="000000"/>
          <w:kern w:val="0"/>
          <w:sz w:val="28"/>
          <w:szCs w:val="28"/>
          <w:lang w:val="zh-CN"/>
        </w:rPr>
      </w:pPr>
      <w:r>
        <w:rPr>
          <w:rFonts w:hint="eastAsia" w:ascii="楷体" w:hAnsi="楷体" w:eastAsia="楷体" w:cs="黑体"/>
          <w:b w:val="0"/>
          <w:bCs/>
          <w:color w:val="000000"/>
          <w:kern w:val="0"/>
          <w:sz w:val="28"/>
          <w:szCs w:val="28"/>
          <w:lang w:val="zh-CN"/>
        </w:rPr>
        <w:t>本次采购项目为曹魏古城的策划设计采购策划设计团队，中标单位在与采购人签订合同后，提供分析数据、地域地图解析、概念参考图及文字分析阐述、效果参考图+文字描述，并形成最终的汇报方案提交采购人。</w:t>
      </w:r>
    </w:p>
    <w:p>
      <w:pPr>
        <w:pStyle w:val="4"/>
        <w:widowControl/>
        <w:shd w:val="clear" w:color="auto" w:fill="FFFFFF"/>
        <w:spacing w:line="360" w:lineRule="auto"/>
        <w:contextualSpacing/>
        <w:jc w:val="left"/>
        <w:rPr>
          <w:rFonts w:hint="eastAsia" w:ascii="楷体" w:hAnsi="楷体" w:eastAsia="楷体" w:cs="黑体"/>
          <w:b/>
          <w:color w:val="000000"/>
          <w:kern w:val="0"/>
          <w:sz w:val="28"/>
          <w:szCs w:val="28"/>
          <w:lang w:val="zh-CN"/>
        </w:rPr>
      </w:pPr>
      <w:r>
        <w:rPr>
          <w:rFonts w:hint="eastAsia" w:ascii="楷体" w:hAnsi="楷体" w:eastAsia="楷体" w:cs="黑体"/>
          <w:b/>
          <w:color w:val="000000"/>
          <w:kern w:val="0"/>
          <w:sz w:val="28"/>
          <w:szCs w:val="28"/>
          <w:lang w:val="en-US" w:eastAsia="zh-CN"/>
        </w:rPr>
        <w:t>3</w:t>
      </w:r>
      <w:r>
        <w:rPr>
          <w:rFonts w:hint="eastAsia" w:ascii="楷体" w:hAnsi="楷体" w:eastAsia="楷体" w:cs="黑体"/>
          <w:b/>
          <w:color w:val="000000"/>
          <w:kern w:val="0"/>
          <w:sz w:val="28"/>
          <w:szCs w:val="28"/>
          <w:lang w:val="zh-CN"/>
        </w:rPr>
        <w:t>、验收标准</w:t>
      </w:r>
    </w:p>
    <w:p>
      <w:pPr>
        <w:pStyle w:val="4"/>
        <w:widowControl/>
        <w:shd w:val="clear" w:color="auto" w:fill="FFFFFF"/>
        <w:spacing w:line="360" w:lineRule="auto"/>
        <w:contextualSpacing/>
        <w:jc w:val="left"/>
        <w:rPr>
          <w:rFonts w:hint="eastAsia" w:ascii="黑体" w:hAnsi="黑体" w:eastAsia="黑体" w:cs="黑体"/>
          <w:b/>
          <w:bCs/>
          <w:color w:val="000000"/>
          <w:sz w:val="28"/>
          <w:szCs w:val="28"/>
          <w:shd w:val="clear" w:color="auto" w:fill="FFFFFF"/>
        </w:rPr>
      </w:pPr>
      <w:r>
        <w:rPr>
          <w:rFonts w:hint="eastAsia" w:ascii="楷体" w:hAnsi="楷体" w:eastAsia="楷体" w:cs="黑体"/>
          <w:b w:val="0"/>
          <w:bCs/>
          <w:color w:val="000000"/>
          <w:kern w:val="0"/>
          <w:sz w:val="28"/>
          <w:szCs w:val="28"/>
          <w:lang w:val="zh-CN"/>
        </w:rPr>
        <w:t>由采购人成立方案评审小组(包含有省级以上同类项目专家参加),按照采购合同的约定对成交人履约情况进行验收。验收时,按照采购合同的约定对本项目服务的履约情况进行确认。评审结束后,出具评审通过验收书,列明验收情况及项目总体评价,由验收双方共同签署</w:t>
      </w:r>
      <w:r>
        <w:rPr>
          <w:rFonts w:hint="eastAsia" w:ascii="楷体" w:hAnsi="楷体" w:eastAsia="楷体" w:cs="黑体"/>
          <w:b/>
          <w:color w:val="000000"/>
          <w:kern w:val="0"/>
          <w:sz w:val="28"/>
          <w:szCs w:val="28"/>
          <w:lang w:val="zh-CN"/>
        </w:rPr>
        <w:t>。</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五、评标方法和评标标准</w:t>
      </w:r>
    </w:p>
    <w:p>
      <w:pPr>
        <w:rPr>
          <w:rFonts w:ascii="仿宋" w:hAnsi="仿宋" w:eastAsia="仿宋"/>
          <w:sz w:val="28"/>
          <w:szCs w:val="28"/>
        </w:rPr>
      </w:pPr>
      <w:r>
        <w:rPr>
          <w:rFonts w:hint="eastAsia" w:ascii="仿宋" w:hAnsi="仿宋" w:eastAsia="仿宋"/>
          <w:sz w:val="28"/>
          <w:szCs w:val="28"/>
        </w:rPr>
        <w:t>（一）评标方法：综合评分（百分制）法</w:t>
      </w:r>
    </w:p>
    <w:p>
      <w:pPr>
        <w:rPr>
          <w:rFonts w:ascii="仿宋" w:hAnsi="仿宋" w:eastAsia="仿宋"/>
          <w:sz w:val="28"/>
          <w:szCs w:val="28"/>
        </w:rPr>
      </w:pPr>
      <w:r>
        <w:rPr>
          <w:rFonts w:hint="eastAsia" w:ascii="仿宋" w:hAnsi="仿宋" w:eastAsia="仿宋"/>
          <w:sz w:val="28"/>
          <w:szCs w:val="28"/>
        </w:rPr>
        <w:t>（二）评标标准：</w:t>
      </w:r>
    </w:p>
    <w:tbl>
      <w:tblPr>
        <w:tblStyle w:val="6"/>
        <w:tblpPr w:leftFromText="180" w:rightFromText="180" w:vertAnchor="text" w:tblpXSpec="center"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3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838" w:type="dxa"/>
            <w:vAlign w:val="center"/>
          </w:tcPr>
          <w:p>
            <w:pPr>
              <w:jc w:val="center"/>
              <w:rPr>
                <w:rFonts w:ascii="宋体" w:hAnsi="宋体"/>
                <w:b/>
                <w:sz w:val="24"/>
                <w:szCs w:val="24"/>
              </w:rPr>
            </w:pPr>
            <w:r>
              <w:rPr>
                <w:rFonts w:hint="eastAsia" w:ascii="宋体" w:hAnsi="宋体"/>
                <w:b/>
                <w:sz w:val="24"/>
                <w:szCs w:val="24"/>
              </w:rPr>
              <w:t>评审部分</w:t>
            </w:r>
          </w:p>
        </w:tc>
        <w:tc>
          <w:tcPr>
            <w:tcW w:w="6350" w:type="dxa"/>
            <w:vAlign w:val="center"/>
          </w:tcPr>
          <w:p>
            <w:pPr>
              <w:jc w:val="center"/>
              <w:rPr>
                <w:rFonts w:ascii="宋体" w:hAnsi="宋体"/>
                <w:b/>
                <w:sz w:val="24"/>
                <w:szCs w:val="24"/>
              </w:rPr>
            </w:pPr>
            <w:r>
              <w:rPr>
                <w:rFonts w:hint="eastAsia" w:ascii="宋体" w:hAnsi="宋体"/>
                <w:b/>
                <w:sz w:val="24"/>
                <w:szCs w:val="24"/>
              </w:rPr>
              <w:t>评审因素</w:t>
            </w:r>
          </w:p>
        </w:tc>
        <w:tc>
          <w:tcPr>
            <w:tcW w:w="1276" w:type="dxa"/>
            <w:vAlign w:val="center"/>
          </w:tcPr>
          <w:p>
            <w:pPr>
              <w:jc w:val="center"/>
              <w:rPr>
                <w:rFonts w:ascii="宋体" w:hAnsi="宋体"/>
                <w:b/>
                <w:sz w:val="24"/>
                <w:szCs w:val="24"/>
              </w:rPr>
            </w:pPr>
            <w:r>
              <w:rPr>
                <w:rFonts w:hint="eastAsia" w:ascii="宋体" w:hAnsi="宋体"/>
                <w:b/>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838" w:type="dxa"/>
            <w:vAlign w:val="center"/>
          </w:tcPr>
          <w:p>
            <w:pPr>
              <w:rPr>
                <w:rFonts w:ascii="宋体" w:hAnsi="宋体"/>
                <w:b/>
                <w:sz w:val="24"/>
                <w:szCs w:val="24"/>
              </w:rPr>
            </w:pPr>
            <w:r>
              <w:rPr>
                <w:rFonts w:hint="eastAsia" w:ascii="宋体" w:hAnsi="宋体" w:cs="宋体"/>
                <w:b/>
                <w:kern w:val="0"/>
                <w:sz w:val="24"/>
                <w:szCs w:val="24"/>
              </w:rPr>
              <w:t>投标报价20分</w:t>
            </w:r>
          </w:p>
        </w:tc>
        <w:tc>
          <w:tcPr>
            <w:tcW w:w="6350" w:type="dxa"/>
            <w:vAlign w:val="center"/>
          </w:tcPr>
          <w:p>
            <w:pPr>
              <w:spacing w:line="340" w:lineRule="exact"/>
              <w:rPr>
                <w:rFonts w:ascii="宋体" w:hAnsi="宋体"/>
                <w:sz w:val="24"/>
                <w:szCs w:val="24"/>
              </w:rPr>
            </w:pPr>
            <w:r>
              <w:rPr>
                <w:rFonts w:hint="eastAsia" w:ascii="宋体" w:hAnsi="宋体"/>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宋体" w:hAnsi="宋体"/>
                <w:sz w:val="24"/>
                <w:szCs w:val="24"/>
              </w:rPr>
            </w:pPr>
            <w:r>
              <w:rPr>
                <w:rFonts w:hint="eastAsia" w:ascii="宋体" w:hAnsi="宋体"/>
                <w:sz w:val="24"/>
                <w:szCs w:val="24"/>
              </w:rPr>
              <w:t>本项目落实节能环保、中小微型企业、监狱企业、残疾人福利性单位扶持等相关政府采购政策。（详见第五章）</w:t>
            </w:r>
          </w:p>
          <w:p>
            <w:pPr>
              <w:numPr>
                <w:ilvl w:val="0"/>
                <w:numId w:val="1"/>
              </w:numPr>
              <w:spacing w:line="340" w:lineRule="exact"/>
              <w:rPr>
                <w:rFonts w:ascii="宋体" w:hAnsi="宋体"/>
                <w:sz w:val="24"/>
                <w:szCs w:val="24"/>
              </w:rPr>
            </w:pPr>
            <w:r>
              <w:rPr>
                <w:rFonts w:hint="eastAsia" w:ascii="宋体" w:hAnsi="宋体"/>
                <w:sz w:val="24"/>
                <w:szCs w:val="24"/>
              </w:rPr>
              <w:t>项目评审过程中，不得去掉最后报价中的最高报价和最低报价。</w:t>
            </w:r>
          </w:p>
          <w:p>
            <w:pPr>
              <w:spacing w:line="340" w:lineRule="exact"/>
              <w:rPr>
                <w:rFonts w:ascii="宋体" w:hAnsi="宋体"/>
                <w:sz w:val="24"/>
                <w:szCs w:val="24"/>
              </w:rPr>
            </w:pPr>
            <w:r>
              <w:rPr>
                <w:rFonts w:hint="eastAsia" w:ascii="宋体" w:hAnsi="宋体"/>
                <w:sz w:val="24"/>
                <w:szCs w:val="24"/>
              </w:rPr>
              <w:t>2、经磋商小组发现供应商的报价明显低于其他供应商磋商报价，使得其磋商报价可能低于其个别成本的，应当要求该供应商作出书面说明并提供相关证明材料。供应商在规定的时间内不能合理说明或者不能提供相关证明材料的，由磋商小组认定该供应商以低于成本报价恶意竞标，其磋商作为无效磋商处理。</w:t>
            </w:r>
          </w:p>
        </w:tc>
        <w:tc>
          <w:tcPr>
            <w:tcW w:w="1276" w:type="dxa"/>
            <w:vAlign w:val="center"/>
          </w:tcPr>
          <w:p>
            <w:pPr>
              <w:jc w:val="center"/>
              <w:rPr>
                <w:rFonts w:ascii="宋体" w:hAnsi="宋体"/>
                <w:szCs w:val="21"/>
              </w:rPr>
            </w:pPr>
            <w:r>
              <w:rPr>
                <w:rFonts w:ascii="宋体" w:hAnsi="宋体"/>
                <w:szCs w:val="21"/>
              </w:rPr>
              <w:t>2</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restart"/>
            <w:vAlign w:val="center"/>
          </w:tcPr>
          <w:p>
            <w:pPr>
              <w:jc w:val="center"/>
              <w:rPr>
                <w:rFonts w:ascii="宋体" w:hAnsi="宋体"/>
                <w:b/>
                <w:sz w:val="24"/>
                <w:szCs w:val="24"/>
              </w:rPr>
            </w:pPr>
            <w:r>
              <w:rPr>
                <w:rFonts w:hint="eastAsia" w:ascii="宋体" w:hAnsi="宋体"/>
                <w:b/>
                <w:sz w:val="24"/>
                <w:szCs w:val="24"/>
              </w:rPr>
              <w:t>商务部分评审</w:t>
            </w:r>
          </w:p>
          <w:p>
            <w:pPr>
              <w:jc w:val="center"/>
              <w:rPr>
                <w:rFonts w:ascii="宋体" w:hAnsi="宋体"/>
                <w:b/>
                <w:sz w:val="24"/>
                <w:szCs w:val="24"/>
              </w:rPr>
            </w:pPr>
            <w:r>
              <w:rPr>
                <w:rFonts w:hint="eastAsia" w:ascii="宋体" w:hAnsi="宋体"/>
                <w:b/>
                <w:sz w:val="24"/>
                <w:szCs w:val="24"/>
              </w:rPr>
              <w:t>30分</w:t>
            </w:r>
          </w:p>
        </w:tc>
        <w:tc>
          <w:tcPr>
            <w:tcW w:w="6350" w:type="dxa"/>
            <w:vAlign w:val="center"/>
          </w:tcPr>
          <w:p>
            <w:pPr>
              <w:spacing w:line="340" w:lineRule="exact"/>
              <w:rPr>
                <w:rFonts w:ascii="宋体" w:hAnsi="宋体"/>
                <w:sz w:val="24"/>
                <w:szCs w:val="24"/>
              </w:rPr>
            </w:pPr>
            <w:r>
              <w:rPr>
                <w:rFonts w:hint="eastAsia" w:ascii="宋体" w:hAnsi="宋体"/>
                <w:sz w:val="24"/>
                <w:szCs w:val="24"/>
              </w:rPr>
              <w:t>IS09001质量管理体系认证证书、IS014001环境管理体系认证证书、OHSAS18001职业健康安全管理体系认证证书每个1分，最高3分。</w:t>
            </w:r>
          </w:p>
        </w:tc>
        <w:tc>
          <w:tcPr>
            <w:tcW w:w="1276"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sz w:val="24"/>
                <w:szCs w:val="24"/>
              </w:rPr>
            </w:pPr>
            <w:r>
              <w:rPr>
                <w:rFonts w:hint="eastAsia" w:ascii="宋体" w:hAnsi="宋体"/>
                <w:sz w:val="24"/>
                <w:szCs w:val="24"/>
              </w:rPr>
              <w:t>近3年均获得基本开户银行AAA证书的得2分。</w:t>
            </w:r>
          </w:p>
        </w:tc>
        <w:tc>
          <w:tcPr>
            <w:tcW w:w="1276" w:type="dxa"/>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sz w:val="24"/>
                <w:szCs w:val="24"/>
              </w:rPr>
            </w:pPr>
            <w:r>
              <w:rPr>
                <w:rFonts w:hint="eastAsia" w:ascii="宋体" w:hAnsi="宋体"/>
                <w:sz w:val="24"/>
                <w:szCs w:val="24"/>
              </w:rPr>
              <w:t>连续3年以上获得工商主管部门颁发的“守合同重信用企业”或“守信用重合同”证书的得2分。</w:t>
            </w:r>
          </w:p>
        </w:tc>
        <w:tc>
          <w:tcPr>
            <w:tcW w:w="1276" w:type="dxa"/>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sz w:val="24"/>
                <w:szCs w:val="24"/>
              </w:rPr>
            </w:pPr>
            <w:r>
              <w:rPr>
                <w:rFonts w:hint="eastAsia" w:ascii="宋体" w:hAnsi="宋体"/>
                <w:sz w:val="24"/>
                <w:szCs w:val="24"/>
              </w:rPr>
              <w:t>获得国家级重大文化活动荣誉证书的每个得1分，最高2分。</w:t>
            </w:r>
          </w:p>
        </w:tc>
        <w:tc>
          <w:tcPr>
            <w:tcW w:w="1276" w:type="dxa"/>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sz w:val="24"/>
                <w:szCs w:val="24"/>
              </w:rPr>
            </w:pPr>
            <w:r>
              <w:rPr>
                <w:rFonts w:hint="eastAsia" w:ascii="宋体" w:hAnsi="宋体"/>
                <w:sz w:val="24"/>
                <w:szCs w:val="24"/>
              </w:rPr>
              <w:t>具备国家级文化产业示范基地证书的得2分。</w:t>
            </w:r>
          </w:p>
        </w:tc>
        <w:tc>
          <w:tcPr>
            <w:tcW w:w="1276" w:type="dxa"/>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sz w:val="24"/>
                <w:szCs w:val="24"/>
              </w:rPr>
            </w:pPr>
            <w:r>
              <w:rPr>
                <w:rFonts w:hint="eastAsia" w:ascii="宋体" w:hAnsi="宋体"/>
                <w:sz w:val="24"/>
                <w:szCs w:val="24"/>
              </w:rPr>
              <w:t>具备优秀文化企业、创新型试点企业证书荣誉称号的每个证书得</w:t>
            </w:r>
            <w:r>
              <w:rPr>
                <w:rFonts w:ascii="宋体" w:hAnsi="宋体"/>
                <w:sz w:val="24"/>
                <w:szCs w:val="24"/>
              </w:rPr>
              <w:t>1</w:t>
            </w:r>
            <w:r>
              <w:rPr>
                <w:rFonts w:hint="eastAsia" w:ascii="宋体" w:hAnsi="宋体"/>
                <w:sz w:val="24"/>
                <w:szCs w:val="24"/>
              </w:rPr>
              <w:t>分，最多得</w:t>
            </w:r>
            <w:r>
              <w:rPr>
                <w:rFonts w:ascii="宋体" w:hAnsi="宋体"/>
                <w:sz w:val="24"/>
                <w:szCs w:val="24"/>
              </w:rPr>
              <w:t>2</w:t>
            </w:r>
            <w:r>
              <w:rPr>
                <w:rFonts w:hint="eastAsia" w:ascii="宋体" w:hAnsi="宋体"/>
                <w:sz w:val="24"/>
                <w:szCs w:val="24"/>
              </w:rPr>
              <w:t>分。</w:t>
            </w:r>
          </w:p>
        </w:tc>
        <w:tc>
          <w:tcPr>
            <w:tcW w:w="1276" w:type="dxa"/>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b/>
                <w:sz w:val="24"/>
                <w:szCs w:val="24"/>
              </w:rPr>
            </w:pPr>
            <w:r>
              <w:rPr>
                <w:rFonts w:hint="eastAsia" w:ascii="宋体" w:hAnsi="宋体"/>
                <w:sz w:val="24"/>
                <w:szCs w:val="24"/>
              </w:rPr>
              <w:t>2015年1月1日至今投标人承担过单个项目合同金额</w:t>
            </w:r>
            <w:r>
              <w:rPr>
                <w:rFonts w:ascii="宋体" w:hAnsi="宋体"/>
                <w:sz w:val="24"/>
                <w:szCs w:val="24"/>
              </w:rPr>
              <w:t>2</w:t>
            </w:r>
            <w:r>
              <w:rPr>
                <w:rFonts w:hint="eastAsia" w:ascii="宋体" w:hAnsi="宋体"/>
                <w:sz w:val="24"/>
                <w:szCs w:val="24"/>
              </w:rPr>
              <w:t>50万元及其以上的类似文化创意或概念策划或概念性方案设计业绩的得2分，每增加1项合同金额300万-500万类似业绩的加2分，最多加6分；每增加1项合同金额500万元及其以上类似业绩的加</w:t>
            </w:r>
            <w:r>
              <w:rPr>
                <w:rFonts w:ascii="宋体" w:hAnsi="宋体"/>
                <w:sz w:val="24"/>
                <w:szCs w:val="24"/>
              </w:rPr>
              <w:t>3</w:t>
            </w:r>
            <w:r>
              <w:rPr>
                <w:rFonts w:hint="eastAsia" w:ascii="宋体" w:hAnsi="宋体"/>
                <w:sz w:val="24"/>
                <w:szCs w:val="24"/>
              </w:rPr>
              <w:t>分，最多加9分；满分17分。（类似业绩证明材料须提供合同或协议，</w:t>
            </w:r>
            <w:r>
              <w:rPr>
                <w:rFonts w:hint="eastAsia" w:ascii="宋体" w:hAnsi="宋体"/>
                <w:b/>
                <w:sz w:val="24"/>
                <w:szCs w:val="24"/>
              </w:rPr>
              <w:t>业绩证明材料的原件的</w:t>
            </w:r>
            <w:r>
              <w:rPr>
                <w:rFonts w:ascii="宋体" w:hAnsi="宋体"/>
                <w:b/>
                <w:sz w:val="24"/>
                <w:szCs w:val="24"/>
              </w:rPr>
              <w:t>首页、金额页、盖章页</w:t>
            </w:r>
            <w:r>
              <w:rPr>
                <w:rFonts w:hint="eastAsia" w:ascii="宋体" w:hAnsi="宋体"/>
                <w:b/>
                <w:sz w:val="24"/>
                <w:szCs w:val="24"/>
              </w:rPr>
              <w:t>扫描件须附在投标文件中。）</w:t>
            </w:r>
          </w:p>
        </w:tc>
        <w:tc>
          <w:tcPr>
            <w:tcW w:w="1276" w:type="dxa"/>
            <w:vAlign w:val="center"/>
          </w:tcPr>
          <w:p>
            <w:pPr>
              <w:jc w:val="center"/>
              <w:rPr>
                <w:rFonts w:ascii="宋体" w:hAnsi="宋体"/>
                <w:szCs w:val="21"/>
              </w:rPr>
            </w:pPr>
            <w:r>
              <w:rPr>
                <w:rFonts w:ascii="宋体" w:hAnsi="宋体"/>
                <w:szCs w:val="21"/>
              </w:rPr>
              <w:t>1</w:t>
            </w: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838" w:type="dxa"/>
            <w:vMerge w:val="restart"/>
            <w:vAlign w:val="center"/>
          </w:tcPr>
          <w:p>
            <w:pPr>
              <w:jc w:val="center"/>
              <w:rPr>
                <w:rFonts w:ascii="宋体" w:hAnsi="宋体"/>
                <w:b/>
                <w:sz w:val="24"/>
                <w:szCs w:val="24"/>
              </w:rPr>
            </w:pPr>
            <w:r>
              <w:rPr>
                <w:rFonts w:hint="eastAsia" w:ascii="宋体" w:hAnsi="宋体"/>
                <w:b/>
                <w:sz w:val="24"/>
                <w:szCs w:val="24"/>
              </w:rPr>
              <w:t>技术部分评审</w:t>
            </w:r>
          </w:p>
          <w:p>
            <w:pPr>
              <w:jc w:val="center"/>
              <w:rPr>
                <w:rFonts w:ascii="宋体" w:hAnsi="宋体"/>
                <w:b/>
                <w:sz w:val="24"/>
                <w:szCs w:val="24"/>
              </w:rPr>
            </w:pPr>
            <w:r>
              <w:rPr>
                <w:rFonts w:hint="eastAsia" w:ascii="宋体" w:hAnsi="宋体"/>
                <w:b/>
                <w:sz w:val="24"/>
                <w:szCs w:val="24"/>
              </w:rPr>
              <w:t>满分</w:t>
            </w:r>
            <w:r>
              <w:rPr>
                <w:rFonts w:ascii="宋体" w:hAnsi="宋体"/>
                <w:b/>
                <w:sz w:val="24"/>
                <w:szCs w:val="24"/>
              </w:rPr>
              <w:t>50</w:t>
            </w:r>
            <w:r>
              <w:rPr>
                <w:rFonts w:hint="eastAsia" w:ascii="宋体" w:hAnsi="宋体"/>
                <w:b/>
                <w:sz w:val="24"/>
                <w:szCs w:val="24"/>
              </w:rPr>
              <w:t>分</w:t>
            </w:r>
          </w:p>
        </w:tc>
        <w:tc>
          <w:tcPr>
            <w:tcW w:w="6350" w:type="dxa"/>
            <w:vAlign w:val="center"/>
          </w:tcPr>
          <w:p>
            <w:pPr>
              <w:spacing w:line="340" w:lineRule="exact"/>
              <w:rPr>
                <w:rFonts w:ascii="宋体" w:hAnsi="宋体"/>
                <w:bCs/>
                <w:sz w:val="24"/>
                <w:szCs w:val="24"/>
              </w:rPr>
            </w:pPr>
            <w:r>
              <w:rPr>
                <w:rFonts w:hint="eastAsia" w:ascii="宋体" w:hAnsi="宋体"/>
                <w:bCs/>
                <w:sz w:val="24"/>
                <w:szCs w:val="24"/>
              </w:rPr>
              <w:t>项目需求</w:t>
            </w:r>
            <w:r>
              <w:rPr>
                <w:rFonts w:ascii="宋体" w:hAnsi="宋体"/>
                <w:bCs/>
                <w:sz w:val="24"/>
                <w:szCs w:val="24"/>
              </w:rPr>
              <w:t>解读</w:t>
            </w:r>
            <w:r>
              <w:rPr>
                <w:rFonts w:hint="eastAsia" w:ascii="宋体" w:hAnsi="宋体"/>
                <w:bCs/>
                <w:sz w:val="24"/>
                <w:szCs w:val="24"/>
              </w:rPr>
              <w:t>：</w:t>
            </w:r>
          </w:p>
          <w:p>
            <w:pPr>
              <w:spacing w:line="340" w:lineRule="exact"/>
              <w:rPr>
                <w:rFonts w:ascii="宋体" w:hAnsi="宋体"/>
                <w:sz w:val="24"/>
                <w:szCs w:val="24"/>
              </w:rPr>
            </w:pPr>
            <w:r>
              <w:rPr>
                <w:rFonts w:hint="eastAsia" w:ascii="宋体" w:hAnsi="宋体"/>
                <w:sz w:val="24"/>
                <w:szCs w:val="24"/>
              </w:rPr>
              <w:t>1、对项目创新需求的理解，能精准解读项目特点以及创新难点和创新焦点，工作思路清晰；</w:t>
            </w:r>
          </w:p>
          <w:p>
            <w:pPr>
              <w:spacing w:line="340" w:lineRule="exact"/>
              <w:rPr>
                <w:rFonts w:ascii="宋体" w:hAnsi="宋体"/>
                <w:sz w:val="24"/>
                <w:szCs w:val="24"/>
              </w:rPr>
            </w:pPr>
            <w:r>
              <w:rPr>
                <w:rFonts w:hint="eastAsia" w:ascii="宋体" w:hAnsi="宋体"/>
                <w:sz w:val="24"/>
                <w:szCs w:val="24"/>
              </w:rPr>
              <w:t>2、输出的投标成果具有清晰的策划思路，能有效保障策划的创意性与可行性；</w:t>
            </w:r>
          </w:p>
          <w:p>
            <w:pPr>
              <w:spacing w:line="340" w:lineRule="exact"/>
              <w:rPr>
                <w:rFonts w:ascii="宋体" w:hAnsi="宋体"/>
                <w:sz w:val="24"/>
                <w:szCs w:val="24"/>
              </w:rPr>
            </w:pPr>
            <w:r>
              <w:rPr>
                <w:rFonts w:hint="eastAsia" w:ascii="宋体" w:hAnsi="宋体"/>
                <w:sz w:val="24"/>
                <w:szCs w:val="24"/>
              </w:rPr>
              <w:t>优秀/非常符合：20-25分；良好/基本符合：15-19分；基本不符合：≤14分</w:t>
            </w:r>
          </w:p>
          <w:p>
            <w:pPr>
              <w:spacing w:line="340" w:lineRule="exact"/>
              <w:rPr>
                <w:rFonts w:ascii="宋体" w:hAnsi="宋体"/>
                <w:sz w:val="24"/>
                <w:szCs w:val="24"/>
              </w:rPr>
            </w:pPr>
            <w:r>
              <w:rPr>
                <w:rFonts w:hint="eastAsia" w:ascii="宋体" w:hAnsi="宋体"/>
                <w:sz w:val="24"/>
                <w:szCs w:val="24"/>
              </w:rPr>
              <w:t>要求随投标文件递交《创意策划构想</w:t>
            </w:r>
            <w:r>
              <w:rPr>
                <w:rFonts w:hint="eastAsia" w:ascii="宋体" w:hAnsi="宋体"/>
                <w:bCs/>
                <w:sz w:val="24"/>
                <w:szCs w:val="24"/>
              </w:rPr>
              <w:t>》。</w:t>
            </w:r>
          </w:p>
        </w:tc>
        <w:tc>
          <w:tcPr>
            <w:tcW w:w="1276" w:type="dxa"/>
            <w:vAlign w:val="center"/>
          </w:tcPr>
          <w:p>
            <w:pPr>
              <w:jc w:val="center"/>
              <w:rPr>
                <w:rFonts w:ascii="宋体" w:hAnsi="宋体"/>
                <w:szCs w:val="21"/>
              </w:rPr>
            </w:pPr>
            <w:r>
              <w:rPr>
                <w:rFonts w:ascii="宋体" w:hAnsi="宋体"/>
                <w:szCs w:val="21"/>
              </w:rPr>
              <w:t>2</w:t>
            </w: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sz w:val="24"/>
                <w:szCs w:val="24"/>
              </w:rPr>
            </w:pPr>
            <w:r>
              <w:rPr>
                <w:rFonts w:hint="eastAsia" w:ascii="宋体" w:hAnsi="宋体"/>
                <w:sz w:val="24"/>
                <w:szCs w:val="24"/>
              </w:rPr>
              <w:t>创新能力</w:t>
            </w:r>
            <w:r>
              <w:rPr>
                <w:rFonts w:ascii="宋体" w:hAnsi="宋体"/>
                <w:sz w:val="24"/>
                <w:szCs w:val="24"/>
              </w:rPr>
              <w:t>的体现</w:t>
            </w:r>
            <w:r>
              <w:rPr>
                <w:rFonts w:hint="eastAsia" w:ascii="宋体" w:hAnsi="宋体"/>
                <w:sz w:val="24"/>
                <w:szCs w:val="24"/>
              </w:rPr>
              <w:t>：</w:t>
            </w:r>
          </w:p>
          <w:p>
            <w:pPr>
              <w:spacing w:line="340" w:lineRule="exact"/>
              <w:rPr>
                <w:rFonts w:ascii="宋体" w:hAnsi="宋体"/>
                <w:sz w:val="24"/>
                <w:szCs w:val="24"/>
              </w:rPr>
            </w:pPr>
            <w:r>
              <w:rPr>
                <w:rFonts w:hint="eastAsia" w:ascii="宋体" w:hAnsi="宋体"/>
                <w:sz w:val="24"/>
                <w:szCs w:val="24"/>
              </w:rPr>
              <w:t>具备国家级/省级对企业创新能力的认定，如参与国家/省级创新创意课题等。提供一个课题证明材料加5分，满分10分。（课题情况需提供证明材料）</w:t>
            </w:r>
          </w:p>
        </w:tc>
        <w:tc>
          <w:tcPr>
            <w:tcW w:w="1276" w:type="dxa"/>
            <w:vAlign w:val="center"/>
          </w:tcPr>
          <w:p>
            <w:pPr>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sz w:val="24"/>
                <w:szCs w:val="24"/>
              </w:rPr>
            </w:pPr>
            <w:r>
              <w:rPr>
                <w:rFonts w:hint="eastAsia" w:ascii="宋体" w:hAnsi="宋体"/>
                <w:sz w:val="24"/>
                <w:szCs w:val="24"/>
              </w:rPr>
              <w:t>服务质量和服务周期承诺及保证措施：</w:t>
            </w:r>
          </w:p>
          <w:p>
            <w:pPr>
              <w:spacing w:line="340" w:lineRule="exact"/>
              <w:rPr>
                <w:rFonts w:ascii="宋体" w:hAnsi="宋体"/>
                <w:sz w:val="24"/>
                <w:szCs w:val="24"/>
              </w:rPr>
            </w:pPr>
            <w:r>
              <w:rPr>
                <w:rFonts w:hint="eastAsia" w:ascii="宋体" w:hAnsi="宋体"/>
                <w:sz w:val="24"/>
                <w:szCs w:val="24"/>
              </w:rPr>
              <w:t>（1）服务进度计划满足磋商文件要求，编制完整，节点清晰，措施有力，切实可行；</w:t>
            </w:r>
          </w:p>
          <w:p>
            <w:pPr>
              <w:spacing w:line="340" w:lineRule="exact"/>
              <w:rPr>
                <w:rFonts w:ascii="宋体" w:hAnsi="宋体"/>
                <w:sz w:val="24"/>
                <w:szCs w:val="24"/>
              </w:rPr>
            </w:pPr>
            <w:r>
              <w:rPr>
                <w:rFonts w:hint="eastAsia" w:ascii="宋体" w:hAnsi="宋体"/>
                <w:sz w:val="24"/>
                <w:szCs w:val="24"/>
              </w:rPr>
              <w:t>（2）服务质量要求满足磋商文件要求，有明确具体的服务承诺、质量保障及奖惩机制。</w:t>
            </w:r>
          </w:p>
          <w:p>
            <w:pPr>
              <w:spacing w:line="340" w:lineRule="exact"/>
              <w:rPr>
                <w:rFonts w:ascii="宋体" w:hAnsi="宋体"/>
                <w:sz w:val="24"/>
                <w:szCs w:val="24"/>
              </w:rPr>
            </w:pPr>
            <w:r>
              <w:rPr>
                <w:rFonts w:hint="eastAsia" w:ascii="宋体" w:hAnsi="宋体"/>
                <w:sz w:val="24"/>
                <w:szCs w:val="24"/>
              </w:rPr>
              <w:t>优秀/非常符合：5分；良好/基本符合：4分；基本不符合：≤3分</w:t>
            </w:r>
          </w:p>
        </w:tc>
        <w:tc>
          <w:tcPr>
            <w:tcW w:w="1276"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1838" w:type="dxa"/>
            <w:vMerge w:val="continue"/>
            <w:vAlign w:val="center"/>
          </w:tcPr>
          <w:p>
            <w:pPr>
              <w:rPr>
                <w:rFonts w:ascii="宋体" w:hAnsi="宋体"/>
                <w:b/>
                <w:sz w:val="24"/>
                <w:szCs w:val="24"/>
              </w:rPr>
            </w:pPr>
          </w:p>
        </w:tc>
        <w:tc>
          <w:tcPr>
            <w:tcW w:w="6350" w:type="dxa"/>
            <w:vAlign w:val="center"/>
          </w:tcPr>
          <w:p>
            <w:pPr>
              <w:spacing w:line="340" w:lineRule="exact"/>
              <w:rPr>
                <w:rFonts w:ascii="宋体" w:hAnsi="宋体"/>
                <w:sz w:val="24"/>
                <w:szCs w:val="24"/>
              </w:rPr>
            </w:pPr>
            <w:r>
              <w:rPr>
                <w:rFonts w:hint="eastAsia" w:ascii="宋体" w:hAnsi="宋体"/>
                <w:sz w:val="24"/>
                <w:szCs w:val="24"/>
              </w:rPr>
              <w:t>资源配置</w:t>
            </w:r>
            <w:r>
              <w:rPr>
                <w:rFonts w:ascii="宋体" w:hAnsi="宋体"/>
                <w:sz w:val="24"/>
                <w:szCs w:val="24"/>
              </w:rPr>
              <w:t>：</w:t>
            </w:r>
          </w:p>
          <w:p>
            <w:pPr>
              <w:spacing w:line="340" w:lineRule="exact"/>
              <w:rPr>
                <w:rFonts w:ascii="宋体" w:hAnsi="宋体"/>
                <w:sz w:val="24"/>
                <w:szCs w:val="24"/>
              </w:rPr>
            </w:pPr>
            <w:r>
              <w:rPr>
                <w:rFonts w:hint="eastAsia" w:ascii="宋体" w:hAnsi="宋体"/>
                <w:sz w:val="24"/>
                <w:szCs w:val="24"/>
              </w:rPr>
              <w:t>（1）公司组织机构完善，本次服务团队配置合理，业务能力能满足本项目委托要求；</w:t>
            </w:r>
          </w:p>
          <w:p>
            <w:pPr>
              <w:spacing w:line="340" w:lineRule="exact"/>
              <w:rPr>
                <w:rFonts w:ascii="宋体" w:hAnsi="宋体"/>
                <w:sz w:val="24"/>
                <w:szCs w:val="24"/>
              </w:rPr>
            </w:pPr>
            <w:r>
              <w:rPr>
                <w:rFonts w:hint="eastAsia" w:ascii="宋体" w:hAnsi="宋体"/>
                <w:sz w:val="24"/>
                <w:szCs w:val="24"/>
              </w:rPr>
              <w:t>（2）本次服务团队核心成员具备同类文旅商项目整体策划的丰富经验，核心人员或团队如具备行业领军人物称号或创新团队认证等可作为重点加分项。优秀/非常符合：8-10分；良好/基本符合：5-8分；基本不符合：≤4分</w:t>
            </w:r>
          </w:p>
          <w:p>
            <w:pPr>
              <w:spacing w:line="340" w:lineRule="exact"/>
              <w:rPr>
                <w:rFonts w:ascii="宋体" w:hAnsi="宋体"/>
                <w:sz w:val="24"/>
                <w:szCs w:val="24"/>
              </w:rPr>
            </w:pPr>
            <w:r>
              <w:rPr>
                <w:rFonts w:hint="eastAsia" w:ascii="宋体" w:hAnsi="宋体"/>
                <w:sz w:val="24"/>
                <w:szCs w:val="24"/>
              </w:rPr>
              <w:t>（行业领军人物或创新团队认证需提供证明材料）</w:t>
            </w:r>
          </w:p>
        </w:tc>
        <w:tc>
          <w:tcPr>
            <w:tcW w:w="1276" w:type="dxa"/>
            <w:vAlign w:val="center"/>
          </w:tcPr>
          <w:p>
            <w:pPr>
              <w:jc w:val="center"/>
              <w:rPr>
                <w:rFonts w:ascii="宋体" w:hAnsi="宋体"/>
                <w:szCs w:val="21"/>
              </w:rPr>
            </w:pPr>
            <w:r>
              <w:rPr>
                <w:rFonts w:ascii="宋体" w:hAnsi="宋体"/>
                <w:szCs w:val="21"/>
              </w:rPr>
              <w:t>10</w:t>
            </w:r>
          </w:p>
        </w:tc>
      </w:tr>
    </w:tbl>
    <w:p>
      <w:pPr>
        <w:pStyle w:val="4"/>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黑体" w:hAnsi="黑体" w:eastAsia="黑体" w:cs="黑体"/>
          <w:b/>
          <w:bCs/>
          <w:color w:val="000000"/>
          <w:sz w:val="28"/>
          <w:szCs w:val="28"/>
          <w:shd w:val="clear" w:color="auto" w:fill="FFFFFF"/>
        </w:rPr>
        <w:t>六、资金支付</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1、支付方式：银行转账</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2、支付时间及条件：合同签订后采购人支付合同总价款的30%，提交基本方案讨论稿后支付合同总价的40%，通过评审后一次性支付剩余30%的合同总价款。</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七、联系方式</w:t>
      </w:r>
    </w:p>
    <w:p>
      <w:pPr>
        <w:spacing w:line="360" w:lineRule="auto"/>
        <w:rPr>
          <w:rFonts w:ascii="仿宋" w:hAnsi="仿宋" w:eastAsia="仿宋" w:cs="仿宋_GB2312"/>
          <w:color w:val="000000"/>
          <w:sz w:val="28"/>
          <w:szCs w:val="28"/>
        </w:rPr>
      </w:pPr>
      <w:r>
        <w:rPr>
          <w:rFonts w:hint="eastAsia" w:ascii="仿宋" w:hAnsi="仿宋" w:eastAsia="仿宋" w:cs="仿宋_GB2312"/>
          <w:color w:val="000000"/>
          <w:sz w:val="28"/>
          <w:szCs w:val="28"/>
        </w:rPr>
        <w:t>联系人：</w:t>
      </w:r>
      <w:r>
        <w:rPr>
          <w:rFonts w:hint="eastAsia" w:ascii="仿宋" w:hAnsi="仿宋" w:eastAsia="仿宋" w:cs="仿宋_GB2312"/>
          <w:color w:val="000000"/>
          <w:sz w:val="28"/>
          <w:szCs w:val="28"/>
          <w:lang w:eastAsia="zh-CN"/>
        </w:rPr>
        <w:t>李晶</w:t>
      </w:r>
      <w:r>
        <w:rPr>
          <w:rFonts w:hint="eastAsia" w:ascii="仿宋" w:hAnsi="仿宋" w:eastAsia="仿宋" w:cs="仿宋_GB2312"/>
          <w:color w:val="000000"/>
          <w:sz w:val="28"/>
          <w:szCs w:val="28"/>
        </w:rPr>
        <w:t xml:space="preserve">        联系电话：0374-6060619</w:t>
      </w:r>
    </w:p>
    <w:p>
      <w:pPr>
        <w:spacing w:line="360" w:lineRule="auto"/>
        <w:rPr>
          <w:rFonts w:ascii="仿宋" w:hAnsi="仿宋" w:eastAsia="仿宋" w:cs="仿宋_GB2312"/>
          <w:color w:val="000000"/>
          <w:sz w:val="28"/>
          <w:szCs w:val="28"/>
        </w:rPr>
      </w:pPr>
      <w:r>
        <w:rPr>
          <w:rFonts w:hint="eastAsia" w:ascii="仿宋" w:hAnsi="仿宋" w:eastAsia="仿宋" w:cs="仿宋_GB2312"/>
          <w:color w:val="000000"/>
          <w:sz w:val="28"/>
          <w:szCs w:val="28"/>
        </w:rPr>
        <w:t>地 址：许昌市劳动路中段</w:t>
      </w:r>
    </w:p>
    <w:p>
      <w:pPr>
        <w:spacing w:line="360" w:lineRule="auto"/>
        <w:rPr>
          <w:rFonts w:hint="eastAsia" w:cs="仿宋_GB2312" w:asciiTheme="minorEastAsia" w:hAnsiTheme="minorEastAsia"/>
          <w:color w:val="000000"/>
          <w:szCs w:val="21"/>
        </w:rPr>
      </w:pPr>
    </w:p>
    <w:p>
      <w:pPr>
        <w:spacing w:line="360" w:lineRule="auto"/>
        <w:rPr>
          <w:rFonts w:hint="eastAsia" w:cs="仿宋_GB2312" w:asciiTheme="minorEastAsia" w:hAnsiTheme="minorEastAsia"/>
          <w:color w:val="000000"/>
          <w:szCs w:val="21"/>
        </w:rPr>
      </w:pPr>
    </w:p>
    <w:p>
      <w:pPr>
        <w:spacing w:line="360" w:lineRule="auto"/>
        <w:jc w:val="right"/>
        <w:rPr>
          <w:rFonts w:hint="eastAsia" w:cs="仿宋_GB2312" w:asciiTheme="minorEastAsia" w:hAnsiTheme="minorEastAsia" w:eastAsiaTheme="minorEastAsia"/>
          <w:bCs/>
          <w:color w:val="000000"/>
          <w:sz w:val="28"/>
          <w:szCs w:val="28"/>
          <w:lang w:eastAsia="zh-CN"/>
        </w:rPr>
      </w:pPr>
      <w:r>
        <w:rPr>
          <w:rFonts w:hint="eastAsia" w:cs="仿宋_GB2312" w:asciiTheme="minorEastAsia" w:hAnsiTheme="minorEastAsia"/>
          <w:bCs/>
          <w:color w:val="000000"/>
          <w:sz w:val="28"/>
          <w:szCs w:val="28"/>
          <w:lang w:eastAsia="zh-CN"/>
        </w:rPr>
        <w:t>许昌市曹魏古城开发建设有限公司</w:t>
      </w:r>
    </w:p>
    <w:p>
      <w:pPr>
        <w:wordWrap w:val="0"/>
        <w:spacing w:line="360" w:lineRule="auto"/>
        <w:jc w:val="right"/>
        <w:rPr>
          <w:rFonts w:cs="仿宋_GB2312" w:asciiTheme="minorEastAsia" w:hAnsiTheme="minorEastAsia"/>
          <w:color w:val="000000"/>
          <w:sz w:val="28"/>
          <w:szCs w:val="28"/>
          <w:u w:val="none"/>
        </w:rPr>
      </w:pPr>
      <w:r>
        <w:rPr>
          <w:rFonts w:hint="eastAsia" w:cs="仿宋_GB2312" w:asciiTheme="minorEastAsia" w:hAnsiTheme="minorEastAsia"/>
          <w:bCs/>
          <w:color w:val="000000"/>
          <w:sz w:val="28"/>
          <w:szCs w:val="28"/>
          <w:u w:val="none"/>
        </w:rPr>
        <w:t>2018年</w:t>
      </w:r>
      <w:r>
        <w:rPr>
          <w:rFonts w:hint="eastAsia" w:cs="仿宋_GB2312" w:asciiTheme="minorEastAsia" w:hAnsiTheme="minorEastAsia"/>
          <w:bCs/>
          <w:color w:val="000000"/>
          <w:sz w:val="28"/>
          <w:szCs w:val="28"/>
          <w:u w:val="none"/>
          <w:lang w:val="en-US" w:eastAsia="zh-CN"/>
        </w:rPr>
        <w:t>8</w:t>
      </w:r>
      <w:r>
        <w:rPr>
          <w:rFonts w:hint="eastAsia" w:cs="仿宋_GB2312" w:asciiTheme="minorEastAsia" w:hAnsiTheme="minorEastAsia"/>
          <w:bCs/>
          <w:color w:val="000000"/>
          <w:sz w:val="28"/>
          <w:szCs w:val="28"/>
          <w:u w:val="none"/>
        </w:rPr>
        <w:t>月</w:t>
      </w:r>
      <w:r>
        <w:rPr>
          <w:rFonts w:hint="eastAsia" w:cs="仿宋_GB2312" w:asciiTheme="minorEastAsia" w:hAnsiTheme="minorEastAsia"/>
          <w:bCs/>
          <w:color w:val="000000"/>
          <w:sz w:val="28"/>
          <w:szCs w:val="28"/>
          <w:u w:val="none"/>
          <w:lang w:val="en-US" w:eastAsia="zh-CN"/>
        </w:rPr>
        <w:t>14</w:t>
      </w:r>
      <w:bookmarkStart w:id="0" w:name="_GoBack"/>
      <w:bookmarkEnd w:id="0"/>
      <w:r>
        <w:rPr>
          <w:rFonts w:hint="eastAsia" w:cs="仿宋_GB2312" w:asciiTheme="minorEastAsia" w:hAnsiTheme="minorEastAsia"/>
          <w:bCs/>
          <w:color w:val="000000"/>
          <w:sz w:val="28"/>
          <w:szCs w:val="28"/>
          <w:u w:val="none"/>
        </w:rPr>
        <w:t>日</w:t>
      </w:r>
    </w:p>
    <w:sectPr>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6679"/>
    <w:multiLevelType w:val="singleLevel"/>
    <w:tmpl w:val="151366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1711"/>
    <w:rsid w:val="00067869"/>
    <w:rsid w:val="000D0DC7"/>
    <w:rsid w:val="001B1711"/>
    <w:rsid w:val="00790FFE"/>
    <w:rsid w:val="00AA07B1"/>
    <w:rsid w:val="00C833BB"/>
    <w:rsid w:val="00F3199A"/>
    <w:rsid w:val="04D4335A"/>
    <w:rsid w:val="11880E4D"/>
    <w:rsid w:val="2D1F30D7"/>
    <w:rsid w:val="324D7972"/>
    <w:rsid w:val="32B4587E"/>
    <w:rsid w:val="396011AD"/>
    <w:rsid w:val="414A07AE"/>
    <w:rsid w:val="458C5B42"/>
    <w:rsid w:val="49611D10"/>
    <w:rsid w:val="5AEB4803"/>
    <w:rsid w:val="5F245FA3"/>
    <w:rsid w:val="767736BD"/>
    <w:rsid w:val="76E8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Calibri" w:hAnsi="Calibri" w:eastAsia="宋体" w:cs="Times New Roman"/>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595</Words>
  <Characters>3398</Characters>
  <Lines>28</Lines>
  <Paragraphs>7</Paragraphs>
  <TotalTime>1</TotalTime>
  <ScaleCrop>false</ScaleCrop>
  <LinksUpToDate>false</LinksUpToDate>
  <CharactersWithSpaces>3986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2018-07-24T05:27:00Z</dcterms:created>
  <dc:creator>河南鼎华招标代理有限公司:河南鼎华招标代理有限公司</dc:creator>
  <cp:lastModifiedBy>甛╚＞</cp:lastModifiedBy>
  <dcterms:modified xsi:type="dcterms:W3CDTF">2018-08-14T08:47:46Z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