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方正小标宋简体" w:eastAsia="方正小标宋简体" w:hAnsi="ˎ̥" w:cs="宋体" w:hint="eastAsia"/>
          <w:kern w:val="0"/>
          <w:sz w:val="44"/>
          <w:szCs w:val="44"/>
        </w:rPr>
        <w:t>许昌市公共资源交易管理委员会</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方正小标宋简体" w:eastAsia="方正小标宋简体" w:hAnsi="ˎ̥" w:cs="宋体" w:hint="eastAsia"/>
          <w:kern w:val="0"/>
          <w:sz w:val="44"/>
          <w:szCs w:val="44"/>
        </w:rPr>
        <w:t>关于印发《许昌市建设工程工程量清单</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方正小标宋简体" w:eastAsia="方正小标宋简体" w:hAnsi="ˎ̥" w:cs="宋体" w:hint="eastAsia"/>
          <w:kern w:val="0"/>
          <w:sz w:val="44"/>
          <w:szCs w:val="44"/>
        </w:rPr>
        <w:t>招标评标办法（试行）》的通知</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FangSong_GB2312" w:eastAsia="宋体" w:hAnsi="FangSong_GB2312" w:cs="宋体"/>
          <w:kern w:val="0"/>
          <w:sz w:val="27"/>
          <w:szCs w:val="27"/>
        </w:rPr>
        <w:t>许公管委</w:t>
      </w:r>
      <w:r w:rsidRPr="001C6794">
        <w:rPr>
          <w:rFonts w:ascii="FangSong_GB2312" w:eastAsia="宋体" w:hAnsi="FangSong_GB2312" w:cs="宋体"/>
          <w:kern w:val="0"/>
          <w:sz w:val="27"/>
          <w:szCs w:val="27"/>
        </w:rPr>
        <w:t>[2016]1</w:t>
      </w:r>
      <w:r w:rsidRPr="001C6794">
        <w:rPr>
          <w:rFonts w:ascii="FangSong_GB2312" w:eastAsia="宋体" w:hAnsi="FangSong_GB2312" w:cs="宋体"/>
          <w:kern w:val="0"/>
          <w:sz w:val="27"/>
          <w:szCs w:val="27"/>
        </w:rPr>
        <w:t>号</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color w:val="000000"/>
          <w:kern w:val="0"/>
          <w:sz w:val="27"/>
          <w:szCs w:val="27"/>
        </w:rPr>
        <w:t>各县（市、区）人民政府，市城乡一体化示范区、经济技术开发区、东城区管委会，市人民政府各部门：</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color w:val="000000"/>
          <w:kern w:val="0"/>
          <w:sz w:val="27"/>
          <w:szCs w:val="27"/>
        </w:rPr>
        <w:t>   </w:t>
      </w:r>
      <w:r w:rsidRPr="001C6794">
        <w:rPr>
          <w:rFonts w:ascii="仿宋_GB2312" w:eastAsia="仿宋_GB2312" w:hAnsi="ˎ̥" w:cs="宋体" w:hint="eastAsia"/>
          <w:color w:val="000000"/>
          <w:kern w:val="0"/>
          <w:sz w:val="27"/>
          <w:szCs w:val="27"/>
        </w:rPr>
        <w:t xml:space="preserve"> 《许昌市建设工程工程量清单招标评标办法（试行）》已经市公管办、市政府法制办、监察局、发改委、财政局、住建局审议，报市公管委同意、市政府批准，现印发给你们，请遵照执行。</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ind w:firstLine="640"/>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2016年4月26日</w:t>
      </w:r>
      <w:r w:rsidRPr="001C6794">
        <w:rPr>
          <w:rFonts w:ascii="仿宋_GB2312" w:eastAsia="仿宋_GB2312" w:hAnsi="ˎ̥" w:cs="宋体" w:hint="eastAsia"/>
          <w:kern w:val="0"/>
          <w:sz w:val="32"/>
          <w:szCs w:val="32"/>
        </w:rPr>
        <w:t xml:space="preserve"> </w:t>
      </w:r>
    </w:p>
    <w:p w:rsidR="001C6794" w:rsidRPr="001C6794" w:rsidRDefault="001C6794" w:rsidP="001C6794">
      <w:pPr>
        <w:widowControl/>
        <w:wordWrap w:val="0"/>
        <w:spacing w:before="100" w:beforeAutospacing="1" w:after="100" w:afterAutospacing="1"/>
        <w:ind w:firstLine="640"/>
        <w:jc w:val="left"/>
        <w:rPr>
          <w:rFonts w:ascii="ˎ̥" w:eastAsia="宋体" w:hAnsi="ˎ̥" w:cs="宋体"/>
          <w:kern w:val="0"/>
          <w:sz w:val="18"/>
          <w:szCs w:val="18"/>
        </w:rPr>
      </w:pPr>
      <w:r w:rsidRPr="001C6794">
        <w:rPr>
          <w:rFonts w:ascii="ˎ̥" w:eastAsia="宋体" w:hAnsi="ˎ̥" w:cs="宋体"/>
          <w:kern w:val="0"/>
          <w:sz w:val="18"/>
          <w:szCs w:val="18"/>
        </w:rPr>
        <w:t xml:space="preserve">  </w:t>
      </w:r>
    </w:p>
    <w:p w:rsidR="001C6794" w:rsidRDefault="001C6794" w:rsidP="001C6794">
      <w:pPr>
        <w:widowControl/>
        <w:wordWrap w:val="0"/>
        <w:spacing w:before="100" w:beforeAutospacing="1" w:after="100" w:afterAutospacing="1"/>
        <w:ind w:firstLine="640"/>
        <w:jc w:val="left"/>
        <w:rPr>
          <w:rFonts w:ascii="ˎ̥" w:eastAsia="宋体" w:hAnsi="ˎ̥" w:cs="宋体" w:hint="eastAsia"/>
          <w:kern w:val="0"/>
          <w:sz w:val="18"/>
          <w:szCs w:val="18"/>
        </w:rPr>
      </w:pPr>
      <w:r w:rsidRPr="001C6794">
        <w:rPr>
          <w:rFonts w:ascii="ˎ̥" w:eastAsia="宋体" w:hAnsi="ˎ̥" w:cs="宋体"/>
          <w:kern w:val="0"/>
          <w:sz w:val="18"/>
          <w:szCs w:val="18"/>
        </w:rPr>
        <w:t xml:space="preserve">  </w:t>
      </w:r>
    </w:p>
    <w:p w:rsidR="001C6794" w:rsidRDefault="001C6794" w:rsidP="001C6794">
      <w:pPr>
        <w:widowControl/>
        <w:wordWrap w:val="0"/>
        <w:spacing w:before="100" w:beforeAutospacing="1" w:after="100" w:afterAutospacing="1"/>
        <w:ind w:firstLine="640"/>
        <w:jc w:val="left"/>
        <w:rPr>
          <w:rFonts w:ascii="ˎ̥" w:eastAsia="宋体" w:hAnsi="ˎ̥" w:cs="宋体" w:hint="eastAsia"/>
          <w:kern w:val="0"/>
          <w:sz w:val="18"/>
          <w:szCs w:val="18"/>
        </w:rPr>
      </w:pPr>
    </w:p>
    <w:p w:rsidR="001C6794" w:rsidRDefault="001C6794" w:rsidP="001C6794">
      <w:pPr>
        <w:widowControl/>
        <w:wordWrap w:val="0"/>
        <w:spacing w:before="100" w:beforeAutospacing="1" w:after="100" w:afterAutospacing="1"/>
        <w:ind w:firstLine="640"/>
        <w:jc w:val="left"/>
        <w:rPr>
          <w:rFonts w:ascii="ˎ̥" w:eastAsia="宋体" w:hAnsi="ˎ̥" w:cs="宋体" w:hint="eastAsia"/>
          <w:kern w:val="0"/>
          <w:sz w:val="18"/>
          <w:szCs w:val="18"/>
        </w:rPr>
      </w:pPr>
    </w:p>
    <w:p w:rsidR="001C6794" w:rsidRDefault="001C6794" w:rsidP="001C6794">
      <w:pPr>
        <w:widowControl/>
        <w:wordWrap w:val="0"/>
        <w:spacing w:before="100" w:beforeAutospacing="1" w:after="100" w:afterAutospacing="1"/>
        <w:ind w:firstLine="640"/>
        <w:jc w:val="left"/>
        <w:rPr>
          <w:rFonts w:ascii="ˎ̥" w:eastAsia="宋体" w:hAnsi="ˎ̥" w:cs="宋体" w:hint="eastAsia"/>
          <w:kern w:val="0"/>
          <w:sz w:val="18"/>
          <w:szCs w:val="18"/>
        </w:rPr>
      </w:pPr>
    </w:p>
    <w:p w:rsidR="001C6794" w:rsidRPr="001C6794" w:rsidRDefault="001C6794" w:rsidP="001C6794">
      <w:pPr>
        <w:widowControl/>
        <w:wordWrap w:val="0"/>
        <w:spacing w:before="100" w:beforeAutospacing="1" w:after="100" w:afterAutospacing="1"/>
        <w:ind w:firstLine="640"/>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ind w:firstLine="640"/>
        <w:jc w:val="left"/>
        <w:rPr>
          <w:rFonts w:ascii="ˎ̥" w:eastAsia="宋体" w:hAnsi="ˎ̥" w:cs="宋体"/>
          <w:kern w:val="0"/>
          <w:sz w:val="18"/>
          <w:szCs w:val="18"/>
        </w:rPr>
      </w:pP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方正小标宋简体" w:eastAsia="方正小标宋简体" w:hAnsi="ˎ̥" w:cs="宋体" w:hint="eastAsia"/>
          <w:kern w:val="0"/>
          <w:sz w:val="44"/>
          <w:szCs w:val="44"/>
        </w:rPr>
        <w:lastRenderedPageBreak/>
        <w:t>许昌市建设工程工程量清单</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方正小标宋简体" w:eastAsia="方正小标宋简体" w:hAnsi="ˎ̥" w:cs="宋体" w:hint="eastAsia"/>
          <w:kern w:val="0"/>
          <w:sz w:val="44"/>
          <w:szCs w:val="44"/>
        </w:rPr>
        <w:t>招标评标办法（试行）</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第一条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为了规范我市建设工程工程量清单招标评标活动，根据《中华人民共和国招标投标法》、《中华人民共和国政府采购法》、《中华人民共和国招标投标法实施条例》、《建设工程工程量清单计价规范》(GB50500—2013)、《河南省建设工程工程量清单招标评标办法》（豫建〔2014〕36号）等法律法规、规章、规范性文件的规定，结合我市招标评标工作实际，制定本办法。</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第二条 本办法适用于在许昌市行政区域内依法必须招标的各类房屋建筑和市政基础设施工程。</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第三条 使用国有资金投资的建设工程发承包，依法必须进行招标的，必须采用工程量清单计价方式招标。非国有资金投资的建设工程发承包，鼓励采用工程量清单计价招标。</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第四条 建设工程发承包，招标人应按照《建设工程工程量清单计价规范》（GB50500—2013）的有关规定，在招标文件中明确规定计价风险的内容及范围，合理分担风险，不得采用无限风险、所有风险或类似语句规定计价中的风险内容及范围。在下列三种情况下，必须调整合同价款：</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lastRenderedPageBreak/>
        <w:t>   </w:t>
      </w:r>
      <w:r w:rsidRPr="001C6794">
        <w:rPr>
          <w:rFonts w:ascii="仿宋_GB2312" w:eastAsia="仿宋_GB2312" w:hAnsi="ˎ̥" w:cs="宋体" w:hint="eastAsia"/>
          <w:kern w:val="0"/>
          <w:sz w:val="27"/>
          <w:szCs w:val="27"/>
        </w:rPr>
        <w:t xml:space="preserve"> 1.国家法律、法规、规章和政策发生变化；</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2.省级主管部门发布的人工费调整；</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3.由政府定价或政府指导价管理的原材料等价格的调整。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第五条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工程量清单作为编制招标控制价、投标报价，计算或调整工程量、索赔的重要依据，应以单位（项）工程为单位编制，清单应由分部分项工程项目、措施项目、其它项目、规费和税金项目组成。工程量清单必须作为招标文件组成部分，其编制的准确性和完整性由招标人负责。</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招标人应当在招标文件中提供符合《建设工程工程量清单计价规范》（GB50500—2013）、河南省现行计价依据规定的工程量清单的纸质文件和电子文件。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投标人应当根据招标文件提供的工程量清单、招标文件相关要求及有关规定编制投标报价。在提交投标文件时，应同时提交与投标报价内容一致的电子文件，并与标书一起密封。当电子文件与纸质文件不一致的，以纸质文件为准。采用电子招标的，从其规定。</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编制工程量清单、招标控制价以及投标报价，电子文件应当符合河南省《建设工程造价软件数据交换标准》。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第六条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国有资金投资的建设工程采用工程量清单方式招标，必须编制招标控制价。招标控制价应在招标时公布，招标人应将招标控制价及</w:t>
      </w:r>
      <w:r w:rsidRPr="001C6794">
        <w:rPr>
          <w:rFonts w:ascii="仿宋_GB2312" w:eastAsia="仿宋_GB2312" w:hAnsi="ˎ̥" w:cs="宋体" w:hint="eastAsia"/>
          <w:kern w:val="0"/>
          <w:sz w:val="27"/>
          <w:szCs w:val="27"/>
        </w:rPr>
        <w:lastRenderedPageBreak/>
        <w:t>有关资料按照《河南省建设工程工程量清单招标控制价管理规定》报送当地工程造价管理机构备查。</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招标控制价由招标人依据国家计价规范、《河南省建设工程工程量清单招标控制价管理规定》、河南省现行计价依据的规定编制。材料价格应按市造价管理部门发布的最近一期信息指导价格执行，信息指导价格未发布的由招标人根据市场价格确定。</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第七条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招标控制价应采用综合单价计价，应包括招标文件中划分的由投标人承担的风险范围及其费用。</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投标人的投标报价高于招标控制价的，其投标应予以拒绝。</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第八条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采用工程量清单招标的工程项目开标后，先由评标委员会对投标文件进行基础性数据分析和整理（清标内容见附件1），形成清标成果。出现否定事项的，经质询不能合理说明理由或不能提供有效证明材料的，评标委员会可判定为不合理报价，不得进入下步评审；经质询能合理说明理由或提供有效证明材料的，评标委员会应判定为合理报价，进入下步评审。</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评标委员会的组成人员中具有注册造价工程师资格的评委应不少于两名。</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评标委员会在评标过程中，发现投标文件存在下列情形之一的，按废标处理。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lastRenderedPageBreak/>
        <w:t>   </w:t>
      </w:r>
      <w:r w:rsidRPr="001C6794">
        <w:rPr>
          <w:rFonts w:ascii="仿宋_GB2312" w:eastAsia="仿宋_GB2312" w:hAnsi="ˎ̥" w:cs="宋体" w:hint="eastAsia"/>
          <w:kern w:val="0"/>
          <w:sz w:val="27"/>
          <w:szCs w:val="27"/>
        </w:rPr>
        <w:t xml:space="preserve"> 1.未按招标文件规定编制各项报价的；</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2.投标总报价与其组成部分、工程量清单项目合价与综合单价、综合单价与人材机用量相互矛盾，致使评标委员会无法正常评审判定的；</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3.规费和税金、安全文明施工措施费违背工程造价管理规定的；</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ˎ̥" w:eastAsia="宋体" w:hAnsi="ˎ̥" w:cs="宋体"/>
          <w:kern w:val="0"/>
          <w:sz w:val="18"/>
          <w:szCs w:val="18"/>
        </w:rPr>
        <w:t xml:space="preserve">       </w:t>
      </w:r>
      <w:r w:rsidRPr="001C6794">
        <w:rPr>
          <w:rFonts w:ascii="仿宋_GB2312" w:eastAsia="仿宋_GB2312" w:hAnsi="ˎ̥" w:cs="宋体" w:hint="eastAsia"/>
          <w:kern w:val="0"/>
          <w:sz w:val="27"/>
          <w:szCs w:val="27"/>
        </w:rPr>
        <w:t>4.分部分项工程项目、措施项目报价中的项目编码、项目名称、项目特征、计量单位和工程量与招标文件的清单不一致的；</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5.未按照暂列金额或者暂估价编制投标报价的。</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第九条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投标文件的评审分初步评审和详细评审两个阶段。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初步评审是指评标委员会按招标文件要求对所有投标文件真实性、符合性、响应性和重大偏差逐一评审，经审查不符合招标文件要求的，不再进入详细评审阶段。初步评审主要包括以下内容：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1.投标文件未经投标单位盖章和单位负责人签字；</w:t>
      </w:r>
      <w:r w:rsidRPr="001C6794">
        <w:rPr>
          <w:rFonts w:ascii="ˎ̥" w:eastAsia="宋体" w:hAnsi="ˎ̥" w:cs="宋体"/>
          <w:kern w:val="0"/>
          <w:sz w:val="18"/>
          <w:szCs w:val="18"/>
        </w:rPr>
        <w:br/>
      </w:r>
      <w:r w:rsidRPr="001C6794">
        <w:rPr>
          <w:rFonts w:ascii="仿宋_GB2312" w:eastAsia="仿宋_GB2312" w:hAnsi="ˎ̥" w:cs="宋体" w:hint="eastAsia"/>
          <w:kern w:val="0"/>
          <w:sz w:val="27"/>
          <w:szCs w:val="27"/>
        </w:rPr>
        <w:t xml:space="preserve">　　 2.投标联合体没有提交共同投标协议；</w:t>
      </w:r>
      <w:r w:rsidRPr="001C6794">
        <w:rPr>
          <w:rFonts w:ascii="ˎ̥" w:eastAsia="宋体" w:hAnsi="ˎ̥" w:cs="宋体"/>
          <w:kern w:val="0"/>
          <w:sz w:val="18"/>
          <w:szCs w:val="18"/>
        </w:rPr>
        <w:br/>
      </w:r>
      <w:r w:rsidRPr="001C6794">
        <w:rPr>
          <w:rFonts w:ascii="仿宋_GB2312" w:eastAsia="仿宋_GB2312" w:hAnsi="ˎ̥" w:cs="宋体" w:hint="eastAsia"/>
          <w:kern w:val="0"/>
          <w:sz w:val="27"/>
          <w:szCs w:val="27"/>
        </w:rPr>
        <w:t xml:space="preserve">　　 3.投标人不符合国家或者招标文件规定的资格条件；</w:t>
      </w:r>
      <w:r w:rsidRPr="001C6794">
        <w:rPr>
          <w:rFonts w:ascii="ˎ̥" w:eastAsia="宋体" w:hAnsi="ˎ̥" w:cs="宋体"/>
          <w:kern w:val="0"/>
          <w:sz w:val="18"/>
          <w:szCs w:val="18"/>
        </w:rPr>
        <w:br/>
      </w:r>
      <w:r w:rsidRPr="001C6794">
        <w:rPr>
          <w:rFonts w:ascii="仿宋_GB2312" w:eastAsia="仿宋_GB2312" w:hAnsi="ˎ̥" w:cs="宋体" w:hint="eastAsia"/>
          <w:kern w:val="0"/>
          <w:sz w:val="27"/>
          <w:szCs w:val="27"/>
        </w:rPr>
        <w:t xml:space="preserve">　　 4.同一投标人提交两个以上不同的投标文件或者投标报价，但招标文件要求提交备选投标的除外；</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lastRenderedPageBreak/>
        <w:t>   </w:t>
      </w:r>
      <w:r w:rsidRPr="001C6794">
        <w:rPr>
          <w:rFonts w:ascii="仿宋_GB2312" w:eastAsia="仿宋_GB2312" w:hAnsi="ˎ̥" w:cs="宋体" w:hint="eastAsia"/>
          <w:kern w:val="0"/>
          <w:sz w:val="27"/>
          <w:szCs w:val="27"/>
        </w:rPr>
        <w:t xml:space="preserve"> 5.投标报价高于招标文件设定的最高投标限价；</w:t>
      </w:r>
      <w:r w:rsidRPr="001C6794">
        <w:rPr>
          <w:rFonts w:ascii="ˎ̥" w:eastAsia="宋体" w:hAnsi="ˎ̥" w:cs="宋体"/>
          <w:kern w:val="0"/>
          <w:sz w:val="18"/>
          <w:szCs w:val="18"/>
        </w:rPr>
        <w:br/>
      </w:r>
      <w:r w:rsidRPr="001C6794">
        <w:rPr>
          <w:rFonts w:ascii="仿宋_GB2312" w:eastAsia="仿宋_GB2312" w:hAnsi="ˎ̥" w:cs="宋体" w:hint="eastAsia"/>
          <w:kern w:val="0"/>
          <w:sz w:val="27"/>
          <w:szCs w:val="27"/>
        </w:rPr>
        <w:t xml:space="preserve">　　 6.投标标的物、工期、工程质量、付款方式不符合招标文件规定；</w:t>
      </w:r>
      <w:r w:rsidRPr="001C6794">
        <w:rPr>
          <w:rFonts w:ascii="ˎ̥" w:eastAsia="宋体" w:hAnsi="ˎ̥" w:cs="宋体"/>
          <w:kern w:val="0"/>
          <w:sz w:val="18"/>
          <w:szCs w:val="18"/>
        </w:rPr>
        <w:br/>
      </w:r>
      <w:r w:rsidRPr="001C6794">
        <w:rPr>
          <w:rFonts w:ascii="仿宋_GB2312" w:eastAsia="仿宋_GB2312" w:hAnsi="ˎ̥" w:cs="宋体" w:hint="eastAsia"/>
          <w:kern w:val="0"/>
          <w:sz w:val="27"/>
          <w:szCs w:val="27"/>
        </w:rPr>
        <w:t xml:space="preserve">　　 7.投标人有串通投标、弄虚作假、行贿等违法行为。</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详细评审是对初步评审合格投标文件的技术标、商务标、综合标按照招标文件中明确的评标办法以列表、随机抽取的方式进行分析、比较和评审。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初步评审和详细评审经审查后应写出评审意见。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第十条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规费、税金、安全文明施工措施费属于不可竞争费用，应按河南省及许昌市现行的计价依据及其计价办法的规定计算。上述费用应计入投标总报价，并在投标函、投标函附录中单列，不参与商务标评审。</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第十一条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评标办法分为两种：经评审的最低投标价法和综合计分法。采用综合计分法评标的，必须经市政府批准后方可实行。</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第十二条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采用经评审的最低投标价法评标的，评标委员会根据招标文件要求，对商务标、技术标进行评审。</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（一）对商务标进行详细评审。包括分部分项工程项目清单、措施费项目、主要材料项目。</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1.分部分项工程项目依据招标文件规定的方式抽取10—20项，分析综合单价报价是否合理。分部分项工程项目综合单价按有效投标人综合</w:t>
      </w:r>
      <w:r w:rsidRPr="001C6794">
        <w:rPr>
          <w:rFonts w:ascii="仿宋_GB2312" w:eastAsia="仿宋_GB2312" w:hAnsi="ˎ̥" w:cs="宋体" w:hint="eastAsia"/>
          <w:kern w:val="0"/>
          <w:sz w:val="27"/>
          <w:szCs w:val="27"/>
        </w:rPr>
        <w:lastRenderedPageBreak/>
        <w:t xml:space="preserve">单价的算术平均值作为基准价。当投标人的综合单价低于基准价12%的工程项目数量超过抽取数量的50%时，评标委员会应对其质询。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2.措施费项目按有效投标人措施费报价的算术平均值作为基准价，低于基准价20%的措施费报价，评标委员会应对其质询。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3.主要材料项目依据招标文件规定的方式抽取10—15项，分析材料单价报价是否合理。主要材料单价按有效投标人材料单价的算术平均值作为基准价，当投标人的材料单价低于基准价12%的材料数量超过抽取数量的50%时，评标委员会应对其质询。</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评标委员会对以上三项中的质询结果，认为不能合理说明或提供相应证明材料的，评标委员会可判定为报价不合理。经评标委员会评审，定为合理报价的，按照投标人投标总报价由低到高进行排序，对前三名投标人的技术标进行评审。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（二）对技术标进行详细评审。评标委员会对投标人的技术标通过综合计分作出“可行”和“不可行”认定（技术标评审内容详见附件2）。</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技术标得分≥60分时应做出“可行”认定，技术标得分&lt;60分时应做出“不可行”认定。评标委员会认为技术标“不可行”的，应当在评标报告中注明原因或理由。在技术标的详细评审过程中，若前三名的投标人的技术标被认定为“不可行”的，按投标人报标总报价的排序添加，添加后的技术标按以上规定评审。</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lastRenderedPageBreak/>
        <w:t>  </w:t>
      </w:r>
      <w:r w:rsidRPr="001C6794">
        <w:rPr>
          <w:rFonts w:ascii="仿宋_GB2312" w:eastAsia="仿宋_GB2312" w:hAnsi="ˎ̥" w:cs="宋体" w:hint="eastAsia"/>
          <w:kern w:val="0"/>
          <w:sz w:val="27"/>
          <w:szCs w:val="27"/>
        </w:rPr>
        <w:t xml:space="preserve"> 经评标委员会评审，定为合理报价且技术标“可行”的，按照投标总报价由低到高顺序，推荐前三名作为中标候选人。</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第十三条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采用综合计分法评标的，评标委员会根据招标文件要求应从技术标、商务标、综合（信用）标三部分进行综合评审。技术标的权重占20%，商务标的权重占60%，综合（信用）标的权重占20%。</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（一）工程量清单总报价评标基准价按下列公式确定：</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评标基准价＝招标控制价×K+投标总报价×（1－K）</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K为招标控制价权重系数，0.1≤K≤0.5，在开标现场随机抽取。</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（二）技术标的评标分值20分（详细评审内容见附件2）</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（三）商务标的评标分值60分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1.投标报价的评审30分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投标报价与评标基准价相等得基本分20分。当投标报价低于评标基准价时，每低1%在基本分20分的基础上加2分，最多加10分；当投标报价低于评标基准价5%以上（不含5%）时，每再低1%在满分30分的基</w:t>
      </w:r>
      <w:r w:rsidRPr="001C6794">
        <w:rPr>
          <w:rFonts w:ascii="仿宋_GB2312" w:eastAsia="仿宋_GB2312" w:hAnsi="ˎ̥" w:cs="宋体" w:hint="eastAsia"/>
          <w:kern w:val="0"/>
          <w:sz w:val="27"/>
          <w:szCs w:val="27"/>
        </w:rPr>
        <w:lastRenderedPageBreak/>
        <w:t>础上扣3分，扣完为止；当投标报价高于评标基准价时，每高1%在基本分20分的基础上扣2分，扣完为止。</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2.分部分项工程项目综合单价的评审15分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3.措施项目的评审5分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4.主要材料单价的评审10分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lastRenderedPageBreak/>
        <w:t>   </w:t>
      </w:r>
      <w:r w:rsidRPr="001C6794">
        <w:rPr>
          <w:rFonts w:ascii="仿宋_GB2312" w:eastAsia="仿宋_GB2312" w:hAnsi="ˎ̥" w:cs="宋体" w:hint="eastAsia"/>
          <w:kern w:val="0"/>
          <w:sz w:val="27"/>
          <w:szCs w:val="27"/>
        </w:rPr>
        <w:t xml:space="preserve">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（四）综合（信用）标的评标分值20分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1.项目班子配备</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0-5分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2.企业综合信用</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0-5分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3.项目经理业绩及信用</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0-5分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textAlignment w:val="baseline"/>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4.服务承诺（含不拖欠农民工工资承诺、扬尘治理等内容）</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0-5分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（五）投标人综合得分按下列公式计算：</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投标人综合得分＝技术标得分＋商务标得分＋综合（信用）标得分。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（六）投标人的最终得分及中标候选人排序</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1.评标委员会完成对技术标、商务标和综合（信用）标的汇总后，从中去掉一个最高分和一个最低分，取平均值作为该投标人的最终得分。计算分值均保留两位小数。</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lastRenderedPageBreak/>
        <w:t>   </w:t>
      </w:r>
      <w:r w:rsidRPr="001C6794">
        <w:rPr>
          <w:rFonts w:ascii="仿宋_GB2312" w:eastAsia="仿宋_GB2312" w:hAnsi="ˎ̥" w:cs="宋体" w:hint="eastAsia"/>
          <w:kern w:val="0"/>
          <w:sz w:val="27"/>
          <w:szCs w:val="27"/>
        </w:rPr>
        <w:t xml:space="preserve"> 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第十四条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国有资金投资的建设工程依法必须进行招标的项目，评标委员会按规定否决不合格投标后，有效投标人只剩一家且投标报价为所有投标人报价中最高的，投标明显缺乏竞争的，评标委员会应当否决全部投标。</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第十五条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使用电子招投标系统进行评标的，按有关要求执行。</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第十六条</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本办法自印发之日起施行，《许昌市房屋建筑和市政基础设施工程工程量清单计价招标评标办法（试行）》（许发改办〔2010〕328号）、《许昌市财政投资绿化工程施工合理低价评审随机摇号评标办法（试行）》（许治工发〔2013〕1号）文件同时废止。</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lastRenderedPageBreak/>
        <w:t>附件1</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商务标清标内容</w:t>
      </w:r>
      <w:r w:rsidRPr="001C6794">
        <w:rPr>
          <w:rFonts w:ascii="ˎ̥" w:eastAsia="宋体" w:hAnsi="ˎ̥" w:cs="宋体"/>
          <w:kern w:val="0"/>
          <w:sz w:val="18"/>
          <w:szCs w:val="18"/>
        </w:rPr>
        <w:t xml:space="preserve"> </w:t>
      </w:r>
    </w:p>
    <w:tbl>
      <w:tblPr>
        <w:tblW w:w="9368" w:type="dxa"/>
        <w:jc w:val="center"/>
        <w:tblCellMar>
          <w:top w:w="15" w:type="dxa"/>
          <w:left w:w="15" w:type="dxa"/>
          <w:bottom w:w="15" w:type="dxa"/>
          <w:right w:w="15" w:type="dxa"/>
        </w:tblCellMar>
        <w:tblLook w:val="04A0"/>
      </w:tblPr>
      <w:tblGrid>
        <w:gridCol w:w="407"/>
        <w:gridCol w:w="541"/>
        <w:gridCol w:w="3293"/>
        <w:gridCol w:w="4015"/>
        <w:gridCol w:w="511"/>
        <w:gridCol w:w="601"/>
      </w:tblGrid>
      <w:tr w:rsidR="001C6794" w:rsidRPr="001C6794">
        <w:trPr>
          <w:jc w:val="center"/>
        </w:trPr>
        <w:tc>
          <w:tcPr>
            <w:tcW w:w="94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序号</w:t>
            </w:r>
            <w:r w:rsidRPr="001C6794">
              <w:rPr>
                <w:rFonts w:ascii="ˎ̥" w:eastAsia="宋体" w:hAnsi="ˎ̥" w:cs="宋体"/>
                <w:kern w:val="0"/>
                <w:sz w:val="18"/>
                <w:szCs w:val="18"/>
              </w:rPr>
              <w:t xml:space="preserve"> </w:t>
            </w:r>
          </w:p>
        </w:tc>
        <w:tc>
          <w:tcPr>
            <w:tcW w:w="3285" w:type="dxa"/>
            <w:vMerge w:val="restart"/>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清标项目</w:t>
            </w:r>
            <w:r w:rsidRPr="001C6794">
              <w:rPr>
                <w:rFonts w:ascii="ˎ̥" w:eastAsia="宋体" w:hAnsi="ˎ̥" w:cs="宋体"/>
                <w:kern w:val="0"/>
                <w:sz w:val="18"/>
                <w:szCs w:val="18"/>
              </w:rPr>
              <w:t xml:space="preserve"> </w:t>
            </w:r>
          </w:p>
        </w:tc>
        <w:tc>
          <w:tcPr>
            <w:tcW w:w="4005" w:type="dxa"/>
            <w:vMerge w:val="restart"/>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清标内容</w:t>
            </w:r>
            <w:r w:rsidRPr="001C6794">
              <w:rPr>
                <w:rFonts w:ascii="ˎ̥" w:eastAsia="宋体" w:hAnsi="ˎ̥" w:cs="宋体"/>
                <w:kern w:val="0"/>
                <w:sz w:val="18"/>
                <w:szCs w:val="18"/>
              </w:rPr>
              <w:t xml:space="preserve"> </w:t>
            </w:r>
          </w:p>
        </w:tc>
        <w:tc>
          <w:tcPr>
            <w:tcW w:w="1110" w:type="dxa"/>
            <w:gridSpan w:val="2"/>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清标成果</w:t>
            </w:r>
            <w:r w:rsidRPr="001C6794">
              <w:rPr>
                <w:rFonts w:ascii="ˎ̥" w:eastAsia="宋体" w:hAnsi="ˎ̥" w:cs="宋体"/>
                <w:kern w:val="0"/>
                <w:sz w:val="18"/>
                <w:szCs w:val="18"/>
              </w:rPr>
              <w:t xml:space="preserve"> </w:t>
            </w:r>
          </w:p>
        </w:tc>
      </w:tr>
      <w:tr w:rsidR="001C6794" w:rsidRPr="001C6794">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C6794" w:rsidRPr="001C6794" w:rsidRDefault="001C6794" w:rsidP="001C6794">
            <w:pPr>
              <w:widowControl/>
              <w:jc w:val="left"/>
              <w:rPr>
                <w:rFonts w:ascii="ˎ̥" w:eastAsia="宋体" w:hAnsi="ˎ̥" w:cs="宋体"/>
                <w:kern w:val="0"/>
                <w:sz w:val="18"/>
                <w:szCs w:val="18"/>
              </w:rPr>
            </w:pPr>
          </w:p>
        </w:tc>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是</w:t>
            </w:r>
            <w:r w:rsidRPr="001C6794">
              <w:rPr>
                <w:rFonts w:ascii="ˎ̥" w:eastAsia="宋体" w:hAnsi="ˎ̥" w:cs="宋体"/>
                <w:kern w:val="0"/>
                <w:sz w:val="18"/>
                <w:szCs w:val="18"/>
              </w:rPr>
              <w:t xml:space="preserve"> </w:t>
            </w: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否</w:t>
            </w:r>
            <w:r w:rsidRPr="001C6794">
              <w:rPr>
                <w:rFonts w:ascii="ˎ̥" w:eastAsia="宋体" w:hAnsi="ˎ̥" w:cs="宋体"/>
                <w:kern w:val="0"/>
                <w:sz w:val="18"/>
                <w:szCs w:val="18"/>
              </w:rPr>
              <w:t xml:space="preserve"> </w:t>
            </w:r>
          </w:p>
        </w:tc>
      </w:tr>
      <w:tr w:rsidR="001C6794" w:rsidRPr="001C6794">
        <w:trPr>
          <w:jc w:val="center"/>
        </w:trPr>
        <w:tc>
          <w:tcPr>
            <w:tcW w:w="405" w:type="dxa"/>
            <w:vMerge w:val="restart"/>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w:t>
            </w:r>
            <w:r w:rsidRPr="001C6794">
              <w:rPr>
                <w:rFonts w:ascii="ˎ̥" w:eastAsia="宋体" w:hAnsi="ˎ̥" w:cs="宋体"/>
                <w:kern w:val="0"/>
                <w:sz w:val="18"/>
                <w:szCs w:val="18"/>
              </w:rPr>
              <w:t xml:space="preserve"> </w:t>
            </w: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1.1</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项目总报价</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是否等于各单项工程造价之和</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1.2</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单项工程费</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是否等于各单位工程造价之和</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1.3</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单位工程费</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是否等于分部分项工程费+措施项目费+其它项目费+规费+税金之和</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05" w:type="dxa"/>
            <w:vMerge w:val="restart"/>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w:t>
            </w:r>
            <w:r w:rsidRPr="001C6794">
              <w:rPr>
                <w:rFonts w:ascii="ˎ̥" w:eastAsia="宋体" w:hAnsi="ˎ̥" w:cs="宋体"/>
                <w:kern w:val="0"/>
                <w:sz w:val="18"/>
                <w:szCs w:val="18"/>
              </w:rPr>
              <w:t xml:space="preserve"> </w:t>
            </w: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2.1</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分部分项工程费及单价措施费</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是否等于各分部分项清单费之和</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2.2</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分部分项及单价措施项目编码</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不得修改招标人清单</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2.3</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分部分项及单价措施项目名称</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不得修改招标人清单</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2.4</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分部分项及单价措施项目特征</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不得修改招标人清单</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2.5</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分部分项及单价措施项目计量单位</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不得修改招标人清单</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2.6</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分部分项及单价措施项目工</w:t>
            </w:r>
            <w:r w:rsidRPr="001C6794">
              <w:rPr>
                <w:rFonts w:ascii="仿宋_GB2312" w:eastAsia="仿宋_GB2312" w:hAnsi="ˎ̥" w:cs="宋体" w:hint="eastAsia"/>
                <w:kern w:val="0"/>
                <w:sz w:val="27"/>
                <w:szCs w:val="27"/>
              </w:rPr>
              <w:lastRenderedPageBreak/>
              <w:t>程数量</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lastRenderedPageBreak/>
              <w:t>不得修改招标人清单</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2.7</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分部分项工程费及单价措施费清单单价</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综合单价＝人工费+材料费+机械费+管理费+利润之和；</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偏差不大于招标控制价相应项目单价的±12%</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2.8</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材料单价</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材料表中的单价与组成清单单价中的单价必须一致</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05" w:type="dxa"/>
            <w:vMerge w:val="restart"/>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3</w:t>
            </w:r>
            <w:r w:rsidRPr="001C6794">
              <w:rPr>
                <w:rFonts w:ascii="ˎ̥" w:eastAsia="宋体" w:hAnsi="ˎ̥" w:cs="宋体"/>
                <w:kern w:val="0"/>
                <w:sz w:val="18"/>
                <w:szCs w:val="18"/>
              </w:rPr>
              <w:t xml:space="preserve"> </w:t>
            </w: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3.1</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安全文明费</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必须按河南省及许昌市计价依据规定计算</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3.2</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总价措施项目</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根据招标文件要求自主报价</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05" w:type="dxa"/>
            <w:vMerge w:val="restart"/>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4</w:t>
            </w:r>
            <w:r w:rsidRPr="001C6794">
              <w:rPr>
                <w:rFonts w:ascii="ˎ̥" w:eastAsia="宋体" w:hAnsi="ˎ̥" w:cs="宋体"/>
                <w:kern w:val="0"/>
                <w:sz w:val="18"/>
                <w:szCs w:val="18"/>
              </w:rPr>
              <w:t xml:space="preserve"> </w:t>
            </w: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4.1</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其它项目费</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必须等于各组成部分之和（暂列金额+专业暂估价+计日工费+总承包服务费）</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4.2</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暂列金额</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必须与招标人价格一致</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4.3</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专业暂估价</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必须与招标人价格一致</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4.4</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计日工</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必须与招标人数量一致</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0" w:type="auto"/>
            <w:vMerge/>
            <w:vAlign w:val="center"/>
            <w:hideMark/>
          </w:tcPr>
          <w:p w:rsidR="001C6794" w:rsidRPr="001C6794" w:rsidRDefault="001C6794" w:rsidP="001C6794">
            <w:pPr>
              <w:widowControl/>
              <w:jc w:val="left"/>
              <w:rPr>
                <w:rFonts w:ascii="ˎ̥" w:eastAsia="宋体" w:hAnsi="ˎ̥" w:cs="宋体"/>
                <w:kern w:val="0"/>
                <w:sz w:val="18"/>
                <w:szCs w:val="18"/>
              </w:rPr>
            </w:pP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4.5</w:t>
            </w:r>
            <w:r w:rsidRPr="001C6794">
              <w:rPr>
                <w:rFonts w:ascii="ˎ̥" w:eastAsia="宋体" w:hAnsi="ˎ̥" w:cs="宋体"/>
                <w:kern w:val="0"/>
                <w:sz w:val="18"/>
                <w:szCs w:val="18"/>
              </w:rPr>
              <w:t xml:space="preserve"> </w:t>
            </w: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总承包服务费</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是否按招标文件要求计算</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5</w:t>
            </w:r>
            <w:r w:rsidRPr="001C6794">
              <w:rPr>
                <w:rFonts w:ascii="ˎ̥" w:eastAsia="宋体" w:hAnsi="ˎ̥" w:cs="宋体"/>
                <w:kern w:val="0"/>
                <w:sz w:val="18"/>
                <w:szCs w:val="18"/>
              </w:rPr>
              <w:t xml:space="preserve"> </w:t>
            </w: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规费</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必须按河南省及许昌市计价依据规定计算</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6</w:t>
            </w:r>
            <w:r w:rsidRPr="001C6794">
              <w:rPr>
                <w:rFonts w:ascii="ˎ̥" w:eastAsia="宋体" w:hAnsi="ˎ̥" w:cs="宋体"/>
                <w:kern w:val="0"/>
                <w:sz w:val="18"/>
                <w:szCs w:val="18"/>
              </w:rPr>
              <w:t xml:space="preserve"> </w:t>
            </w: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328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税金</w:t>
            </w:r>
            <w:r w:rsidRPr="001C6794">
              <w:rPr>
                <w:rFonts w:ascii="ˎ̥" w:eastAsia="宋体" w:hAnsi="ˎ̥" w:cs="宋体"/>
                <w:kern w:val="0"/>
                <w:sz w:val="18"/>
                <w:szCs w:val="18"/>
              </w:rPr>
              <w:t xml:space="preserve"> </w:t>
            </w:r>
          </w:p>
        </w:tc>
        <w:tc>
          <w:tcPr>
            <w:tcW w:w="40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必须按河南省及许昌市计价依据规定计算</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0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lastRenderedPageBreak/>
              <w:t>7</w:t>
            </w:r>
            <w:r w:rsidRPr="001C6794">
              <w:rPr>
                <w:rFonts w:ascii="ˎ̥" w:eastAsia="宋体" w:hAnsi="ˎ̥" w:cs="宋体"/>
                <w:kern w:val="0"/>
                <w:sz w:val="18"/>
                <w:szCs w:val="18"/>
              </w:rPr>
              <w:t xml:space="preserve"> </w:t>
            </w:r>
          </w:p>
        </w:tc>
        <w:tc>
          <w:tcPr>
            <w:tcW w:w="54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7290" w:type="dxa"/>
            <w:gridSpan w:val="2"/>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不违反法律、法规、规章、规范性文件规定的其它情况</w:t>
            </w:r>
            <w:r w:rsidRPr="001C6794">
              <w:rPr>
                <w:rFonts w:ascii="ˎ̥" w:eastAsia="宋体" w:hAnsi="ˎ̥" w:cs="宋体"/>
                <w:kern w:val="0"/>
                <w:sz w:val="18"/>
                <w:szCs w:val="18"/>
              </w:rPr>
              <w:t xml:space="preserve"> </w:t>
            </w:r>
          </w:p>
        </w:tc>
        <w:tc>
          <w:tcPr>
            <w:tcW w:w="51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60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bl>
    <w:p w:rsidR="001C6794" w:rsidRPr="001C6794" w:rsidRDefault="001C6794" w:rsidP="001C6794">
      <w:pPr>
        <w:widowControl/>
        <w:wordWrap w:val="0"/>
        <w:spacing w:after="240"/>
        <w:jc w:val="left"/>
        <w:rPr>
          <w:rFonts w:ascii="ˎ̥" w:eastAsia="宋体" w:hAnsi="ˎ̥" w:cs="宋体"/>
          <w:kern w:val="0"/>
          <w:sz w:val="18"/>
          <w:szCs w:val="18"/>
        </w:rPr>
      </w:pPr>
      <w:r w:rsidRPr="001C6794">
        <w:rPr>
          <w:rFonts w:ascii="ˎ̥" w:eastAsia="宋体" w:hAnsi="ˎ̥" w:cs="宋体"/>
          <w:kern w:val="0"/>
          <w:sz w:val="18"/>
          <w:szCs w:val="18"/>
        </w:rPr>
        <w:br/>
      </w:r>
    </w:p>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附件2</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技术标评审内容</w:t>
      </w:r>
      <w:r w:rsidRPr="001C6794">
        <w:rPr>
          <w:rFonts w:ascii="ˎ̥" w:eastAsia="宋体" w:hAnsi="ˎ̥" w:cs="宋体"/>
          <w:kern w:val="0"/>
          <w:sz w:val="18"/>
          <w:szCs w:val="18"/>
        </w:rPr>
        <w:t xml:space="preserve"> </w:t>
      </w:r>
    </w:p>
    <w:tbl>
      <w:tblPr>
        <w:tblW w:w="8322" w:type="dxa"/>
        <w:jc w:val="center"/>
        <w:tblCellMar>
          <w:top w:w="15" w:type="dxa"/>
          <w:left w:w="15" w:type="dxa"/>
          <w:bottom w:w="15" w:type="dxa"/>
          <w:right w:w="15" w:type="dxa"/>
        </w:tblCellMar>
        <w:tblLook w:val="04A0"/>
      </w:tblPr>
      <w:tblGrid>
        <w:gridCol w:w="482"/>
        <w:gridCol w:w="4138"/>
        <w:gridCol w:w="1625"/>
        <w:gridCol w:w="2077"/>
      </w:tblGrid>
      <w:tr w:rsidR="001C6794" w:rsidRPr="001C6794">
        <w:trPr>
          <w:jc w:val="center"/>
        </w:trPr>
        <w:tc>
          <w:tcPr>
            <w:tcW w:w="480" w:type="dxa"/>
            <w:tcBorders>
              <w:top w:val="single" w:sz="8" w:space="0" w:color="auto"/>
              <w:left w:val="single" w:sz="8" w:space="0" w:color="auto"/>
              <w:bottom w:val="single" w:sz="8" w:space="0" w:color="auto"/>
              <w:right w:val="single" w:sz="8" w:space="0" w:color="auto"/>
            </w:tcBorders>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序号</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评审内容</w:t>
            </w:r>
            <w:r w:rsidRPr="001C6794">
              <w:rPr>
                <w:rFonts w:ascii="ˎ̥" w:eastAsia="宋体" w:hAnsi="ˎ̥" w:cs="宋体"/>
                <w:kern w:val="0"/>
                <w:sz w:val="18"/>
                <w:szCs w:val="18"/>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综合计分法分值</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（满分20分）</w:t>
            </w:r>
            <w:r w:rsidRPr="001C6794">
              <w:rPr>
                <w:rFonts w:ascii="ˎ̥" w:eastAsia="宋体" w:hAnsi="ˎ̥" w:cs="宋体"/>
                <w:kern w:val="0"/>
                <w:sz w:val="18"/>
                <w:szCs w:val="18"/>
              </w:rPr>
              <w:t xml:space="preserve"> </w:t>
            </w: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经评审最低投标价法分值</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（满分100分）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内容完整性和编制水平</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0-1分</w:t>
            </w:r>
            <w:r w:rsidRPr="001C6794">
              <w:rPr>
                <w:rFonts w:ascii="ˎ̥" w:eastAsia="宋体" w:hAnsi="ˎ̥" w:cs="宋体"/>
                <w:kern w:val="0"/>
                <w:sz w:val="18"/>
                <w:szCs w:val="18"/>
              </w:rPr>
              <w:t xml:space="preserve"> </w:t>
            </w: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3-6分</w:t>
            </w:r>
            <w:r w:rsidRPr="001C6794">
              <w:rPr>
                <w:rFonts w:ascii="ˎ̥" w:eastAsia="宋体" w:hAnsi="ˎ̥" w:cs="宋体"/>
                <w:kern w:val="0"/>
                <w:sz w:val="18"/>
                <w:szCs w:val="18"/>
              </w:rPr>
              <w:t xml:space="preserve"> </w:t>
            </w: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2</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施工方案和技术措施</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1-2分</w:t>
            </w:r>
            <w:r w:rsidRPr="001C6794">
              <w:rPr>
                <w:rFonts w:ascii="ˎ̥" w:eastAsia="宋体" w:hAnsi="ˎ̥" w:cs="宋体"/>
                <w:kern w:val="0"/>
                <w:sz w:val="18"/>
                <w:szCs w:val="18"/>
              </w:rPr>
              <w:t xml:space="preserve"> </w:t>
            </w: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6-10分</w:t>
            </w:r>
            <w:r w:rsidRPr="001C6794">
              <w:rPr>
                <w:rFonts w:ascii="ˎ̥" w:eastAsia="宋体" w:hAnsi="ˎ̥" w:cs="宋体"/>
                <w:kern w:val="0"/>
                <w:sz w:val="18"/>
                <w:szCs w:val="18"/>
              </w:rPr>
              <w:t xml:space="preserve"> </w:t>
            </w: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3</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质量管理体系与措施</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1-2分</w:t>
            </w:r>
            <w:r w:rsidRPr="001C6794">
              <w:rPr>
                <w:rFonts w:ascii="ˎ̥" w:eastAsia="宋体" w:hAnsi="ˎ̥" w:cs="宋体"/>
                <w:kern w:val="0"/>
                <w:sz w:val="18"/>
                <w:szCs w:val="18"/>
              </w:rPr>
              <w:t xml:space="preserve"> </w:t>
            </w: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6-10分</w:t>
            </w:r>
            <w:r w:rsidRPr="001C6794">
              <w:rPr>
                <w:rFonts w:ascii="ˎ̥" w:eastAsia="宋体" w:hAnsi="ˎ̥" w:cs="宋体"/>
                <w:kern w:val="0"/>
                <w:sz w:val="18"/>
                <w:szCs w:val="18"/>
              </w:rPr>
              <w:t xml:space="preserve"> </w:t>
            </w: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4</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安全管理体系与措施</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 xml:space="preserve">1-2分 </w:t>
            </w: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 xml:space="preserve">6-10分 </w:t>
            </w: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5</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环境保护管理体系与措施</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1-2分</w:t>
            </w:r>
            <w:r w:rsidRPr="001C6794">
              <w:rPr>
                <w:rFonts w:ascii="ˎ̥" w:eastAsia="宋体" w:hAnsi="ˎ̥" w:cs="宋体"/>
                <w:kern w:val="0"/>
                <w:sz w:val="18"/>
                <w:szCs w:val="18"/>
              </w:rPr>
              <w:t xml:space="preserve"> </w:t>
            </w: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6-10分</w:t>
            </w:r>
            <w:r w:rsidRPr="001C6794">
              <w:rPr>
                <w:rFonts w:ascii="ˎ̥" w:eastAsia="宋体" w:hAnsi="ˎ̥" w:cs="宋体"/>
                <w:kern w:val="0"/>
                <w:sz w:val="18"/>
                <w:szCs w:val="18"/>
              </w:rPr>
              <w:t xml:space="preserve"> </w:t>
            </w: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6</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工程进度计划与措施</w:t>
            </w:r>
            <w:r w:rsidRPr="001C6794">
              <w:rPr>
                <w:rFonts w:ascii="ˎ̥" w:eastAsia="宋体" w:hAnsi="ˎ̥" w:cs="宋体"/>
                <w:kern w:val="0"/>
                <w:sz w:val="18"/>
                <w:szCs w:val="18"/>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 xml:space="preserve">0-1分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 xml:space="preserve">3-6分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7</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xml:space="preserve">拟投入资源配备计划……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1-2分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3-7分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8</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施工进度表或施工网络图</w:t>
            </w: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0-1分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3-7分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lastRenderedPageBreak/>
              <w:t>9</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xml:space="preserve">施工总平面布置图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0-1分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3-7分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10</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在节能减排、绿色施工（含扬尘治理）、工艺创新方面针对本工程有具体措施或企业自有创新技术</w:t>
            </w:r>
            <w:r w:rsidRPr="001C6794">
              <w:rPr>
                <w:rFonts w:ascii="ˎ̥" w:eastAsia="宋体" w:hAnsi="ˎ̥" w:cs="宋体"/>
                <w:kern w:val="0"/>
                <w:sz w:val="18"/>
                <w:szCs w:val="18"/>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1-2分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6-10分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11</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新工艺、新技术、新设备、新材料的采用程度，其在确保质量、降低成本、缩短工期、减轻劳动强度、提高工效等方面的作用</w:t>
            </w:r>
            <w:r w:rsidRPr="001C6794">
              <w:rPr>
                <w:rFonts w:ascii="ˎ̥" w:eastAsia="宋体" w:hAnsi="ˎ̥" w:cs="宋体"/>
                <w:kern w:val="0"/>
                <w:sz w:val="18"/>
                <w:szCs w:val="18"/>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1-2分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6-10分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r w:rsidR="001C6794" w:rsidRPr="001C6794">
        <w:trPr>
          <w:jc w:val="center"/>
        </w:trPr>
        <w:tc>
          <w:tcPr>
            <w:tcW w:w="48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12</w:t>
            </w:r>
            <w:r w:rsidRPr="001C6794">
              <w:rPr>
                <w:rFonts w:ascii="ˎ̥" w:eastAsia="宋体" w:hAnsi="ˎ̥" w:cs="宋体"/>
                <w:kern w:val="0"/>
                <w:sz w:val="18"/>
                <w:szCs w:val="18"/>
              </w:rPr>
              <w:t xml:space="preserve"> </w:t>
            </w:r>
          </w:p>
        </w:tc>
        <w:tc>
          <w:tcPr>
            <w:tcW w:w="4125"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r w:rsidRPr="001C6794">
              <w:rPr>
                <w:rFonts w:ascii="仿宋_GB2312" w:eastAsia="仿宋_GB2312" w:hAnsi="ˎ̥" w:cs="宋体" w:hint="eastAsia"/>
                <w:kern w:val="0"/>
                <w:sz w:val="27"/>
                <w:szCs w:val="27"/>
              </w:rPr>
              <w:t>企业具备信息化管理平台，能够使工程管理者对现场实施监控和数据处理</w:t>
            </w:r>
            <w:r w:rsidRPr="001C6794">
              <w:rPr>
                <w:rFonts w:ascii="ˎ̥" w:eastAsia="宋体" w:hAnsi="ˎ̥" w:cs="宋体"/>
                <w:kern w:val="0"/>
                <w:sz w:val="18"/>
                <w:szCs w:val="18"/>
              </w:rPr>
              <w:t xml:space="preserve"> </w:t>
            </w:r>
          </w:p>
        </w:tc>
        <w:tc>
          <w:tcPr>
            <w:tcW w:w="162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1-2分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c>
          <w:tcPr>
            <w:tcW w:w="2070" w:type="dxa"/>
            <w:vAlign w:val="center"/>
            <w:hideMark/>
          </w:tcPr>
          <w:p w:rsidR="001C6794" w:rsidRPr="001C6794" w:rsidRDefault="001C6794" w:rsidP="001C6794">
            <w:pPr>
              <w:widowControl/>
              <w:wordWrap w:val="0"/>
              <w:spacing w:before="100" w:beforeAutospacing="1" w:after="100" w:afterAutospacing="1"/>
              <w:jc w:val="center"/>
              <w:rPr>
                <w:rFonts w:ascii="ˎ̥" w:eastAsia="宋体" w:hAnsi="ˎ̥" w:cs="宋体" w:hint="eastAsia"/>
                <w:kern w:val="0"/>
                <w:sz w:val="18"/>
                <w:szCs w:val="18"/>
              </w:rPr>
            </w:pPr>
            <w:r w:rsidRPr="001C6794">
              <w:rPr>
                <w:rFonts w:ascii="仿宋_GB2312" w:eastAsia="仿宋_GB2312" w:hAnsi="ˎ̥" w:cs="宋体" w:hint="eastAsia"/>
                <w:kern w:val="0"/>
                <w:sz w:val="27"/>
                <w:szCs w:val="27"/>
              </w:rPr>
              <w:t>3-7分</w:t>
            </w:r>
            <w:r w:rsidRPr="001C6794">
              <w:rPr>
                <w:rFonts w:ascii="ˎ̥" w:eastAsia="宋体" w:hAnsi="ˎ̥" w:cs="宋体"/>
                <w:kern w:val="0"/>
                <w:sz w:val="18"/>
                <w:szCs w:val="18"/>
              </w:rPr>
              <w:t xml:space="preserve"> </w:t>
            </w:r>
          </w:p>
          <w:p w:rsidR="001C6794" w:rsidRPr="001C6794" w:rsidRDefault="001C6794" w:rsidP="001C6794">
            <w:pPr>
              <w:widowControl/>
              <w:wordWrap w:val="0"/>
              <w:spacing w:before="100" w:beforeAutospacing="1" w:after="100" w:afterAutospacing="1"/>
              <w:jc w:val="center"/>
              <w:rPr>
                <w:rFonts w:ascii="ˎ̥" w:eastAsia="宋体" w:hAnsi="ˎ̥" w:cs="宋体"/>
                <w:kern w:val="0"/>
                <w:sz w:val="18"/>
                <w:szCs w:val="18"/>
              </w:rPr>
            </w:pPr>
          </w:p>
        </w:tc>
      </w:tr>
    </w:tbl>
    <w:p w:rsidR="001C6794" w:rsidRPr="001C6794" w:rsidRDefault="001C6794" w:rsidP="001C6794">
      <w:pPr>
        <w:widowControl/>
        <w:wordWrap w:val="0"/>
        <w:spacing w:before="100" w:beforeAutospacing="1" w:after="100" w:afterAutospacing="1"/>
        <w:jc w:val="left"/>
        <w:rPr>
          <w:rFonts w:ascii="ˎ̥" w:eastAsia="宋体" w:hAnsi="ˎ̥" w:cs="宋体"/>
          <w:kern w:val="0"/>
          <w:sz w:val="18"/>
          <w:szCs w:val="18"/>
        </w:rPr>
      </w:pPr>
      <w:r w:rsidRPr="001C6794">
        <w:rPr>
          <w:rFonts w:ascii="仿宋_GB2312" w:eastAsia="仿宋_GB2312" w:hAnsi="ˎ̥" w:cs="宋体" w:hint="eastAsia"/>
          <w:kern w:val="0"/>
          <w:sz w:val="27"/>
          <w:szCs w:val="27"/>
        </w:rPr>
        <w:t>   </w:t>
      </w:r>
      <w:r w:rsidRPr="001C6794">
        <w:rPr>
          <w:rFonts w:ascii="仿宋_GB2312" w:eastAsia="仿宋_GB2312" w:hAnsi="ˎ̥" w:cs="宋体" w:hint="eastAsia"/>
          <w:kern w:val="0"/>
          <w:sz w:val="27"/>
          <w:szCs w:val="27"/>
        </w:rPr>
        <w:t xml:space="preserve"> 招标人可结合所建工程项目的技术特点及工艺要求，对技术标的内容、分值进行增减调整，但不得超出给定的分值范围，若缺项按0分。</w:t>
      </w:r>
      <w:r w:rsidRPr="001C6794">
        <w:rPr>
          <w:rFonts w:ascii="ˎ̥" w:eastAsia="宋体" w:hAnsi="ˎ̥" w:cs="宋体"/>
          <w:kern w:val="0"/>
          <w:sz w:val="18"/>
          <w:szCs w:val="18"/>
        </w:rPr>
        <w:t xml:space="preserve"> </w:t>
      </w:r>
    </w:p>
    <w:p w:rsidR="00000000" w:rsidRPr="001C6794" w:rsidRDefault="001C6794"/>
    <w:sectPr w:rsidR="00000000" w:rsidRPr="001C67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794" w:rsidRDefault="001C6794" w:rsidP="001C6794">
      <w:r>
        <w:separator/>
      </w:r>
    </w:p>
  </w:endnote>
  <w:endnote w:type="continuationSeparator" w:id="1">
    <w:p w:rsidR="001C6794" w:rsidRDefault="001C6794" w:rsidP="001C67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FangSong_GB2312">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794" w:rsidRDefault="001C6794" w:rsidP="001C6794">
      <w:r>
        <w:separator/>
      </w:r>
    </w:p>
  </w:footnote>
  <w:footnote w:type="continuationSeparator" w:id="1">
    <w:p w:rsidR="001C6794" w:rsidRDefault="001C6794" w:rsidP="001C6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6794"/>
    <w:rsid w:val="001C6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6794"/>
    <w:rPr>
      <w:sz w:val="18"/>
      <w:szCs w:val="18"/>
    </w:rPr>
  </w:style>
  <w:style w:type="paragraph" w:styleId="a4">
    <w:name w:val="footer"/>
    <w:basedOn w:val="a"/>
    <w:link w:val="Char0"/>
    <w:uiPriority w:val="99"/>
    <w:semiHidden/>
    <w:unhideWhenUsed/>
    <w:rsid w:val="001C67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6794"/>
    <w:rPr>
      <w:sz w:val="18"/>
      <w:szCs w:val="18"/>
    </w:rPr>
  </w:style>
  <w:style w:type="paragraph" w:styleId="a5">
    <w:name w:val="Normal (Web)"/>
    <w:basedOn w:val="a"/>
    <w:uiPriority w:val="99"/>
    <w:unhideWhenUsed/>
    <w:rsid w:val="001C67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997</Words>
  <Characters>5689</Characters>
  <Application>Microsoft Office Word</Application>
  <DocSecurity>0</DocSecurity>
  <Lines>47</Lines>
  <Paragraphs>13</Paragraphs>
  <ScaleCrop>false</ScaleCrop>
  <Company>微软中国</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2017-09-28T00:37:00Z</dcterms:created>
  <dcterms:modified xsi:type="dcterms:W3CDTF">2017-09-28T00:38:00Z</dcterms:modified>
</cp:coreProperties>
</file>